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73" w:lineRule="exact"/>
        <w:rPr>
          <w:sz w:val="24"/>
          <w:szCs w:val="24"/>
          <w:color w:val="auto"/>
        </w:rPr>
      </w:pPr>
    </w:p>
    <w:p>
      <w:pPr>
        <w:ind w:left="500" w:right="420" w:hanging="465"/>
        <w:spacing w:after="0" w:line="262" w:lineRule="auto"/>
        <w:tabs>
          <w:tab w:leader="none" w:pos="5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September 30, 2019</w:t>
      </w:r>
    </w:p>
    <w:p>
      <w:pPr>
        <w:spacing w:after="0" w:line="341" w:lineRule="exact"/>
        <w:rPr>
          <w:sz w:val="24"/>
          <w:szCs w:val="24"/>
          <w:color w:val="auto"/>
        </w:rPr>
      </w:pPr>
    </w:p>
    <w:p>
      <w:pPr>
        <w:ind w:left="500" w:right="420" w:hanging="465"/>
        <w:spacing w:after="0" w:line="251" w:lineRule="auto"/>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ind w:left="300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 TO ____</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 000-50189</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CROWN HOLDINGS,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jc w:val="center"/>
              <w:ind w:left="120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040" w:type="dxa"/>
            <w:vAlign w:val="bottom"/>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75-3099507</w:t>
            </w:r>
          </w:p>
        </w:tc>
      </w:tr>
      <w:tr>
        <w:trPr>
          <w:trHeight w:val="178"/>
        </w:trPr>
        <w:tc>
          <w:tcPr>
            <w:tcW w:w="3100" w:type="dxa"/>
            <w:vAlign w:val="bottom"/>
          </w:tcPr>
          <w:p>
            <w:pPr>
              <w:jc w:val="center"/>
              <w:ind w:left="11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04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7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77"/>
        </w:trPr>
        <w:tc>
          <w:tcPr>
            <w:tcW w:w="4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770 Township Line Road</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w w:val="99"/>
              </w:rPr>
              <w:t>Yardley</w:t>
            </w:r>
          </w:p>
        </w:tc>
        <w:tc>
          <w:tcPr>
            <w:tcW w:w="27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PA</w:t>
            </w:r>
          </w:p>
        </w:tc>
        <w:tc>
          <w:tcPr>
            <w:tcW w:w="2040" w:type="dxa"/>
            <w:vAlign w:val="bottom"/>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19067</w:t>
            </w:r>
          </w:p>
        </w:tc>
      </w:tr>
      <w:tr>
        <w:trPr>
          <w:trHeight w:val="220"/>
        </w:trPr>
        <w:tc>
          <w:tcPr>
            <w:tcW w:w="4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7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31"/>
        </w:trPr>
        <w:tc>
          <w:tcPr>
            <w:tcW w:w="3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40" w:type="dxa"/>
            <w:vAlign w:val="bottom"/>
          </w:tcPr>
          <w:p>
            <w:pPr>
              <w:jc w:val="right"/>
              <w:ind w:right="1590"/>
              <w:spacing w:after="0"/>
              <w:rPr>
                <w:sz w:val="20"/>
                <w:szCs w:val="20"/>
                <w:color w:val="auto"/>
              </w:rPr>
            </w:pPr>
            <w:r>
              <w:rPr>
                <w:rFonts w:ascii="Times New Roman" w:cs="Times New Roman" w:eastAsia="Times New Roman" w:hAnsi="Times New Roman"/>
                <w:sz w:val="18"/>
                <w:szCs w:val="18"/>
                <w:b w:val="1"/>
                <w:bCs w:val="1"/>
                <w:color w:val="auto"/>
              </w:rPr>
              <w:t>215-698-5100</w:t>
            </w:r>
          </w:p>
        </w:tc>
        <w:tc>
          <w:tcPr>
            <w:tcW w:w="2040" w:type="dxa"/>
            <w:vAlign w:val="bottom"/>
          </w:tcPr>
          <w:p>
            <w:pPr>
              <w:spacing w:after="0"/>
              <w:rPr>
                <w:sz w:val="24"/>
                <w:szCs w:val="24"/>
                <w:color w:val="auto"/>
              </w:rPr>
            </w:pPr>
          </w:p>
        </w:tc>
      </w:tr>
      <w:tr>
        <w:trPr>
          <w:trHeight w:val="164"/>
        </w:trPr>
        <w:tc>
          <w:tcPr>
            <w:tcW w:w="3100" w:type="dxa"/>
            <w:vAlign w:val="bottom"/>
          </w:tcPr>
          <w:p>
            <w:pPr>
              <w:spacing w:after="0"/>
              <w:rPr>
                <w:sz w:val="14"/>
                <w:szCs w:val="14"/>
                <w:color w:val="auto"/>
              </w:rPr>
            </w:pPr>
          </w:p>
        </w:tc>
        <w:tc>
          <w:tcPr>
            <w:tcW w:w="480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040" w:type="dxa"/>
            <w:vAlign w:val="bottom"/>
          </w:tcPr>
          <w:p>
            <w:pPr>
              <w:spacing w:after="0"/>
              <w:rPr>
                <w:sz w:val="14"/>
                <w:szCs w:val="14"/>
                <w:color w:val="auto"/>
              </w:rPr>
            </w:pPr>
          </w:p>
        </w:tc>
      </w:tr>
      <w:tr>
        <w:trPr>
          <w:trHeight w:val="188"/>
        </w:trPr>
        <w:tc>
          <w:tcPr>
            <w:tcW w:w="3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520" w:type="dxa"/>
            <w:vAlign w:val="bottom"/>
            <w:gridSpan w:val="2"/>
          </w:tcPr>
          <w:p>
            <w:pPr>
              <w:jc w:val="right"/>
              <w:ind w:right="1370"/>
              <w:spacing w:after="0"/>
              <w:rPr>
                <w:sz w:val="20"/>
                <w:szCs w:val="20"/>
                <w:color w:val="auto"/>
              </w:rPr>
            </w:pPr>
            <w:r>
              <w:rPr>
                <w:rFonts w:ascii="Times New Roman" w:cs="Times New Roman" w:eastAsia="Times New Roman" w:hAnsi="Times New Roman"/>
                <w:sz w:val="14"/>
                <w:szCs w:val="14"/>
                <w:color w:val="auto"/>
              </w:rPr>
              <w:t>____________________</w:t>
            </w:r>
          </w:p>
        </w:tc>
        <w:tc>
          <w:tcPr>
            <w:tcW w:w="2040" w:type="dxa"/>
            <w:vAlign w:val="bottom"/>
          </w:tcPr>
          <w:p>
            <w:pPr>
              <w:spacing w:after="0"/>
              <w:rPr>
                <w:sz w:val="16"/>
                <w:szCs w:val="16"/>
                <w:color w:val="auto"/>
              </w:rPr>
            </w:pPr>
          </w:p>
        </w:tc>
      </w:tr>
      <w:tr>
        <w:trPr>
          <w:trHeight w:val="274"/>
        </w:trPr>
        <w:tc>
          <w:tcPr>
            <w:tcW w:w="79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040" w:type="dxa"/>
            <w:vAlign w:val="bottom"/>
          </w:tcPr>
          <w:p>
            <w:pPr>
              <w:spacing w:after="0"/>
              <w:rPr>
                <w:sz w:val="23"/>
                <w:szCs w:val="23"/>
                <w:color w:val="auto"/>
              </w:rPr>
            </w:pPr>
          </w:p>
        </w:tc>
      </w:tr>
      <w:tr>
        <w:trPr>
          <w:trHeight w:val="351"/>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Title of each class</w:t>
            </w: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Trading Symbols</w:t>
            </w:r>
          </w:p>
        </w:tc>
        <w:tc>
          <w:tcPr>
            <w:tcW w:w="35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2040" w:type="dxa"/>
            <w:vAlign w:val="bottom"/>
          </w:tcPr>
          <w:p>
            <w:pPr>
              <w:spacing w:after="0"/>
              <w:rPr>
                <w:sz w:val="24"/>
                <w:szCs w:val="24"/>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2"/>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1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CCK</w:t>
            </w:r>
          </w:p>
        </w:tc>
        <w:tc>
          <w:tcPr>
            <w:tcW w:w="35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New York Stock Exchange</w:t>
            </w:r>
          </w:p>
        </w:tc>
        <w:tc>
          <w:tcPr>
            <w:tcW w:w="2040" w:type="dxa"/>
            <w:vAlign w:val="bottom"/>
          </w:tcPr>
          <w:p>
            <w:pPr>
              <w:spacing w:after="0"/>
              <w:rPr>
                <w:sz w:val="18"/>
                <w:szCs w:val="18"/>
                <w:color w:val="auto"/>
              </w:rPr>
            </w:pPr>
          </w:p>
        </w:tc>
      </w:tr>
      <w:tr>
        <w:trPr>
          <w:trHeight w:val="25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 3/8% Debentures Due 2026</w:t>
            </w: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CCK26</w:t>
            </w:r>
          </w:p>
        </w:tc>
        <w:tc>
          <w:tcPr>
            <w:tcW w:w="35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New York Stock Exchange</w:t>
            </w:r>
          </w:p>
        </w:tc>
        <w:tc>
          <w:tcPr>
            <w:tcW w:w="2040" w:type="dxa"/>
            <w:vAlign w:val="bottom"/>
          </w:tcPr>
          <w:p>
            <w:pPr>
              <w:spacing w:after="0"/>
              <w:rPr>
                <w:sz w:val="22"/>
                <w:szCs w:val="22"/>
                <w:color w:val="auto"/>
              </w:rPr>
            </w:pPr>
          </w:p>
        </w:tc>
      </w:tr>
      <w:tr>
        <w:trPr>
          <w:trHeight w:val="25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 1/2% Debentures Due 2096</w:t>
            </w: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CCK96</w:t>
            </w:r>
          </w:p>
        </w:tc>
        <w:tc>
          <w:tcPr>
            <w:tcW w:w="35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New York Stock Exchange</w:t>
            </w:r>
          </w:p>
        </w:tc>
        <w:tc>
          <w:tcPr>
            <w:tcW w:w="2040" w:type="dxa"/>
            <w:vAlign w:val="bottom"/>
          </w:tcPr>
          <w:p>
            <w:pPr>
              <w:spacing w:after="0"/>
              <w:rPr>
                <w:sz w:val="22"/>
                <w:szCs w:val="22"/>
                <w:color w:val="auto"/>
              </w:rPr>
            </w:pPr>
          </w:p>
        </w:tc>
      </w:tr>
    </w:tbl>
    <w:p>
      <w:pPr>
        <w:spacing w:after="0" w:line="357" w:lineRule="exact"/>
        <w:rPr>
          <w:sz w:val="24"/>
          <w:szCs w:val="24"/>
          <w:color w:val="auto"/>
        </w:rPr>
      </w:pPr>
    </w:p>
    <w:p>
      <w:pPr>
        <w:jc w:val="both"/>
        <w:spacing w:after="0" w:line="22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9"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and posted pursuant to Rule 405 of Regulation S-T (§ 232.405 of this chapter) during the preceding 12 months (or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3"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30" w:right="239" w:bottom="1440" w:gutter="0" w:footer="0" w:header="0"/>
        </w:sectPr>
      </w:pPr>
    </w:p>
    <w:p>
      <w:pPr>
        <w:spacing w:after="0" w:line="12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7" w:lineRule="exact"/>
        <w:rPr>
          <w:sz w:val="24"/>
          <w:szCs w:val="24"/>
          <w:color w:val="auto"/>
        </w:rPr>
      </w:pPr>
    </w:p>
    <w:p>
      <w:pPr>
        <w:sectPr>
          <w:pgSz w:w="11900" w:h="16838" w:orient="portrait"/>
          <w:cols w:equalWidth="0" w:num="4">
            <w:col w:w="1580" w:space="600"/>
            <w:col w:w="4820" w:space="720"/>
            <w:col w:w="2540" w:space="720"/>
            <w:col w:w="440"/>
          </w:cols>
          <w:pgMar w:left="240" w:top="230" w:right="239" w:bottom="1440" w:gutter="0" w:footer="0" w:header="0"/>
          <w:type w:val="continuous"/>
        </w:sectPr>
      </w:pP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93" w:lineRule="exact"/>
        <w:rPr>
          <w:sz w:val="24"/>
          <w:szCs w:val="24"/>
          <w:color w:val="auto"/>
        </w:rPr>
      </w:pPr>
    </w:p>
    <w:p>
      <w:pPr>
        <w:sectPr>
          <w:pgSz w:w="11900" w:h="16838" w:orient="portrait"/>
          <w:cols w:equalWidth="0" w:num="4">
            <w:col w:w="1460" w:space="720"/>
            <w:col w:w="4820" w:space="720"/>
            <w:col w:w="2540" w:space="720"/>
            <w:col w:w="440"/>
          </w:cols>
          <w:pgMar w:left="240" w:top="230" w:right="239" w:bottom="1440" w:gutter="0" w:footer="0" w:header="0"/>
          <w:type w:val="continuous"/>
        </w:sect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100" w:val="left"/>
          <w:tab w:leader="none" w:pos="77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Exchange Act Rule 12b-2).</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There were 135,527,292 shares of Common Stock outstanding as of October 30, 2019.</w:t>
      </w:r>
    </w:p>
    <w:p>
      <w:pPr>
        <w:sectPr>
          <w:pgSz w:w="11900" w:h="16838" w:orient="portrait"/>
          <w:cols w:equalWidth="0" w:num="1">
            <w:col w:w="11420"/>
          </w:cols>
          <w:pgMar w:left="240" w:top="230" w:right="239" w:bottom="1440" w:gutter="0" w:footer="0" w:header="0"/>
          <w:type w:val="continuous"/>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0"/>
                <w:szCs w:val="20"/>
                <w:color w:val="auto"/>
              </w:rPr>
            </w:pPr>
          </w:p>
        </w:tc>
        <w:tc>
          <w:tcPr>
            <w:tcW w:w="20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0"/>
        </w:trPr>
        <w:tc>
          <w:tcPr>
            <w:tcW w:w="6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6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3"/>
                <w:szCs w:val="23"/>
                <w:color w:val="auto"/>
              </w:rPr>
            </w:pPr>
          </w:p>
        </w:tc>
        <w:tc>
          <w:tcPr>
            <w:tcW w:w="20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6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3,174</w:t>
            </w:r>
          </w:p>
        </w:tc>
        <w:tc>
          <w:tcPr>
            <w:tcW w:w="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8,874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8,417</w:t>
            </w:r>
          </w:p>
        </w:tc>
      </w:tr>
      <w:tr>
        <w:trPr>
          <w:trHeight w:val="237"/>
        </w:trPr>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 of products sold, excluding depreciation and amortization</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2,455</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2,530</w:t>
            </w:r>
          </w:p>
        </w:tc>
        <w:tc>
          <w:tcPr>
            <w:tcW w:w="4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7,082</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6,804</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w:t>
            </w:r>
          </w:p>
        </w:tc>
      </w:tr>
      <w:tr>
        <w:trPr>
          <w:trHeight w:val="243"/>
        </w:trPr>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402</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Restructuring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r>
      <w:tr>
        <w:trPr>
          <w:trHeight w:val="237"/>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c>
          <w:tcPr>
            <w:tcW w:w="4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997</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878</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from early extinguishments of debt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r>
      <w:tr>
        <w:trPr>
          <w:trHeight w:val="243"/>
        </w:trPr>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37"/>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c>
          <w:tcPr>
            <w:tcW w:w="4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695</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646</w:t>
            </w:r>
          </w:p>
        </w:tc>
      </w:tr>
      <w:tr>
        <w:trPr>
          <w:trHeight w:val="27"/>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w:t>
            </w:r>
          </w:p>
        </w:tc>
      </w:tr>
      <w:tr>
        <w:trPr>
          <w:trHeight w:val="243"/>
        </w:trPr>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earnings in affiliates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6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453</w:t>
            </w:r>
          </w:p>
        </w:tc>
      </w:tr>
      <w:tr>
        <w:trPr>
          <w:trHeight w:val="243"/>
        </w:trPr>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6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386</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attributable to Crown Holdings: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4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3.16</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w:t>
            </w:r>
          </w:p>
        </w:tc>
      </w:tr>
      <w:tr>
        <w:trPr>
          <w:trHeight w:val="67"/>
        </w:trPr>
        <w:tc>
          <w:tcPr>
            <w:tcW w:w="62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56"/>
        </w:trPr>
        <w:tc>
          <w:tcPr>
            <w:tcW w:w="622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80"/>
          </w:cols>
          <w:pgMar w:left="240" w:top="117" w:right="37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tbl>
      <w:tblPr>
        <w:tblLayout w:type="fixed"/>
        <w:tblInd w:w="14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20"/>
                <w:szCs w:val="20"/>
                <w:color w:val="auto"/>
              </w:rPr>
            </w:pPr>
          </w:p>
        </w:tc>
        <w:tc>
          <w:tcPr>
            <w:tcW w:w="200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0"/>
        </w:trPr>
        <w:tc>
          <w:tcPr>
            <w:tcW w:w="6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8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3"/>
                <w:szCs w:val="23"/>
                <w:color w:val="auto"/>
              </w:rPr>
            </w:pPr>
          </w:p>
        </w:tc>
        <w:tc>
          <w:tcPr>
            <w:tcW w:w="200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6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6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4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w:t>
            </w:r>
          </w:p>
        </w:tc>
      </w:tr>
      <w:tr>
        <w:trPr>
          <w:trHeight w:val="318"/>
        </w:trPr>
        <w:tc>
          <w:tcPr>
            <w:tcW w:w="6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6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Derivatives qualifying as hedges</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62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18"/>
        </w:trPr>
        <w:tc>
          <w:tcPr>
            <w:tcW w:w="6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r>
      <w:tr>
        <w:trPr>
          <w:trHeight w:val="243"/>
        </w:trPr>
        <w:tc>
          <w:tcPr>
            <w:tcW w:w="6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Translation adjustments attributable to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Derivatives qualifying as hedges attributable to noncontrolling interests</w:t>
            </w:r>
          </w:p>
        </w:tc>
        <w:tc>
          <w:tcPr>
            <w:tcW w:w="20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6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Crown Holdings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4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80"/>
          </w:cols>
          <w:pgMar w:left="240" w:top="117"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1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815"/>
        </w:trPr>
        <w:tc>
          <w:tcPr>
            <w:tcW w:w="2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60" w:type="dxa"/>
            <w:vAlign w:val="bottom"/>
            <w:gridSpan w:val="4"/>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 (Condensed)</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8"/>
        </w:trPr>
        <w:tc>
          <w:tcPr>
            <w:tcW w:w="2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72"/>
        </w:trPr>
        <w:tc>
          <w:tcPr>
            <w:tcW w:w="2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29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2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w:t>
            </w:r>
          </w:p>
        </w:tc>
      </w:tr>
      <w:tr>
        <w:trPr>
          <w:trHeight w:val="243"/>
        </w:trPr>
        <w:tc>
          <w:tcPr>
            <w:tcW w:w="36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Receivables, net</w:t>
            </w:r>
          </w:p>
        </w:tc>
        <w:tc>
          <w:tcPr>
            <w:tcW w:w="3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1,795</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1,602</w:t>
            </w:r>
          </w:p>
        </w:tc>
      </w:tr>
      <w:tr>
        <w:trPr>
          <w:trHeight w:val="27"/>
        </w:trPr>
        <w:tc>
          <w:tcPr>
            <w:tcW w:w="2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3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1,740</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1,690</w:t>
            </w:r>
          </w:p>
        </w:tc>
      </w:tr>
      <w:tr>
        <w:trPr>
          <w:trHeight w:val="243"/>
        </w:trPr>
        <w:tc>
          <w:tcPr>
            <w:tcW w:w="36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r>
      <w:tr>
        <w:trPr>
          <w:trHeight w:val="27"/>
        </w:trPr>
        <w:tc>
          <w:tcPr>
            <w:tcW w:w="29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36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4,082</w:t>
            </w: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4,079</w:t>
            </w:r>
          </w:p>
        </w:tc>
      </w:tr>
      <w:tr>
        <w:trPr>
          <w:trHeight w:val="318"/>
        </w:trPr>
        <w:tc>
          <w:tcPr>
            <w:tcW w:w="2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5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4,342</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4,442</w:t>
            </w:r>
          </w:p>
        </w:tc>
      </w:tr>
      <w:tr>
        <w:trPr>
          <w:trHeight w:val="243"/>
        </w:trPr>
        <w:tc>
          <w:tcPr>
            <w:tcW w:w="3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3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2,193</w:t>
            </w:r>
          </w:p>
        </w:tc>
      </w:tr>
      <w:tr>
        <w:trPr>
          <w:trHeight w:val="27"/>
        </w:trPr>
        <w:tc>
          <w:tcPr>
            <w:tcW w:w="2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3,739</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3,745</w:t>
            </w:r>
          </w:p>
        </w:tc>
      </w:tr>
      <w:tr>
        <w:trPr>
          <w:trHeight w:val="243"/>
        </w:trPr>
        <w:tc>
          <w:tcPr>
            <w:tcW w:w="3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8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949</w:t>
            </w:r>
          </w:p>
        </w:tc>
        <w:tc>
          <w:tcPr>
            <w:tcW w:w="4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803</w:t>
            </w:r>
          </w:p>
        </w:tc>
      </w:tr>
      <w:tr>
        <w:trPr>
          <w:trHeight w:val="237"/>
        </w:trPr>
        <w:tc>
          <w:tcPr>
            <w:tcW w:w="360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15,337</w:t>
            </w:r>
          </w:p>
        </w:tc>
        <w:tc>
          <w:tcPr>
            <w:tcW w:w="4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15,262</w:t>
            </w:r>
          </w:p>
        </w:tc>
      </w:tr>
      <w:tr>
        <w:trPr>
          <w:trHeight w:val="67"/>
        </w:trPr>
        <w:tc>
          <w:tcPr>
            <w:tcW w:w="2980" w:type="dxa"/>
            <w:vAlign w:val="bottom"/>
            <w:tcBorders>
              <w:bottom w:val="single" w:sz="8" w:color="CCEEFF"/>
            </w:tcBorders>
          </w:tcPr>
          <w:p>
            <w:pPr>
              <w:spacing w:after="0"/>
              <w:rPr>
                <w:sz w:val="5"/>
                <w:szCs w:val="5"/>
                <w:color w:val="auto"/>
              </w:rPr>
            </w:pPr>
          </w:p>
        </w:tc>
        <w:tc>
          <w:tcPr>
            <w:tcW w:w="48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38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278"/>
        </w:trPr>
        <w:tc>
          <w:tcPr>
            <w:tcW w:w="29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36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2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Short-term debt</w:t>
            </w: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4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2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r>
      <w:tr>
        <w:trPr>
          <w:trHeight w:val="243"/>
        </w:trPr>
        <w:tc>
          <w:tcPr>
            <w:tcW w:w="36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2,409</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2,732</w:t>
            </w:r>
          </w:p>
        </w:tc>
      </w:tr>
      <w:tr>
        <w:trPr>
          <w:trHeight w:val="243"/>
        </w:trPr>
        <w:tc>
          <w:tcPr>
            <w:tcW w:w="36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3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956</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1,011</w:t>
            </w:r>
          </w:p>
        </w:tc>
      </w:tr>
      <w:tr>
        <w:trPr>
          <w:trHeight w:val="27"/>
        </w:trPr>
        <w:tc>
          <w:tcPr>
            <w:tcW w:w="29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36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3,632</w:t>
            </w: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3,913</w:t>
            </w:r>
          </w:p>
        </w:tc>
      </w:tr>
      <w:tr>
        <w:trPr>
          <w:trHeight w:val="318"/>
        </w:trPr>
        <w:tc>
          <w:tcPr>
            <w:tcW w:w="2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5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8,042</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8,493</w:t>
            </w:r>
          </w:p>
        </w:tc>
      </w:tr>
      <w:tr>
        <w:trPr>
          <w:trHeight w:val="243"/>
        </w:trPr>
        <w:tc>
          <w:tcPr>
            <w:tcW w:w="3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3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Postretirement and pension liabilities</w:t>
            </w:r>
          </w:p>
        </w:tc>
        <w:tc>
          <w:tcPr>
            <w:tcW w:w="3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683</w:t>
            </w:r>
          </w:p>
        </w:tc>
      </w:tr>
      <w:tr>
        <w:trPr>
          <w:trHeight w:val="243"/>
        </w:trPr>
        <w:tc>
          <w:tcPr>
            <w:tcW w:w="3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864</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887</w:t>
            </w:r>
          </w:p>
        </w:tc>
      </w:tr>
      <w:tr>
        <w:trPr>
          <w:trHeight w:val="27"/>
        </w:trPr>
        <w:tc>
          <w:tcPr>
            <w:tcW w:w="2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00" w:type="dxa"/>
            <w:vAlign w:val="bottom"/>
            <w:gridSpan w:val="3"/>
            <w:shd w:val="clear" w:color="auto" w:fill="CCEEFF"/>
          </w:tcPr>
          <w:p>
            <w:pPr>
              <w:ind w:left="40"/>
              <w:spacing w:after="0" w:line="202"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Commitments and contingent liabilities </w:t>
            </w:r>
            <w:r>
              <w:rPr>
                <w:rFonts w:ascii="Times New Roman" w:cs="Times New Roman" w:eastAsia="Times New Roman" w:hAnsi="Times New Roman"/>
                <w:sz w:val="18"/>
                <w:szCs w:val="18"/>
                <w:i w:val="1"/>
                <w:iCs w:val="1"/>
                <w:color w:val="auto"/>
              </w:rPr>
              <w:t>(</w:t>
            </w:r>
            <w:hyperlink w:anchor="page15">
              <w:r>
                <w:rPr>
                  <w:rFonts w:ascii="Times New Roman" w:cs="Times New Roman" w:eastAsia="Times New Roman" w:hAnsi="Times New Roman"/>
                  <w:sz w:val="18"/>
                  <w:szCs w:val="18"/>
                  <w:i w:val="1"/>
                  <w:iCs w:val="1"/>
                  <w:color w:val="0000EE"/>
                </w:rPr>
                <w:t>Note L</w:t>
              </w:r>
            </w:hyperlink>
            <w:r>
              <w:rPr>
                <w:rFonts w:ascii="Times New Roman" w:cs="Times New Roman" w:eastAsia="Times New Roman" w:hAnsi="Times New Roman"/>
                <w:sz w:val="18"/>
                <w:szCs w:val="18"/>
                <w:i w:val="1"/>
                <w:iCs w:val="1"/>
                <w:color w:val="auto"/>
              </w:rPr>
              <w:t>)</w:t>
            </w:r>
          </w:p>
        </w:tc>
        <w:tc>
          <w:tcPr>
            <w:tcW w:w="3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43"/>
        </w:trPr>
        <w:tc>
          <w:tcPr>
            <w:tcW w:w="298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8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8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36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w:t>
            </w:r>
          </w:p>
        </w:tc>
        <w:tc>
          <w:tcPr>
            <w:tcW w:w="44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36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r>
      <w:tr>
        <w:trPr>
          <w:trHeight w:val="27"/>
        </w:trPr>
        <w:tc>
          <w:tcPr>
            <w:tcW w:w="2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Crown Holdings shareholders’ equity</w:t>
            </w:r>
          </w:p>
        </w:tc>
        <w:tc>
          <w:tcPr>
            <w:tcW w:w="38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1,619</w:t>
            </w:r>
          </w:p>
        </w:tc>
        <w:tc>
          <w:tcPr>
            <w:tcW w:w="4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937</w:t>
            </w:r>
          </w:p>
        </w:tc>
      </w:tr>
      <w:tr>
        <w:trPr>
          <w:trHeight w:val="237"/>
        </w:trPr>
        <w:tc>
          <w:tcPr>
            <w:tcW w:w="360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8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1,286</w:t>
            </w:r>
          </w:p>
        </w:tc>
      </w:tr>
      <w:tr>
        <w:trPr>
          <w:trHeight w:val="27"/>
        </w:trPr>
        <w:tc>
          <w:tcPr>
            <w:tcW w:w="29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36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15,337</w:t>
            </w: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15,262</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240" w:top="117" w:right="779" w:bottom="1440" w:gutter="0" w:footer="0" w:header="0"/>
        </w:sectPr>
      </w:pPr>
    </w:p>
    <w:bookmarkStart w:id="4" w:name="page5"/>
    <w:bookmarkEnd w:id="4"/>
    <w:tbl>
      <w:tblPr>
        <w:tblLayout w:type="fixed"/>
        <w:tblInd w:w="100" w:type="dxa"/>
        <w:tblCellMar>
          <w:top w:w="0" w:type="dxa"/>
          <w:left w:w="0" w:type="dxa"/>
          <w:bottom w:w="0" w:type="dxa"/>
          <w:right w:w="0" w:type="dxa"/>
        </w:tblCellMar>
      </w:tblPr>
      <w:tr>
        <w:trPr>
          <w:trHeight w:val="238"/>
        </w:trPr>
        <w:tc>
          <w:tcPr>
            <w:tcW w:w="8300" w:type="dxa"/>
            <w:vAlign w:val="bottom"/>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815"/>
        </w:trPr>
        <w:tc>
          <w:tcPr>
            <w:tcW w:w="8300" w:type="dxa"/>
            <w:vAlign w:val="bottom"/>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 (Condensed)</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830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8"/>
        </w:trPr>
        <w:tc>
          <w:tcPr>
            <w:tcW w:w="830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78"/>
        </w:trPr>
        <w:tc>
          <w:tcPr>
            <w:tcW w:w="8300" w:type="dxa"/>
            <w:vAlign w:val="bottom"/>
          </w:tcPr>
          <w:p>
            <w:pPr>
              <w:spacing w:after="0"/>
              <w:rPr>
                <w:sz w:val="24"/>
                <w:szCs w:val="24"/>
                <w:color w:val="auto"/>
              </w:rPr>
            </w:pPr>
          </w:p>
        </w:tc>
        <w:tc>
          <w:tcPr>
            <w:tcW w:w="2920" w:type="dxa"/>
            <w:vAlign w:val="bottom"/>
            <w:gridSpan w:val="5"/>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0"/>
        </w:trPr>
        <w:tc>
          <w:tcPr>
            <w:tcW w:w="8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40" w:type="dxa"/>
            <w:vAlign w:val="bottom"/>
          </w:tcPr>
          <w:p>
            <w:pPr>
              <w:spacing w:after="0"/>
              <w:rPr>
                <w:sz w:val="23"/>
                <w:szCs w:val="23"/>
                <w:color w:val="auto"/>
              </w:rPr>
            </w:pPr>
          </w:p>
        </w:tc>
      </w:tr>
      <w:tr>
        <w:trPr>
          <w:trHeight w:val="27"/>
        </w:trPr>
        <w:tc>
          <w:tcPr>
            <w:tcW w:w="8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8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3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509</w:t>
            </w:r>
          </w:p>
        </w:tc>
        <w:tc>
          <w:tcPr>
            <w:tcW w:w="44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w:t>
            </w:r>
          </w:p>
        </w:tc>
      </w:tr>
      <w:tr>
        <w:trPr>
          <w:trHeight w:val="27"/>
        </w:trPr>
        <w:tc>
          <w:tcPr>
            <w:tcW w:w="8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r>
      <w:tr>
        <w:trPr>
          <w:trHeight w:val="27"/>
        </w:trPr>
        <w:tc>
          <w:tcPr>
            <w:tcW w:w="8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Restructuring and other</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8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Foreign exchange</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8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Pension expense</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8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Pension contributions</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8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Deferred income taxes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8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8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Receivables</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(254)</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7"/>
        </w:trPr>
        <w:tc>
          <w:tcPr>
            <w:tcW w:w="8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Inventories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43"/>
        </w:trPr>
        <w:tc>
          <w:tcPr>
            <w:tcW w:w="8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(343)</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8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Other, net</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37"/>
        </w:trPr>
        <w:tc>
          <w:tcPr>
            <w:tcW w:w="830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Net cash provided by (used for) operating activities</w:t>
            </w:r>
          </w:p>
        </w:tc>
        <w:tc>
          <w:tcPr>
            <w:tcW w:w="8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w:t>
            </w:r>
          </w:p>
        </w:tc>
        <w:tc>
          <w:tcPr>
            <w:tcW w:w="4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7"/>
        </w:trPr>
        <w:tc>
          <w:tcPr>
            <w:tcW w:w="83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Capital expenditures</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(242)</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7"/>
        </w:trPr>
        <w:tc>
          <w:tcPr>
            <w:tcW w:w="8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r>
      <w:tr>
        <w:trPr>
          <w:trHeight w:val="243"/>
        </w:trPr>
        <w:tc>
          <w:tcPr>
            <w:tcW w:w="8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Beneficial interests in transferred receivables</w:t>
            </w:r>
          </w:p>
        </w:tc>
        <w:tc>
          <w:tcPr>
            <w:tcW w:w="820" w:type="dxa"/>
            <w:vAlign w:val="bottom"/>
          </w:tcPr>
          <w:p>
            <w:pPr>
              <w:spacing w:after="0"/>
              <w:rPr>
                <w:sz w:val="21"/>
                <w:szCs w:val="21"/>
                <w:color w:val="auto"/>
              </w:rPr>
            </w:pPr>
          </w:p>
        </w:tc>
        <w:tc>
          <w:tcPr>
            <w:tcW w:w="8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r>
      <w:tr>
        <w:trPr>
          <w:trHeight w:val="27"/>
        </w:trPr>
        <w:tc>
          <w:tcPr>
            <w:tcW w:w="8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8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Foreign exchange derivatives related to acquisitions</w:t>
            </w:r>
          </w:p>
        </w:tc>
        <w:tc>
          <w:tcPr>
            <w:tcW w:w="820" w:type="dxa"/>
            <w:vAlign w:val="bottom"/>
          </w:tcPr>
          <w:p>
            <w:pPr>
              <w:spacing w:after="0"/>
              <w:rPr>
                <w:sz w:val="21"/>
                <w:szCs w:val="21"/>
                <w:color w:val="auto"/>
              </w:rPr>
            </w:pPr>
          </w:p>
        </w:tc>
        <w:tc>
          <w:tcPr>
            <w:tcW w:w="8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8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investment hedge</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3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830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b w:val="1"/>
                <w:bCs w:val="1"/>
                <w:color w:val="auto"/>
              </w:rPr>
              <w:t>Net cash used for investing activities</w:t>
            </w:r>
          </w:p>
        </w:tc>
        <w:tc>
          <w:tcPr>
            <w:tcW w:w="8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(216)</w:t>
            </w:r>
          </w:p>
        </w:tc>
        <w:tc>
          <w:tcPr>
            <w:tcW w:w="4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r>
      <w:tr>
        <w:trPr>
          <w:trHeight w:val="22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41"/>
        </w:trPr>
        <w:tc>
          <w:tcPr>
            <w:tcW w:w="8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50"/>
        </w:trPr>
        <w:tc>
          <w:tcPr>
            <w:tcW w:w="83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8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4,082</w:t>
            </w:r>
          </w:p>
        </w:tc>
      </w:tr>
      <w:tr>
        <w:trPr>
          <w:trHeight w:val="243"/>
        </w:trPr>
        <w:tc>
          <w:tcPr>
            <w:tcW w:w="8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(323)</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8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8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Payments of finance leases</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Debt issue costs</w:t>
            </w:r>
          </w:p>
        </w:tc>
        <w:tc>
          <w:tcPr>
            <w:tcW w:w="8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8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Common stock issued</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Common stock repurchased</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8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8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Foreign exchange derivatives related to debt</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3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830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b w:val="1"/>
                <w:bCs w:val="1"/>
                <w:color w:val="auto"/>
              </w:rPr>
              <w:t>Net cash provided by (used for) financing activities</w:t>
            </w:r>
          </w:p>
        </w:tc>
        <w:tc>
          <w:tcPr>
            <w:tcW w:w="8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(245)</w:t>
            </w:r>
          </w:p>
        </w:tc>
        <w:tc>
          <w:tcPr>
            <w:tcW w:w="4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3,902</w:t>
            </w:r>
          </w:p>
        </w:tc>
      </w:tr>
      <w:tr>
        <w:trPr>
          <w:trHeight w:val="237"/>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8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83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(261)</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January 1</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659</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435</w:t>
            </w:r>
          </w:p>
        </w:tc>
      </w:tr>
      <w:tr>
        <w:trPr>
          <w:trHeight w:val="27"/>
        </w:trPr>
        <w:tc>
          <w:tcPr>
            <w:tcW w:w="83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September</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w:t>
            </w:r>
          </w:p>
        </w:tc>
        <w:tc>
          <w:tcPr>
            <w:tcW w:w="4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320"/>
          </w:cols>
          <w:pgMar w:left="240" w:top="117" w:right="339" w:bottom="1440" w:gutter="0" w:footer="0" w:header="0"/>
        </w:sectPr>
      </w:pP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20"/>
          </w:cols>
          <w:pgMar w:left="240" w:top="117"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Crown Holdings, Inc.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36830</wp:posOffset>
            </wp:positionV>
            <wp:extent cx="36360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1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1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Crown</w:t>
            </w:r>
          </w:p>
        </w:tc>
        <w:tc>
          <w:tcPr>
            <w:tcW w:w="1120" w:type="dxa"/>
            <w:vAlign w:val="bottom"/>
            <w:gridSpan w:val="3"/>
            <w:vMerge w:val="continue"/>
          </w:tcPr>
          <w:p>
            <w:pPr>
              <w:spacing w:after="0"/>
              <w:rPr>
                <w:sz w:val="12"/>
                <w:szCs w:val="12"/>
                <w:color w:val="auto"/>
              </w:rPr>
            </w:pPr>
          </w:p>
        </w:tc>
        <w:tc>
          <w:tcPr>
            <w:tcW w:w="68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January 1, 2019</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$ 1,286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issued</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March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$ 1,502</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Contribution from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issued</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June 30,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$ 1,700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Contribution from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issued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September 30,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$ 2,021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7"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(continued)</w:t>
      </w:r>
    </w:p>
    <w:p>
      <w:pPr>
        <w:spacing w:after="0" w:line="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Crown Holdings, Inc.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36830</wp:posOffset>
            </wp:positionV>
            <wp:extent cx="36360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1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1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Crown</w:t>
            </w: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January 1, 2018</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25"/>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Cumulative effect of change in accounting</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principle</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March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issued</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June 30,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September 30, 2018</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3,396</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7"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 share and statistical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84"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Statement of Information Furnished</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include the accounts of Crown Holdings, Inc. and its consolidated subsidiaries (the “Company”). The accompanying unaudited interim consolidated financial statements have been prepared in accordance with Form 10-Q instructions. In the opinion of management, these consolidated financial statements contain all adjustments of a normal and recurring nature necessary for a fair statement of the financial position of the Company as of September 30, 2019 and the results of its operations for the three and nine months ended September 30, 2019 and 2018 and of its cash flows for the nine months ended September 30, 2019 and 2018. The results reported in these consolidated financial statements are not necessarily indicative of the results that may be expected for the entire year. These results have been determined on the basis of accounting principles generally accepted in the United States of America (“GAAP”).</w:t>
      </w:r>
    </w:p>
    <w:p>
      <w:pPr>
        <w:spacing w:after="0" w:line="18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information and footnote disclosures normally included in financial statements presented in accordance with GAAP have been condensed or omitted. The year-end condensed balance sheet data was derived from audited financial statements, but does not include all disclosures required by GAAP. The accompanying consolidated financial statements should be read in conjunction with the consolidated financial statements and notes thereto included in the Company's Annual Report on Form 10-K for the year ended December 31, 2018.</w:t>
      </w:r>
    </w:p>
    <w:p>
      <w:pPr>
        <w:spacing w:after="0" w:line="392" w:lineRule="exact"/>
        <w:rPr>
          <w:rFonts w:ascii="Times New Roman" w:cs="Times New Roman" w:eastAsia="Times New Roman" w:hAnsi="Times New Roman"/>
          <w:sz w:val="18"/>
          <w:szCs w:val="18"/>
          <w:b w:val="1"/>
          <w:bCs w:val="1"/>
          <w:color w:val="auto"/>
        </w:rPr>
      </w:pPr>
    </w:p>
    <w:p>
      <w:pPr>
        <w:ind w:left="660" w:right="7600" w:hanging="652"/>
        <w:spacing w:after="0" w:line="491" w:lineRule="auto"/>
        <w:tabs>
          <w:tab w:leader="none" w:pos="66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Accounting and Reporting Developments </w:t>
      </w:r>
      <w:r>
        <w:rPr>
          <w:rFonts w:ascii="Times New Roman" w:cs="Times New Roman" w:eastAsia="Times New Roman" w:hAnsi="Times New Roman"/>
          <w:sz w:val="17"/>
          <w:szCs w:val="17"/>
          <w:u w:val="single" w:color="auto"/>
          <w:color w:val="auto"/>
        </w:rPr>
        <w:t>Recently Adopted Accounting Standards</w:t>
      </w:r>
    </w:p>
    <w:p>
      <w:pPr>
        <w:jc w:val="both"/>
        <w:ind w:left="660"/>
        <w:spacing w:after="0" w:line="254"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In February 2016, the FASB issued new guidance on lease accounting. Under the new guidance, lease classification criteria and income statement recognition are similar to previous guidance; however, all leases with a term longer than one year are recorded on the balance sheet through a right-of-use asset and a corresponding lease liability. The Company adopted the standard on a modified retrospective basis on January 1, 2019. In addition, the Company elected the package of practical expedients, which allowed the Company to carryforward its historical assessments of whether contracts are or contain leases, lease classification and initial direct costs. Adoption of this standard resulted in the recording of operating right-of-use assets and corresponding operating lease liabilities of approximately $220. Finance leases were already recorded on the balance sheet under the previous guidance in current and long-term maturities of long-term debt. Upon adoption of this standard $5 was reclassified to accrued liabilities and $24 was reclassified to other non-current liabilities. The Company reclassified prior period amounts to conform to the current year presentation. See </w:t>
      </w:r>
      <w:hyperlink w:anchor="page9">
        <w:r>
          <w:rPr>
            <w:rFonts w:ascii="Times New Roman" w:cs="Times New Roman" w:eastAsia="Times New Roman" w:hAnsi="Times New Roman"/>
            <w:sz w:val="18"/>
            <w:szCs w:val="18"/>
            <w:u w:val="single" w:color="auto"/>
            <w:color w:val="0000EE"/>
          </w:rPr>
          <w:t>Note C</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further information on the Company's lease arrangements.</w:t>
      </w:r>
    </w:p>
    <w:p>
      <w:pPr>
        <w:spacing w:after="0" w:line="189" w:lineRule="exact"/>
        <w:rPr>
          <w:rFonts w:ascii="Times New Roman" w:cs="Times New Roman" w:eastAsia="Times New Roman" w:hAnsi="Times New Roman"/>
          <w:sz w:val="18"/>
          <w:szCs w:val="18"/>
          <w:color w:val="0000EE"/>
        </w:rPr>
      </w:pPr>
    </w:p>
    <w:p>
      <w:pPr>
        <w:ind w:left="660" w:right="240"/>
        <w:spacing w:after="0" w:line="26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In February 2018, the FASB issued new accounting guidance to permit the reclassification from accumulated other comprehensive earnings to retained earnings of stranded tax effects resulting from the Tax Cuts and Jobs Act of 2017 (the "Tax Act"). The Company adopted the guidance on January 1, 2019 and elected not to reclassify stranded tax effects resulting from the Tax Act.</w:t>
      </w:r>
    </w:p>
    <w:p>
      <w:pPr>
        <w:spacing w:after="0" w:line="176" w:lineRule="exact"/>
        <w:rPr>
          <w:rFonts w:ascii="Times New Roman" w:cs="Times New Roman" w:eastAsia="Times New Roman" w:hAnsi="Times New Roman"/>
          <w:sz w:val="18"/>
          <w:szCs w:val="18"/>
          <w:color w:val="0000EE"/>
        </w:rPr>
      </w:pPr>
    </w:p>
    <w:p>
      <w:pPr>
        <w:ind w:left="660"/>
        <w:spacing w:after="0"/>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u w:val="single" w:color="auto"/>
          <w:color w:val="auto"/>
        </w:rPr>
        <w:t>Recently Issued Accounting Standards</w:t>
      </w:r>
    </w:p>
    <w:p>
      <w:pPr>
        <w:spacing w:after="0" w:line="306" w:lineRule="exact"/>
        <w:rPr>
          <w:rFonts w:ascii="Times New Roman" w:cs="Times New Roman" w:eastAsia="Times New Roman" w:hAnsi="Times New Roman"/>
          <w:sz w:val="18"/>
          <w:szCs w:val="18"/>
          <w:color w:val="0000EE"/>
        </w:rPr>
      </w:pPr>
    </w:p>
    <w:p>
      <w:pPr>
        <w:jc w:val="both"/>
        <w:ind w:left="660"/>
        <w:spacing w:after="0" w:line="25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In June 2016, the FASB issued new guidance on the accounting for credit losses on financial instruments. The new standard introduces an approach, based on expected losses, to estimate credit losses on certain types of financial instruments. The new approach to estimating credit losses (referred to as the current expected credit losses model) applies to most financial assets measured at amortized cost and certain other instruments, including trade and other receivables, loans, held-to-maturity debt securities, net investments in operating leases and off-balance-sheet credit exposures. This guidance is effective for the Company on January 1, 2020. The Company is currently evaluating the impact of adopting this standard and does not expect the guidance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7"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Leases</w:t>
      </w:r>
    </w:p>
    <w:p>
      <w:pPr>
        <w:spacing w:after="0" w:line="22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 Company has operating and finance leases for land and buildings related to certain manufacturing facilities, warehouses and corporate offices, vehicle fleets and certain office and manufacturing equipment. Leases with an initial term of 12 months or less are not recorded on the balance sheet. The Company's lease terms include options to extend the lease when it is reasonably certain that the Company will exercise the option. Variable lease payment amounts that cannot be determined at commencement of the lease, such as increases in index rates, are not included in the measurement of the lease liabilities and corresponding right-of-use assets and are recognized in the period those payments are incurred. The Company separates lease and non-lease components of lease arrangements and allocates contract consideration based on standalone selling prices. Variable consideration is allocated to the lease and non-lease components to which the variable payments specifically relate to. The discount rate implicit within the Company's leases is often not determinable and therefore the Company generally uses its incremental borrowing rate based on the information available at the commencement date of the lease in determining the present value of the lease payments. The incremental borrowing rate is determined based on lease term and currency in which lease payments are made. The Company's leases do not contain any material residual value guarantees or material restrictive covenants. At September 30, 2019, the Company does not have material lease commitments that have not commenced.</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34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70"/>
        </w:trPr>
        <w:tc>
          <w:tcPr>
            <w:tcW w:w="5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September 30, 2019</w:t>
            </w:r>
          </w:p>
        </w:tc>
        <w:tc>
          <w:tcPr>
            <w:tcW w:w="200" w:type="dxa"/>
            <w:vAlign w:val="bottom"/>
          </w:tcPr>
          <w:p>
            <w:pPr>
              <w:spacing w:after="0"/>
              <w:rPr>
                <w:sz w:val="23"/>
                <w:szCs w:val="23"/>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September 30, 2019</w:t>
            </w:r>
          </w:p>
        </w:tc>
      </w:tr>
      <w:tr>
        <w:trPr>
          <w:trHeight w:val="27"/>
        </w:trPr>
        <w:tc>
          <w:tcPr>
            <w:tcW w:w="5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Short-term lease cost</w:t>
            </w:r>
          </w:p>
        </w:tc>
        <w:tc>
          <w:tcPr>
            <w:tcW w:w="18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97"/>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11"/>
        </w:trPr>
        <w:tc>
          <w:tcPr>
            <w:tcW w:w="5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costs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Variable operating lease costs were $1 and $2 for the three and nine months ended September 30, 2019. Interest on finance lease liabilities was less than $1 for the three and nine months ended September 30, 2019.</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34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70"/>
        </w:trPr>
        <w:tc>
          <w:tcPr>
            <w:tcW w:w="5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September 30, 2019</w:t>
            </w:r>
          </w:p>
        </w:tc>
      </w:tr>
      <w:tr>
        <w:trPr>
          <w:trHeight w:val="27"/>
        </w:trPr>
        <w:tc>
          <w:tcPr>
            <w:tcW w:w="5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5"/>
        </w:trPr>
        <w:tc>
          <w:tcPr>
            <w:tcW w:w="50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2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41"/>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43"/>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5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3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cash flows from finance leases were less than $1 for the nine months ended September 30, 2019.</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7"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3180" w:type="dxa"/>
            <w:vAlign w:val="bottom"/>
            <w:gridSpan w:val="3"/>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r>
      <w:tr>
        <w:trPr>
          <w:trHeight w:val="837"/>
        </w:trPr>
        <w:tc>
          <w:tcPr>
            <w:tcW w:w="3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September 30, 2019</w:t>
            </w:r>
          </w:p>
        </w:tc>
      </w:tr>
      <w:tr>
        <w:trPr>
          <w:trHeight w:val="27"/>
        </w:trPr>
        <w:tc>
          <w:tcPr>
            <w:tcW w:w="39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8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200</w:t>
            </w:r>
          </w:p>
        </w:tc>
      </w:tr>
      <w:tr>
        <w:trPr>
          <w:trHeight w:val="27"/>
        </w:trPr>
        <w:tc>
          <w:tcPr>
            <w:tcW w:w="3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324"/>
        </w:trPr>
        <w:tc>
          <w:tcPr>
            <w:tcW w:w="39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28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3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10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158</w:t>
            </w:r>
          </w:p>
        </w:tc>
      </w:tr>
      <w:tr>
        <w:trPr>
          <w:trHeight w:val="297"/>
        </w:trPr>
        <w:tc>
          <w:tcPr>
            <w:tcW w:w="39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4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204</w:t>
            </w:r>
          </w:p>
        </w:tc>
      </w:tr>
      <w:tr>
        <w:trPr>
          <w:trHeight w:val="311"/>
        </w:trPr>
        <w:tc>
          <w:tcPr>
            <w:tcW w:w="39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80" w:type="dxa"/>
            <w:vAlign w:val="bottom"/>
            <w:tcBorders>
              <w:bottom w:val="single" w:sz="8" w:color="CCEEFF"/>
            </w:tcBorders>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39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3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8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3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0"/>
        </w:trPr>
        <w:tc>
          <w:tcPr>
            <w:tcW w:w="3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1280" w:type="dxa"/>
            <w:vAlign w:val="bottom"/>
            <w:tcBorders>
              <w:bottom w:val="single" w:sz="8" w:color="CCEEFF"/>
            </w:tcBorders>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39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3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28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3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9.9 years</w:t>
            </w:r>
          </w:p>
        </w:tc>
      </w:tr>
      <w:tr>
        <w:trPr>
          <w:trHeight w:val="27"/>
        </w:trPr>
        <w:tc>
          <w:tcPr>
            <w:tcW w:w="3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7.2 years</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as of September 30, 2019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Finance Leases</w:t>
            </w:r>
          </w:p>
        </w:tc>
      </w:tr>
      <w:tr>
        <w:trPr>
          <w:trHeight w:val="27"/>
        </w:trPr>
        <w:tc>
          <w:tcPr>
            <w:tcW w:w="52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6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6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5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5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127</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52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1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265</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(61)</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52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5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204</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52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as of December 31, 2018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Finance Leases</w:t>
            </w:r>
          </w:p>
        </w:tc>
      </w:tr>
      <w:tr>
        <w:trPr>
          <w:trHeight w:val="27"/>
        </w:trPr>
        <w:tc>
          <w:tcPr>
            <w:tcW w:w="52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620" w:type="dxa"/>
            <w:vAlign w:val="bottom"/>
            <w:tcBorders>
              <w:bottom w:val="single" w:sz="8" w:color="CCEEFF"/>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6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5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117</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52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5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1620" w:type="dxa"/>
            <w:vAlign w:val="bottom"/>
            <w:tcBorders>
              <w:bottom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294</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559"/>
          </w:cols>
          <w:pgMar w:left="900" w:top="117"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559"/>
          </w:cols>
          <w:pgMar w:left="900" w:top="117" w:right="1440"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Acquisition of Signode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April 3, 2018, the Company completed its acquisition of Signode Industrial Group Holdings (Bermuda) Ltd. (“Signode”), a leading global provider of transit packaging systems and solutions, thereby broadening and diversifying its customer base and product offerings. The Company paid a purchase price of $3.9 billion.</w:t>
      </w:r>
    </w:p>
    <w:p>
      <w:pPr>
        <w:spacing w:after="0" w:line="176"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The company finalized its purchase accounting for the Signode acquisition in the first quarter of 2019. There were no material adjustments to the preliminary valuation of identifiable assets acquired and liabilities assumed as compared to the amounts disclosed in the Company's Annual Report on Form 10-K for the year ended December 31, 2018.</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following unaudited supplemental pro forma data presents consolidated information as if the acquisition had been completed on January 1, 2017. These amounts were calculated after adjusting Signode's results to reflect interest expense incurred on the debt to finance the acquisition, additional depreciation and amortization that would have been charged assuming the fair value of property, plant and equipment and intangible assets and fair value adjustments relating to the sale of inventory acquired had been applied from January 1, 2017 and related transaction costs.</w:t>
      </w:r>
    </w:p>
    <w:p>
      <w:pPr>
        <w:spacing w:after="0" w:line="34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70"/>
        </w:trPr>
        <w:tc>
          <w:tcPr>
            <w:tcW w:w="5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September 30, 2018</w:t>
            </w:r>
          </w:p>
        </w:tc>
      </w:tr>
      <w:tr>
        <w:trPr>
          <w:trHeight w:val="27"/>
        </w:trPr>
        <w:tc>
          <w:tcPr>
            <w:tcW w:w="5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9,005</w:t>
            </w:r>
          </w:p>
        </w:tc>
      </w:tr>
      <w:tr>
        <w:trPr>
          <w:trHeight w:val="27"/>
        </w:trPr>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net income attributable to Crown Holdings</w:t>
            </w: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7"/>
        </w:trPr>
        <w:tc>
          <w:tcPr>
            <w:tcW w:w="5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pro forma data should not be considered indicative of the results that would have occurred if the acquisition and related financing had been consummated on the assumed completion dates, nor are they indicative of future results.</w:t>
      </w:r>
    </w:p>
    <w:p>
      <w:pPr>
        <w:spacing w:after="0" w:line="374"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and nine months ended September 30, 2019 and 2018, the Company recognized revenue as follows:</w:t>
      </w:r>
    </w:p>
    <w:p>
      <w:pPr>
        <w:spacing w:after="0" w:line="34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20"/>
                <w:szCs w:val="20"/>
                <w:color w:val="auto"/>
              </w:rPr>
            </w:pPr>
          </w:p>
        </w:tc>
        <w:tc>
          <w:tcPr>
            <w:tcW w:w="21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70"/>
        </w:trPr>
        <w:tc>
          <w:tcPr>
            <w:tcW w:w="4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3"/>
                <w:szCs w:val="23"/>
                <w:color w:val="auto"/>
              </w:rPr>
            </w:pPr>
          </w:p>
        </w:tc>
        <w:tc>
          <w:tcPr>
            <w:tcW w:w="21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7"/>
        </w:trPr>
        <w:tc>
          <w:tcPr>
            <w:tcW w:w="4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4,459</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3,958</w:t>
            </w:r>
          </w:p>
        </w:tc>
      </w:tr>
      <w:tr>
        <w:trPr>
          <w:trHeight w:val="27"/>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3,084</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3,174</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8,874</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8,417</w:t>
            </w:r>
          </w:p>
        </w:tc>
      </w:tr>
      <w:tr>
        <w:trPr>
          <w:trHeight w:val="20"/>
        </w:trPr>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w:t>
      </w:r>
      <w:hyperlink w:anchor="page26">
        <w:r>
          <w:rPr>
            <w:rFonts w:ascii="Times New Roman" w:cs="Times New Roman" w:eastAsia="Times New Roman" w:hAnsi="Times New Roman"/>
            <w:sz w:val="18"/>
            <w:szCs w:val="18"/>
            <w:u w:val="single" w:color="auto"/>
            <w:color w:val="0000EE"/>
          </w:rPr>
          <w:t>Note 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further disaggregation of the Company's revenue.</w:t>
      </w:r>
    </w:p>
    <w:p>
      <w:pPr>
        <w:spacing w:after="0" w:line="185"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has applied the practical expedient to exclude disclosure of remaining performance obligations as its binding orders typically have a term of one year or less.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Contract Assets and Contract Liabilities</w:t>
      </w:r>
    </w:p>
    <w:p>
      <w:pPr>
        <w:spacing w:after="0" w:line="18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Contract assets are recorded for revenue recognized over time when the Company has determined that control for a performance obligation has passed to the customer, but the right to invoice the customer is contingent upon the completion of the performance obligations included in the contract.</w:t>
      </w:r>
    </w:p>
    <w:p>
      <w:pPr>
        <w:spacing w:after="0" w:line="13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Contract liabilities are established if the Company must defer the recognition of a portion of consideration received because it has to satisfy a future obligation.</w:t>
      </w:r>
    </w:p>
    <w:p>
      <w:pPr>
        <w:spacing w:after="0" w:line="12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Contract assets are typically recognized for work in process related to the Company's three-piece printed products. The Company's equipment business may record contract assets or contract liabilities depending on the timing of satisfaction of performance obligations and receipt of consideration from the customer.</w:t>
      </w:r>
    </w:p>
    <w:p>
      <w:pPr>
        <w:sectPr>
          <w:pgSz w:w="11900" w:h="16838" w:orient="portrait"/>
          <w:cols w:equalWidth="0" w:num="1">
            <w:col w:w="11420"/>
          </w:cols>
          <w:pgMar w:left="240" w:top="117" w:right="239"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7" w:right="239" w:bottom="1440" w:gutter="0" w:footer="0" w:header="0"/>
          <w:type w:val="continuous"/>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assets and liabilities are reported in a net position on a contract-by-contract basis. Net contract assets were as follows:</w:t>
      </w:r>
    </w:p>
    <w:p>
      <w:pPr>
        <w:spacing w:after="0" w:line="34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30, 2019</w:t>
            </w:r>
          </w:p>
        </w:tc>
        <w:tc>
          <w:tcPr>
            <w:tcW w:w="160" w:type="dxa"/>
            <w:vAlign w:val="bottom"/>
          </w:tcPr>
          <w:p>
            <w:pPr>
              <w:spacing w:after="0"/>
              <w:rPr>
                <w:sz w:val="20"/>
                <w:szCs w:val="20"/>
                <w:color w:val="auto"/>
              </w:rPr>
            </w:pPr>
          </w:p>
        </w:tc>
        <w:tc>
          <w:tcPr>
            <w:tcW w:w="1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December 31, 2018</w:t>
            </w:r>
          </w:p>
        </w:tc>
      </w:tr>
      <w:tr>
        <w:trPr>
          <w:trHeight w:val="27"/>
        </w:trPr>
        <w:tc>
          <w:tcPr>
            <w:tcW w:w="5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included in prepaid and 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included in accrued liabilities</w:t>
            </w: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5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included in other 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contract asset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7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right="280"/>
        <w:spacing w:after="0" w:line="282" w:lineRule="auto"/>
        <w:rPr>
          <w:sz w:val="20"/>
          <w:szCs w:val="20"/>
          <w:color w:val="auto"/>
        </w:rPr>
      </w:pPr>
      <w:r>
        <w:rPr>
          <w:rFonts w:ascii="Times New Roman" w:cs="Times New Roman" w:eastAsia="Times New Roman" w:hAnsi="Times New Roman"/>
          <w:sz w:val="18"/>
          <w:szCs w:val="18"/>
          <w:color w:val="auto"/>
        </w:rPr>
        <w:t>Contract assets at September 30, 2019, primarily relates to revenue recognized for customized work-in-process inventory in the Company's three-piece food can product businesses.</w:t>
      </w:r>
    </w:p>
    <w:p>
      <w:pPr>
        <w:spacing w:after="0" w:line="162"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the Company recognized revenue of $2 related to contract liabilities at December 31, 2018 for performance obligations satisfied during the period.</w:t>
      </w:r>
    </w:p>
    <w:p>
      <w:pPr>
        <w:spacing w:after="0" w:line="374"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Cash, Cash Equivalents, and Restricted Cash</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cash equivalents, and restricted cash included in the Company's Consolidated Balance Sheets and Statement of Cash Flows were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2019</w:t>
            </w:r>
          </w:p>
        </w:tc>
        <w:tc>
          <w:tcPr>
            <w:tcW w:w="180" w:type="dxa"/>
            <w:vAlign w:val="bottom"/>
          </w:tcPr>
          <w:p>
            <w:pPr>
              <w:spacing w:after="0"/>
              <w:rPr>
                <w:sz w:val="20"/>
                <w:szCs w:val="20"/>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2018</w:t>
            </w:r>
          </w:p>
        </w:tc>
      </w:tr>
      <w:tr>
        <w:trPr>
          <w:trHeight w:val="27"/>
        </w:trPr>
        <w:tc>
          <w:tcPr>
            <w:tcW w:w="6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w:t>
            </w:r>
          </w:p>
        </w:tc>
      </w:tr>
      <w:tr>
        <w:trPr>
          <w:trHeight w:val="324"/>
        </w:trPr>
        <w:tc>
          <w:tcPr>
            <w:tcW w:w="6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0"/>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6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restricted 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60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269"/>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659</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Amounts included in restricted cash primarily represent amounts required to be segregated by certain of the Company's receivables securitization agreements.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w:t>
            </w:r>
          </w:p>
        </w:tc>
        <w:tc>
          <w:tcPr>
            <w:tcW w:w="410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5"/>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 2019</w:t>
            </w:r>
          </w:p>
        </w:tc>
        <w:tc>
          <w:tcPr>
            <w:tcW w:w="180" w:type="dxa"/>
            <w:vAlign w:val="bottom"/>
          </w:tcPr>
          <w:p>
            <w:pPr>
              <w:spacing w:after="0"/>
              <w:rPr>
                <w:sz w:val="24"/>
                <w:szCs w:val="24"/>
                <w:color w:val="auto"/>
              </w:rPr>
            </w:pPr>
          </w:p>
        </w:tc>
        <w:tc>
          <w:tcPr>
            <w:tcW w:w="1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31, 2018</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1,411</w:t>
            </w: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trade receivables</w:t>
            </w:r>
          </w:p>
        </w:tc>
        <w:tc>
          <w:tcPr>
            <w:tcW w:w="1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1,347</w:t>
            </w: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receivables</w:t>
            </w:r>
          </w:p>
        </w:tc>
        <w:tc>
          <w:tcPr>
            <w:tcW w:w="15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6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57"/>
        </w:trPr>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5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1,795</w:t>
            </w:r>
          </w:p>
        </w:tc>
        <w:tc>
          <w:tcPr>
            <w:tcW w:w="6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5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Inventories</w:t>
      </w:r>
    </w:p>
    <w:p>
      <w:pPr>
        <w:spacing w:after="0" w:line="31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are stated at the lower of cost or market, with cost principally determined under the first-in first-out ("FIFO") or average cost method.</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30, 2019</w:t>
            </w:r>
          </w:p>
        </w:tc>
        <w:tc>
          <w:tcPr>
            <w:tcW w:w="180" w:type="dxa"/>
            <w:vAlign w:val="bottom"/>
          </w:tcPr>
          <w:p>
            <w:pPr>
              <w:spacing w:after="0"/>
              <w:rPr>
                <w:sz w:val="20"/>
                <w:szCs w:val="20"/>
                <w:color w:val="auto"/>
              </w:rPr>
            </w:pPr>
          </w:p>
        </w:tc>
        <w:tc>
          <w:tcPr>
            <w:tcW w:w="1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31, 2018</w:t>
            </w:r>
          </w:p>
        </w:tc>
      </w:tr>
      <w:tr>
        <w:trPr>
          <w:trHeight w:val="27"/>
        </w:trPr>
        <w:tc>
          <w:tcPr>
            <w:tcW w:w="5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925</w:t>
            </w: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937</w:t>
            </w: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r>
      <w:tr>
        <w:trPr>
          <w:trHeight w:val="27"/>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636</w:t>
            </w:r>
          </w:p>
        </w:tc>
        <w:tc>
          <w:tcPr>
            <w:tcW w:w="6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609</w:t>
            </w:r>
          </w:p>
        </w:tc>
      </w:tr>
      <w:tr>
        <w:trPr>
          <w:trHeight w:val="237"/>
        </w:trPr>
        <w:tc>
          <w:tcPr>
            <w:tcW w:w="54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1,740</w:t>
            </w:r>
          </w:p>
        </w:tc>
        <w:tc>
          <w:tcPr>
            <w:tcW w:w="6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1,690</w:t>
            </w:r>
          </w:p>
        </w:tc>
      </w:tr>
      <w:tr>
        <w:trPr>
          <w:trHeight w:val="27"/>
        </w:trPr>
        <w:tc>
          <w:tcPr>
            <w:tcW w:w="5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carrying amounts and accumulated amortization of finite-lived intangible assets by major class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8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September 30, 2019</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2018</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8"/>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Gross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amortization</w:t>
            </w:r>
          </w:p>
        </w:tc>
        <w:tc>
          <w:tcPr>
            <w:tcW w:w="20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tcPr>
          <w:p>
            <w:pPr>
              <w:spacing w:after="0"/>
              <w:rPr>
                <w:sz w:val="20"/>
                <w:szCs w:val="20"/>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20"/>
                <w:szCs w:val="20"/>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amortization</w:t>
            </w:r>
          </w:p>
        </w:tc>
        <w:tc>
          <w:tcPr>
            <w:tcW w:w="200" w:type="dxa"/>
            <w:vAlign w:val="bottom"/>
          </w:tcPr>
          <w:p>
            <w:pPr>
              <w:spacing w:after="0"/>
              <w:rPr>
                <w:sz w:val="20"/>
                <w:szCs w:val="20"/>
                <w:color w:val="auto"/>
              </w:rPr>
            </w:pPr>
          </w:p>
        </w:tc>
        <w:tc>
          <w:tcPr>
            <w:tcW w:w="6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Net</w:t>
            </w:r>
          </w:p>
        </w:tc>
      </w:tr>
      <w:tr>
        <w:trPr>
          <w:trHeight w:val="27"/>
        </w:trPr>
        <w:tc>
          <w:tcPr>
            <w:tcW w:w="3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1,599</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1,299</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1,409</w:t>
            </w: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499</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530</w:t>
            </w:r>
          </w:p>
        </w:tc>
      </w:tr>
      <w:tr>
        <w:trPr>
          <w:trHeight w:val="27"/>
        </w:trPr>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 term supply contracts</w:t>
            </w:r>
          </w:p>
        </w:tc>
        <w:tc>
          <w:tcPr>
            <w:tcW w:w="16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r>
      <w:tr>
        <w:trPr>
          <w:trHeight w:val="27"/>
        </w:trPr>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Patents</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30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2,446</w:t>
            </w:r>
          </w:p>
        </w:tc>
        <w:tc>
          <w:tcPr>
            <w:tcW w:w="2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2,193</w:t>
            </w:r>
          </w:p>
        </w:tc>
      </w:tr>
      <w:tr>
        <w:trPr>
          <w:trHeight w:val="27"/>
        </w:trPr>
        <w:tc>
          <w:tcPr>
            <w:tcW w:w="3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Total amortization expense of intangible assets was $43 and $140, and $51 and $103, for the three and nine months ended September 30, 2019 and 2018.</w:t>
      </w:r>
    </w:p>
    <w:p>
      <w:pPr>
        <w:spacing w:after="0" w:line="374"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Restructuring and Other</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recorded restructuring and other charges / (benefits)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70"/>
        </w:trPr>
        <w:tc>
          <w:tcPr>
            <w:tcW w:w="4820" w:type="dxa"/>
            <w:vAlign w:val="bottom"/>
          </w:tcPr>
          <w:p>
            <w:pPr>
              <w:spacing w:after="0"/>
              <w:rPr>
                <w:sz w:val="23"/>
                <w:szCs w:val="23"/>
                <w:color w:val="auto"/>
              </w:rPr>
            </w:pPr>
          </w:p>
        </w:tc>
        <w:tc>
          <w:tcPr>
            <w:tcW w:w="200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September 30,</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7"/>
        </w:trPr>
        <w:tc>
          <w:tcPr>
            <w:tcW w:w="48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48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impairments and sales</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76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4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760" w:type="dxa"/>
            <w:vAlign w:val="bottom"/>
          </w:tcPr>
          <w:p>
            <w:pPr>
              <w:spacing w:after="0"/>
              <w:rPr>
                <w:sz w:val="21"/>
                <w:szCs w:val="21"/>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8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2019, asset impairments and sales included gains related to asset sales partially offset by a charge of $6 related to a fire at a production facility in Asia. Restructuring included a charge of $8 related to headcount reductions in the Company's European Division.</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2019, other income is related to gains arising from favorable court rulings related to the recovery of indirect taxes paid in prior years by certain of the Company's Brazilian subsidiaries.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nine months ended September 30, 2018, transaction costs related to the Signode acquisition.</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At September 30, 2019, the Company had restructuring accruals of $20, primarily related to current and prior year actions to reduce manufacturing capacity and headcount in its European businesses. The Company expects to pay these amounts over the next twelve months. The Company continues to review its supply and demand profile and long-term plans in its businesses, and it is possible that the Company may record additional restructuring charges in the future.</w:t>
      </w:r>
    </w:p>
    <w:p>
      <w:pPr>
        <w:sectPr>
          <w:pgSz w:w="11900" w:h="16838" w:orient="portrait"/>
          <w:cols w:equalWidth="0" w:num="1">
            <w:col w:w="11420"/>
          </w:cols>
          <w:pgMar w:left="240" w:top="117" w:right="239" w:bottom="1076"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076"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Asbestos-Related Liabilities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Crown Cork &amp; Seal Company, Inc. (“Crown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pacing w:after="0" w:line="180"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176"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claims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180"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2010, the Texas Supreme Court held that the Texas legislation was unconstitutional under the Texas Constitution when applied to asbestos-related claims pending against Crown Cork when the legislation was enacted in June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180"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recent years, the states of Alabama, Arizona, Arkansas, Florida, Georgia, Idaho, Indiana, Iowa, Kansas, Michigan, Mississippi, Nebraska, North Carolina, North Dakota, Ohio, Oklahoma, South Carolina, South Dakota, Tennessee, Utah, West Virginia, Wisconsin and Wyoming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w:t>
      </w:r>
    </w:p>
    <w:p>
      <w:pPr>
        <w:spacing w:after="0" w:line="18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nine months ended September 30, 2019, the Company paid $7 to settle outstanding claims and had claims activity as follows: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claims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w:t>
            </w:r>
          </w:p>
        </w:tc>
      </w:tr>
      <w:tr>
        <w:trPr>
          <w:trHeight w:val="24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8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or dismissals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7"/>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claims</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56,000</w:t>
            </w:r>
          </w:p>
        </w:tc>
      </w:tr>
      <w:tr>
        <w:trPr>
          <w:trHeight w:val="27"/>
        </w:trPr>
        <w:tc>
          <w:tcPr>
            <w:tcW w:w="85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8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In the fourth quarter of each year, the Company performs an analysis of outstanding claims and categorizes these claims by year of exposure and state filed. As of December 31, 2018, the Company's outstanding claims were: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7" w:right="239" w:bottom="1440" w:gutter="0" w:footer="0" w:header="0"/>
        </w:sectPr>
      </w:pPr>
    </w:p>
    <w:bookmarkStart w:id="14" w:name="page15"/>
    <w:bookmarkEnd w:id="14"/>
    <w:tbl>
      <w:tblPr>
        <w:tblLayout w:type="fixed"/>
        <w:tblInd w:w="660" w:type="dxa"/>
        <w:tblCellMar>
          <w:top w:w="0" w:type="dxa"/>
          <w:left w:w="0" w:type="dxa"/>
          <w:bottom w:w="0" w:type="dxa"/>
          <w:right w:w="0" w:type="dxa"/>
        </w:tblCellMar>
      </w:tblPr>
      <w:tr>
        <w:trPr>
          <w:trHeight w:val="238"/>
        </w:trPr>
        <w:tc>
          <w:tcPr>
            <w:tcW w:w="8540" w:type="dxa"/>
            <w:vAlign w:val="bottom"/>
          </w:tcPr>
          <w:p>
            <w:pPr>
              <w:ind w:left="424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360" w:type="dxa"/>
            <w:vAlign w:val="bottom"/>
          </w:tcPr>
          <w:p>
            <w:pPr>
              <w:spacing w:after="0"/>
              <w:rPr>
                <w:sz w:val="20"/>
                <w:szCs w:val="20"/>
                <w:color w:val="auto"/>
              </w:rPr>
            </w:pPr>
          </w:p>
        </w:tc>
      </w:tr>
      <w:tr>
        <w:trPr>
          <w:trHeight w:val="594"/>
        </w:trPr>
        <w:tc>
          <w:tcPr>
            <w:tcW w:w="85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Claimants alleging first exposure after 1964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w:t>
            </w:r>
          </w:p>
        </w:tc>
      </w:tr>
      <w:tr>
        <w:trPr>
          <w:trHeight w:val="24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Claimants alleging first exposure before or during 1964 filed in:</w:t>
            </w:r>
          </w:p>
        </w:tc>
        <w:tc>
          <w:tcPr>
            <w:tcW w:w="1360" w:type="dxa"/>
            <w:vAlign w:val="bottom"/>
          </w:tcPr>
          <w:p>
            <w:pPr>
              <w:spacing w:after="0"/>
              <w:rPr>
                <w:sz w:val="21"/>
                <w:szCs w:val="21"/>
                <w:color w:val="auto"/>
              </w:rPr>
            </w:pPr>
          </w:p>
        </w:tc>
      </w:tr>
      <w:tr>
        <w:trPr>
          <w:trHeight w:val="27"/>
        </w:trPr>
        <w:tc>
          <w:tcPr>
            <w:tcW w:w="8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Texas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43"/>
        </w:trPr>
        <w:tc>
          <w:tcPr>
            <w:tcW w:w="8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Pennsylvania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7"/>
        </w:trPr>
        <w:tc>
          <w:tcPr>
            <w:tcW w:w="8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states that have enacted asbestos legislation</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43"/>
        </w:trPr>
        <w:tc>
          <w:tcPr>
            <w:tcW w:w="8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states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w:t>
            </w:r>
          </w:p>
        </w:tc>
      </w:tr>
      <w:tr>
        <w:trPr>
          <w:trHeight w:val="27"/>
        </w:trPr>
        <w:tc>
          <w:tcPr>
            <w:tcW w:w="85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claims outstanding</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the Company's settlement experience with post-1964 claims, it does not believe that an adverse ruling in the Texas or Pennsylvania asbestos litigation cases, or in any other state that has enacted asbestos legislation, would have a material impact on the Company with respect to such claims.</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December 31, the percentage of outstanding claims related to claimants alleging serious diseases (primarily mesothelioma and other malignancies) were as follows:</w:t>
      </w:r>
    </w:p>
    <w:p>
      <w:pPr>
        <w:spacing w:after="0" w:line="10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2018</w:t>
            </w:r>
          </w:p>
        </w:tc>
        <w:tc>
          <w:tcPr>
            <w:tcW w:w="50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65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claims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Pre-1964 claims in states without asbestos legislation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200" w:lineRule="exact"/>
        <w:rPr>
          <w:sz w:val="20"/>
          <w:szCs w:val="20"/>
          <w:color w:val="auto"/>
        </w:rPr>
      </w:pPr>
    </w:p>
    <w:p>
      <w:pPr>
        <w:spacing w:after="0" w:line="24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September 30, 2019.</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As of September 30, 2019, the Company’s accrual for pending and future asbestos-related claims and related legal costs was $284, including $229 for unasserted claims. The Company determines its accrual without limitation to a specific time period.</w:t>
      </w:r>
    </w:p>
    <w:p>
      <w:pPr>
        <w:spacing w:after="0" w:line="162"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(which was not specified for approximately 81% of the claims outstanding at the end of 2018),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w:t>
      </w: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39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Contingent Liabilities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along with others in most cases, has been identified by the EPA or a comparable state environmental agency as a Potentially Responsible Party (“PRP”) at a number of sites and has recorded aggregate accruals of $7 for its share of estimated future remediation costs at these sites. The Company has been identified as having either directly 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7" w:right="239" w:bottom="1440" w:gutter="0" w:footer="0" w:header="0"/>
        </w:sectPr>
      </w:pPr>
    </w:p>
    <w:bookmarkStart w:id="15" w:name="page16"/>
    <w:bookmarkEnd w:id="15"/>
    <w:p>
      <w:pPr>
        <w:ind w:left="42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also recorded aggregate accruals of $8 for remediation activities at various worldwide locations that are owned by the Company and for which the Company is not a member of a PRP group. Although the Company believes</w:t>
      </w:r>
    </w:p>
    <w:p>
      <w:pPr>
        <w:jc w:val="both"/>
        <w:spacing w:after="0" w:line="255" w:lineRule="auto"/>
        <w:rPr>
          <w:sz w:val="20"/>
          <w:szCs w:val="20"/>
          <w:color w:val="auto"/>
        </w:rPr>
      </w:pPr>
      <w:r>
        <w:rPr>
          <w:rFonts w:ascii="Times New Roman" w:cs="Times New Roman" w:eastAsia="Times New Roman" w:hAnsi="Times New Roman"/>
          <w:sz w:val="18"/>
          <w:szCs w:val="18"/>
          <w:color w:val="auto"/>
        </w:rPr>
        <w:t>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United Kingdom.</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Commission's investigation is ongoing and, to date, the Commission has not officially charged the Company or any of its subsidiaries with violations of competition law. The Company is cooperating with the Commission and submitted a leniency application with the Commission with respect to the findings of the investigation in Germany referenced above. This application may lead to the reduction of possible future penalties. At this stage of the investigation the Company believes that a loss is probable but is unable to predict the ultimate outcome of the Commission’s investigation and is unable to estimate the loss or possible range of losses that could be incurred, and has therefore not recorded a charge in connection with the actions by the Commission. If the Commission finds that the Company or any of its subsidiaries violated competition law, fines levied by the Commission could be material to the Company's operating results and cash flows for the periods in which they are resolved or become reasonably estimable.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2017, U.S. Customs and Border Protection (“CBP”) at the Port of Milwaukee issued a penalty notification alleging that certain of the Company’s subsidiaries intentionally misclassified the importation of certain goods into the U.S. during the period 2004-2009. CBP initially assessed a penalty of $18 and subsequently mitigated to $6. The Company has acknowledged to CBP that the goods were misclassified and has paid all related duties. The Company has asserted that the misclassification was unintentional and disputes the penalty assessment. At the present time, based on the information available, the Company does not believe that a loss for the alleged intentional misclassification is probable. There can be no assurance the Company will be successful in contesting the assessed penalty.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are also subject to various other lawsuits and claims with respect to governmental,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various commitments to purchase materials, supplies and utilities as part of the ordinary course of business. The Company’s basic raw materials for its products are steel and aluminum, both of which are purchased from multiple sources. The Company is subject to fluctuations in the cost of these raw materials (including in connection with tariffs recently imposed in the U.S., which may increase costs) and has periodically adjusted its selling prices to reflect these movements. There can be no assurance that the Company will be able to fully recover any increases or fluctuations in raw material costs from its customers. The Company also has commitments for standby letters of credit and for purchases of capital assets.</w:t>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2019,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60"/>
          </w:cols>
          <w:pgMar w:left="900" w:top="117"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right="7380" w:hanging="652"/>
        <w:spacing w:after="0" w:line="503" w:lineRule="auto"/>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Derivative and Other Financial Instruments </w:t>
      </w:r>
      <w:r>
        <w:rPr>
          <w:rFonts w:ascii="Times New Roman" w:cs="Times New Roman" w:eastAsia="Times New Roman" w:hAnsi="Times New Roman"/>
          <w:sz w:val="18"/>
          <w:szCs w:val="18"/>
          <w:u w:val="single" w:color="auto"/>
          <w:color w:val="auto"/>
        </w:rPr>
        <w:t>Fair Value Measurements</w:t>
      </w: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176"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183"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Fair value disclosures for financial assets and liabilities that were accounted for at fair value on a recurring basis are provided later in this note. In addition, see </w:t>
      </w:r>
      <w:hyperlink w:anchor="page22">
        <w:r>
          <w:rPr>
            <w:rFonts w:ascii="Times New Roman" w:cs="Times New Roman" w:eastAsia="Times New Roman" w:hAnsi="Times New Roman"/>
            <w:sz w:val="18"/>
            <w:szCs w:val="18"/>
            <w:u w:val="single" w:color="auto"/>
            <w:color w:val="0000EE"/>
          </w:rPr>
          <w:t>Note N</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fair value disclosures related to debt.</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Financial Instruments</w:t>
      </w:r>
    </w:p>
    <w:p>
      <w:pPr>
        <w:spacing w:after="0" w:line="225"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normal course of business the Company is subject to risk from adverse fluctuations in currency exchange rates,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180"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objective in managing exposure to market and interest rate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using sales agreements that permit the pass-through of commodity price and foreign exchange rate risk to customers and borrowing both fixed and floating debt instruments to manage interest rate risk.</w:t>
      </w:r>
    </w:p>
    <w:p>
      <w:pPr>
        <w:spacing w:after="0" w:line="180"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hedge no longer qualifies for hedge accounting,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w:t>
      </w:r>
    </w:p>
    <w:p>
      <w:pPr>
        <w:spacing w:after="0" w:line="18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Flow Hedges</w:t>
      </w:r>
    </w:p>
    <w:p>
      <w:pPr>
        <w:spacing w:after="0" w:line="225"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reclassification from accumulated comprehensive income is the same as that of the underlying exposure. Contracts outstanding at September 30, 2019 mature between one and thirty months.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7" w:right="239" w:bottom="1440" w:gutter="0" w:footer="0" w:header="0"/>
        </w:sectPr>
      </w:pPr>
    </w:p>
    <w:bookmarkStart w:id="17" w:name="page18"/>
    <w:bookmarkEnd w:id="17"/>
    <w:p>
      <w:pPr>
        <w:ind w:left="42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the Company discontinues hedge accounting because it is no longer probable that an anticipated transaction will occur in the originally specified period, changes to the fair value accumulated in other comprehensive income are recognized immediately in earnings.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forward contracts to hedge anticipated purchases of various commodities, including aluminum, fuel oil and natural gas, and these exposures are hedged by a central treasury unit.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designates certain foreign exchange contracts as cash flow hedges of anticipated foreign currency denominated sales or purchases. The Company manages these risks at the operating unit level. Foreign currency risk is generally hedged with the related commodity price risk.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2019, the Company entered into interest rate swaps to convert $200 of the U.S. dollar term loan facility from floating-rate to a fixed-rate of approximately 1.82%. These interest rate swaps mature in June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financial information about the impact on other comprehensive income ("OCI"), accumulated other comprehensive income (“AOCI”) and earnings from changes in the fair value of derivative instruments.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rPr>
              <w:t>Amount of gain/(loss)</w:t>
            </w:r>
          </w:p>
        </w:tc>
        <w:tc>
          <w:tcPr>
            <w:tcW w:w="200" w:type="dxa"/>
            <w:vAlign w:val="bottom"/>
          </w:tcPr>
          <w:p>
            <w:pPr>
              <w:spacing w:after="0"/>
              <w:rPr>
                <w:sz w:val="20"/>
                <w:szCs w:val="20"/>
                <w:color w:val="auto"/>
              </w:rPr>
            </w:pPr>
          </w:p>
        </w:tc>
        <w:tc>
          <w:tcPr>
            <w:tcW w:w="17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Amount of gain/(loss)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70"/>
        </w:trPr>
        <w:tc>
          <w:tcPr>
            <w:tcW w:w="2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recognized in OCI</w:t>
            </w:r>
          </w:p>
        </w:tc>
        <w:tc>
          <w:tcPr>
            <w:tcW w:w="200" w:type="dxa"/>
            <w:vAlign w:val="bottom"/>
          </w:tcPr>
          <w:p>
            <w:pPr>
              <w:spacing w:after="0"/>
              <w:rPr>
                <w:sz w:val="23"/>
                <w:szCs w:val="23"/>
                <w:color w:val="auto"/>
              </w:rPr>
            </w:pPr>
          </w:p>
        </w:tc>
        <w:tc>
          <w:tcPr>
            <w:tcW w:w="174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recognized in OCI</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20"/>
                <w:szCs w:val="20"/>
                <w:color w:val="auto"/>
              </w:rPr>
            </w:pPr>
          </w:p>
        </w:tc>
        <w:tc>
          <w:tcPr>
            <w:tcW w:w="174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70"/>
        </w:trPr>
        <w:tc>
          <w:tcPr>
            <w:tcW w:w="2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September 30,</w:t>
            </w:r>
          </w:p>
        </w:tc>
        <w:tc>
          <w:tcPr>
            <w:tcW w:w="200" w:type="dxa"/>
            <w:vAlign w:val="bottom"/>
          </w:tcPr>
          <w:p>
            <w:pPr>
              <w:spacing w:after="0"/>
              <w:rPr>
                <w:sz w:val="23"/>
                <w:szCs w:val="23"/>
                <w:color w:val="auto"/>
              </w:rPr>
            </w:pPr>
          </w:p>
        </w:tc>
        <w:tc>
          <w:tcPr>
            <w:tcW w:w="174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September 30,</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7"/>
        </w:trPr>
        <w:tc>
          <w:tcPr>
            <w:tcW w:w="30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37"/>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hedges</w:t>
            </w:r>
          </w:p>
        </w:tc>
        <w:tc>
          <w:tcPr>
            <w:tcW w:w="1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7"/>
        </w:trPr>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20" w:type="dxa"/>
            <w:vAlign w:val="bottom"/>
          </w:tcPr>
          <w:p>
            <w:pPr>
              <w:spacing w:after="0"/>
              <w:rPr>
                <w:sz w:val="2"/>
                <w:szCs w:val="2"/>
                <w:color w:val="auto"/>
              </w:rPr>
            </w:pPr>
          </w:p>
        </w:tc>
      </w:tr>
      <w:tr>
        <w:trPr>
          <w:trHeight w:val="244"/>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20" w:type="dxa"/>
            <w:vAlign w:val="bottom"/>
          </w:tcPr>
          <w:p>
            <w:pPr>
              <w:spacing w:after="0"/>
              <w:rPr>
                <w:sz w:val="21"/>
                <w:szCs w:val="21"/>
                <w:color w:val="auto"/>
              </w:rPr>
            </w:pPr>
          </w:p>
        </w:tc>
      </w:tr>
      <w:tr>
        <w:trPr>
          <w:trHeight w:val="24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tcPr>
          <w:p>
            <w:pPr>
              <w:spacing w:after="0"/>
              <w:rPr>
                <w:sz w:val="21"/>
                <w:szCs w:val="21"/>
                <w:color w:val="auto"/>
              </w:rPr>
            </w:pP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7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37"/>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40"/>
        </w:trPr>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rPr>
              <w:t>Amount of gain/</w:t>
            </w:r>
          </w:p>
        </w:tc>
        <w:tc>
          <w:tcPr>
            <w:tcW w:w="200" w:type="dxa"/>
            <w:vAlign w:val="bottom"/>
          </w:tcPr>
          <w:p>
            <w:pPr>
              <w:spacing w:after="0"/>
              <w:rPr>
                <w:sz w:val="24"/>
                <w:szCs w:val="24"/>
                <w:color w:val="auto"/>
              </w:rPr>
            </w:pPr>
          </w:p>
        </w:tc>
        <w:tc>
          <w:tcPr>
            <w:tcW w:w="17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Amount of gain/</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70"/>
        </w:trPr>
        <w:tc>
          <w:tcPr>
            <w:tcW w:w="2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(loss) reclassified from</w:t>
            </w:r>
          </w:p>
        </w:tc>
        <w:tc>
          <w:tcPr>
            <w:tcW w:w="200" w:type="dxa"/>
            <w:vAlign w:val="bottom"/>
          </w:tcPr>
          <w:p>
            <w:pPr>
              <w:spacing w:after="0"/>
              <w:rPr>
                <w:sz w:val="23"/>
                <w:szCs w:val="23"/>
                <w:color w:val="auto"/>
              </w:rPr>
            </w:pPr>
          </w:p>
        </w:tc>
        <w:tc>
          <w:tcPr>
            <w:tcW w:w="21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(loss) reclassified from</w:t>
            </w:r>
          </w:p>
        </w:tc>
        <w:tc>
          <w:tcPr>
            <w:tcW w:w="2420" w:type="dxa"/>
            <w:vAlign w:val="bottom"/>
          </w:tcPr>
          <w:p>
            <w:pPr>
              <w:spacing w:after="0"/>
              <w:rPr>
                <w:sz w:val="23"/>
                <w:szCs w:val="23"/>
                <w:color w:val="auto"/>
              </w:rPr>
            </w:pPr>
          </w:p>
        </w:tc>
      </w:tr>
      <w:tr>
        <w:trPr>
          <w:trHeight w:val="270"/>
        </w:trPr>
        <w:tc>
          <w:tcPr>
            <w:tcW w:w="2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9"/>
              </w:rPr>
              <w:t>AOCI into income</w:t>
            </w:r>
          </w:p>
        </w:tc>
        <w:tc>
          <w:tcPr>
            <w:tcW w:w="200" w:type="dxa"/>
            <w:vAlign w:val="bottom"/>
          </w:tcPr>
          <w:p>
            <w:pPr>
              <w:spacing w:after="0"/>
              <w:rPr>
                <w:sz w:val="23"/>
                <w:szCs w:val="23"/>
                <w:color w:val="auto"/>
              </w:rPr>
            </w:pPr>
          </w:p>
        </w:tc>
        <w:tc>
          <w:tcPr>
            <w:tcW w:w="17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AOCI into income</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20"/>
                <w:szCs w:val="20"/>
                <w:color w:val="auto"/>
              </w:rPr>
            </w:pPr>
          </w:p>
        </w:tc>
        <w:tc>
          <w:tcPr>
            <w:tcW w:w="174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70"/>
        </w:trPr>
        <w:tc>
          <w:tcPr>
            <w:tcW w:w="2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September 30,</w:t>
            </w:r>
          </w:p>
        </w:tc>
        <w:tc>
          <w:tcPr>
            <w:tcW w:w="200" w:type="dxa"/>
            <w:vAlign w:val="bottom"/>
          </w:tcPr>
          <w:p>
            <w:pPr>
              <w:spacing w:after="0"/>
              <w:rPr>
                <w:sz w:val="23"/>
                <w:szCs w:val="23"/>
                <w:color w:val="auto"/>
              </w:rPr>
            </w:pPr>
          </w:p>
        </w:tc>
        <w:tc>
          <w:tcPr>
            <w:tcW w:w="174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September 30,</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Affected line items in the</w:t>
            </w:r>
          </w:p>
        </w:tc>
      </w:tr>
      <w:tr>
        <w:trPr>
          <w:trHeight w:val="27"/>
        </w:trPr>
        <w:tc>
          <w:tcPr>
            <w:tcW w:w="30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37"/>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hedges</w:t>
            </w:r>
          </w:p>
        </w:tc>
        <w:tc>
          <w:tcPr>
            <w:tcW w:w="1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Statement of Operations</w:t>
            </w:r>
          </w:p>
        </w:tc>
      </w:tr>
      <w:tr>
        <w:trPr>
          <w:trHeight w:val="27"/>
        </w:trPr>
        <w:tc>
          <w:tcPr>
            <w:tcW w:w="2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37"/>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sales</w:t>
            </w: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5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r>
      <w:tr>
        <w:trPr>
          <w:trHeight w:val="24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products sold</w:t>
            </w: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7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products sold</w:t>
            </w:r>
          </w:p>
        </w:tc>
      </w:tr>
      <w:tr>
        <w:trPr>
          <w:trHeight w:val="237"/>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24</w:t>
            </w:r>
          </w:p>
        </w:tc>
        <w:tc>
          <w:tcPr>
            <w:tcW w:w="100" w:type="dxa"/>
            <w:vAlign w:val="bottom"/>
          </w:tcPr>
          <w:p>
            <w:pPr>
              <w:spacing w:after="0"/>
              <w:rPr>
                <w:sz w:val="20"/>
                <w:szCs w:val="20"/>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taxes</w:t>
            </w:r>
          </w:p>
        </w:tc>
      </w:tr>
      <w:tr>
        <w:trPr>
          <w:trHeight w:val="27"/>
        </w:trPr>
        <w:tc>
          <w:tcPr>
            <w:tcW w:w="2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r>
      <w:tr>
        <w:trPr>
          <w:trHeight w:val="264"/>
        </w:trPr>
        <w:tc>
          <w:tcPr>
            <w:tcW w:w="2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57"/>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reclassified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18</w:t>
            </w:r>
          </w:p>
        </w:tc>
        <w:tc>
          <w:tcPr>
            <w:tcW w:w="100" w:type="dxa"/>
            <w:vAlign w:val="bottom"/>
          </w:tcPr>
          <w:p>
            <w:pPr>
              <w:spacing w:after="0"/>
              <w:rPr>
                <w:sz w:val="22"/>
                <w:szCs w:val="22"/>
                <w:color w:val="auto"/>
              </w:rPr>
            </w:pPr>
          </w:p>
        </w:tc>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twelve-month period ending September 30, 2020, a net loss of $26 ($21, net of tax) is expected to be reclassified to earnings for commodity and foreign exchange contracts. No amounts were reclassified during the nine months ended September 30, 2019 and 2018 in connection with anticipated transactions that were no longer considered probable.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Hedges and Contracts Not Designated as Hedges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designates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sectPr>
          <w:pgSz w:w="11900" w:h="16838" w:orient="portrait"/>
          <w:cols w:equalWidth="0" w:num="1">
            <w:col w:w="10760"/>
          </w:cols>
          <w:pgMar w:left="900" w:top="117"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60"/>
          </w:cols>
          <w:pgMar w:left="900" w:top="117" w:right="239" w:bottom="1440" w:gutter="0" w:footer="0" w:header="0"/>
          <w:type w:val="continuous"/>
        </w:sectPr>
      </w:pPr>
    </w:p>
    <w:bookmarkStart w:id="18" w:name="page19"/>
    <w:bookmarkEnd w:id="18"/>
    <w:p>
      <w:pPr>
        <w:ind w:left="42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2019 and 2018, the Company recorded a gain of $2 and a loss of $1 from foreign exchange contracts designated as fair value hedges. These adjustments were reported within foreign exchange in the Consolidated Statements of Operations.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derivative financial instruments, including foreign exchange contracts related to intercompany debt, were not designated in hedge relationships; however, they are effective economic hedges as the changes in their fair value, except for time value, are offset by changes arising from re-measurement of the related hedged items. The Company’s primary use of these derivative instruments is to offset the earnings impact that fluctuations in foreign exchange rates have on certain monetary assets and liabilities denominated in currencies other than the entity's functional currency.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impact on earnings from derivatives not designated as hedges.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Pre-tax amount of gain/</w:t>
            </w:r>
          </w:p>
        </w:tc>
        <w:tc>
          <w:tcPr>
            <w:tcW w:w="200" w:type="dxa"/>
            <w:vAlign w:val="bottom"/>
          </w:tcPr>
          <w:p>
            <w:pPr>
              <w:spacing w:after="0"/>
              <w:rPr>
                <w:sz w:val="20"/>
                <w:szCs w:val="20"/>
                <w:color w:val="auto"/>
              </w:rPr>
            </w:pPr>
          </w:p>
        </w:tc>
        <w:tc>
          <w:tcPr>
            <w:tcW w:w="20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Pre-tax amount of gain/</w:t>
            </w: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70"/>
        </w:trPr>
        <w:tc>
          <w:tcPr>
            <w:tcW w:w="3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rPr>
              <w:t>(loss) recognized in income</w:t>
            </w:r>
          </w:p>
        </w:tc>
        <w:tc>
          <w:tcPr>
            <w:tcW w:w="200" w:type="dxa"/>
            <w:vAlign w:val="bottom"/>
          </w:tcPr>
          <w:p>
            <w:pPr>
              <w:spacing w:after="0"/>
              <w:rPr>
                <w:sz w:val="23"/>
                <w:szCs w:val="23"/>
                <w:color w:val="auto"/>
              </w:rPr>
            </w:pPr>
          </w:p>
        </w:tc>
        <w:tc>
          <w:tcPr>
            <w:tcW w:w="202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color w:val="auto"/>
                <w:w w:val="99"/>
              </w:rPr>
              <w:t>(loss) recognized in</w:t>
            </w:r>
          </w:p>
        </w:tc>
        <w:tc>
          <w:tcPr>
            <w:tcW w:w="100" w:type="dxa"/>
            <w:vAlign w:val="bottom"/>
          </w:tcPr>
          <w:p>
            <w:pPr>
              <w:spacing w:after="0"/>
              <w:rPr>
                <w:sz w:val="23"/>
                <w:szCs w:val="23"/>
                <w:color w:val="auto"/>
              </w:rPr>
            </w:pPr>
          </w:p>
        </w:tc>
        <w:tc>
          <w:tcPr>
            <w:tcW w:w="2120" w:type="dxa"/>
            <w:vAlign w:val="bottom"/>
          </w:tcPr>
          <w:p>
            <w:pPr>
              <w:spacing w:after="0"/>
              <w:rPr>
                <w:sz w:val="23"/>
                <w:szCs w:val="23"/>
                <w:color w:val="auto"/>
              </w:rPr>
            </w:pPr>
          </w:p>
        </w:tc>
      </w:tr>
      <w:tr>
        <w:trPr>
          <w:trHeight w:val="270"/>
        </w:trPr>
        <w:tc>
          <w:tcPr>
            <w:tcW w:w="3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8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w w:val="99"/>
              </w:rPr>
              <w:t>on derivative</w:t>
            </w:r>
          </w:p>
        </w:tc>
        <w:tc>
          <w:tcPr>
            <w:tcW w:w="200" w:type="dxa"/>
            <w:vAlign w:val="bottom"/>
          </w:tcPr>
          <w:p>
            <w:pPr>
              <w:spacing w:after="0"/>
              <w:rPr>
                <w:sz w:val="23"/>
                <w:szCs w:val="23"/>
                <w:color w:val="auto"/>
              </w:rPr>
            </w:pPr>
          </w:p>
        </w:tc>
        <w:tc>
          <w:tcPr>
            <w:tcW w:w="202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9"/>
              </w:rPr>
              <w:t>income on derivative</w:t>
            </w:r>
          </w:p>
        </w:tc>
        <w:tc>
          <w:tcPr>
            <w:tcW w:w="100" w:type="dxa"/>
            <w:vAlign w:val="bottom"/>
          </w:tcPr>
          <w:p>
            <w:pPr>
              <w:spacing w:after="0"/>
              <w:rPr>
                <w:sz w:val="23"/>
                <w:szCs w:val="23"/>
                <w:color w:val="auto"/>
              </w:rPr>
            </w:pPr>
          </w:p>
        </w:tc>
        <w:tc>
          <w:tcPr>
            <w:tcW w:w="2120" w:type="dxa"/>
            <w:vAlign w:val="bottom"/>
          </w:tcPr>
          <w:p>
            <w:pPr>
              <w:spacing w:after="0"/>
              <w:rPr>
                <w:sz w:val="23"/>
                <w:szCs w:val="23"/>
                <w:color w:val="auto"/>
              </w:rPr>
            </w:pPr>
          </w:p>
        </w:tc>
      </w:tr>
      <w:tr>
        <w:trPr>
          <w:trHeight w:val="27"/>
        </w:trPr>
        <w:tc>
          <w:tcPr>
            <w:tcW w:w="3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20"/>
                <w:szCs w:val="20"/>
                <w:color w:val="auto"/>
              </w:rPr>
            </w:pPr>
          </w:p>
        </w:tc>
        <w:tc>
          <w:tcPr>
            <w:tcW w:w="202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70"/>
        </w:trPr>
        <w:tc>
          <w:tcPr>
            <w:tcW w:w="3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9"/>
              </w:rPr>
              <w:t>September 30,</w:t>
            </w:r>
          </w:p>
        </w:tc>
        <w:tc>
          <w:tcPr>
            <w:tcW w:w="200" w:type="dxa"/>
            <w:vAlign w:val="bottom"/>
          </w:tcPr>
          <w:p>
            <w:pPr>
              <w:spacing w:after="0"/>
              <w:rPr>
                <w:sz w:val="23"/>
                <w:szCs w:val="23"/>
                <w:color w:val="auto"/>
              </w:rPr>
            </w:pPr>
          </w:p>
        </w:tc>
        <w:tc>
          <w:tcPr>
            <w:tcW w:w="202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9"/>
              </w:rPr>
              <w:t>September 30,</w:t>
            </w:r>
          </w:p>
        </w:tc>
        <w:tc>
          <w:tcPr>
            <w:tcW w:w="100" w:type="dxa"/>
            <w:vAlign w:val="bottom"/>
          </w:tcPr>
          <w:p>
            <w:pPr>
              <w:spacing w:after="0"/>
              <w:rPr>
                <w:sz w:val="23"/>
                <w:szCs w:val="23"/>
                <w:color w:val="auto"/>
              </w:rPr>
            </w:pPr>
          </w:p>
        </w:tc>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Affected line item in the</w:t>
            </w:r>
          </w:p>
        </w:tc>
      </w:tr>
      <w:tr>
        <w:trPr>
          <w:trHeight w:val="27"/>
        </w:trPr>
        <w:tc>
          <w:tcPr>
            <w:tcW w:w="318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7"/>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14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Statement of Operations</w:t>
            </w:r>
          </w:p>
        </w:tc>
      </w:tr>
      <w:tr>
        <w:trPr>
          <w:trHeight w:val="27"/>
        </w:trPr>
        <w:tc>
          <w:tcPr>
            <w:tcW w:w="3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37"/>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2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sales</w:t>
            </w:r>
          </w:p>
        </w:tc>
      </w:tr>
      <w:tr>
        <w:trPr>
          <w:trHeight w:val="27"/>
        </w:trPr>
        <w:tc>
          <w:tcPr>
            <w:tcW w:w="3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products sold</w:t>
            </w:r>
          </w:p>
        </w:tc>
      </w:tr>
      <w:tr>
        <w:trPr>
          <w:trHeight w:val="243"/>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w:t>
            </w:r>
          </w:p>
        </w:tc>
      </w:tr>
      <w:tr>
        <w:trPr>
          <w:trHeight w:val="27"/>
        </w:trPr>
        <w:tc>
          <w:tcPr>
            <w:tcW w:w="3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r>
      <w:tr>
        <w:trPr>
          <w:trHeight w:val="269"/>
        </w:trPr>
        <w:tc>
          <w:tcPr>
            <w:tcW w:w="3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Hedges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designates certain debt and derivative instruments as net investment hedges to manage foreign currency risk relating to net investments in subsidiaries denominated in foreign currencies and reduce the variability in the functional currency equivalent cash flows.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2019, the Company recorded a gain of $58 ($58, net of tax) and a gain of $67 ($67, net of tax) in other comprehensive income for certain debt instruments that are designated as hedges of its net investment in a euro-based subsidiary. For the three and nine months ended September 30, 2018, the Company recorded gains of $9 ($9, net of tax) and $22 ($26, net of tax) in other comprehensive income for these net investment hedges. As of September 30, 2019 a cumulative gain of $8 ($31, net of tax) and as of December 31, 2018, a cumulative loss of $59 ($36, net of tax) were recognized in accumulated other comprehensive income related to these net investment hedges. As of September 30, 2019, the carrying amount of the hedged net investment was $1,312 (€1,204 at September 30, 2019).</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May 2019, the Company entered into a cross-currency swap with an aggregate notional value of $200 (€179). The swap is designated as a hedge of the Company's net investment in a euro-based subsidiary. Under the cross-currency contracts, the Company receives quarterly variable U.S. dollar payments at a rate of LIBOR plus a floating rate spread on the dollar notional value and pays EURIBOR plus a floating rate spread on the euro notional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or losses on net investment hedges remain in accumulated other comprehensive income until disposal of the underlying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impact on OCI from changes in the fair value of derivative instruments designated as net investment hedges.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rPr>
              <w:t>Amount of gain/(loss)</w:t>
            </w:r>
          </w:p>
        </w:tc>
        <w:tc>
          <w:tcPr>
            <w:tcW w:w="200" w:type="dxa"/>
            <w:vAlign w:val="bottom"/>
          </w:tcPr>
          <w:p>
            <w:pPr>
              <w:spacing w:after="0"/>
              <w:rPr>
                <w:sz w:val="20"/>
                <w:szCs w:val="20"/>
                <w:color w:val="auto"/>
              </w:rPr>
            </w:pPr>
          </w:p>
        </w:tc>
        <w:tc>
          <w:tcPr>
            <w:tcW w:w="200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color w:val="auto"/>
              </w:rPr>
              <w:t>Amount of gain/(loss)</w:t>
            </w:r>
          </w:p>
        </w:tc>
      </w:tr>
      <w:tr>
        <w:trPr>
          <w:trHeight w:val="270"/>
        </w:trPr>
        <w:tc>
          <w:tcPr>
            <w:tcW w:w="4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recognized in OCI</w:t>
            </w:r>
          </w:p>
        </w:tc>
        <w:tc>
          <w:tcPr>
            <w:tcW w:w="200" w:type="dxa"/>
            <w:vAlign w:val="bottom"/>
          </w:tcPr>
          <w:p>
            <w:pPr>
              <w:spacing w:after="0"/>
              <w:rPr>
                <w:sz w:val="23"/>
                <w:szCs w:val="23"/>
                <w:color w:val="auto"/>
              </w:rPr>
            </w:pPr>
          </w:p>
        </w:tc>
        <w:tc>
          <w:tcPr>
            <w:tcW w:w="200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9"/>
              </w:rPr>
              <w:t>recognized in OCI</w:t>
            </w:r>
          </w:p>
        </w:tc>
      </w:tr>
      <w:tr>
        <w:trPr>
          <w:trHeight w:val="27"/>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20"/>
                <w:szCs w:val="20"/>
                <w:color w:val="auto"/>
              </w:rPr>
            </w:pPr>
          </w:p>
        </w:tc>
        <w:tc>
          <w:tcPr>
            <w:tcW w:w="200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70"/>
        </w:trPr>
        <w:tc>
          <w:tcPr>
            <w:tcW w:w="4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September 30,</w:t>
            </w:r>
          </w:p>
        </w:tc>
        <w:tc>
          <w:tcPr>
            <w:tcW w:w="200" w:type="dxa"/>
            <w:vAlign w:val="bottom"/>
          </w:tcPr>
          <w:p>
            <w:pPr>
              <w:spacing w:after="0"/>
              <w:rPr>
                <w:sz w:val="23"/>
                <w:szCs w:val="23"/>
                <w:color w:val="auto"/>
              </w:rPr>
            </w:pPr>
          </w:p>
        </w:tc>
        <w:tc>
          <w:tcPr>
            <w:tcW w:w="200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7"/>
        </w:trPr>
        <w:tc>
          <w:tcPr>
            <w:tcW w:w="462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designated as net investment hedges</w:t>
            </w:r>
          </w:p>
        </w:tc>
        <w:tc>
          <w:tcPr>
            <w:tcW w:w="20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4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891"/>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760"/>
          </w:cols>
          <w:pgMar w:left="900" w:top="117"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Fair Values of Derivative Financial Instruments and Valuation Hierarchy</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financial assets and liabilities that were accounted for at fair value on a recurring basis as of September 30, 2019 and December 31, 2018, respectively. The fair values of these financial instruments were reported under Level 2 of the fair value hierarchy.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Balance Sheet</w:t>
            </w:r>
          </w:p>
        </w:tc>
        <w:tc>
          <w:tcPr>
            <w:tcW w:w="11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December 31,</w:t>
            </w:r>
          </w:p>
        </w:tc>
        <w:tc>
          <w:tcPr>
            <w:tcW w:w="120" w:type="dxa"/>
            <w:vAlign w:val="bottom"/>
          </w:tcPr>
          <w:p>
            <w:pPr>
              <w:spacing w:after="0"/>
              <w:rPr>
                <w:sz w:val="18"/>
                <w:szCs w:val="18"/>
                <w:color w:val="auto"/>
              </w:rPr>
            </w:pPr>
          </w:p>
        </w:tc>
        <w:tc>
          <w:tcPr>
            <w:tcW w:w="16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Balance Sheet</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8"/>
              </w:rPr>
              <w:t>classification</w:t>
            </w:r>
          </w:p>
        </w:tc>
        <w:tc>
          <w:tcPr>
            <w:tcW w:w="40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2018</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classification</w:t>
            </w:r>
          </w:p>
        </w:tc>
        <w:tc>
          <w:tcPr>
            <w:tcW w:w="30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2018</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80" w:type="dxa"/>
            <w:vAlign w:val="bottom"/>
            <w:tcBorders>
              <w:right w:val="single" w:sz="8" w:color="CCEEFF"/>
            </w:tcBorders>
          </w:tcPr>
          <w:p>
            <w:pPr>
              <w:spacing w:after="0"/>
              <w:rPr>
                <w:sz w:val="15"/>
                <w:szCs w:val="15"/>
                <w:color w:val="auto"/>
              </w:rPr>
            </w:pPr>
          </w:p>
        </w:tc>
        <w:tc>
          <w:tcPr>
            <w:tcW w:w="146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87"/>
              </w:rPr>
              <w:t>Derivatives designated</w:t>
            </w:r>
          </w:p>
        </w:tc>
        <w:tc>
          <w:tcPr>
            <w:tcW w:w="1300" w:type="dxa"/>
            <w:vAlign w:val="bottom"/>
            <w:gridSpan w:val="4"/>
            <w:shd w:val="clear" w:color="auto" w:fill="CCEEFF"/>
          </w:tcPr>
          <w:p>
            <w:pPr>
              <w:ind w:left="240"/>
              <w:spacing w:after="0" w:line="182" w:lineRule="exact"/>
              <w:rPr>
                <w:sz w:val="20"/>
                <w:szCs w:val="20"/>
                <w:color w:val="auto"/>
              </w:rPr>
            </w:pPr>
            <w:r>
              <w:rPr>
                <w:rFonts w:ascii="Times New Roman" w:cs="Times New Roman" w:eastAsia="Times New Roman" w:hAnsi="Times New Roman"/>
                <w:sz w:val="18"/>
                <w:szCs w:val="18"/>
                <w:color w:val="auto"/>
              </w:rPr>
              <w:t>as hedging</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80" w:type="dxa"/>
            <w:vAlign w:val="bottom"/>
            <w:tcBorders>
              <w:right w:val="single" w:sz="8" w:color="CCEEFF"/>
            </w:tcBorders>
          </w:tcPr>
          <w:p>
            <w:pPr>
              <w:spacing w:after="0"/>
              <w:rPr>
                <w:sz w:val="17"/>
                <w:szCs w:val="17"/>
                <w:color w:val="auto"/>
              </w:rPr>
            </w:pPr>
          </w:p>
        </w:tc>
        <w:tc>
          <w:tcPr>
            <w:tcW w:w="1460" w:type="dxa"/>
            <w:vAlign w:val="bottom"/>
            <w:tcBorders>
              <w:top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instruments</w:t>
            </w: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60" w:type="dxa"/>
            <w:vAlign w:val="bottom"/>
          </w:tcPr>
          <w:p>
            <w:pPr>
              <w:spacing w:after="0"/>
              <w:rPr>
                <w:sz w:val="4"/>
                <w:szCs w:val="4"/>
                <w:color w:val="auto"/>
              </w:rPr>
            </w:pPr>
          </w:p>
        </w:tc>
        <w:tc>
          <w:tcPr>
            <w:tcW w:w="380" w:type="dxa"/>
            <w:vAlign w:val="bottom"/>
            <w:tcBorders>
              <w:right w:val="single" w:sz="8" w:color="CCEEFF"/>
            </w:tcBorders>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contracts cash</w:t>
            </w:r>
          </w:p>
        </w:tc>
        <w:tc>
          <w:tcPr>
            <w:tcW w:w="1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Other current</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flow</w:t>
            </w:r>
          </w:p>
        </w:tc>
        <w:tc>
          <w:tcPr>
            <w:tcW w:w="1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0" w:type="dxa"/>
            <w:vAlign w:val="bottom"/>
          </w:tcPr>
          <w:p>
            <w:pPr>
              <w:spacing w:after="0"/>
              <w:rPr>
                <w:sz w:val="19"/>
                <w:szCs w:val="19"/>
                <w:color w:val="auto"/>
              </w:rPr>
            </w:pPr>
          </w:p>
        </w:tc>
        <w:tc>
          <w:tcPr>
            <w:tcW w:w="380" w:type="dxa"/>
            <w:vAlign w:val="bottom"/>
            <w:tcBorders>
              <w:right w:val="single" w:sz="8" w:color="CCEEFF"/>
            </w:tcBorders>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w:t>
            </w: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60" w:type="dxa"/>
            <w:vAlign w:val="bottom"/>
          </w:tcPr>
          <w:p>
            <w:pPr>
              <w:spacing w:after="0"/>
              <w:rPr>
                <w:sz w:val="20"/>
                <w:szCs w:val="20"/>
                <w:color w:val="auto"/>
              </w:rPr>
            </w:pPr>
          </w:p>
        </w:tc>
        <w:tc>
          <w:tcPr>
            <w:tcW w:w="380" w:type="dxa"/>
            <w:vAlign w:val="bottom"/>
            <w:tcBorders>
              <w:right w:val="single" w:sz="8" w:color="CCEEFF"/>
            </w:tcBorders>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contracts fair</w:t>
            </w:r>
          </w:p>
        </w:tc>
        <w:tc>
          <w:tcPr>
            <w:tcW w:w="1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Other current</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w:t>
            </w:r>
          </w:p>
        </w:tc>
        <w:tc>
          <w:tcPr>
            <w:tcW w:w="1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0" w:type="dxa"/>
            <w:vAlign w:val="bottom"/>
          </w:tcPr>
          <w:p>
            <w:pPr>
              <w:spacing w:after="0"/>
              <w:rPr>
                <w:sz w:val="19"/>
                <w:szCs w:val="19"/>
                <w:color w:val="auto"/>
              </w:rPr>
            </w:pPr>
          </w:p>
        </w:tc>
        <w:tc>
          <w:tcPr>
            <w:tcW w:w="380" w:type="dxa"/>
            <w:vAlign w:val="bottom"/>
            <w:tcBorders>
              <w:right w:val="single" w:sz="8" w:color="CCEEFF"/>
            </w:tcBorders>
          </w:tcPr>
          <w:p>
            <w:pPr>
              <w:spacing w:after="0"/>
              <w:rPr>
                <w:sz w:val="19"/>
                <w:szCs w:val="19"/>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Commodities</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 w:type="dxa"/>
            <w:vAlign w:val="bottom"/>
            <w:tcBorders>
              <w:right w:val="single" w:sz="8" w:color="CCEEFF"/>
            </w:tcBorders>
          </w:tcPr>
          <w:p>
            <w:pPr>
              <w:spacing w:after="0"/>
              <w:rPr>
                <w:sz w:val="18"/>
                <w:szCs w:val="18"/>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cash</w:t>
            </w:r>
          </w:p>
        </w:tc>
        <w:tc>
          <w:tcPr>
            <w:tcW w:w="14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60" w:type="dxa"/>
            <w:vAlign w:val="bottom"/>
          </w:tcPr>
          <w:p>
            <w:pPr>
              <w:spacing w:after="0"/>
              <w:rPr>
                <w:sz w:val="20"/>
                <w:szCs w:val="20"/>
                <w:color w:val="auto"/>
              </w:rPr>
            </w:pPr>
          </w:p>
        </w:tc>
        <w:tc>
          <w:tcPr>
            <w:tcW w:w="380" w:type="dxa"/>
            <w:vAlign w:val="bottom"/>
            <w:tcBorders>
              <w:right w:val="single" w:sz="8" w:color="CCEEFF"/>
            </w:tcBorders>
          </w:tcPr>
          <w:p>
            <w:pPr>
              <w:spacing w:after="0"/>
              <w:rPr>
                <w:sz w:val="20"/>
                <w:szCs w:val="20"/>
                <w:color w:val="auto"/>
              </w:rPr>
            </w:pPr>
          </w:p>
        </w:tc>
        <w:tc>
          <w:tcPr>
            <w:tcW w:w="1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flow</w:t>
            </w:r>
          </w:p>
        </w:tc>
        <w:tc>
          <w:tcPr>
            <w:tcW w:w="14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Other non-</w:t>
            </w: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non-current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0" w:type="dxa"/>
            <w:vAlign w:val="bottom"/>
          </w:tcPr>
          <w:p>
            <w:pPr>
              <w:spacing w:after="0"/>
              <w:rPr>
                <w:sz w:val="19"/>
                <w:szCs w:val="19"/>
                <w:color w:val="auto"/>
              </w:rPr>
            </w:pPr>
          </w:p>
        </w:tc>
        <w:tc>
          <w:tcPr>
            <w:tcW w:w="380" w:type="dxa"/>
            <w:vAlign w:val="bottom"/>
            <w:tcBorders>
              <w:right w:val="single" w:sz="8" w:color="CCEEFF"/>
            </w:tcBorders>
          </w:tcPr>
          <w:p>
            <w:pPr>
              <w:spacing w:after="0"/>
              <w:rPr>
                <w:sz w:val="19"/>
                <w:szCs w:val="19"/>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w:t>
            </w:r>
          </w:p>
        </w:tc>
        <w:tc>
          <w:tcPr>
            <w:tcW w:w="14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w:t>
            </w: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60" w:type="dxa"/>
            <w:vAlign w:val="bottom"/>
          </w:tcPr>
          <w:p>
            <w:pPr>
              <w:spacing w:after="0"/>
              <w:rPr>
                <w:sz w:val="22"/>
                <w:szCs w:val="22"/>
                <w:color w:val="auto"/>
              </w:rPr>
            </w:pPr>
          </w:p>
        </w:tc>
        <w:tc>
          <w:tcPr>
            <w:tcW w:w="380" w:type="dxa"/>
            <w:vAlign w:val="bottom"/>
            <w:tcBorders>
              <w:right w:val="single" w:sz="8" w:color="CCEEFF"/>
            </w:tcBorders>
          </w:tcPr>
          <w:p>
            <w:pPr>
              <w:spacing w:after="0"/>
              <w:rPr>
                <w:sz w:val="22"/>
                <w:szCs w:val="22"/>
                <w:color w:val="auto"/>
              </w:rPr>
            </w:pPr>
          </w:p>
        </w:tc>
        <w:tc>
          <w:tcPr>
            <w:tcW w:w="1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hedge</w:t>
            </w:r>
          </w:p>
        </w:tc>
        <w:tc>
          <w:tcPr>
            <w:tcW w:w="14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18"/>
        </w:trPr>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Balance Sheet</w:t>
            </w:r>
          </w:p>
        </w:tc>
        <w:tc>
          <w:tcPr>
            <w:tcW w:w="11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December 31,</w:t>
            </w:r>
          </w:p>
        </w:tc>
        <w:tc>
          <w:tcPr>
            <w:tcW w:w="120" w:type="dxa"/>
            <w:vAlign w:val="bottom"/>
          </w:tcPr>
          <w:p>
            <w:pPr>
              <w:spacing w:after="0"/>
              <w:rPr>
                <w:sz w:val="24"/>
                <w:szCs w:val="24"/>
                <w:color w:val="auto"/>
              </w:rPr>
            </w:pPr>
          </w:p>
        </w:tc>
        <w:tc>
          <w:tcPr>
            <w:tcW w:w="16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Balance Sheet</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24"/>
                <w:szCs w:val="24"/>
                <w:color w:val="auto"/>
              </w:rPr>
            </w:pPr>
          </w:p>
        </w:tc>
        <w:tc>
          <w:tcPr>
            <w:tcW w:w="1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8"/>
              </w:rPr>
              <w:t>classification</w:t>
            </w:r>
          </w:p>
        </w:tc>
        <w:tc>
          <w:tcPr>
            <w:tcW w:w="40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2018</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classification</w:t>
            </w:r>
          </w:p>
        </w:tc>
        <w:tc>
          <w:tcPr>
            <w:tcW w:w="30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2018</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80" w:type="dxa"/>
            <w:vAlign w:val="bottom"/>
            <w:tcBorders>
              <w:right w:val="single" w:sz="8" w:color="CCEEFF"/>
            </w:tcBorders>
          </w:tcPr>
          <w:p>
            <w:pPr>
              <w:spacing w:after="0"/>
              <w:rPr>
                <w:sz w:val="15"/>
                <w:szCs w:val="15"/>
                <w:color w:val="auto"/>
              </w:rPr>
            </w:pPr>
          </w:p>
        </w:tc>
        <w:tc>
          <w:tcPr>
            <w:tcW w:w="2760" w:type="dxa"/>
            <w:vAlign w:val="bottom"/>
            <w:gridSpan w:val="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Derivatives not designated as</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660" w:type="dxa"/>
            <w:vAlign w:val="bottom"/>
          </w:tcPr>
          <w:p>
            <w:pPr>
              <w:spacing w:after="0"/>
              <w:rPr>
                <w:sz w:val="21"/>
                <w:szCs w:val="21"/>
                <w:color w:val="auto"/>
              </w:rPr>
            </w:pPr>
          </w:p>
        </w:tc>
        <w:tc>
          <w:tcPr>
            <w:tcW w:w="380" w:type="dxa"/>
            <w:vAlign w:val="bottom"/>
            <w:tcBorders>
              <w:right w:val="single" w:sz="8" w:color="CCEEFF"/>
            </w:tcBorders>
          </w:tcPr>
          <w:p>
            <w:pPr>
              <w:spacing w:after="0"/>
              <w:rPr>
                <w:sz w:val="21"/>
                <w:szCs w:val="21"/>
                <w:color w:val="auto"/>
              </w:rPr>
            </w:pPr>
          </w:p>
        </w:tc>
        <w:tc>
          <w:tcPr>
            <w:tcW w:w="146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8"/>
              </w:rPr>
              <w:t>hedging instruments</w:t>
            </w: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1420" w:type="dxa"/>
            <w:vAlign w:val="bottom"/>
            <w:tcBorders>
              <w:top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Other current</w:t>
            </w:r>
          </w:p>
        </w:tc>
        <w:tc>
          <w:tcPr>
            <w:tcW w:w="4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contracts</w:t>
            </w:r>
          </w:p>
        </w:tc>
        <w:tc>
          <w:tcPr>
            <w:tcW w:w="1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60" w:type="dxa"/>
            <w:vAlign w:val="bottom"/>
          </w:tcPr>
          <w:p>
            <w:pPr>
              <w:spacing w:after="0"/>
              <w:rPr>
                <w:sz w:val="19"/>
                <w:szCs w:val="19"/>
                <w:color w:val="auto"/>
              </w:rPr>
            </w:pPr>
          </w:p>
        </w:tc>
        <w:tc>
          <w:tcPr>
            <w:tcW w:w="380" w:type="dxa"/>
            <w:vAlign w:val="bottom"/>
            <w:tcBorders>
              <w:right w:val="single" w:sz="8" w:color="CCEEFF"/>
            </w:tcBorders>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w:t>
            </w: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60" w:type="dxa"/>
            <w:vAlign w:val="bottom"/>
          </w:tcPr>
          <w:p>
            <w:pPr>
              <w:spacing w:after="0"/>
              <w:rPr>
                <w:sz w:val="22"/>
                <w:szCs w:val="22"/>
                <w:color w:val="auto"/>
              </w:rPr>
            </w:pPr>
          </w:p>
        </w:tc>
        <w:tc>
          <w:tcPr>
            <w:tcW w:w="380" w:type="dxa"/>
            <w:vAlign w:val="bottom"/>
            <w:tcBorders>
              <w:right w:val="single" w:sz="8" w:color="CCEEFF"/>
            </w:tcBorders>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60" w:type="dxa"/>
            <w:vAlign w:val="bottom"/>
          </w:tcPr>
          <w:p>
            <w:pPr>
              <w:spacing w:after="0"/>
              <w:rPr>
                <w:sz w:val="24"/>
                <w:szCs w:val="24"/>
                <w:color w:val="auto"/>
              </w:rPr>
            </w:pPr>
          </w:p>
        </w:tc>
        <w:tc>
          <w:tcPr>
            <w:tcW w:w="380" w:type="dxa"/>
            <w:vAlign w:val="bottom"/>
            <w:tcBorders>
              <w:right w:val="single" w:sz="8" w:color="CCEEFF"/>
            </w:tcBorders>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derivatives</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3920" w:type="dxa"/>
            <w:vAlign w:val="bottom"/>
            <w:gridSpan w:val="9"/>
            <w:vMerge w:val="restart"/>
          </w:tcPr>
          <w:p>
            <w:pPr>
              <w:ind w:left="660"/>
              <w:spacing w:after="0"/>
              <w:rPr>
                <w:sz w:val="20"/>
                <w:szCs w:val="20"/>
                <w:color w:val="auto"/>
              </w:rPr>
            </w:pPr>
            <w:r>
              <w:rPr>
                <w:rFonts w:ascii="Times New Roman" w:cs="Times New Roman" w:eastAsia="Times New Roman" w:hAnsi="Times New Roman"/>
                <w:sz w:val="18"/>
                <w:szCs w:val="18"/>
                <w:color w:val="auto"/>
              </w:rPr>
              <w:t>Fair Value Hedge Carrying Amounts</w:t>
            </w: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20" w:type="dxa"/>
            <w:vAlign w:val="bottom"/>
            <w:gridSpan w:val="9"/>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3920" w:type="dxa"/>
            <w:vAlign w:val="bottom"/>
            <w:gridSpan w:val="9"/>
            <w:vMerge w:val="continue"/>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6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Carrying amount of the hedged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0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assets/(liabilities)</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6"/>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8"/>
        </w:trPr>
        <w:tc>
          <w:tcPr>
            <w:tcW w:w="432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Line item in the Balance Sheet in which the hedged item is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17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December 31,</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included</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2018</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Receivables, net</w:t>
            </w:r>
          </w:p>
        </w:tc>
        <w:tc>
          <w:tcPr>
            <w:tcW w:w="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As of September 30, 2019, the cumulative amounts of fair value hedging adjustments included in the carrying amount of the hedge assets and liabilities were a gain of $3. As of December 31, 2018, the cumulative amounts of fair value hedging adjustments included in the carrying amount of the hedge assets and liabilities were less than $1.</w:t>
      </w:r>
    </w:p>
    <w:p>
      <w:pPr>
        <w:sectPr>
          <w:pgSz w:w="11900" w:h="16838" w:orient="portrait"/>
          <w:cols w:equalWidth="0" w:num="1">
            <w:col w:w="11420"/>
          </w:cols>
          <w:pgMar w:left="240" w:top="117" w:right="239" w:bottom="995"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7" w:right="239" w:bottom="995" w:gutter="0" w:footer="0" w:header="0"/>
          <w:type w:val="continuous"/>
        </w:sectPr>
      </w:pPr>
    </w:p>
    <w:bookmarkStart w:id="20" w:name="page21"/>
    <w:bookmarkEnd w:id="20"/>
    <w:p>
      <w:pPr>
        <w:ind w:left="42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Offsetting of Derivative Assets and Liabilities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within the statement of financial position. In the table below, the aggregate fair values of the Company's derivative assets and liabilities are presented on both a gross and net basis, where appropriate.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Gross amounts recognized in</w:t>
            </w:r>
          </w:p>
        </w:tc>
        <w:tc>
          <w:tcPr>
            <w:tcW w:w="2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Gross amounts not offset in the</w:t>
            </w:r>
          </w:p>
        </w:tc>
        <w:tc>
          <w:tcPr>
            <w:tcW w:w="13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7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the Balance Sheet</w:t>
            </w:r>
          </w:p>
        </w:tc>
        <w:tc>
          <w:tcPr>
            <w:tcW w:w="25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Balance Sheet</w:t>
            </w:r>
          </w:p>
        </w:tc>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amount</w:t>
            </w:r>
          </w:p>
        </w:tc>
      </w:tr>
      <w:tr>
        <w:trPr>
          <w:trHeight w:val="27"/>
        </w:trPr>
        <w:tc>
          <w:tcPr>
            <w:tcW w:w="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28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Balance at September 30, 2019</w:t>
            </w:r>
          </w:p>
        </w:tc>
        <w:tc>
          <w:tcPr>
            <w:tcW w:w="27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2760" w:type="dxa"/>
            <w:vAlign w:val="bottom"/>
            <w:tcBorders>
              <w:bottom w:val="single" w:sz="8" w:color="CCEEFF"/>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4"/>
              </w:rPr>
              <w:t>$111</w:t>
            </w:r>
          </w:p>
        </w:tc>
        <w:tc>
          <w:tcPr>
            <w:tcW w:w="252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$22</w:t>
            </w:r>
          </w:p>
        </w:tc>
        <w:tc>
          <w:tcPr>
            <w:tcW w:w="1380" w:type="dxa"/>
            <w:vAlign w:val="bottom"/>
            <w:tcBorders>
              <w:bottom w:val="single" w:sz="8" w:color="CCEEFF"/>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6"/>
              </w:rPr>
              <w:t>$89</w:t>
            </w:r>
          </w:p>
        </w:tc>
      </w:tr>
      <w:tr>
        <w:trPr>
          <w:trHeight w:val="243"/>
        </w:trPr>
        <w:tc>
          <w:tcPr>
            <w:tcW w:w="20" w:type="dxa"/>
            <w:vAlign w:val="bottom"/>
          </w:tcPr>
          <w:p>
            <w:pPr>
              <w:spacing w:after="0"/>
              <w:rPr>
                <w:sz w:val="21"/>
                <w:szCs w:val="21"/>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7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71</w:t>
            </w:r>
          </w:p>
        </w:tc>
        <w:tc>
          <w:tcPr>
            <w:tcW w:w="25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22</w:t>
            </w: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49</w:t>
            </w: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2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8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Balance at December 31, 2018</w:t>
            </w:r>
          </w:p>
        </w:tc>
        <w:tc>
          <w:tcPr>
            <w:tcW w:w="27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2760" w:type="dxa"/>
            <w:vAlign w:val="bottom"/>
            <w:tcBorders>
              <w:bottom w:val="single" w:sz="8" w:color="CCEEFF"/>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47</w:t>
            </w:r>
          </w:p>
        </w:tc>
        <w:tc>
          <w:tcPr>
            <w:tcW w:w="2520" w:type="dxa"/>
            <w:vAlign w:val="bottom"/>
            <w:tcBorders>
              <w:bottom w:val="single" w:sz="8" w:color="CCEEFF"/>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19</w:t>
            </w:r>
          </w:p>
        </w:tc>
        <w:tc>
          <w:tcPr>
            <w:tcW w:w="1380" w:type="dxa"/>
            <w:vAlign w:val="bottom"/>
            <w:tcBorders>
              <w:bottom w:val="single" w:sz="8" w:color="CCEEFF"/>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28</w:t>
            </w:r>
          </w:p>
        </w:tc>
      </w:tr>
      <w:tr>
        <w:trPr>
          <w:trHeight w:val="243"/>
        </w:trPr>
        <w:tc>
          <w:tcPr>
            <w:tcW w:w="20" w:type="dxa"/>
            <w:vAlign w:val="bottom"/>
          </w:tcPr>
          <w:p>
            <w:pPr>
              <w:spacing w:after="0"/>
              <w:rPr>
                <w:sz w:val="21"/>
                <w:szCs w:val="21"/>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7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59</w:t>
            </w:r>
          </w:p>
        </w:tc>
        <w:tc>
          <w:tcPr>
            <w:tcW w:w="25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19</w:t>
            </w: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40</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Notional Values of Outstanding Derivative Instruments</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aggregate U.S. dollar-equivalent notional values of outstanding derivative instruments in the Consolidated Balance Sheets at September 30, 2019 and December 31, 2018 were: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2019</w:t>
            </w:r>
          </w:p>
        </w:tc>
        <w:tc>
          <w:tcPr>
            <w:tcW w:w="140" w:type="dxa"/>
            <w:vAlign w:val="bottom"/>
          </w:tcPr>
          <w:p>
            <w:pPr>
              <w:spacing w:after="0"/>
              <w:rPr>
                <w:sz w:val="20"/>
                <w:szCs w:val="20"/>
                <w:color w:val="auto"/>
              </w:rPr>
            </w:pPr>
          </w:p>
        </w:tc>
        <w:tc>
          <w:tcPr>
            <w:tcW w:w="1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8"/>
              </w:rPr>
              <w:t>December 31, 2018</w:t>
            </w:r>
          </w:p>
        </w:tc>
      </w:tr>
      <w:tr>
        <w:trPr>
          <w:trHeight w:val="27"/>
        </w:trPr>
        <w:tc>
          <w:tcPr>
            <w:tcW w:w="42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cash flow hedges:</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exchange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820</w:t>
            </w:r>
          </w:p>
        </w:tc>
      </w:tr>
      <w:tr>
        <w:trPr>
          <w:trHeight w:val="27"/>
        </w:trPr>
        <w:tc>
          <w:tcPr>
            <w:tcW w:w="4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Commodities</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w:t>
            </w:r>
          </w:p>
        </w:tc>
      </w:tr>
      <w:tr>
        <w:trPr>
          <w:trHeight w:val="243"/>
        </w:trPr>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rate</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fair value hedges:</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exchange</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4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net investment hedges:</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exchange</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875</w:t>
            </w:r>
          </w:p>
        </w:tc>
      </w:tr>
      <w:tr>
        <w:trPr>
          <w:trHeight w:val="27"/>
        </w:trPr>
        <w:tc>
          <w:tcPr>
            <w:tcW w:w="4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exchange</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796</w:t>
            </w:r>
          </w:p>
        </w:tc>
      </w:tr>
      <w:tr>
        <w:trPr>
          <w:trHeight w:val="918"/>
        </w:trPr>
        <w:tc>
          <w:tcPr>
            <w:tcW w:w="4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0760"/>
          </w:cols>
          <w:pgMar w:left="900" w:top="117" w:right="239" w:bottom="1440" w:gutter="0" w:footer="0" w:header="0"/>
        </w:sectPr>
      </w:pPr>
    </w:p>
    <w:bookmarkStart w:id="21" w:name="page22"/>
    <w:bookmarkEnd w:id="21"/>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52" w:hanging="652"/>
        <w:spacing w:after="0"/>
        <w:tabs>
          <w:tab w:leader="none" w:pos="65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Debt</w:t>
      </w:r>
    </w:p>
    <w:p>
      <w:pPr>
        <w:spacing w:after="0" w:line="22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The Company's outstanding debt was as follows:</w:t>
      </w:r>
    </w:p>
    <w:p>
      <w:pPr>
        <w:spacing w:after="0" w:line="171"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September 30, 2019</w:t>
            </w:r>
          </w:p>
        </w:tc>
        <w:tc>
          <w:tcPr>
            <w:tcW w:w="160" w:type="dxa"/>
            <w:vAlign w:val="bottom"/>
          </w:tcPr>
          <w:p>
            <w:pPr>
              <w:spacing w:after="0"/>
              <w:rPr>
                <w:sz w:val="20"/>
                <w:szCs w:val="20"/>
                <w:color w:val="auto"/>
              </w:rPr>
            </w:pPr>
          </w:p>
        </w:tc>
        <w:tc>
          <w:tcPr>
            <w:tcW w:w="27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December 31, 2018</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8"/>
              </w:rPr>
              <w:t>Principal</w:t>
            </w:r>
          </w:p>
        </w:tc>
        <w:tc>
          <w:tcPr>
            <w:tcW w:w="180" w:type="dxa"/>
            <w:vAlign w:val="bottom"/>
          </w:tcPr>
          <w:p>
            <w:pPr>
              <w:spacing w:after="0"/>
              <w:rPr>
                <w:sz w:val="20"/>
                <w:szCs w:val="20"/>
                <w:color w:val="auto"/>
              </w:rPr>
            </w:pPr>
          </w:p>
        </w:tc>
        <w:tc>
          <w:tcPr>
            <w:tcW w:w="13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Carrying</w:t>
            </w:r>
          </w:p>
        </w:tc>
        <w:tc>
          <w:tcPr>
            <w:tcW w:w="160" w:type="dxa"/>
            <w:vAlign w:val="bottom"/>
          </w:tcPr>
          <w:p>
            <w:pPr>
              <w:spacing w:after="0"/>
              <w:rPr>
                <w:sz w:val="20"/>
                <w:szCs w:val="20"/>
                <w:color w:val="auto"/>
              </w:rPr>
            </w:pPr>
          </w:p>
        </w:tc>
        <w:tc>
          <w:tcPr>
            <w:tcW w:w="15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Principal</w:t>
            </w:r>
          </w:p>
        </w:tc>
        <w:tc>
          <w:tcPr>
            <w:tcW w:w="20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Carrying</w:t>
            </w:r>
          </w:p>
        </w:tc>
      </w:tr>
      <w:tr>
        <w:trPr>
          <w:trHeight w:val="270"/>
        </w:trPr>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outstanding</w:t>
            </w:r>
          </w:p>
        </w:tc>
        <w:tc>
          <w:tcPr>
            <w:tcW w:w="180" w:type="dxa"/>
            <w:vAlign w:val="bottom"/>
          </w:tcPr>
          <w:p>
            <w:pPr>
              <w:spacing w:after="0"/>
              <w:rPr>
                <w:sz w:val="23"/>
                <w:szCs w:val="23"/>
                <w:color w:val="auto"/>
              </w:rPr>
            </w:pPr>
          </w:p>
        </w:tc>
        <w:tc>
          <w:tcPr>
            <w:tcW w:w="13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amount</w:t>
            </w:r>
          </w:p>
        </w:tc>
        <w:tc>
          <w:tcPr>
            <w:tcW w:w="160" w:type="dxa"/>
            <w:vAlign w:val="bottom"/>
          </w:tcPr>
          <w:p>
            <w:pPr>
              <w:spacing w:after="0"/>
              <w:rPr>
                <w:sz w:val="23"/>
                <w:szCs w:val="23"/>
                <w:color w:val="auto"/>
              </w:rPr>
            </w:pPr>
          </w:p>
        </w:tc>
        <w:tc>
          <w:tcPr>
            <w:tcW w:w="15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outstanding</w:t>
            </w:r>
          </w:p>
        </w:tc>
        <w:tc>
          <w:tcPr>
            <w:tcW w:w="200" w:type="dxa"/>
            <w:vAlign w:val="bottom"/>
          </w:tcPr>
          <w:p>
            <w:pPr>
              <w:spacing w:after="0"/>
              <w:rPr>
                <w:sz w:val="23"/>
                <w:szCs w:val="23"/>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amount</w:t>
            </w:r>
          </w:p>
        </w:tc>
      </w:tr>
      <w:tr>
        <w:trPr>
          <w:trHeight w:val="27"/>
        </w:trPr>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4160" w:type="dxa"/>
            <w:vAlign w:val="bottom"/>
            <w:gridSpan w:val="3"/>
            <w:shd w:val="clear" w:color="auto" w:fill="CCEEFF"/>
          </w:tcPr>
          <w:p>
            <w:pPr>
              <w:spacing w:after="0" w:line="163" w:lineRule="exact"/>
              <w:rPr>
                <w:sz w:val="20"/>
                <w:szCs w:val="20"/>
                <w:color w:val="auto"/>
              </w:rPr>
            </w:pPr>
            <w:r>
              <w:rPr>
                <w:rFonts w:ascii="Times New Roman" w:cs="Times New Roman" w:eastAsia="Times New Roman" w:hAnsi="Times New Roman"/>
                <w:sz w:val="18"/>
                <w:szCs w:val="18"/>
                <w:color w:val="auto"/>
              </w:rPr>
              <w:t>Short-term debt</w:t>
            </w:r>
          </w:p>
        </w:tc>
        <w:tc>
          <w:tcPr>
            <w:tcW w:w="1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rPr>
              <w:t>134</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rPr>
              <w:t>134</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89</w:t>
            </w: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rPr>
              <w:t>89</w:t>
            </w: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30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270"/>
        </w:trPr>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416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secured borrowings: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Term loan facilities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U.S. dollar at LIBOR + 1.75% due 2022</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789</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785</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810</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U.S. dollar at LIBOR + 2.00% due 2025</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617</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610</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864</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4160" w:type="dxa"/>
            <w:vAlign w:val="bottom"/>
            <w:gridSpan w:val="3"/>
            <w:shd w:val="clear" w:color="auto" w:fill="CCEEFF"/>
          </w:tcPr>
          <w:p>
            <w:pPr>
              <w:ind w:left="680"/>
              <w:spacing w:after="0" w:line="270" w:lineRule="exact"/>
              <w:rPr>
                <w:sz w:val="20"/>
                <w:szCs w:val="20"/>
                <w:color w:val="auto"/>
              </w:rPr>
            </w:pPr>
            <w:r>
              <w:rPr>
                <w:rFonts w:ascii="Times New Roman" w:cs="Times New Roman" w:eastAsia="Times New Roman" w:hAnsi="Times New Roman"/>
                <w:sz w:val="18"/>
                <w:szCs w:val="18"/>
                <w:color w:val="auto"/>
              </w:rPr>
              <w:t>Euro at EURIBOR + 1.75% due 2022</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4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4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w:t>
            </w:r>
          </w:p>
        </w:tc>
      </w:tr>
      <w:tr>
        <w:trPr>
          <w:trHeight w:val="270"/>
        </w:trPr>
        <w:tc>
          <w:tcPr>
            <w:tcW w:w="20" w:type="dxa"/>
            <w:vAlign w:val="bottom"/>
          </w:tcPr>
          <w:p>
            <w:pPr>
              <w:spacing w:after="0"/>
              <w:rPr>
                <w:sz w:val="23"/>
                <w:szCs w:val="23"/>
                <w:color w:val="auto"/>
              </w:rPr>
            </w:pPr>
          </w:p>
        </w:tc>
        <w:tc>
          <w:tcPr>
            <w:tcW w:w="4160" w:type="dxa"/>
            <w:vAlign w:val="bottom"/>
            <w:gridSpan w:val="3"/>
          </w:tcPr>
          <w:p>
            <w:pPr>
              <w:ind w:left="680"/>
              <w:spacing w:after="0" w:line="270" w:lineRule="exact"/>
              <w:rPr>
                <w:sz w:val="20"/>
                <w:szCs w:val="20"/>
                <w:color w:val="auto"/>
              </w:rPr>
            </w:pPr>
            <w:r>
              <w:rPr>
                <w:rFonts w:ascii="Times New Roman" w:cs="Times New Roman" w:eastAsia="Times New Roman" w:hAnsi="Times New Roman"/>
                <w:sz w:val="18"/>
                <w:szCs w:val="18"/>
                <w:color w:val="auto"/>
              </w:rPr>
              <w:t>Euro at EURIBOR + 2.375% due 2025</w:t>
            </w:r>
            <w:r>
              <w:rPr>
                <w:rFonts w:ascii="Times New Roman" w:cs="Times New Roman" w:eastAsia="Times New Roman" w:hAnsi="Times New Roman"/>
                <w:sz w:val="25"/>
                <w:szCs w:val="25"/>
                <w:color w:val="auto"/>
                <w:vertAlign w:val="superscript"/>
              </w:rPr>
              <w:t>2</w:t>
            </w: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807</w:t>
            </w: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796</w:t>
            </w: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846</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and debentures: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€650 at 4.0% due 2022</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709</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705</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740</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 S. dollar at 4.50% due 2023</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995</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993</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€335 at 2.25% due 2023</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380</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€600 at 2.625% due 2024</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649</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682</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€600 at 3.375% due 2025</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654</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648</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681</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dollar at 4.25% due 2026</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U.S. dollar at 4.75% due 2026</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875</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862</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863</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dollar at 7.375% due 2026</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€500 at 2.875% due 2026</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545</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538</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dollar at 7.50% due 2096</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20" w:type="dxa"/>
            <w:vAlign w:val="bottom"/>
          </w:tcPr>
          <w:p>
            <w:pPr>
              <w:spacing w:after="0"/>
              <w:rPr>
                <w:sz w:val="21"/>
                <w:szCs w:val="21"/>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indebtedness in various currencies</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8,203</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8,129</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8,667</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8,574</w:t>
            </w:r>
          </w:p>
        </w:tc>
      </w:tr>
      <w:tr>
        <w:trPr>
          <w:trHeight w:val="243"/>
        </w:trPr>
        <w:tc>
          <w:tcPr>
            <w:tcW w:w="20" w:type="dxa"/>
            <w:vAlign w:val="bottom"/>
          </w:tcPr>
          <w:p>
            <w:pPr>
              <w:spacing w:after="0"/>
              <w:rPr>
                <w:sz w:val="21"/>
                <w:szCs w:val="21"/>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7"/>
        </w:trPr>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4160" w:type="dxa"/>
            <w:vAlign w:val="bottom"/>
            <w:tcBorders>
              <w:bottom w:val="single" w:sz="8" w:color="CCEEFF"/>
            </w:tcBorders>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long-term debt, less current maturities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8,116</w:t>
            </w:r>
          </w:p>
        </w:tc>
        <w:tc>
          <w:tcPr>
            <w:tcW w:w="4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8,042</w:t>
            </w:r>
          </w:p>
        </w:tc>
        <w:tc>
          <w:tcPr>
            <w:tcW w:w="4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4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912" w:hanging="264"/>
        <w:spacing w:after="0"/>
        <w:tabs>
          <w:tab w:leader="none" w:pos="9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€254 and €263 at September 30, 2019 and December 31, 2018</w:t>
      </w:r>
    </w:p>
    <w:p>
      <w:pPr>
        <w:spacing w:after="0" w:line="27"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€741 and €746 at September 30, 2019 and December 31, 2018</w:t>
      </w:r>
    </w:p>
    <w:p>
      <w:pPr>
        <w:spacing w:after="0" w:line="207" w:lineRule="exact"/>
        <w:rPr>
          <w:sz w:val="20"/>
          <w:szCs w:val="20"/>
          <w:color w:val="auto"/>
        </w:rPr>
      </w:pPr>
    </w:p>
    <w:p>
      <w:pPr>
        <w:jc w:val="both"/>
        <w:ind w:left="652"/>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Company’s long-term borrowings, using a market approach incorporating Level 2 inputs such as quoted market prices for the same or similar issues, was $8,724 at September 30, 2019 and $8,735 at December 31, 2018.</w:t>
      </w:r>
    </w:p>
    <w:p>
      <w:pPr>
        <w:spacing w:after="0" w:line="162" w:lineRule="exact"/>
        <w:rPr>
          <w:sz w:val="20"/>
          <w:szCs w:val="20"/>
          <w:color w:val="auto"/>
        </w:rPr>
      </w:pPr>
    </w:p>
    <w:p>
      <w:pPr>
        <w:jc w:val="both"/>
        <w:ind w:left="652"/>
        <w:spacing w:after="0" w:line="261" w:lineRule="auto"/>
        <w:rPr>
          <w:sz w:val="20"/>
          <w:szCs w:val="20"/>
          <w:color w:val="auto"/>
        </w:rPr>
      </w:pPr>
      <w:r>
        <w:rPr>
          <w:rFonts w:ascii="Times New Roman" w:cs="Times New Roman" w:eastAsia="Times New Roman" w:hAnsi="Times New Roman"/>
          <w:sz w:val="18"/>
          <w:szCs w:val="18"/>
          <w:color w:val="auto"/>
        </w:rPr>
        <w:t>In October 2019, the Company issued €550 ($600 at September 30, 2019) principal amount 0.75% senior unsecured notes due 2023. The notes were issued at par by Crown European Holdings, S.A., a subsidiary of the Company, and are unconditionally guaranteed by the company and certain of its subsidiaries. The Company used these proceeds to repay portion of the Euro term loan facility due 2025. In connection with repayment of the term loan facility, the Company expects to record a loss from early extinguishment of debt of $8 to write off deferred financing fees.</w:t>
      </w:r>
    </w:p>
    <w:p>
      <w:pPr>
        <w:spacing w:after="0" w:line="200" w:lineRule="exact"/>
        <w:rPr>
          <w:sz w:val="20"/>
          <w:szCs w:val="20"/>
          <w:color w:val="auto"/>
        </w:rPr>
      </w:pPr>
    </w:p>
    <w:p>
      <w:pPr>
        <w:spacing w:after="0" w:line="2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12"/>
          </w:cols>
          <w:pgMar w:left="248" w:top="117" w:right="239" w:bottom="1440" w:gutter="0" w:footer="0" w:header="0"/>
        </w:sectPr>
      </w:pPr>
    </w:p>
    <w:bookmarkStart w:id="22" w:name="page23"/>
    <w:bookmarkEnd w:id="22"/>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52" w:hanging="652"/>
        <w:spacing w:after="0"/>
        <w:tabs>
          <w:tab w:leader="none" w:pos="652"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Pension and Other Postretirement Benefits</w:t>
      </w:r>
    </w:p>
    <w:p>
      <w:pPr>
        <w:spacing w:after="0" w:line="229" w:lineRule="exact"/>
        <w:rPr>
          <w:rFonts w:ascii="Times New Roman" w:cs="Times New Roman" w:eastAsia="Times New Roman" w:hAnsi="Times New Roman"/>
          <w:sz w:val="18"/>
          <w:szCs w:val="18"/>
          <w:b w:val="1"/>
          <w:bCs w:val="1"/>
          <w:color w:val="auto"/>
        </w:rPr>
      </w:pPr>
    </w:p>
    <w:p>
      <w:pPr>
        <w:ind w:left="65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net periodic pension and other postretirement benefits costs for the three and nine months ended September 30, 2019 and 2018 were as follows:</w:t>
      </w:r>
    </w:p>
    <w:p>
      <w:pPr>
        <w:spacing w:after="0" w:line="189" w:lineRule="exact"/>
        <w:rPr>
          <w:sz w:val="20"/>
          <w:szCs w:val="20"/>
          <w:color w:val="auto"/>
        </w:rPr>
      </w:pPr>
    </w:p>
    <w:tbl>
      <w:tblPr>
        <w:tblLayout w:type="fixed"/>
        <w:tblInd w:w="652"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70"/>
        </w:trPr>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4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23"/>
                <w:szCs w:val="23"/>
                <w:color w:val="auto"/>
              </w:rPr>
            </w:pPr>
          </w:p>
        </w:tc>
        <w:tc>
          <w:tcPr>
            <w:tcW w:w="212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7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Pension benefits – U.S. plans</w:t>
            </w:r>
          </w:p>
        </w:tc>
        <w:tc>
          <w:tcPr>
            <w:tcW w:w="240" w:type="dxa"/>
            <w:vAlign w:val="bottom"/>
          </w:tcPr>
          <w:p>
            <w:pPr>
              <w:spacing w:after="0"/>
              <w:rPr>
                <w:sz w:val="17"/>
                <w:szCs w:val="17"/>
                <w:color w:val="auto"/>
              </w:rPr>
            </w:pPr>
          </w:p>
        </w:tc>
        <w:tc>
          <w:tcPr>
            <w:tcW w:w="86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rPr>
              <w:t>2018</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rPr>
              <w:t>2018</w:t>
            </w:r>
          </w:p>
        </w:tc>
      </w:tr>
      <w:tr>
        <w:trPr>
          <w:trHeight w:val="48"/>
        </w:trPr>
        <w:tc>
          <w:tcPr>
            <w:tcW w:w="20" w:type="dxa"/>
            <w:vAlign w:val="bottom"/>
            <w:tcBorders>
              <w:bottom w:val="single" w:sz="8" w:color="CCEEFF"/>
            </w:tcBorders>
          </w:tcPr>
          <w:p>
            <w:pPr>
              <w:spacing w:after="0"/>
              <w:rPr>
                <w:sz w:val="4"/>
                <w:szCs w:val="4"/>
                <w:color w:val="auto"/>
              </w:rPr>
            </w:pPr>
          </w:p>
        </w:tc>
        <w:tc>
          <w:tcPr>
            <w:tcW w:w="212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Recognized prior service cost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net loss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7"/>
        </w:trPr>
        <w:tc>
          <w:tcPr>
            <w:tcW w:w="20" w:type="dxa"/>
            <w:vAlign w:val="bottom"/>
          </w:tcPr>
          <w:p>
            <w:pPr>
              <w:spacing w:after="0"/>
              <w:rPr>
                <w:sz w:val="20"/>
                <w:szCs w:val="20"/>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periodic cost</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24"/>
                <w:szCs w:val="24"/>
                <w:color w:val="auto"/>
              </w:rPr>
            </w:pPr>
          </w:p>
        </w:tc>
        <w:tc>
          <w:tcPr>
            <w:tcW w:w="212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70"/>
        </w:trPr>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4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23"/>
                <w:szCs w:val="23"/>
                <w:color w:val="auto"/>
              </w:rPr>
            </w:pPr>
          </w:p>
        </w:tc>
        <w:tc>
          <w:tcPr>
            <w:tcW w:w="212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7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Pension benefits – Non-U.S. plans</w:t>
            </w:r>
          </w:p>
        </w:tc>
        <w:tc>
          <w:tcPr>
            <w:tcW w:w="240" w:type="dxa"/>
            <w:vAlign w:val="bottom"/>
          </w:tcPr>
          <w:p>
            <w:pPr>
              <w:spacing w:after="0"/>
              <w:rPr>
                <w:sz w:val="17"/>
                <w:szCs w:val="17"/>
                <w:color w:val="auto"/>
              </w:rPr>
            </w:pPr>
          </w:p>
        </w:tc>
        <w:tc>
          <w:tcPr>
            <w:tcW w:w="86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rPr>
              <w:t>2018</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rPr>
              <w:t>2018</w:t>
            </w:r>
          </w:p>
        </w:tc>
      </w:tr>
      <w:tr>
        <w:trPr>
          <w:trHeight w:val="48"/>
        </w:trPr>
        <w:tc>
          <w:tcPr>
            <w:tcW w:w="20" w:type="dxa"/>
            <w:vAlign w:val="bottom"/>
            <w:tcBorders>
              <w:bottom w:val="single" w:sz="8" w:color="CCEEFF"/>
            </w:tcBorders>
          </w:tcPr>
          <w:p>
            <w:pPr>
              <w:spacing w:after="0"/>
              <w:rPr>
                <w:sz w:val="4"/>
                <w:szCs w:val="4"/>
                <w:color w:val="auto"/>
              </w:rPr>
            </w:pPr>
          </w:p>
        </w:tc>
        <w:tc>
          <w:tcPr>
            <w:tcW w:w="2120" w:type="dxa"/>
            <w:vAlign w:val="bottom"/>
            <w:tcBorders>
              <w:top w:val="single" w:sz="8" w:color="auto"/>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2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Curtailment gain</w:t>
            </w:r>
          </w:p>
        </w:tc>
        <w:tc>
          <w:tcPr>
            <w:tcW w:w="24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loss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Recognized prior service credit</w:t>
            </w:r>
          </w:p>
        </w:tc>
        <w:tc>
          <w:tcPr>
            <w:tcW w:w="24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net loss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7"/>
        </w:trPr>
        <w:tc>
          <w:tcPr>
            <w:tcW w:w="20" w:type="dxa"/>
            <w:vAlign w:val="bottom"/>
          </w:tcPr>
          <w:p>
            <w:pPr>
              <w:spacing w:after="0"/>
              <w:rPr>
                <w:sz w:val="20"/>
                <w:szCs w:val="20"/>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periodic cost/(benefit)</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r>
      <w:tr>
        <w:trPr>
          <w:trHeight w:val="791"/>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24"/>
                <w:szCs w:val="24"/>
                <w:color w:val="auto"/>
              </w:rPr>
            </w:pPr>
          </w:p>
        </w:tc>
        <w:tc>
          <w:tcPr>
            <w:tcW w:w="212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70"/>
        </w:trPr>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4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23"/>
                <w:szCs w:val="23"/>
                <w:color w:val="auto"/>
              </w:rPr>
            </w:pPr>
          </w:p>
        </w:tc>
        <w:tc>
          <w:tcPr>
            <w:tcW w:w="212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7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Other postretirement benefits</w:t>
            </w:r>
          </w:p>
        </w:tc>
        <w:tc>
          <w:tcPr>
            <w:tcW w:w="240" w:type="dxa"/>
            <w:vAlign w:val="bottom"/>
          </w:tcPr>
          <w:p>
            <w:pPr>
              <w:spacing w:after="0"/>
              <w:rPr>
                <w:sz w:val="17"/>
                <w:szCs w:val="17"/>
                <w:color w:val="auto"/>
              </w:rPr>
            </w:pPr>
          </w:p>
        </w:tc>
        <w:tc>
          <w:tcPr>
            <w:tcW w:w="86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rPr>
              <w:t>2018</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rPr>
              <w:t>2018</w:t>
            </w:r>
          </w:p>
        </w:tc>
      </w:tr>
      <w:tr>
        <w:trPr>
          <w:trHeight w:val="48"/>
        </w:trPr>
        <w:tc>
          <w:tcPr>
            <w:tcW w:w="20" w:type="dxa"/>
            <w:vAlign w:val="bottom"/>
            <w:tcBorders>
              <w:bottom w:val="single" w:sz="8" w:color="CCEEFF"/>
            </w:tcBorders>
          </w:tcPr>
          <w:p>
            <w:pPr>
              <w:spacing w:after="0"/>
              <w:rPr>
                <w:sz w:val="4"/>
                <w:szCs w:val="4"/>
                <w:color w:val="auto"/>
              </w:rPr>
            </w:pPr>
          </w:p>
        </w:tc>
        <w:tc>
          <w:tcPr>
            <w:tcW w:w="212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20" w:type="dxa"/>
            <w:vAlign w:val="bottom"/>
          </w:tcPr>
          <w:p>
            <w:pPr>
              <w:spacing w:after="0"/>
              <w:rPr>
                <w:sz w:val="21"/>
                <w:szCs w:val="21"/>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Recognized prior service credit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net loss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20" w:type="dxa"/>
            <w:vAlign w:val="bottom"/>
          </w:tcPr>
          <w:p>
            <w:pPr>
              <w:spacing w:after="0"/>
              <w:rPr>
                <w:sz w:val="20"/>
                <w:szCs w:val="20"/>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periodic benefit</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52" w:right="20"/>
        <w:spacing w:after="0" w:line="282" w:lineRule="auto"/>
        <w:rPr>
          <w:sz w:val="20"/>
          <w:szCs w:val="20"/>
          <w:color w:val="auto"/>
        </w:rPr>
      </w:pPr>
      <w:r>
        <w:rPr>
          <w:rFonts w:ascii="Times New Roman" w:cs="Times New Roman" w:eastAsia="Times New Roman" w:hAnsi="Times New Roman"/>
          <w:sz w:val="18"/>
          <w:szCs w:val="18"/>
          <w:color w:val="auto"/>
        </w:rPr>
        <w:t>In the three and nine months ended September 30, 2019, the Company recorded settlement charges related to the payment of lump sum buy-outs to settle certain non-U.S. pension obligations using plan assets. The Company may incur additional settlement charges in the fourth quarter of 2019.</w:t>
      </w:r>
    </w:p>
    <w:p>
      <w:pPr>
        <w:spacing w:after="0" w:line="162" w:lineRule="exact"/>
        <w:rPr>
          <w:sz w:val="20"/>
          <w:szCs w:val="20"/>
          <w:color w:val="auto"/>
        </w:rPr>
      </w:pPr>
    </w:p>
    <w:p>
      <w:pPr>
        <w:ind w:left="652"/>
        <w:spacing w:after="0" w:line="282" w:lineRule="auto"/>
        <w:rPr>
          <w:sz w:val="20"/>
          <w:szCs w:val="20"/>
          <w:color w:val="auto"/>
        </w:rPr>
      </w:pPr>
      <w:r>
        <w:rPr>
          <w:rFonts w:ascii="Times New Roman" w:cs="Times New Roman" w:eastAsia="Times New Roman" w:hAnsi="Times New Roman"/>
          <w:sz w:val="18"/>
          <w:szCs w:val="18"/>
          <w:color w:val="auto"/>
        </w:rPr>
        <w:t>Additionally, in the nine months ended September 30, 2019, the Company recorded a curtailment gain to recognize prior service credits that were previously recorded in accumulated other comprehensive income in connection with the closure of a non-U.S. defined benefit pension plan.</w:t>
      </w:r>
    </w:p>
    <w:p>
      <w:pPr>
        <w:spacing w:after="0" w:line="162" w:lineRule="exact"/>
        <w:rPr>
          <w:sz w:val="20"/>
          <w:szCs w:val="20"/>
          <w:color w:val="auto"/>
        </w:rPr>
      </w:pPr>
    </w:p>
    <w:p>
      <w:pPr>
        <w:ind w:left="652"/>
        <w:spacing w:after="0" w:line="282" w:lineRule="auto"/>
        <w:rPr>
          <w:sz w:val="20"/>
          <w:szCs w:val="20"/>
          <w:color w:val="auto"/>
        </w:rPr>
      </w:pPr>
      <w:r>
        <w:rPr>
          <w:rFonts w:ascii="Times New Roman" w:cs="Times New Roman" w:eastAsia="Times New Roman" w:hAnsi="Times New Roman"/>
          <w:sz w:val="18"/>
          <w:szCs w:val="18"/>
          <w:color w:val="auto"/>
        </w:rPr>
        <w:t>The components of net periodic cost / (benefit) other than the service cost component are included in other pension and postretirement in the Consolidated Statement of Operations.</w:t>
      </w:r>
    </w:p>
    <w:p>
      <w:pPr>
        <w:sectPr>
          <w:pgSz w:w="11900" w:h="16838" w:orient="portrait"/>
          <w:cols w:equalWidth="0" w:num="1">
            <w:col w:w="11412"/>
          </w:cols>
          <w:pgMar w:left="248"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12"/>
          </w:cols>
          <w:pgMar w:left="248" w:top="117" w:right="239" w:bottom="1440" w:gutter="0" w:footer="0" w:header="0"/>
          <w:type w:val="continuous"/>
        </w:sectPr>
      </w:pPr>
    </w:p>
    <w:bookmarkStart w:id="23" w:name="page24"/>
    <w:bookmarkEnd w:id="23"/>
    <w:p>
      <w:pPr>
        <w:ind w:left="4892"/>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The following table provides information about amounts reclassified from accumulated other comprehensive income.</w:t>
      </w:r>
    </w:p>
    <w:p>
      <w:pPr>
        <w:spacing w:after="0" w:line="387" w:lineRule="exact"/>
        <w:rPr>
          <w:sz w:val="20"/>
          <w:szCs w:val="20"/>
          <w:color w:val="auto"/>
        </w:rPr>
      </w:pPr>
    </w:p>
    <w:tbl>
      <w:tblPr>
        <w:tblLayout w:type="fixed"/>
        <w:tblInd w:w="652"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8"/>
              </w:rPr>
              <w:t>Three Months Ended</w:t>
            </w:r>
          </w:p>
        </w:tc>
        <w:tc>
          <w:tcPr>
            <w:tcW w:w="220" w:type="dxa"/>
            <w:vAlign w:val="bottom"/>
          </w:tcPr>
          <w:p>
            <w:pPr>
              <w:spacing w:after="0"/>
              <w:rPr>
                <w:sz w:val="20"/>
                <w:szCs w:val="20"/>
                <w:color w:val="auto"/>
              </w:rPr>
            </w:pPr>
          </w:p>
        </w:tc>
        <w:tc>
          <w:tcPr>
            <w:tcW w:w="190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Nine Months Ended</w:t>
            </w: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Details about accumulated other</w:t>
            </w:r>
          </w:p>
        </w:tc>
        <w:tc>
          <w:tcPr>
            <w:tcW w:w="220" w:type="dxa"/>
            <w:vAlign w:val="bottom"/>
          </w:tcPr>
          <w:p>
            <w:pPr>
              <w:spacing w:after="0"/>
              <w:rPr>
                <w:sz w:val="23"/>
                <w:szCs w:val="23"/>
                <w:color w:val="auto"/>
              </w:rPr>
            </w:pPr>
          </w:p>
        </w:tc>
        <w:tc>
          <w:tcPr>
            <w:tcW w:w="20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8"/>
              </w:rPr>
              <w:t>September 30,</w:t>
            </w:r>
          </w:p>
        </w:tc>
        <w:tc>
          <w:tcPr>
            <w:tcW w:w="220" w:type="dxa"/>
            <w:vAlign w:val="bottom"/>
          </w:tcPr>
          <w:p>
            <w:pPr>
              <w:spacing w:after="0"/>
              <w:rPr>
                <w:sz w:val="23"/>
                <w:szCs w:val="23"/>
                <w:color w:val="auto"/>
              </w:rPr>
            </w:pPr>
          </w:p>
        </w:tc>
        <w:tc>
          <w:tcPr>
            <w:tcW w:w="19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23"/>
                <w:szCs w:val="23"/>
                <w:color w:val="auto"/>
              </w:rPr>
            </w:pPr>
          </w:p>
        </w:tc>
        <w:tc>
          <w:tcPr>
            <w:tcW w:w="2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Affected line item in the</w:t>
            </w:r>
          </w:p>
        </w:tc>
        <w:tc>
          <w:tcPr>
            <w:tcW w:w="0" w:type="dxa"/>
            <w:vAlign w:val="bottom"/>
          </w:tcPr>
          <w:p>
            <w:pPr>
              <w:spacing w:after="0"/>
              <w:rPr>
                <w:sz w:val="1"/>
                <w:szCs w:val="1"/>
                <w:color w:val="auto"/>
              </w:rPr>
            </w:pPr>
          </w:p>
        </w:tc>
      </w:tr>
      <w:tr>
        <w:trPr>
          <w:trHeight w:val="27"/>
        </w:trPr>
        <w:tc>
          <w:tcPr>
            <w:tcW w:w="3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comprehensive income components</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statement of operations</w:t>
            </w:r>
          </w:p>
        </w:tc>
        <w:tc>
          <w:tcPr>
            <w:tcW w:w="0" w:type="dxa"/>
            <w:vAlign w:val="bottom"/>
          </w:tcPr>
          <w:p>
            <w:pPr>
              <w:spacing w:after="0"/>
              <w:rPr>
                <w:sz w:val="1"/>
                <w:szCs w:val="1"/>
                <w:color w:val="auto"/>
              </w:rPr>
            </w:pPr>
          </w:p>
        </w:tc>
      </w:tr>
      <w:tr>
        <w:trPr>
          <w:trHeight w:val="237"/>
        </w:trPr>
        <w:tc>
          <w:tcPr>
            <w:tcW w:w="31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20"/>
                <w:szCs w:val="20"/>
                <w:color w:val="auto"/>
              </w:rPr>
            </w:pPr>
          </w:p>
        </w:tc>
        <w:tc>
          <w:tcPr>
            <w:tcW w:w="2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pension and</w:t>
            </w:r>
          </w:p>
        </w:tc>
        <w:tc>
          <w:tcPr>
            <w:tcW w:w="0" w:type="dxa"/>
            <w:vAlign w:val="bottom"/>
          </w:tcPr>
          <w:p>
            <w:pPr>
              <w:spacing w:after="0"/>
              <w:rPr>
                <w:sz w:val="1"/>
                <w:szCs w:val="1"/>
                <w:color w:val="auto"/>
              </w:rPr>
            </w:pPr>
          </w:p>
        </w:tc>
      </w:tr>
      <w:tr>
        <w:trPr>
          <w:trHeight w:val="23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Actuarial losses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pension and</w:t>
            </w:r>
          </w:p>
        </w:tc>
        <w:tc>
          <w:tcPr>
            <w:tcW w:w="0" w:type="dxa"/>
            <w:vAlign w:val="bottom"/>
          </w:tcPr>
          <w:p>
            <w:pPr>
              <w:spacing w:after="0"/>
              <w:rPr>
                <w:sz w:val="1"/>
                <w:szCs w:val="1"/>
                <w:color w:val="auto"/>
              </w:rPr>
            </w:pPr>
          </w:p>
        </w:tc>
      </w:tr>
      <w:tr>
        <w:trPr>
          <w:trHeight w:val="241"/>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w:t>
            </w:r>
          </w:p>
        </w:tc>
        <w:tc>
          <w:tcPr>
            <w:tcW w:w="0" w:type="dxa"/>
            <w:vAlign w:val="bottom"/>
          </w:tcPr>
          <w:p>
            <w:pPr>
              <w:spacing w:after="0"/>
              <w:rPr>
                <w:sz w:val="1"/>
                <w:szCs w:val="1"/>
                <w:color w:val="auto"/>
              </w:rPr>
            </w:pPr>
          </w:p>
        </w:tc>
      </w:tr>
      <w:tr>
        <w:trPr>
          <w:trHeight w:val="225"/>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pension and</w:t>
            </w:r>
          </w:p>
        </w:tc>
        <w:tc>
          <w:tcPr>
            <w:tcW w:w="0" w:type="dxa"/>
            <w:vAlign w:val="bottom"/>
          </w:tcPr>
          <w:p>
            <w:pPr>
              <w:spacing w:after="0"/>
              <w:rPr>
                <w:sz w:val="1"/>
                <w:szCs w:val="1"/>
                <w:color w:val="auto"/>
              </w:rPr>
            </w:pPr>
          </w:p>
        </w:tc>
      </w:tr>
      <w:tr>
        <w:trPr>
          <w:trHeight w:val="23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Prior service credit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pension and</w:t>
            </w:r>
          </w:p>
        </w:tc>
        <w:tc>
          <w:tcPr>
            <w:tcW w:w="0" w:type="dxa"/>
            <w:vAlign w:val="bottom"/>
          </w:tcPr>
          <w:p>
            <w:pPr>
              <w:spacing w:after="0"/>
              <w:rPr>
                <w:sz w:val="1"/>
                <w:szCs w:val="1"/>
                <w:color w:val="auto"/>
              </w:rPr>
            </w:pPr>
          </w:p>
        </w:tc>
      </w:tr>
      <w:tr>
        <w:trPr>
          <w:trHeight w:val="261"/>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Curtailments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w:t>
            </w: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57"/>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reclassified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2"/>
                <w:szCs w:val="22"/>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52" w:hanging="652"/>
        <w:spacing w:after="0"/>
        <w:tabs>
          <w:tab w:leader="none" w:pos="652"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Accumulated Other Comprehensive Income</w:t>
      </w:r>
    </w:p>
    <w:p>
      <w:pPr>
        <w:spacing w:after="0" w:line="229"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information about the changes in each component of accumulated other comprehensive income.</w:t>
      </w:r>
    </w:p>
    <w:p>
      <w:pPr>
        <w:spacing w:after="0" w:line="171" w:lineRule="exact"/>
        <w:rPr>
          <w:sz w:val="20"/>
          <w:szCs w:val="20"/>
          <w:color w:val="auto"/>
        </w:rPr>
      </w:pPr>
    </w:p>
    <w:tbl>
      <w:tblPr>
        <w:tblLayout w:type="fixed"/>
        <w:tblInd w:w="652"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Defined</w:t>
            </w:r>
          </w:p>
        </w:tc>
        <w:tc>
          <w:tcPr>
            <w:tcW w:w="16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Foreign</w:t>
            </w: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Gains and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benefit</w:t>
            </w:r>
          </w:p>
        </w:tc>
        <w:tc>
          <w:tcPr>
            <w:tcW w:w="16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currency</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losses on cash</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4"/>
        </w:trPr>
        <w:tc>
          <w:tcPr>
            <w:tcW w:w="5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plans</w:t>
            </w:r>
          </w:p>
        </w:tc>
        <w:tc>
          <w:tcPr>
            <w:tcW w:w="16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translation</w:t>
            </w:r>
          </w:p>
        </w:tc>
        <w:tc>
          <w:tcPr>
            <w:tcW w:w="12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flow hedges</w:t>
            </w: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effect of change in accounting principle</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97"/>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September 30, 2018</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8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r>
      <w:tr>
        <w:trPr>
          <w:trHeight w:val="217"/>
        </w:trPr>
        <w:tc>
          <w:tcPr>
            <w:tcW w:w="5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 2019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8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w:t>
            </w:r>
          </w:p>
        </w:tc>
      </w:tr>
      <w:tr>
        <w:trPr>
          <w:trHeight w:val="25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8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w:t>
            </w:r>
          </w:p>
        </w:tc>
      </w:tr>
      <w:tr>
        <w:trPr>
          <w:trHeight w:val="20"/>
        </w:trPr>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w:t>
      </w:r>
      <w:hyperlink w:anchor="page17">
        <w:r>
          <w:rPr>
            <w:rFonts w:ascii="Times New Roman" w:cs="Times New Roman" w:eastAsia="Times New Roman" w:hAnsi="Times New Roman"/>
            <w:sz w:val="18"/>
            <w:szCs w:val="18"/>
            <w:u w:val="single" w:color="auto"/>
            <w:color w:val="0000EE"/>
          </w:rPr>
          <w:t>Note M</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w:anchor="page23">
        <w:r>
          <w:rPr>
            <w:rFonts w:ascii="Times New Roman" w:cs="Times New Roman" w:eastAsia="Times New Roman" w:hAnsi="Times New Roman"/>
            <w:sz w:val="18"/>
            <w:szCs w:val="18"/>
            <w:u w:val="single" w:color="auto"/>
            <w:color w:val="0000EE"/>
          </w:rPr>
          <w:t>Note O</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further details of amounts related to cash flow hedges and defined benefit plans.</w:t>
      </w:r>
    </w:p>
    <w:p>
      <w:pPr>
        <w:spacing w:after="0" w:line="200" w:lineRule="exact"/>
        <w:rPr>
          <w:sz w:val="20"/>
          <w:szCs w:val="20"/>
          <w:color w:val="auto"/>
        </w:rPr>
      </w:pPr>
    </w:p>
    <w:p>
      <w:pPr>
        <w:spacing w:after="0" w:line="241" w:lineRule="exact"/>
        <w:rPr>
          <w:sz w:val="20"/>
          <w:szCs w:val="20"/>
          <w:color w:val="auto"/>
        </w:rPr>
      </w:pPr>
    </w:p>
    <w:p>
      <w:pPr>
        <w:ind w:left="5612"/>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652"/>
          </w:cols>
          <w:pgMar w:left="248" w:top="117" w:right="99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Stock-Based Compensation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summary of restricted and deferred stock transactions during the nine months ended September 30, 2019 is as follows:</w:t>
      </w:r>
    </w:p>
    <w:p>
      <w:pPr>
        <w:spacing w:after="0" w:line="38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1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Number of shares</w:t>
            </w:r>
          </w:p>
        </w:tc>
      </w:tr>
      <w:tr>
        <w:trPr>
          <w:trHeight w:val="27"/>
        </w:trPr>
        <w:tc>
          <w:tcPr>
            <w:tcW w:w="80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stock awards outstanding at January 1, 2019</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2,142,743</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64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Time-vesting shares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381,145</w:t>
            </w:r>
          </w:p>
        </w:tc>
      </w:tr>
      <w:tr>
        <w:trPr>
          <w:trHeight w:val="243"/>
        </w:trPr>
        <w:tc>
          <w:tcPr>
            <w:tcW w:w="8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Performance-based shares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202,876</w:t>
            </w:r>
          </w:p>
        </w:tc>
      </w:tr>
      <w:tr>
        <w:trPr>
          <w:trHeight w:val="27"/>
        </w:trPr>
        <w:tc>
          <w:tcPr>
            <w:tcW w:w="80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Time-vesting shares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(130,044)</w:t>
            </w:r>
          </w:p>
        </w:tc>
      </w:tr>
      <w:tr>
        <w:trPr>
          <w:trHeight w:val="27"/>
        </w:trPr>
        <w:tc>
          <w:tcPr>
            <w:tcW w:w="80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Time-vesting shares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(97,275)</w:t>
            </w:r>
          </w:p>
        </w:tc>
      </w:tr>
      <w:tr>
        <w:trPr>
          <w:trHeight w:val="27"/>
        </w:trPr>
        <w:tc>
          <w:tcPr>
            <w:tcW w:w="80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Performance-based shares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(129,207)</w:t>
            </w:r>
          </w:p>
        </w:tc>
      </w:tr>
      <w:tr>
        <w:trPr>
          <w:trHeight w:val="237"/>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stock awards outstanding at September 30, 2019</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2,370,238</w:t>
            </w:r>
          </w:p>
        </w:tc>
      </w:tr>
      <w:tr>
        <w:trPr>
          <w:trHeight w:val="27"/>
        </w:trPr>
        <w:tc>
          <w:tcPr>
            <w:tcW w:w="80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80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performance-based share awards are subject to either a market condition or a performance condition. For awards subject to a market condition, the performance metric is the Company's total shareholder return, which includes share price appreciation and dividends paid during the three-year term of the award, measured against a peer group of companies. These awards cliff vest at the end of three years. The number of performance-based shares that will ultimately vest is based on the level of market performance achieved, ranging between 0% and 200% of the shares originally awarded, and are settled in stock.</w:t>
      </w:r>
    </w:p>
    <w:p>
      <w:pPr>
        <w:spacing w:after="0" w:line="18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awards subject to a performance condition, the performance metric is the Company's average return on invested capital over the three-year term. These awards cliff vest at the end of three years. The number of performance-based shares that will ultimately vest is based on the level of performance achieved, ranging between 0% and 200% of the shares originally awarded, and are settled in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time-vesting restricted and deferred stock awards vest ratably over three to five years.</w:t>
      </w:r>
    </w:p>
    <w:p>
      <w:pPr>
        <w:spacing w:after="0" w:line="225"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values of awards issued during the nine months ended September 30, 2019 were $55.21 for the time-vesting stock awards and $46.08 for the performance-based stock awards.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fair value of the performance-based shares subject to a market condition awarded in 2019 was calculated using a Monte Carlo valuation model, including a weighted average stock price volatility of 21.4%, an expected term of three years, and a weighted average risk-free interest rate of 2.45%.</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of September 30, 2019, unrecognized compensation cost related to outstanding non-vested stock awards was $68. The weighted average period over which the expense is expected to be recognized is 3.0 years. The aggregate market value of the shares released on the vesting dates was $7 for the nine months ended September 30, 2019.</w:t>
      </w:r>
    </w:p>
    <w:p>
      <w:pPr>
        <w:spacing w:after="0" w:line="388"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w:t>
      </w:r>
    </w:p>
    <w:p>
      <w:pPr>
        <w:spacing w:after="0" w:line="229" w:lineRule="exact"/>
        <w:rPr>
          <w:rFonts w:ascii="Times New Roman" w:cs="Times New Roman" w:eastAsia="Times New Roman" w:hAnsi="Times New Roman"/>
          <w:sz w:val="18"/>
          <w:szCs w:val="18"/>
          <w:b w:val="1"/>
          <w:bCs w:val="1"/>
          <w:color w:val="auto"/>
        </w:rPr>
      </w:pPr>
    </w:p>
    <w:p>
      <w:pPr>
        <w:ind w:left="6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nine months ended September 30, 2019, the Company recorded a charge of $15 related to the settlement of a pre-acquisition tax contingency during the second quarter of 2019. The contingency arose from a transaction that occurred prior to its acquisition of Signode.</w:t>
      </w:r>
    </w:p>
    <w:p>
      <w:pPr>
        <w:spacing w:after="0" w:line="161" w:lineRule="exact"/>
        <w:rPr>
          <w:rFonts w:ascii="Times New Roman" w:cs="Times New Roman" w:eastAsia="Times New Roman" w:hAnsi="Times New Roman"/>
          <w:sz w:val="18"/>
          <w:szCs w:val="18"/>
          <w:b w:val="1"/>
          <w:bCs w:val="1"/>
          <w:color w:val="auto"/>
        </w:rPr>
      </w:pPr>
    </w:p>
    <w:p>
      <w:pPr>
        <w:ind w:left="6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three and nine months ended September 30, 2018, the Company's provision for income taxes included charges of $24 related to taxes on the distributions of foreign earnings, which were previously asserted to be indefinitely reinvested, and $4 to adjust provisional amounts related to the Tax Act.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7"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computations of basic and diluted earnings per share attributable to the Company.</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20"/>
                <w:szCs w:val="20"/>
                <w:color w:val="auto"/>
              </w:rPr>
            </w:pPr>
          </w:p>
        </w:tc>
        <w:tc>
          <w:tcPr>
            <w:tcW w:w="21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70"/>
        </w:trPr>
        <w:tc>
          <w:tcPr>
            <w:tcW w:w="4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6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9"/>
              </w:rPr>
              <w:t>2018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Crown Holdings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3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133.9</w:t>
            </w:r>
          </w:p>
        </w:tc>
        <w:tc>
          <w:tcPr>
            <w:tcW w:w="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133.7</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133.9</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43"/>
        </w:trPr>
        <w:tc>
          <w:tcPr>
            <w:tcW w:w="4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Dilutive restricted stock</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135.0</w:t>
            </w:r>
          </w:p>
        </w:tc>
        <w:tc>
          <w:tcPr>
            <w:tcW w:w="3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133.8</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134.8</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6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3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67"/>
        </w:trPr>
        <w:tc>
          <w:tcPr>
            <w:tcW w:w="46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2019, 0.2 million and 0.6 million contingently issuable common shares were excluded from the computation of diluted earnings per share because the effect would be anti-dilutive. For the three and nine months ended September 30, 2018, 0.4 million and 0.9 million contingently issuable common shares were excluded from the computation of diluted earnings per share because the effect would be anti-dilutive.</w:t>
      </w:r>
    </w:p>
    <w:p>
      <w:pPr>
        <w:spacing w:after="0" w:line="392"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evaluates performance and allocates resources based on segment income, which is not a defined term under GAAP. The Company defines segment income as income from operations adjusted to exclude intangibles amortization charges, provisions for asbestos and restructuring and other, and the impact of fair value adjustments to inventory acquired in an acquisition.</w:t>
      </w:r>
    </w:p>
    <w:p>
      <w:pPr>
        <w:spacing w:after="0" w:line="176"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Segment income should not be considered in isolation or as a substitute for net income prepared in accordance with GAAP and may not be comparable to calculations of similarly titled measures by other companies.</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tables below present information about the Company's operating segments.</w:t>
      </w:r>
    </w:p>
    <w:p>
      <w:pPr>
        <w:spacing w:after="0" w:line="38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color w:val="auto"/>
              </w:rPr>
              <w:t>External Sales</w:t>
            </w:r>
          </w:p>
        </w:tc>
        <w:tc>
          <w:tcPr>
            <w:tcW w:w="240" w:type="dxa"/>
            <w:vAlign w:val="bottom"/>
          </w:tcPr>
          <w:p>
            <w:pPr>
              <w:spacing w:after="0"/>
              <w:rPr>
                <w:sz w:val="20"/>
                <w:szCs w:val="20"/>
                <w:color w:val="auto"/>
              </w:rPr>
            </w:pPr>
          </w:p>
        </w:tc>
        <w:tc>
          <w:tcPr>
            <w:tcW w:w="212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color w:val="auto"/>
              </w:rPr>
              <w:t>External Sales</w:t>
            </w:r>
          </w:p>
        </w:tc>
      </w:tr>
      <w:tr>
        <w:trPr>
          <w:trHeight w:val="27"/>
        </w:trPr>
        <w:tc>
          <w:tcPr>
            <w:tcW w:w="4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70"/>
        </w:trPr>
        <w:tc>
          <w:tcPr>
            <w:tcW w:w="4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4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23"/>
                <w:szCs w:val="23"/>
                <w:color w:val="auto"/>
              </w:rPr>
            </w:pPr>
          </w:p>
        </w:tc>
        <w:tc>
          <w:tcPr>
            <w:tcW w:w="212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7"/>
        </w:trPr>
        <w:tc>
          <w:tcPr>
            <w:tcW w:w="4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4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872</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418</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Food</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623</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Transit Packaging</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w:t>
            </w:r>
          </w:p>
        </w:tc>
        <w:tc>
          <w:tcPr>
            <w:tcW w:w="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r>
      <w:tr>
        <w:trPr>
          <w:trHeight w:val="237"/>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2,715</w:t>
            </w:r>
          </w:p>
        </w:tc>
        <w:tc>
          <w:tcPr>
            <w:tcW w:w="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2,819</w:t>
            </w:r>
          </w:p>
        </w:tc>
        <w:tc>
          <w:tcPr>
            <w:tcW w:w="4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7,432</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Non-reportable segments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w:t>
            </w:r>
          </w:p>
        </w:tc>
        <w:tc>
          <w:tcPr>
            <w:tcW w:w="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37"/>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3,084</w:t>
            </w:r>
          </w:p>
        </w:tc>
        <w:tc>
          <w:tcPr>
            <w:tcW w:w="1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3,174</w:t>
            </w:r>
          </w:p>
        </w:tc>
        <w:tc>
          <w:tcPr>
            <w:tcW w:w="4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8,417</w:t>
            </w:r>
          </w:p>
        </w:tc>
      </w:tr>
      <w:tr>
        <w:trPr>
          <w:trHeight w:val="27"/>
        </w:trPr>
        <w:tc>
          <w:tcPr>
            <w:tcW w:w="4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4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primary sources of revenue included in non-reportable segments are the Company's food can and closures business in North America, aerosol can businesses in North America and Europe, its promotional packaging business in Europe and its tooling and equipment operations in the U.S. and U.K.</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7" w:right="2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2940" w:type="dxa"/>
            <w:vAlign w:val="bottom"/>
            <w:gridSpan w:val="4"/>
          </w:tcPr>
          <w:p>
            <w:pPr>
              <w:ind w:left="118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837"/>
        </w:trPr>
        <w:tc>
          <w:tcPr>
            <w:tcW w:w="3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color w:val="auto"/>
                <w:w w:val="99"/>
              </w:rPr>
              <w:t>Intersegment Sales</w:t>
            </w:r>
          </w:p>
        </w:tc>
        <w:tc>
          <w:tcPr>
            <w:tcW w:w="240" w:type="dxa"/>
            <w:vAlign w:val="bottom"/>
          </w:tcPr>
          <w:p>
            <w:pPr>
              <w:spacing w:after="0"/>
              <w:rPr>
                <w:sz w:val="24"/>
                <w:szCs w:val="24"/>
                <w:color w:val="auto"/>
              </w:rPr>
            </w:pPr>
          </w:p>
        </w:tc>
        <w:tc>
          <w:tcPr>
            <w:tcW w:w="212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Intersegment Sales</w:t>
            </w:r>
          </w:p>
        </w:tc>
      </w:tr>
      <w:tr>
        <w:trPr>
          <w:trHeight w:val="27"/>
        </w:trPr>
        <w:tc>
          <w:tcPr>
            <w:tcW w:w="3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70"/>
        </w:trPr>
        <w:tc>
          <w:tcPr>
            <w:tcW w:w="30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4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23"/>
                <w:szCs w:val="23"/>
                <w:color w:val="auto"/>
              </w:rPr>
            </w:pPr>
          </w:p>
        </w:tc>
        <w:tc>
          <w:tcPr>
            <w:tcW w:w="212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7"/>
        </w:trPr>
        <w:tc>
          <w:tcPr>
            <w:tcW w:w="3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30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3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Food</w:t>
            </w:r>
          </w:p>
        </w:tc>
        <w:tc>
          <w:tcPr>
            <w:tcW w:w="1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30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1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Non-reportable segments</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30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Intersegment sales primarily include sales of ends and components used to manufacture cans, such as printed and coated metal, as well as parts and equipment used in the manufacturing process.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202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color w:val="auto"/>
              </w:rPr>
              <w:t>Segment Income</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rPr>
              <w:t>Segment Income</w:t>
            </w:r>
          </w:p>
        </w:tc>
      </w:tr>
      <w:tr>
        <w:trPr>
          <w:trHeight w:val="27"/>
        </w:trPr>
        <w:tc>
          <w:tcPr>
            <w:tcW w:w="4720" w:type="dxa"/>
            <w:vAlign w:val="bottom"/>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202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70"/>
        </w:trPr>
        <w:tc>
          <w:tcPr>
            <w:tcW w:w="4720" w:type="dxa"/>
            <w:vAlign w:val="bottom"/>
          </w:tcPr>
          <w:p>
            <w:pPr>
              <w:spacing w:after="0"/>
              <w:rPr>
                <w:sz w:val="23"/>
                <w:szCs w:val="23"/>
                <w:color w:val="auto"/>
              </w:rPr>
            </w:pPr>
          </w:p>
        </w:tc>
        <w:tc>
          <w:tcPr>
            <w:tcW w:w="202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color w:val="auto"/>
                <w:w w:val="99"/>
              </w:rPr>
              <w:t>September 30,</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2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7"/>
        </w:trPr>
        <w:tc>
          <w:tcPr>
            <w:tcW w:w="47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47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134</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125</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7"/>
        </w:trPr>
        <w:tc>
          <w:tcPr>
            <w:tcW w:w="4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Food</w:t>
            </w: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7"/>
        </w:trPr>
        <w:tc>
          <w:tcPr>
            <w:tcW w:w="4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7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4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7"/>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7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398</w:t>
            </w:r>
          </w:p>
        </w:tc>
        <w:tc>
          <w:tcPr>
            <w:tcW w:w="18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408</w:t>
            </w:r>
          </w:p>
        </w:tc>
        <w:tc>
          <w:tcPr>
            <w:tcW w:w="4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r>
      <w:tr>
        <w:trPr>
          <w:trHeight w:val="27"/>
        </w:trPr>
        <w:tc>
          <w:tcPr>
            <w:tcW w:w="47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4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segment income of reportable segments to income before income taxes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278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20"/>
                <w:szCs w:val="20"/>
                <w:color w:val="auto"/>
              </w:rPr>
            </w:pPr>
          </w:p>
        </w:tc>
        <w:tc>
          <w:tcPr>
            <w:tcW w:w="21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70"/>
        </w:trPr>
        <w:tc>
          <w:tcPr>
            <w:tcW w:w="4720" w:type="dxa"/>
            <w:vAlign w:val="bottom"/>
          </w:tcPr>
          <w:p>
            <w:pPr>
              <w:spacing w:after="0"/>
              <w:rPr>
                <w:sz w:val="23"/>
                <w:szCs w:val="23"/>
                <w:color w:val="auto"/>
              </w:rPr>
            </w:pPr>
          </w:p>
        </w:tc>
        <w:tc>
          <w:tcPr>
            <w:tcW w:w="278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23"/>
                <w:szCs w:val="23"/>
                <w:color w:val="auto"/>
              </w:rPr>
            </w:pPr>
          </w:p>
        </w:tc>
        <w:tc>
          <w:tcPr>
            <w:tcW w:w="21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7"/>
        </w:trPr>
        <w:tc>
          <w:tcPr>
            <w:tcW w:w="47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47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 of reportable segments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398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 of non-reportable segments</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7"/>
        </w:trPr>
        <w:tc>
          <w:tcPr>
            <w:tcW w:w="4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740" w:type="dxa"/>
            <w:vAlign w:val="bottom"/>
          </w:tcPr>
          <w:p>
            <w:pPr>
              <w:spacing w:after="0"/>
              <w:rPr>
                <w:sz w:val="21"/>
                <w:szCs w:val="21"/>
                <w:color w:val="auto"/>
              </w:rPr>
            </w:pP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4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Accelerated depreciation</w:t>
            </w:r>
          </w:p>
        </w:tc>
        <w:tc>
          <w:tcPr>
            <w:tcW w:w="7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Fair value adjustment to inventory</w:t>
            </w:r>
          </w:p>
        </w:tc>
        <w:tc>
          <w:tcPr>
            <w:tcW w:w="7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7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4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early extinguishments of debt</w:t>
            </w:r>
          </w:p>
        </w:tc>
        <w:tc>
          <w:tcPr>
            <w:tcW w:w="7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7"/>
        </w:trPr>
        <w:tc>
          <w:tcPr>
            <w:tcW w:w="4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7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47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257</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c>
          <w:tcPr>
            <w:tcW w:w="4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2019, intercompany profits of $1 and $5 were eliminated within segment income of non-reportable segments. For the three and nine months ended September 30, 2018, intercompany profits of $3 and $7 were eliminated within segment income of non-reportable segments.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Corporate and unallocated items includes corporate and division administrative costs, technology costs and fair value adjustments for the sale of inventory acquired in an acquisition.</w:t>
      </w:r>
    </w:p>
    <w:p>
      <w:pPr>
        <w:sectPr>
          <w:pgSz w:w="11900" w:h="16838" w:orient="portrait"/>
          <w:cols w:equalWidth="0" w:num="1">
            <w:col w:w="10760"/>
          </w:cols>
          <w:pgMar w:left="900" w:top="117" w:right="239" w:bottom="887" w:gutter="0" w:footer="0" w:header="0"/>
        </w:sectPr>
      </w:pPr>
    </w:p>
    <w:p>
      <w:pPr>
        <w:spacing w:after="0" w:line="200" w:lineRule="exact"/>
        <w:rPr>
          <w:sz w:val="20"/>
          <w:szCs w:val="20"/>
          <w:color w:val="auto"/>
        </w:rPr>
      </w:pPr>
    </w:p>
    <w:p>
      <w:pPr>
        <w:spacing w:after="0" w:line="20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760"/>
          </w:cols>
          <w:pgMar w:left="900" w:top="117" w:right="239" w:bottom="887"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hanging="571"/>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Condensed Combining Financial Information</w:t>
      </w:r>
    </w:p>
    <w:p>
      <w:pPr>
        <w:spacing w:after="0" w:line="310"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Crown Cork &amp; Seal Company, Inc. (Issuer), a 100% owned subsidiary of the Company, has $350 principal amount of 7.375% senior notes due 2026 and $40 principal amount of 7.5% senior notes due 2096 outstanding that are fully and unconditionally guaranteed by Crown Holdings, Inc. (Parent). No other subsidiary guarantees the debt and the guarantees are made on a joint and several basis.</w:t>
      </w:r>
    </w:p>
    <w:p>
      <w:pPr>
        <w:spacing w:after="0" w:line="17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condensed combining financial statements:</w:t>
      </w:r>
    </w:p>
    <w:p>
      <w:pPr>
        <w:spacing w:after="0" w:line="36" w:lineRule="exact"/>
        <w:rPr>
          <w:rFonts w:ascii="Times New Roman" w:cs="Times New Roman" w:eastAsia="Times New Roman" w:hAnsi="Times New Roman"/>
          <w:sz w:val="18"/>
          <w:szCs w:val="18"/>
          <w:b w:val="1"/>
          <w:bCs w:val="1"/>
          <w:color w:val="auto"/>
        </w:rPr>
      </w:pPr>
    </w:p>
    <w:p>
      <w:pPr>
        <w:ind w:left="1360" w:hanging="704"/>
        <w:spacing w:after="0"/>
        <w:tabs>
          <w:tab w:leader="none" w:pos="13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comprehensive income for the three and nine months ended September 30, 2019 and 2018,</w:t>
      </w:r>
    </w:p>
    <w:p>
      <w:pPr>
        <w:spacing w:after="0" w:line="4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sheets as of September 30, 2019 and December 31, 2018, and</w:t>
      </w:r>
    </w:p>
    <w:p>
      <w:pPr>
        <w:spacing w:after="0" w:line="4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cash flows for the nine months ended September 30, 2019 and 2018</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are presented on the following pages to comply with the Company’s requirements under Rule 3-10 of Regulation S-X.</w:t>
      </w:r>
    </w:p>
    <w:p>
      <w:pPr>
        <w:spacing w:after="0" w:line="200" w:lineRule="exact"/>
        <w:rPr>
          <w:sz w:val="20"/>
          <w:szCs w:val="20"/>
          <w:color w:val="auto"/>
        </w:rPr>
      </w:pPr>
    </w:p>
    <w:p>
      <w:pPr>
        <w:spacing w:after="0" w:line="23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CONDENSED COMBINING STATEMENT OF COMPREHENSIVE INCOME</w:t>
      </w:r>
    </w:p>
    <w:p>
      <w:pPr>
        <w:spacing w:after="0" w:line="17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2019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40" w:type="dxa"/>
            <w:vAlign w:val="bottom"/>
          </w:tcPr>
          <w:p>
            <w:pPr>
              <w:spacing w:after="0"/>
              <w:rPr>
                <w:sz w:val="13"/>
                <w:szCs w:val="13"/>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3"/>
                <w:szCs w:val="13"/>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49"/>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3,084</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 of products sold, excluding depreciation and amortization</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2,455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Restructuring and other</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interest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exchange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 (benefit from)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earnings / (loss) in affiliates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CONDENSED COMBINING STATEMENT OF COMPREHENSIVE INCOME</w:t>
      </w:r>
    </w:p>
    <w:p>
      <w:pPr>
        <w:spacing w:after="0" w:line="17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2018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00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w w:val="99"/>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4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3,174</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 of products sold, excluding depreciation and amortization</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Restructuring and other</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interest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exchange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 (benefit from)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earnings / (loss) in affiliates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CONDENSED COMBINING STATEMENT OF COMPREHENSIVE INCOME</w:t>
      </w:r>
    </w:p>
    <w:p>
      <w:pPr>
        <w:spacing w:after="0" w:line="17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60" w:type="dxa"/>
            <w:vAlign w:val="bottom"/>
          </w:tcPr>
          <w:p>
            <w:pPr>
              <w:spacing w:after="0"/>
              <w:rPr>
                <w:sz w:val="13"/>
                <w:szCs w:val="13"/>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49"/>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8,874</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 of products sold, excluding depreciation and amortization</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7,082</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Restructuring and other</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from early extinguishments of debt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exchange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 (benefit from) income taxes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earnings / (loss) in affiliates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97"/>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311"/>
        </w:trPr>
        <w:tc>
          <w:tcPr>
            <w:tcW w:w="5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57"/>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Crown Holdings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117" w:right="2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CONDENSED COMBINING STATEMENT OF COMPREHENSIVE INCOME</w:t>
      </w:r>
    </w:p>
    <w:p>
      <w:pPr>
        <w:spacing w:after="0" w:line="17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60" w:type="dxa"/>
            <w:vAlign w:val="bottom"/>
          </w:tcPr>
          <w:p>
            <w:pPr>
              <w:spacing w:after="0"/>
              <w:rPr>
                <w:sz w:val="13"/>
                <w:szCs w:val="13"/>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49"/>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8,417</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 of products sold, excluding depreciation and amortization</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6,804</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Restructuring and other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interest expense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exchange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 (benefit from)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earnings / (loss) in affiliates</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Crown Holdings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60" w:top="117" w:right="25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CONDENSED COMBINING BALANCE SHEET</w:t>
      </w:r>
    </w:p>
    <w:p>
      <w:pPr>
        <w:spacing w:after="0" w:line="17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As of September 30, 2019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22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40" w:type="dxa"/>
            <w:vAlign w:val="bottom"/>
          </w:tcPr>
          <w:p>
            <w:pPr>
              <w:spacing w:after="0"/>
              <w:rPr>
                <w:sz w:val="13"/>
                <w:szCs w:val="13"/>
                <w:color w:val="auto"/>
              </w:rPr>
            </w:pPr>
          </w:p>
        </w:tc>
        <w:tc>
          <w:tcPr>
            <w:tcW w:w="11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49"/>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1,740</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4,082</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debt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4,342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37"/>
        </w:trPr>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4,514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18,744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15,337</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Short-term debt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2,409</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3,632</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8,042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intercompany debt</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Postretirement and pension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Crown Holdings shareholders’ equity/(deficit)</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equity/(deficit)</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2,744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37"/>
        </w:trPr>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4,514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18,744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15,337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CONDENSED COMBINING BALANCE SHEET</w:t>
      </w:r>
    </w:p>
    <w:p>
      <w:pPr>
        <w:spacing w:after="0" w:line="17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22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40" w:type="dxa"/>
            <w:vAlign w:val="bottom"/>
          </w:tcPr>
          <w:p>
            <w:pPr>
              <w:spacing w:after="0"/>
              <w:rPr>
                <w:sz w:val="13"/>
                <w:szCs w:val="13"/>
                <w:color w:val="auto"/>
              </w:rPr>
            </w:pPr>
          </w:p>
        </w:tc>
        <w:tc>
          <w:tcPr>
            <w:tcW w:w="11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49"/>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1,690</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4,079</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debt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4,442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3,745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3,459</w:t>
            </w:r>
          </w:p>
        </w:tc>
        <w:tc>
          <w:tcPr>
            <w:tcW w:w="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18,656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15,262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Short-term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2,732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3,913</w:t>
            </w:r>
          </w:p>
        </w:tc>
        <w:tc>
          <w:tcPr>
            <w:tcW w:w="0" w:type="dxa"/>
            <w:vAlign w:val="bottom"/>
          </w:tcPr>
          <w:p>
            <w:pPr>
              <w:spacing w:after="0"/>
              <w:rPr>
                <w:sz w:val="1"/>
                <w:szCs w:val="1"/>
                <w:color w:val="auto"/>
              </w:rPr>
            </w:pPr>
          </w:p>
        </w:tc>
      </w:tr>
      <w:tr>
        <w:trPr>
          <w:trHeight w:val="291"/>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8,493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intercompany debt</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Postretirement and pension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Crown Holdings shareholders’ equity/(deficit)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equity/(deficit)</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2,134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5,437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3,459</w:t>
            </w:r>
          </w:p>
        </w:tc>
        <w:tc>
          <w:tcPr>
            <w:tcW w:w="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18,656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15,262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33</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CONDENSED COMBINING STATEMENT OF CASH FLOWS</w:t>
      </w:r>
    </w:p>
    <w:p>
      <w:pPr>
        <w:spacing w:after="0" w:line="17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16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by/(used for) operating activities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 of property, plant and</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equipment</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investment hedge</w:t>
            </w: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1"/>
        </w:trPr>
        <w:tc>
          <w:tcPr>
            <w:tcW w:w="4120" w:type="dxa"/>
            <w:vAlign w:val="bottom"/>
          </w:tcPr>
          <w:p>
            <w:pPr>
              <w:ind w:left="720"/>
              <w:spacing w:after="0" w:line="201" w:lineRule="exact"/>
              <w:rPr>
                <w:sz w:val="20"/>
                <w:szCs w:val="20"/>
                <w:color w:val="auto"/>
              </w:rPr>
            </w:pPr>
            <w:r>
              <w:rPr>
                <w:rFonts w:ascii="Times New Roman" w:cs="Times New Roman" w:eastAsia="Times New Roman" w:hAnsi="Times New Roman"/>
                <w:sz w:val="18"/>
                <w:szCs w:val="18"/>
                <w:b w:val="1"/>
                <w:bCs w:val="1"/>
                <w:color w:val="auto"/>
              </w:rPr>
              <w:t>Net cash provided by/(used for) investing</w:t>
            </w:r>
          </w:p>
        </w:tc>
        <w:tc>
          <w:tcPr>
            <w:tcW w:w="9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98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change in revolving credit facility and short-</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term debt</w:t>
            </w:r>
          </w:p>
        </w:tc>
        <w:tc>
          <w:tcPr>
            <w:tcW w:w="9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change in long-term intercompany balances</w:t>
            </w:r>
          </w:p>
        </w:tc>
        <w:tc>
          <w:tcPr>
            <w:tcW w:w="9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Payments of finance leases</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issued</w:t>
            </w:r>
          </w:p>
        </w:tc>
        <w:tc>
          <w:tcPr>
            <w:tcW w:w="9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 paid</w:t>
            </w: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 paid to noncontrolling interests</w:t>
            </w: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Contribution from noncontrolling interests</w:t>
            </w: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exchange derivatives related to debt</w:t>
            </w:r>
          </w:p>
        </w:tc>
        <w:tc>
          <w:tcPr>
            <w:tcW w:w="9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1"/>
        </w:trPr>
        <w:tc>
          <w:tcPr>
            <w:tcW w:w="4120" w:type="dxa"/>
            <w:vAlign w:val="bottom"/>
          </w:tcPr>
          <w:p>
            <w:pPr>
              <w:ind w:left="720"/>
              <w:spacing w:after="0" w:line="201" w:lineRule="exact"/>
              <w:rPr>
                <w:sz w:val="20"/>
                <w:szCs w:val="20"/>
                <w:color w:val="auto"/>
              </w:rPr>
            </w:pPr>
            <w:r>
              <w:rPr>
                <w:rFonts w:ascii="Times New Roman" w:cs="Times New Roman" w:eastAsia="Times New Roman" w:hAnsi="Times New Roman"/>
                <w:sz w:val="18"/>
                <w:szCs w:val="18"/>
                <w:b w:val="1"/>
                <w:bCs w:val="1"/>
                <w:color w:val="auto"/>
              </w:rPr>
              <w:t>Net cash provided by/(used for) financing</w:t>
            </w:r>
          </w:p>
        </w:tc>
        <w:tc>
          <w:tcPr>
            <w:tcW w:w="9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Effect of exchange rate changes on cash, cash</w:t>
            </w: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9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9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January 1</w:t>
            </w:r>
          </w:p>
        </w:tc>
        <w:tc>
          <w:tcPr>
            <w:tcW w:w="9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01"/>
        </w:trPr>
        <w:tc>
          <w:tcPr>
            <w:tcW w:w="412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w:t>
            </w:r>
          </w:p>
        </w:tc>
        <w:tc>
          <w:tcPr>
            <w:tcW w:w="980" w:type="dxa"/>
            <w:vAlign w:val="bottom"/>
            <w:tcBorders>
              <w:top w:val="single" w:sz="8" w:color="auto"/>
            </w:tcBorders>
            <w:vMerge w:val="restart"/>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320" w:type="dxa"/>
            <w:vAlign w:val="bottom"/>
            <w:tcBorders>
              <w:top w:val="single" w:sz="8" w:color="auto"/>
            </w:tcBorders>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50"/>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vMerge w:val="continue"/>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CONDENSED COMBINING STATEMENT OF CASH FLOWS</w:t>
      </w:r>
    </w:p>
    <w:p>
      <w:pPr>
        <w:spacing w:after="0" w:line="17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22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3"/>
                <w:szCs w:val="13"/>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69"/>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by/(used for) operating activities</w:t>
            </w:r>
          </w:p>
        </w:tc>
        <w:tc>
          <w:tcPr>
            <w:tcW w:w="960" w:type="dxa"/>
            <w:vAlign w:val="bottom"/>
            <w:tcBorders>
              <w:top w:val="single" w:sz="8" w:color="auto"/>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Beneficial interests in transferred receivables</w:t>
            </w: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0" w:type="dxa"/>
            <w:vAlign w:val="bottom"/>
          </w:tcPr>
          <w:p>
            <w:pPr>
              <w:spacing w:after="0"/>
              <w:rPr>
                <w:sz w:val="1"/>
                <w:szCs w:val="1"/>
                <w:color w:val="auto"/>
              </w:rPr>
            </w:pPr>
          </w:p>
        </w:tc>
      </w:tr>
      <w:tr>
        <w:trPr>
          <w:trHeight w:val="225"/>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 of property, plant and</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equipment</w:t>
            </w: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investment hedge</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5"/>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exchange derivatives related to</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acquisitions</w:t>
            </w: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1"/>
        </w:trPr>
        <w:tc>
          <w:tcPr>
            <w:tcW w:w="4120" w:type="dxa"/>
            <w:vAlign w:val="bottom"/>
          </w:tcPr>
          <w:p>
            <w:pPr>
              <w:ind w:left="720"/>
              <w:spacing w:after="0" w:line="201" w:lineRule="exact"/>
              <w:rPr>
                <w:sz w:val="20"/>
                <w:szCs w:val="20"/>
                <w:color w:val="auto"/>
              </w:rPr>
            </w:pPr>
            <w:r>
              <w:rPr>
                <w:rFonts w:ascii="Times New Roman" w:cs="Times New Roman" w:eastAsia="Times New Roman" w:hAnsi="Times New Roman"/>
                <w:sz w:val="18"/>
                <w:szCs w:val="18"/>
                <w:b w:val="1"/>
                <w:bCs w:val="1"/>
                <w:color w:val="auto"/>
              </w:rPr>
              <w:t>Net cash provided by/(used for) investing</w:t>
            </w:r>
          </w:p>
        </w:tc>
        <w:tc>
          <w:tcPr>
            <w:tcW w:w="9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9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4,082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5"/>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change in revolving credit facility and short-</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term debt</w:t>
            </w: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change in long-term intercompany balances</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Debt issue costs</w:t>
            </w: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issued</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Dividends paid</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 paid to noncontrolling interests</w:t>
            </w: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exchange derivatives related to debt</w:t>
            </w:r>
          </w:p>
        </w:tc>
        <w:tc>
          <w:tcPr>
            <w:tcW w:w="9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1"/>
        </w:trPr>
        <w:tc>
          <w:tcPr>
            <w:tcW w:w="4120" w:type="dxa"/>
            <w:vAlign w:val="bottom"/>
          </w:tcPr>
          <w:p>
            <w:pPr>
              <w:ind w:left="720"/>
              <w:spacing w:after="0" w:line="201" w:lineRule="exact"/>
              <w:rPr>
                <w:sz w:val="20"/>
                <w:szCs w:val="20"/>
                <w:color w:val="auto"/>
              </w:rPr>
            </w:pPr>
            <w:r>
              <w:rPr>
                <w:rFonts w:ascii="Times New Roman" w:cs="Times New Roman" w:eastAsia="Times New Roman" w:hAnsi="Times New Roman"/>
                <w:sz w:val="18"/>
                <w:szCs w:val="18"/>
                <w:b w:val="1"/>
                <w:bCs w:val="1"/>
                <w:color w:val="auto"/>
              </w:rPr>
              <w:t>Net cash provided by/(used for) financing</w:t>
            </w:r>
          </w:p>
        </w:tc>
        <w:tc>
          <w:tcPr>
            <w:tcW w:w="9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96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3,902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Effect of exchange rate changes on cash, cash</w:t>
            </w: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9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9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January 1</w:t>
            </w:r>
          </w:p>
        </w:tc>
        <w:tc>
          <w:tcPr>
            <w:tcW w:w="9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01"/>
        </w:trPr>
        <w:tc>
          <w:tcPr>
            <w:tcW w:w="412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w:t>
            </w:r>
          </w:p>
        </w:tc>
        <w:tc>
          <w:tcPr>
            <w:tcW w:w="960" w:type="dxa"/>
            <w:vAlign w:val="bottom"/>
            <w:tcBorders>
              <w:top w:val="single" w:sz="8" w:color="auto"/>
            </w:tcBorders>
            <w:vMerge w:val="restart"/>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17"/>
                <w:szCs w:val="17"/>
                <w:color w:val="auto"/>
              </w:rPr>
            </w:pPr>
          </w:p>
        </w:tc>
        <w:tc>
          <w:tcPr>
            <w:tcW w:w="3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50"/>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vMerge w:val="continue"/>
          </w:tcPr>
          <w:p>
            <w:pPr>
              <w:spacing w:after="0"/>
              <w:rPr>
                <w:sz w:val="21"/>
                <w:szCs w:val="21"/>
                <w:color w:val="auto"/>
              </w:rPr>
            </w:pPr>
          </w:p>
        </w:tc>
        <w:tc>
          <w:tcPr>
            <w:tcW w:w="42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60" w:type="dxa"/>
            <w:vAlign w:val="bottom"/>
            <w:tcBorders>
              <w:bottom w:val="single" w:sz="8" w:color="auto"/>
            </w:tcBorders>
            <w:vMerge w:val="continue"/>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7" w:right="25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Crown Americas, LLC, Crown Americas Capital Corp. IV, Crown Americas Capital Corp. V and Crown Americas Capital Corp. VI (collectively, the Issuer), 100% owned subsidiaries of the Company, have outstanding $1,000 principal amount of 4.5% senior notes due 2023, $400 principal amount of 4.25% senior notes due 2026, and $875 principal amount of 4.75% senior notes due 2026, which are fully and unconditionally guaranteed by Crown Holdings, Inc. (Parent) and substantially all of its subsidiaries in the United States. The guarantors are 100% owned by the Company and the guarantees are made on a joint and several basis.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condensed combining financial statements:</w:t>
      </w:r>
    </w:p>
    <w:p>
      <w:pPr>
        <w:spacing w:after="0" w:line="2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comprehensive income for the three and nine months ended September 30, 2019 and 2018,</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sheets as of September 30, 2019 and December 31, 2018,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cash flows for the nine months ended September 30, 2019 and 2018</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presented on the following pages to comply with the Company’s requirements under Rule 3-10 of Regulation S-X.</w:t>
      </w:r>
    </w:p>
    <w:p>
      <w:pPr>
        <w:spacing w:after="0" w:line="200" w:lineRule="exact"/>
        <w:rPr>
          <w:sz w:val="20"/>
          <w:szCs w:val="20"/>
          <w:color w:val="auto"/>
        </w:rPr>
      </w:pPr>
    </w:p>
    <w:p>
      <w:pPr>
        <w:spacing w:after="0" w:line="31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CONDENSED COMBINING STATEMENT OF COMPREHENSIVE INCOME</w:t>
      </w:r>
    </w:p>
    <w:p>
      <w:pPr>
        <w:spacing w:after="0" w:line="17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2019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300" w:type="dxa"/>
            <w:vAlign w:val="bottom"/>
          </w:tcPr>
          <w:p>
            <w:pPr>
              <w:spacing w:after="0"/>
              <w:rPr>
                <w:sz w:val="13"/>
                <w:szCs w:val="13"/>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40" w:type="dxa"/>
            <w:vAlign w:val="bottom"/>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3"/>
                <w:szCs w:val="13"/>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49"/>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3,084</w:t>
            </w:r>
          </w:p>
        </w:tc>
        <w:tc>
          <w:tcPr>
            <w:tcW w:w="0" w:type="dxa"/>
            <w:vAlign w:val="bottom"/>
          </w:tcPr>
          <w:p>
            <w:pPr>
              <w:spacing w:after="0"/>
              <w:rPr>
                <w:sz w:val="1"/>
                <w:szCs w:val="1"/>
                <w:color w:val="auto"/>
              </w:rPr>
            </w:pPr>
          </w:p>
        </w:tc>
      </w:tr>
      <w:tr>
        <w:trPr>
          <w:trHeight w:val="225"/>
        </w:trPr>
        <w:tc>
          <w:tcPr>
            <w:tcW w:w="4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 of products sold, excluding depreciation and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2,455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Restructuring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interest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Technology royalty</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 (benefit from) income taxes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earnings / (loss) in affiliates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67"/>
        </w:trPr>
        <w:tc>
          <w:tcPr>
            <w:tcW w:w="43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Comprehensive income attributable to noncontrolling</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interests</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CONDENSED COMBINING STATEMENT OF COMPREHENSIVE INCOME</w:t>
      </w:r>
    </w:p>
    <w:p>
      <w:pPr>
        <w:spacing w:after="0" w:line="17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2018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0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49"/>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3,174</w:t>
            </w:r>
          </w:p>
        </w:tc>
        <w:tc>
          <w:tcPr>
            <w:tcW w:w="0" w:type="dxa"/>
            <w:vAlign w:val="bottom"/>
          </w:tcPr>
          <w:p>
            <w:pPr>
              <w:spacing w:after="0"/>
              <w:rPr>
                <w:sz w:val="1"/>
                <w:szCs w:val="1"/>
                <w:color w:val="auto"/>
              </w:rPr>
            </w:pPr>
          </w:p>
        </w:tc>
      </w:tr>
      <w:tr>
        <w:trPr>
          <w:trHeight w:val="225"/>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 of products sold, excluding depreciation and</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Restructuring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interest expense</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Technology royalty</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 (benefit from) income taxes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earnings / (loss) in affiliates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7"/>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67"/>
        </w:trPr>
        <w:tc>
          <w:tcPr>
            <w:tcW w:w="43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Comprehensive income attributable to noncontrolling</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7"/>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611"/>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CONDENSED COMBINING STATEMENT OF COMPREHENSIVE INCOME</w:t>
      </w:r>
    </w:p>
    <w:p>
      <w:pPr>
        <w:spacing w:after="0" w:line="17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300" w:type="dxa"/>
            <w:vAlign w:val="bottom"/>
          </w:tcPr>
          <w:p>
            <w:pPr>
              <w:spacing w:after="0"/>
              <w:rPr>
                <w:sz w:val="13"/>
                <w:szCs w:val="13"/>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20" w:type="dxa"/>
            <w:vAlign w:val="bottom"/>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49"/>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8,874</w:t>
            </w:r>
          </w:p>
        </w:tc>
        <w:tc>
          <w:tcPr>
            <w:tcW w:w="0" w:type="dxa"/>
            <w:vAlign w:val="bottom"/>
          </w:tcPr>
          <w:p>
            <w:pPr>
              <w:spacing w:after="0"/>
              <w:rPr>
                <w:sz w:val="1"/>
                <w:szCs w:val="1"/>
                <w:color w:val="auto"/>
              </w:rPr>
            </w:pPr>
          </w:p>
        </w:tc>
      </w:tr>
      <w:tr>
        <w:trPr>
          <w:trHeight w:val="225"/>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 of products sold, excluding depreciation and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7,082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Restructuring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from early extinguishments of debt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Technology royalty</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 (benefit from)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earnings / (loss) in affiliates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25"/>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income attributable to noncontrolling</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Comprehensive income attributable to Crown Holdings </w:t>
            </w: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117" w:right="2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CONDENSED COMBINING STATEMENT OF COMPREHENSIVE INCOME</w:t>
      </w:r>
    </w:p>
    <w:p>
      <w:pPr>
        <w:spacing w:after="0" w:line="17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300" w:type="dxa"/>
            <w:vAlign w:val="bottom"/>
          </w:tcPr>
          <w:p>
            <w:pPr>
              <w:spacing w:after="0"/>
              <w:rPr>
                <w:sz w:val="13"/>
                <w:szCs w:val="13"/>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20" w:type="dxa"/>
            <w:vAlign w:val="bottom"/>
          </w:tcPr>
          <w:p>
            <w:pPr>
              <w:spacing w:after="0"/>
              <w:rPr>
                <w:sz w:val="13"/>
                <w:szCs w:val="13"/>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80" w:type="dxa"/>
            <w:vAlign w:val="bottom"/>
          </w:tcPr>
          <w:p>
            <w:pPr>
              <w:spacing w:after="0"/>
              <w:rPr>
                <w:sz w:val="13"/>
                <w:szCs w:val="13"/>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49"/>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8,417</w:t>
            </w:r>
          </w:p>
        </w:tc>
        <w:tc>
          <w:tcPr>
            <w:tcW w:w="0" w:type="dxa"/>
            <w:vAlign w:val="bottom"/>
          </w:tcPr>
          <w:p>
            <w:pPr>
              <w:spacing w:after="0"/>
              <w:rPr>
                <w:sz w:val="1"/>
                <w:szCs w:val="1"/>
                <w:color w:val="auto"/>
              </w:rPr>
            </w:pPr>
          </w:p>
        </w:tc>
      </w:tr>
      <w:tr>
        <w:trPr>
          <w:trHeight w:val="225"/>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 of products sold, excluding depreciation and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6,804</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Restructuring and other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interest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Technology royalty</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 (benefit from) income taxes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earnings / (loss) in affiliates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97"/>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311"/>
        </w:trPr>
        <w:tc>
          <w:tcPr>
            <w:tcW w:w="4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Comprehensive income attributable to noncontrolling</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interests</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Comprehensive income attributable to Crown Holdings </w:t>
            </w:r>
            <w:r>
              <w:rPr>
                <w:rFonts w:ascii="Times New Roman" w:cs="Times New Roman" w:eastAsia="Times New Roman" w:hAnsi="Times New Roman"/>
                <w:sz w:val="18"/>
                <w:szCs w:val="18"/>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117" w:right="25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CONDENSED COMBINING BALANCE SHEET</w:t>
      </w:r>
    </w:p>
    <w:p>
      <w:pPr>
        <w:spacing w:after="0" w:line="17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As of September 30, 2019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60" w:type="dxa"/>
            <w:vAlign w:val="bottom"/>
          </w:tcPr>
          <w:p>
            <w:pPr>
              <w:spacing w:after="0"/>
              <w:rPr>
                <w:sz w:val="13"/>
                <w:szCs w:val="13"/>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6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3"/>
                <w:szCs w:val="13"/>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49"/>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Intercompany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1,740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4,082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Intercompany debt receivables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4,342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3,739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15,337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Short-term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2,409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Intercompany payables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3,632</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8,042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intercompany debt</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Postretirement and pension liabilities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Crown Holdings shareholders’ equity/(deficit)</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equity/(deficit)</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4,118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5,865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8,843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11,789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15,337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7" w:right="239" w:bottom="1440"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CONDENSED COMBINING BALANCE SHEET</w:t>
      </w:r>
    </w:p>
    <w:p>
      <w:pPr>
        <w:spacing w:after="0" w:line="17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2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6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3"/>
                <w:szCs w:val="13"/>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49"/>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Intercompany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4,079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Intercompany debt receivables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4,442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3,745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3,459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5,386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8,397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11,467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15,262</w:t>
            </w:r>
          </w:p>
        </w:tc>
        <w:tc>
          <w:tcPr>
            <w:tcW w:w="0" w:type="dxa"/>
            <w:vAlign w:val="bottom"/>
          </w:tcPr>
          <w:p>
            <w:pPr>
              <w:spacing w:after="0"/>
              <w:rPr>
                <w:sz w:val="1"/>
                <w:szCs w:val="1"/>
                <w:color w:val="auto"/>
              </w:rPr>
            </w:pPr>
          </w:p>
        </w:tc>
      </w:tr>
      <w:tr>
        <w:trPr>
          <w:trHeight w:val="67"/>
        </w:trPr>
        <w:tc>
          <w:tcPr>
            <w:tcW w:w="40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Short-term debt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2,732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Intercompany payables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3,913</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8,493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intercompany debt</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Postretirement and pension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Crown Holdings shareholders’ equity/(deficit)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equity/(deficit)</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3,459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15,262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CONDENSED COMBINING STATEMENT OF CASH FLOWS</w:t>
      </w:r>
    </w:p>
    <w:p>
      <w:pPr>
        <w:spacing w:after="0" w:line="17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6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3"/>
                <w:szCs w:val="13"/>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69"/>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by/(used for) operating activities</w:t>
            </w:r>
          </w:p>
        </w:tc>
        <w:tc>
          <w:tcPr>
            <w:tcW w:w="800" w:type="dxa"/>
            <w:vAlign w:val="bottom"/>
            <w:tcBorders>
              <w:top w:val="single" w:sz="8" w:color="auto"/>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 of property, plant and</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equipment</w:t>
            </w:r>
          </w:p>
        </w:tc>
        <w:tc>
          <w:tcPr>
            <w:tcW w:w="8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investment hedge</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1"/>
        </w:trPr>
        <w:tc>
          <w:tcPr>
            <w:tcW w:w="4000" w:type="dxa"/>
            <w:vAlign w:val="bottom"/>
          </w:tcPr>
          <w:p>
            <w:pPr>
              <w:ind w:left="380"/>
              <w:spacing w:after="0" w:line="201" w:lineRule="exact"/>
              <w:rPr>
                <w:sz w:val="20"/>
                <w:szCs w:val="20"/>
                <w:color w:val="auto"/>
              </w:rPr>
            </w:pPr>
            <w:r>
              <w:rPr>
                <w:rFonts w:ascii="Times New Roman" w:cs="Times New Roman" w:eastAsia="Times New Roman" w:hAnsi="Times New Roman"/>
                <w:sz w:val="18"/>
                <w:szCs w:val="18"/>
                <w:b w:val="1"/>
                <w:bCs w:val="1"/>
                <w:color w:val="auto"/>
              </w:rPr>
              <w:t>Net cash provided by/(used for) investing</w:t>
            </w:r>
          </w:p>
        </w:tc>
        <w:tc>
          <w:tcPr>
            <w:tcW w:w="8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80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change in revolving credit facility and short-</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term debt</w:t>
            </w:r>
          </w:p>
        </w:tc>
        <w:tc>
          <w:tcPr>
            <w:tcW w:w="8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change in long-term intercompany balances</w:t>
            </w:r>
          </w:p>
        </w:tc>
        <w:tc>
          <w:tcPr>
            <w:tcW w:w="8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Payments of finance leases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issued</w:t>
            </w:r>
          </w:p>
        </w:tc>
        <w:tc>
          <w:tcPr>
            <w:tcW w:w="8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 paid</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exchange derivatives related to debt</w:t>
            </w:r>
          </w:p>
        </w:tc>
        <w:tc>
          <w:tcPr>
            <w:tcW w:w="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1"/>
        </w:trPr>
        <w:tc>
          <w:tcPr>
            <w:tcW w:w="4000" w:type="dxa"/>
            <w:vAlign w:val="bottom"/>
          </w:tcPr>
          <w:p>
            <w:pPr>
              <w:ind w:left="380"/>
              <w:spacing w:after="0" w:line="201" w:lineRule="exact"/>
              <w:rPr>
                <w:sz w:val="20"/>
                <w:szCs w:val="20"/>
                <w:color w:val="auto"/>
              </w:rPr>
            </w:pPr>
            <w:r>
              <w:rPr>
                <w:rFonts w:ascii="Times New Roman" w:cs="Times New Roman" w:eastAsia="Times New Roman" w:hAnsi="Times New Roman"/>
                <w:sz w:val="18"/>
                <w:szCs w:val="18"/>
                <w:b w:val="1"/>
                <w:bCs w:val="1"/>
                <w:color w:val="auto"/>
              </w:rPr>
              <w:t>Net cash provided by/(used for) financing</w:t>
            </w:r>
          </w:p>
        </w:tc>
        <w:tc>
          <w:tcPr>
            <w:tcW w:w="8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8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Effect of exchange rate changes on cash, cash</w:t>
            </w: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8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5"/>
        </w:trPr>
        <w:tc>
          <w:tcPr>
            <w:tcW w:w="400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Net change in cash, cash equivalents and restricted</w:t>
            </w:r>
          </w:p>
        </w:tc>
        <w:tc>
          <w:tcPr>
            <w:tcW w:w="8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80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January 1</w:t>
            </w:r>
          </w:p>
        </w:tc>
        <w:tc>
          <w:tcPr>
            <w:tcW w:w="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01"/>
        </w:trPr>
        <w:tc>
          <w:tcPr>
            <w:tcW w:w="400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w:t>
            </w:r>
          </w:p>
        </w:tc>
        <w:tc>
          <w:tcPr>
            <w:tcW w:w="800" w:type="dxa"/>
            <w:vAlign w:val="bottom"/>
            <w:tcBorders>
              <w:top w:val="single" w:sz="8" w:color="auto"/>
            </w:tcBorders>
            <w:vMerge w:val="restart"/>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50"/>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0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CONDENSED COMBINING STATEMENT OF CASH FLOWS</w:t>
      </w:r>
    </w:p>
    <w:p>
      <w:pPr>
        <w:spacing w:after="0" w:line="17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16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3"/>
                <w:szCs w:val="13"/>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69"/>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by/(used for) operating activities</w:t>
            </w:r>
          </w:p>
        </w:tc>
        <w:tc>
          <w:tcPr>
            <w:tcW w:w="800" w:type="dxa"/>
            <w:vAlign w:val="bottom"/>
            <w:tcBorders>
              <w:top w:val="single" w:sz="8" w:color="auto"/>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expenditures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Beneficial interests in transferred receivables</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0" w:type="dxa"/>
            <w:vAlign w:val="bottom"/>
          </w:tcPr>
          <w:p>
            <w:pPr>
              <w:spacing w:after="0"/>
              <w:rPr>
                <w:sz w:val="1"/>
                <w:szCs w:val="1"/>
                <w:color w:val="auto"/>
              </w:rPr>
            </w:pPr>
          </w:p>
        </w:tc>
      </w:tr>
      <w:tr>
        <w:trPr>
          <w:trHeight w:val="225"/>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 of property, plant and</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equipment</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Intercompany investing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exchange derivatives related to</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acquisitions</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investment hedge</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00" w:type="dxa"/>
            <w:vAlign w:val="bottom"/>
            <w:shd w:val="clear" w:color="auto" w:fill="CCEEFF"/>
          </w:tcPr>
          <w:p>
            <w:pPr>
              <w:ind w:left="380"/>
              <w:spacing w:after="0" w:line="201" w:lineRule="exact"/>
              <w:rPr>
                <w:sz w:val="20"/>
                <w:szCs w:val="20"/>
                <w:color w:val="auto"/>
              </w:rPr>
            </w:pPr>
            <w:r>
              <w:rPr>
                <w:rFonts w:ascii="Times New Roman" w:cs="Times New Roman" w:eastAsia="Times New Roman" w:hAnsi="Times New Roman"/>
                <w:sz w:val="18"/>
                <w:szCs w:val="18"/>
                <w:b w:val="1"/>
                <w:bCs w:val="1"/>
                <w:color w:val="auto"/>
              </w:rPr>
              <w:t>Net cash provided by/(used for) investing</w:t>
            </w: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8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4,082</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change in revolving credit facility and short-</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term debt</w:t>
            </w:r>
          </w:p>
        </w:tc>
        <w:tc>
          <w:tcPr>
            <w:tcW w:w="8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change in long-term intercompany balances</w:t>
            </w:r>
          </w:p>
        </w:tc>
        <w:tc>
          <w:tcPr>
            <w:tcW w:w="8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Debt issue costs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issued</w:t>
            </w:r>
          </w:p>
        </w:tc>
        <w:tc>
          <w:tcPr>
            <w:tcW w:w="8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 contribution</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Dividends paid</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exchange derivatives related to debt</w:t>
            </w:r>
          </w:p>
        </w:tc>
        <w:tc>
          <w:tcPr>
            <w:tcW w:w="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1"/>
        </w:trPr>
        <w:tc>
          <w:tcPr>
            <w:tcW w:w="4000" w:type="dxa"/>
            <w:vAlign w:val="bottom"/>
          </w:tcPr>
          <w:p>
            <w:pPr>
              <w:ind w:left="380"/>
              <w:spacing w:after="0" w:line="201" w:lineRule="exact"/>
              <w:rPr>
                <w:sz w:val="20"/>
                <w:szCs w:val="20"/>
                <w:color w:val="auto"/>
              </w:rPr>
            </w:pPr>
            <w:r>
              <w:rPr>
                <w:rFonts w:ascii="Times New Roman" w:cs="Times New Roman" w:eastAsia="Times New Roman" w:hAnsi="Times New Roman"/>
                <w:sz w:val="18"/>
                <w:szCs w:val="18"/>
                <w:b w:val="1"/>
                <w:bCs w:val="1"/>
                <w:color w:val="auto"/>
              </w:rPr>
              <w:t>Net cash provided by/(used for) financing</w:t>
            </w:r>
          </w:p>
        </w:tc>
        <w:tc>
          <w:tcPr>
            <w:tcW w:w="8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800" w:type="dxa"/>
            <w:vAlign w:val="bottom"/>
          </w:tcPr>
          <w:p>
            <w:pPr>
              <w:spacing w:after="0"/>
              <w:rPr>
                <w:sz w:val="20"/>
                <w:szCs w:val="20"/>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3,902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Effect of exchange rate changes on cash, cash</w:t>
            </w: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8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5"/>
        </w:trPr>
        <w:tc>
          <w:tcPr>
            <w:tcW w:w="400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Net change in cash, cash equivalents and restricted</w:t>
            </w:r>
          </w:p>
        </w:tc>
        <w:tc>
          <w:tcPr>
            <w:tcW w:w="8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80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January 1</w:t>
            </w:r>
          </w:p>
        </w:tc>
        <w:tc>
          <w:tcPr>
            <w:tcW w:w="8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01"/>
        </w:trPr>
        <w:tc>
          <w:tcPr>
            <w:tcW w:w="400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w:t>
            </w:r>
          </w:p>
        </w:tc>
        <w:tc>
          <w:tcPr>
            <w:tcW w:w="800" w:type="dxa"/>
            <w:vAlign w:val="bottom"/>
            <w:tcBorders>
              <w:top w:val="single" w:sz="8" w:color="auto"/>
            </w:tcBorders>
            <w:vMerge w:val="restart"/>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50"/>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0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60" w:right="38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tab/>
        <w:t xml:space="preserve">Management's Discussion and Analysis of Financial Condition and Results of Operations </w:t>
      </w:r>
      <w:r>
        <w:rPr>
          <w:rFonts w:ascii="Times New Roman" w:cs="Times New Roman" w:eastAsia="Times New Roman" w:hAnsi="Times New Roman"/>
          <w:sz w:val="18"/>
          <w:szCs w:val="18"/>
          <w:color w:val="auto"/>
        </w:rPr>
        <w:t>(dollars in millions)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following discussion presents management's analysis of the results of operations for the three and nine months ended September 30, 2019 compared to 2018 and changes in financial condition and liquidity from December 31, 2018. This discussion should be read in conjunction with the consolidated financial statements and notes thereto included in the Company's Annual Report on Form 10-K for the year ended December 31, 2018, along with the consolidated financial statements and related notes included in and referred to within this report.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Business Strategy and Trends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Company's strategy is to grow its businesses in targeted international growth markets, while improving operations and results in more mature markets through disciplined pricing, cost control and careful capital allocation.</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April 2018, the Company completed its acquisition of Signode Industrial Group, a leading global provider of transit packaging systems and solutions, for consideration of $3.9 billion. With the acquisition, the Company added a portfolio of premier transit and protective packaging franchises to its existing metal packaging businesses, thereby broadening and diversifying its customer base and product offerings and significantly increasing cash flow.</w:t>
      </w:r>
    </w:p>
    <w:p>
      <w:pPr>
        <w:spacing w:after="0" w:line="18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Company's global beverage can business continues to be a major strategic focus for organic growth. For several years, global industry demand for beverage cans has been growing and this is expected to continue in the coming years. While developing markets such as Southeast Asia and Brazil have experienced higher growth rates due to rising per capita incomes and accompanying increases in beverage consumption, the more mature economies in Europe and North America have also seen market expansion. Beverage cans are the world’s most sustainable and recycled beverage packaging and continue to gain market share. One of the Company’s key initiatives to drive brand differentiation has been to increase its ability to offer a number of different can sizes.</w:t>
      </w:r>
    </w:p>
    <w:p>
      <w:pPr>
        <w:spacing w:after="0" w:line="18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While the opportunity for organic volume growth in the Company's mature markets is not comparable to that in targeted international growth markets, the Company continues to generate strong returns on invested capital and significant cash flow from these businesses. The Company monitors capacity across all of its businesses and, where necessary, may take action such as closing a plant or reducing headcount to better manage its costs. Any or all of these actions may result in restructuring charges in the future which may be material.</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Through 2020, the Company's primary capital allocation focus will be to reduce leverage while continuing to invest in strategic growth projects across its existing businesses.</w:t>
      </w:r>
    </w:p>
    <w:p>
      <w:pPr>
        <w:spacing w:after="0" w:line="158"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assessing performance, the key performance measure used by the Company is segment income, a non-GAAP measure generally defined by the Company as income from operations adjusted to exclude intangibles amortization charges, provisions for asbestos and restructuring and other, and the impact of fair value adjustments to inventory acquired in an acquisition.</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foreign currency translation impacts referred to in the discussion below were primarily due to changes in the euro and pound sterling in the Company's European segments, the Canadian dollar and Mexican peso in the Company's Americas segments, the Chinese renminbi and Malaysian ringgit in the Company's Asia Pacific segment and the euro in the Company's Transit Packaging segment. The Company calculates the impact of foreign currency translation by multiplying or dividing, as appropriate, current year U.S. dollar results by the current year average foreign exchange rates and then multiplying or dividing, as appropriate, those amounts by the applicable prior year average exchange rates.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7" w:right="2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w:t>
      </w:r>
      <w:r>
        <w:rPr>
          <w:rFonts w:ascii="Times New Roman" w:cs="Times New Roman" w:eastAsia="Times New Roman" w:hAnsi="Times New Roman"/>
          <w:sz w:val="18"/>
          <w:szCs w:val="18"/>
          <w:color w:val="auto"/>
        </w:rPr>
        <w:t>(Continued)</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Sales and Segment Income</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615"/>
        </w:trPr>
        <w:tc>
          <w:tcPr>
            <w:tcW w:w="2360" w:type="dxa"/>
            <w:vAlign w:val="bottom"/>
            <w:tcBorders>
              <w:top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24"/>
                <w:szCs w:val="24"/>
                <w:color w:val="auto"/>
              </w:rPr>
            </w:pPr>
          </w:p>
        </w:tc>
        <w:tc>
          <w:tcPr>
            <w:tcW w:w="214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70"/>
        </w:trPr>
        <w:tc>
          <w:tcPr>
            <w:tcW w:w="236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52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23"/>
                <w:szCs w:val="23"/>
                <w:color w:val="auto"/>
              </w:rPr>
            </w:pPr>
          </w:p>
        </w:tc>
        <w:tc>
          <w:tcPr>
            <w:tcW w:w="214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7"/>
        </w:trPr>
        <w:tc>
          <w:tcPr>
            <w:tcW w:w="23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2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236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3,084</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8,874</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8,417</w:t>
            </w:r>
          </w:p>
        </w:tc>
      </w:tr>
      <w:tr>
        <w:trPr>
          <w:trHeight w:val="27"/>
        </w:trPr>
        <w:tc>
          <w:tcPr>
            <w:tcW w:w="236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2019 compared to 2018</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sales decreased primarily due to the pass-through of lower aluminum costs and $64 from the impact of foreign currency translation.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2019 compared to 2018</w:t>
      </w:r>
    </w:p>
    <w:p>
      <w:pPr>
        <w:spacing w:after="0" w:line="227"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$569 from an additional three months of sales by Signode, which was acquired in April 2018, offset by the pass-through of lower aluminum costs and $244 from the impact of foreign currency translation.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Americas Beverage</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Americas Beverage segment manufactures aluminum beverage cans and ends, steel crowns, glass bottles and aluminum closures and supplies a variety of customers from its operations in the U.S., Brazil, Canada, Colombia and Mexico. The U.S. and Canadian beverage can markets are mature markets which have experienced recent increased volumes. To meet volume requirements in the U.S. and Canadian beverage can markets, the Company has begun construction of a third high-speed line at its Nichols, NY facility which is expected to begin production during the second quarter of 2020. Additionally, the installation of a new beverage can line at the Weston, Ontario plant is expected to be completed in the first quarter of 2020.</w:t>
      </w:r>
    </w:p>
    <w:p>
      <w:pPr>
        <w:spacing w:after="0" w:line="18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Brazil and Mexico, the Company's sales unit volumes have increased in recent years primarily due to market growth driven by increased per capita incomes and consumption, combined with an increased preference for cans over other forms of beverage packaging. In January 2018, the Company commenced operations at a new glass bottle facility in Chihuahua, Mexico, to serve the expanding beer market in the northern part of the country. Additionally, in November 2019, the Company expects to begin operations at a new one-line beverage can facility in Rio Verde, Brazil.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sales and segment income in the Americas Beverage segment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02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70"/>
        </w:trPr>
        <w:tc>
          <w:tcPr>
            <w:tcW w:w="4700" w:type="dxa"/>
            <w:vAlign w:val="bottom"/>
          </w:tcPr>
          <w:p>
            <w:pPr>
              <w:spacing w:after="0"/>
              <w:rPr>
                <w:sz w:val="23"/>
                <w:szCs w:val="23"/>
                <w:color w:val="auto"/>
              </w:rPr>
            </w:pPr>
          </w:p>
        </w:tc>
        <w:tc>
          <w:tcPr>
            <w:tcW w:w="202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color w:val="auto"/>
                <w:w w:val="99"/>
              </w:rPr>
              <w:t>September 30,</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September 30,</w:t>
            </w:r>
          </w:p>
        </w:tc>
      </w:tr>
      <w:tr>
        <w:trPr>
          <w:trHeight w:val="27"/>
        </w:trPr>
        <w:tc>
          <w:tcPr>
            <w:tcW w:w="4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835</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872</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2,478</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134</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125</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r>
    </w:tbl>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2019 compared to 2018</w:t>
      </w:r>
    </w:p>
    <w:p>
      <w:pPr>
        <w:spacing w:after="0" w:line="227"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Net sales decreased primarily due to lower sales unit volumes, the pass-through of lower aluminum costs and $7 from the impact of foreign currency translation.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Segment income increased primarily due to lower freight costs and improved pricing in North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7" w:right="2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2019 compared to 2018</w:t>
      </w:r>
    </w:p>
    <w:p>
      <w:pPr>
        <w:spacing w:after="0" w:line="227" w:lineRule="exact"/>
        <w:rPr>
          <w:sz w:val="20"/>
          <w:szCs w:val="20"/>
          <w:color w:val="auto"/>
        </w:rPr>
      </w:pPr>
    </w:p>
    <w:p>
      <w:pPr>
        <w:ind w:left="660" w:right="560"/>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higher sales unit volumes, including a 3% increase in Brazil, partially offset by the pass-through of lower aluminum costs and $25 from the impact of foreign currency translation.</w:t>
      </w:r>
    </w:p>
    <w:p>
      <w:pPr>
        <w:spacing w:after="0" w:line="162"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Segment income increased primarily due to higher sales unit volumes, lower freight costs and improved pricing in North America partially offset by $3 from the impact of foreign currency translation.</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European Beverage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Company's European Beverage segment manufactures steel and aluminum beverage cans and ends and supplies a variety of customers from its operations throughout Europe, the Middle East and North Africa. In recent years, the Western European beverage can markets have been growing, while sales unit volumes in the Middle East have declined.</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first line of a new high-speed beverage can plant in Valencia, Spain began operations in October 2018 and the second line began operations in February 2019. The new plant facilitates the conversion from steel to aluminum beverage cans in that region. Additionally, in December 2018, the Company commenced operations at a new one-line high speed plant in Parma, Italy.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sales and segment income in the European Beverage segment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02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70"/>
        </w:trPr>
        <w:tc>
          <w:tcPr>
            <w:tcW w:w="4700" w:type="dxa"/>
            <w:vAlign w:val="bottom"/>
          </w:tcPr>
          <w:p>
            <w:pPr>
              <w:spacing w:after="0"/>
              <w:rPr>
                <w:sz w:val="23"/>
                <w:szCs w:val="23"/>
                <w:color w:val="auto"/>
              </w:rPr>
            </w:pPr>
          </w:p>
        </w:tc>
        <w:tc>
          <w:tcPr>
            <w:tcW w:w="202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color w:val="auto"/>
                <w:w w:val="99"/>
              </w:rPr>
              <w:t>September 30,</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September 30,</w:t>
            </w:r>
          </w:p>
        </w:tc>
      </w:tr>
      <w:tr>
        <w:trPr>
          <w:trHeight w:val="27"/>
        </w:trPr>
        <w:tc>
          <w:tcPr>
            <w:tcW w:w="4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416</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418</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1,194</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r>
    </w:tbl>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2019 compared to 2018</w:t>
      </w:r>
    </w:p>
    <w:p>
      <w:pPr>
        <w:spacing w:after="0" w:line="227" w:lineRule="exact"/>
        <w:rPr>
          <w:sz w:val="20"/>
          <w:szCs w:val="20"/>
          <w:color w:val="auto"/>
        </w:rPr>
      </w:pPr>
    </w:p>
    <w:p>
      <w:pPr>
        <w:ind w:left="660" w:right="280"/>
        <w:spacing w:after="0" w:line="282" w:lineRule="auto"/>
        <w:rPr>
          <w:sz w:val="20"/>
          <w:szCs w:val="20"/>
          <w:color w:val="auto"/>
        </w:rPr>
      </w:pPr>
      <w:r>
        <w:rPr>
          <w:rFonts w:ascii="Times New Roman" w:cs="Times New Roman" w:eastAsia="Times New Roman" w:hAnsi="Times New Roman"/>
          <w:sz w:val="18"/>
          <w:szCs w:val="18"/>
          <w:color w:val="auto"/>
        </w:rPr>
        <w:t>Net sales was comparable in 2018 and 2019 as the pass-through of lower aluminum costs and $15 from the impact of foreign currency translation were partially offset by 5% higher sales unit volumes.</w:t>
      </w:r>
    </w:p>
    <w:p>
      <w:pPr>
        <w:spacing w:after="0" w:line="81"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Segment income was comparable in 2018 and 2019 as the impact of unfavorable geographic mix was partially offset by the impact of higher sales unit volumes.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2019 compared to 2018</w:t>
      </w:r>
    </w:p>
    <w:p>
      <w:pPr>
        <w:spacing w:after="0" w:line="227"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Net sales decreased primarily due to the pass-through of lower aluminum costs and $53 from the impact of foreign currency translation partially offset by 5% higher sales unit volumes.</w:t>
      </w:r>
    </w:p>
    <w:p>
      <w:pPr>
        <w:spacing w:after="0" w:line="81"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Segment income decreased primarily due to higher start-up costs related to the new beverage can plants in Spain and Italy, unfavorable geographic mix and $5 from the impact of foreign currency translation.</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European Food</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European Food segment manufactures steel and aluminum food cans and ends and metal vacuum closures, and supplies a variety of customers from its operations throughout Europe and Africa. The European food can market is a mature market which has experienced stable to slightly declining volumes in recent years.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sales and segment income in the European Food segment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02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70"/>
        </w:trPr>
        <w:tc>
          <w:tcPr>
            <w:tcW w:w="4700" w:type="dxa"/>
            <w:vAlign w:val="bottom"/>
          </w:tcPr>
          <w:p>
            <w:pPr>
              <w:spacing w:after="0"/>
              <w:rPr>
                <w:sz w:val="23"/>
                <w:szCs w:val="23"/>
                <w:color w:val="auto"/>
              </w:rPr>
            </w:pPr>
          </w:p>
        </w:tc>
        <w:tc>
          <w:tcPr>
            <w:tcW w:w="202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color w:val="auto"/>
                <w:w w:val="99"/>
              </w:rPr>
              <w:t>September 30,</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September 30,</w:t>
            </w:r>
          </w:p>
        </w:tc>
      </w:tr>
      <w:tr>
        <w:trPr>
          <w:trHeight w:val="27"/>
        </w:trPr>
        <w:tc>
          <w:tcPr>
            <w:tcW w:w="4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581</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623</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1,565</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7" w:right="239" w:bottom="1440" w:gutter="0" w:footer="0" w:header="0"/>
          <w:type w:val="continuous"/>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2019 compared to 2018</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sales decreased primarily due to 3% lower sales unit volumes and $30 from the impact of foreign currency translation.</w:t>
      </w:r>
    </w:p>
    <w:p>
      <w:pPr>
        <w:spacing w:after="0" w:line="144"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Segment income decreased primarily due to higher tinplate and other operating costs that were not fully passed through in selling price and $5 from the impact of foreign currency translation.</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2019 compared to 2018</w:t>
      </w:r>
    </w:p>
    <w:p>
      <w:pPr>
        <w:spacing w:after="0" w:line="227"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Net sales decreased primarily due to $93 from the impact of foreign currency translation, partially offset by the pass-through of higher raw material costs and higher sales unit volumes.</w:t>
      </w:r>
    </w:p>
    <w:p>
      <w:pPr>
        <w:spacing w:after="0" w:line="81"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Segment income decreased primarily due to unfavorable product mix, higher tinplate and other operating costs that were not fully passed through in selling price and $12 from the impact of foreign currency translation.</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Asia Pacific</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Company's Asia Pacific segment consists of beverage can operations in Cambodia, China, Indonesia, Malaysia, Myanmar, Singapore, Thailand and Vietnam and non-beverage can operations, primarily food cans and specialty packaging. In recent years, the beverage can market in Southeast Asia has been growing. Production began at a new beverage can plant in Yangon, Myanmar in July 2018. A third beverage can line at the Phnom Penh, Cambodia plant commenced operations in January 2019. In response to market conditions in China, the Company closed its Putian facility in 2018 and its Huizhou facility in early 2019. Following these closures, the Company has three beverage can plants in China with approximately $100 in annual sales.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sales and segment income in the Asia Pacific segment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02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70"/>
        </w:trPr>
        <w:tc>
          <w:tcPr>
            <w:tcW w:w="4700" w:type="dxa"/>
            <w:vAlign w:val="bottom"/>
          </w:tcPr>
          <w:p>
            <w:pPr>
              <w:spacing w:after="0"/>
              <w:rPr>
                <w:sz w:val="23"/>
                <w:szCs w:val="23"/>
                <w:color w:val="auto"/>
              </w:rPr>
            </w:pPr>
          </w:p>
        </w:tc>
        <w:tc>
          <w:tcPr>
            <w:tcW w:w="202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color w:val="auto"/>
                <w:w w:val="99"/>
              </w:rPr>
              <w:t>September 30,</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September 30,</w:t>
            </w:r>
          </w:p>
        </w:tc>
      </w:tr>
      <w:tr>
        <w:trPr>
          <w:trHeight w:val="27"/>
        </w:trPr>
        <w:tc>
          <w:tcPr>
            <w:tcW w:w="4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319</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321</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959</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990</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r>
    </w:tbl>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Three and nine months ended September 30, 2019 compared to 2018</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Net sales decreased primarily due to lower sales unit volumes related to plant closures in China and the pass-through of lower aluminum costs and $5 from the impact of foreign currency translation for the nine months ended September 30, 2019. These decreases were partially offset by 15% and 13% higher sales unit volumes in Southeast Asia for the three and nine months ended September 30, 2019.</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Segment income increased due to favorable geographic mix.</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Transit Packaging</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On April 3, 2018, the Company completed its acquisition of Signode, which is reported as the Company's Transit Packaging segment. The Transit Packaging segment includes the Company's global industrial and protective solutions and equipment and tools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7" w:right="2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sales and segment income in the Transit Packaging segment are as follows:</w:t>
      </w:r>
    </w:p>
    <w:p>
      <w:pPr>
        <w:spacing w:after="0" w:line="38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02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70"/>
        </w:trPr>
        <w:tc>
          <w:tcPr>
            <w:tcW w:w="4700" w:type="dxa"/>
            <w:vAlign w:val="bottom"/>
          </w:tcPr>
          <w:p>
            <w:pPr>
              <w:spacing w:after="0"/>
              <w:rPr>
                <w:sz w:val="23"/>
                <w:szCs w:val="23"/>
                <w:color w:val="auto"/>
              </w:rPr>
            </w:pPr>
          </w:p>
        </w:tc>
        <w:tc>
          <w:tcPr>
            <w:tcW w:w="202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color w:val="auto"/>
                <w:w w:val="99"/>
              </w:rPr>
              <w:t>September 30,</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September 30,</w:t>
            </w:r>
          </w:p>
        </w:tc>
      </w:tr>
      <w:tr>
        <w:trPr>
          <w:trHeight w:val="27"/>
        </w:trPr>
        <w:tc>
          <w:tcPr>
            <w:tcW w:w="4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564</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585</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1,205</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r>
    </w:tbl>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2019 compared to 2018</w:t>
      </w:r>
    </w:p>
    <w:p>
      <w:pPr>
        <w:spacing w:after="0" w:line="227"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Net sales decreased primarily due to unfavorable product mix, the pass-through of lower steel prices and $9 from the impact of foreign currency translation.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Segment income decreased primarily due to unfavorable product mix.</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2019 compared to 2018</w:t>
      </w:r>
    </w:p>
    <w:p>
      <w:pPr>
        <w:spacing w:after="0" w:line="22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Net sales and segment income increased primarily due to $569 and $73 from an additional quarter of ownership in 2019 partially offset by lower sales unit volumes, unfavorable product mix and $27 and $3 from the impact of foreign currency translation.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Non-reportable Segments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Company's non-reportable segments include its food can and closures businesses in North America, its aerosol can businesses in North America and Europe, and its tooling and equipment operations in the U.S. and U.K.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sales and segment income in non-reportable segments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02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70"/>
        </w:trPr>
        <w:tc>
          <w:tcPr>
            <w:tcW w:w="4700" w:type="dxa"/>
            <w:vAlign w:val="bottom"/>
          </w:tcPr>
          <w:p>
            <w:pPr>
              <w:spacing w:after="0"/>
              <w:rPr>
                <w:sz w:val="23"/>
                <w:szCs w:val="23"/>
                <w:color w:val="auto"/>
              </w:rPr>
            </w:pPr>
          </w:p>
        </w:tc>
        <w:tc>
          <w:tcPr>
            <w:tcW w:w="202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color w:val="auto"/>
                <w:w w:val="99"/>
              </w:rPr>
              <w:t>September 30,</w:t>
            </w: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September 30,</w:t>
            </w:r>
          </w:p>
        </w:tc>
      </w:tr>
      <w:tr>
        <w:trPr>
          <w:trHeight w:val="27"/>
        </w:trPr>
        <w:tc>
          <w:tcPr>
            <w:tcW w:w="4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369</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355</w:t>
            </w: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985</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7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r>
    </w:tbl>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2019 compared to 2018</w:t>
      </w:r>
    </w:p>
    <w:p>
      <w:pPr>
        <w:spacing w:after="0" w:line="22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Net sales increased primarily due to the pass-through of higher tinplate costs and 4% higher sales unit volumes in the Company's North America food can business partially offset by lower sales in the Company's equipment operations and $5 from the impact of foreign currency translation.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Segment income decreased primarily due to lower sales in the Company's equipment operations.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2019 compared to 2018</w:t>
      </w:r>
    </w:p>
    <w:p>
      <w:pPr>
        <w:spacing w:after="0" w:line="227" w:lineRule="exact"/>
        <w:rPr>
          <w:sz w:val="20"/>
          <w:szCs w:val="20"/>
          <w:color w:val="auto"/>
        </w:rPr>
      </w:pPr>
    </w:p>
    <w:p>
      <w:pPr>
        <w:jc w:val="both"/>
        <w:ind w:left="660" w:right="320"/>
        <w:spacing w:after="0" w:line="313" w:lineRule="auto"/>
        <w:rPr>
          <w:sz w:val="20"/>
          <w:szCs w:val="20"/>
          <w:color w:val="auto"/>
        </w:rPr>
      </w:pPr>
      <w:r>
        <w:rPr>
          <w:rFonts w:ascii="Times New Roman" w:cs="Times New Roman" w:eastAsia="Times New Roman" w:hAnsi="Times New Roman"/>
          <w:sz w:val="17"/>
          <w:szCs w:val="17"/>
          <w:color w:val="auto"/>
        </w:rPr>
        <w:t>Net sales increased primarily due to the pass-through of higher tinplate costs and 5% higher sales unit volumes in the Company's North America food can business partially offset by lower sales in the Company's equipment operations and $16 from the impact of foreign currency translation.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Segment income increased primarily due to higher sales unit volumes and lower freight costs in the Company's North America food can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7"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891"/>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w:t>
            </w:r>
            <w:r>
              <w:rPr>
                <w:rFonts w:ascii="Times New Roman" w:cs="Times New Roman" w:eastAsia="Times New Roman" w:hAnsi="Times New Roman"/>
                <w:sz w:val="18"/>
                <w:szCs w:val="18"/>
                <w:color w:val="auto"/>
              </w:rPr>
              <w:t>(Continued)</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92"/>
        </w:trPr>
        <w:tc>
          <w:tcPr>
            <w:tcW w:w="470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Corporate and Unallocated Expense</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99"/>
        </w:trPr>
        <w:tc>
          <w:tcPr>
            <w:tcW w:w="66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24"/>
                <w:szCs w:val="24"/>
                <w:color w:val="auto"/>
              </w:rPr>
            </w:pPr>
          </w:p>
        </w:tc>
        <w:tc>
          <w:tcPr>
            <w:tcW w:w="21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70"/>
        </w:trPr>
        <w:tc>
          <w:tcPr>
            <w:tcW w:w="6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0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3"/>
                <w:szCs w:val="23"/>
                <w:color w:val="auto"/>
              </w:rPr>
            </w:pPr>
          </w:p>
        </w:tc>
        <w:tc>
          <w:tcPr>
            <w:tcW w:w="212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September 30,</w:t>
            </w:r>
          </w:p>
        </w:tc>
      </w:tr>
      <w:tr>
        <w:trPr>
          <w:trHeight w:val="27"/>
        </w:trPr>
        <w:tc>
          <w:tcPr>
            <w:tcW w:w="6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660" w:type="dxa"/>
            <w:vAlign w:val="bottom"/>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expense</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7"/>
        </w:trPr>
        <w:tc>
          <w:tcPr>
            <w:tcW w:w="660" w:type="dxa"/>
            <w:vAlign w:val="bottom"/>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Corporate and unallocated expenses increased for the three and nine months ended 2019 compared to 2018 primarily due to higher general corporate costs.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Cost of Products Sold (Excluding Depreciation and Amortization)</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2019 compared to 2018, cost of products sold (excluding depreciation and amortization) decreased from $2,530 to $2,455 primarily due to $53 from the impact of foreign currency translation.</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2019, compared to 2018, cost of products sold (excluding depreciation and amortization) increased from $6,804 to $7,082 primarily due to the impact of the acquisition of Signode partially offset by $201 from the impact of foreign currency translation.</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2018 cost of products sold (excluding depreciation and amortization) also included costs of $40 for the fair value adjustment related to the sale of inventory acquired with Signode.</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prices of certain raw materials used by the Company, such as aluminum and steel, can be subject to significant volatility and there has not been a consistent and predictable trend in pricing. As part of the Company's efforts to manage cost, it attempts to pass-through increases in the cost of aluminum and steel to its customers. The Company's ability to pass-through aluminum premium costs to its customers varies by market. There can be no assurance that the Company will be able to recover from its customers the impact of any such increased costs.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Depreciation and Amortization</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2019 compared to 2018, depreciation and amortization expense decreased from $127 to $121 primarily due to the impact of foreign currency translation.</w:t>
      </w:r>
    </w:p>
    <w:p>
      <w:pPr>
        <w:spacing w:after="0" w:line="162"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2019 compared to 2018, depreciation and amortization expense increased from $305 to $366 primarily due to depreciation and amortization of fixed assets and intangible assets recorded in connection with the Company's acquisition of Signode.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Selling and Administrative Expense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 was comparable for the three months ended September 30, 2019, compared to 2018. For the nine months ended September 30, 2019, compared to 2018, selling and administrative expense increased from $402 to $470 primarily due to the impact of the acquisition of Signode.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2019 compared to 2018, interest expense decreased from $105 to $95 primarily due to lower debt levels in the current year. For the nine months ended September 30, 2019 compared to 2018, interest expense increased from $282 to $290 due to higher outstanding debt from borrowings incurred to finance the Signode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17" w:right="2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w:t>
            </w:r>
            <w:r>
              <w:rPr>
                <w:rFonts w:ascii="Times New Roman" w:cs="Times New Roman" w:eastAsia="Times New Roman" w:hAnsi="Times New Roman"/>
                <w:sz w:val="18"/>
                <w:szCs w:val="18"/>
                <w:color w:val="auto"/>
              </w:rPr>
              <w:t>(Continued)</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92"/>
        </w:trPr>
        <w:tc>
          <w:tcPr>
            <w:tcW w:w="660" w:type="dxa"/>
            <w:vAlign w:val="bottom"/>
          </w:tcPr>
          <w:p>
            <w:pPr>
              <w:spacing w:after="0"/>
              <w:rPr>
                <w:sz w:val="24"/>
                <w:szCs w:val="24"/>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Taxes on Income</w:t>
            </w:r>
          </w:p>
        </w:tc>
        <w:tc>
          <w:tcPr>
            <w:tcW w:w="3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3"/>
        </w:trPr>
        <w:tc>
          <w:tcPr>
            <w:tcW w:w="66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effective income tax rate was as follows: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60" w:type="dxa"/>
            <w:vAlign w:val="bottom"/>
          </w:tcPr>
          <w:p>
            <w:pPr>
              <w:spacing w:after="0"/>
              <w:rPr>
                <w:sz w:val="24"/>
                <w:szCs w:val="24"/>
                <w:color w:val="auto"/>
              </w:rPr>
            </w:pPr>
          </w:p>
        </w:tc>
        <w:tc>
          <w:tcPr>
            <w:tcW w:w="22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70"/>
        </w:trPr>
        <w:tc>
          <w:tcPr>
            <w:tcW w:w="6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2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color w:val="auto"/>
                <w:w w:val="99"/>
              </w:rPr>
              <w:t>September 30,</w:t>
            </w:r>
          </w:p>
        </w:tc>
        <w:tc>
          <w:tcPr>
            <w:tcW w:w="260" w:type="dxa"/>
            <w:vAlign w:val="bottom"/>
          </w:tcPr>
          <w:p>
            <w:pPr>
              <w:spacing w:after="0"/>
              <w:rPr>
                <w:sz w:val="23"/>
                <w:szCs w:val="23"/>
                <w:color w:val="auto"/>
              </w:rPr>
            </w:pPr>
          </w:p>
        </w:tc>
        <w:tc>
          <w:tcPr>
            <w:tcW w:w="226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7"/>
        </w:trPr>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660" w:type="dxa"/>
            <w:vAlign w:val="bottom"/>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60" w:type="dxa"/>
            <w:vAlign w:val="bottom"/>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293</w:t>
            </w:r>
          </w:p>
        </w:tc>
        <w:tc>
          <w:tcPr>
            <w:tcW w:w="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695</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646</w:t>
            </w:r>
          </w:p>
        </w:tc>
      </w:tr>
      <w:tr>
        <w:trPr>
          <w:trHeight w:val="243"/>
        </w:trPr>
        <w:tc>
          <w:tcPr>
            <w:tcW w:w="660" w:type="dxa"/>
            <w:vAlign w:val="bottom"/>
          </w:tcPr>
          <w:p>
            <w:pPr>
              <w:spacing w:after="0"/>
              <w:rPr>
                <w:sz w:val="21"/>
                <w:szCs w:val="21"/>
                <w:color w:val="auto"/>
              </w:rPr>
            </w:pPr>
          </w:p>
        </w:tc>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196</w:t>
            </w:r>
          </w:p>
        </w:tc>
      </w:tr>
      <w:tr>
        <w:trPr>
          <w:trHeight w:val="27"/>
        </w:trPr>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660" w:type="dxa"/>
            <w:vAlign w:val="bottom"/>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right="140"/>
        <w:spacing w:after="0" w:line="282" w:lineRule="auto"/>
        <w:rPr>
          <w:sz w:val="20"/>
          <w:szCs w:val="20"/>
          <w:color w:val="auto"/>
        </w:rPr>
      </w:pPr>
      <w:r>
        <w:rPr>
          <w:rFonts w:ascii="Times New Roman" w:cs="Times New Roman" w:eastAsia="Times New Roman" w:hAnsi="Times New Roman"/>
          <w:sz w:val="18"/>
          <w:szCs w:val="18"/>
          <w:color w:val="auto"/>
        </w:rPr>
        <w:t>The effective tax rate for the nine months ended September 30, 2019, included a charge of $15 to settle a tax contingency arising from a transaction that occurred prior to its acquisition of Signode.</w:t>
      </w:r>
    </w:p>
    <w:p>
      <w:pPr>
        <w:spacing w:after="0" w:line="162" w:lineRule="exact"/>
        <w:rPr>
          <w:sz w:val="20"/>
          <w:szCs w:val="20"/>
          <w:color w:val="auto"/>
        </w:rPr>
      </w:pPr>
    </w:p>
    <w:p>
      <w:pPr>
        <w:ind w:left="660" w:right="80"/>
        <w:spacing w:after="0" w:line="313" w:lineRule="auto"/>
        <w:rPr>
          <w:sz w:val="20"/>
          <w:szCs w:val="20"/>
          <w:color w:val="auto"/>
        </w:rPr>
      </w:pPr>
      <w:r>
        <w:rPr>
          <w:rFonts w:ascii="Times New Roman" w:cs="Times New Roman" w:eastAsia="Times New Roman" w:hAnsi="Times New Roman"/>
          <w:sz w:val="17"/>
          <w:szCs w:val="17"/>
          <w:color w:val="auto"/>
        </w:rPr>
        <w:t>For the three and nine months ended September 30, 2018, the Company's effective tax rate included a tax charge of $4 to adjust provisional amounts related to the Tax Act and $24 related to taxes on the distributions of foreign earnings, which were previously asserted to be indefinitely reinvested.</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Net Income Attributable to Noncontrolling Interests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2019 compared to 2018, net income attributable to noncontrolling interests decreased from $29 to $21 primarily due to lower earnings in the Company's beverage can operations in Brazil.</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2019 compared to 2018, net income attributable to noncontrolling interests increased from $67 to $86 primarily due to higher earnings in the Company's beverage can operations in Brazil including the impact of a favorable court ruling related to the recovery of indirect taxes paid in prior years.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Cash from Operations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Operating activities used cash of $232 for the nine months ended September 30, 2018 and provided cash of $201 for the nine months ended September 30, 2019. The improvement was primarily due to higher income from operations and changes in working capital partially offset by higher cash used for interest payments during the nine months ended September 30, 2019 related to outstanding borrowings incurred to finance the Signode acquisition.</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Days sales outstanding for trade receivables, excluding the impact of unbilled receivables, was 43 days as of September 30, 2018 compared to 39 days as of September 30, 2019.</w:t>
      </w:r>
    </w:p>
    <w:p>
      <w:pPr>
        <w:spacing w:after="0" w:line="162"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Inventory turnover was 54 days at September 30, 2018 compared to 64 days at September 30, 2019 primarily due to lower levels of beverage can inventory in 2018. Inventory turnover at September 30, 2019 increased compared to 61 days at December 31, 2018 due to seasonality in the Company's food and beverage can businesses. The food can business is seasonal with the first quarter tending to be the slowest period as the autumn packaging period in the Northern Hemisphere has ended and new crops are not yet planted. The industry enters its busiest period in the third quarter when the majority of fruits and vegetables in the Northern Hemisphere are harvested. Due to this seasonality, inventory levels increase in the first half of the year to meet peak demand in the second and third quarters. The beverage can business is also seasonal with inventory levels generally increasing in the first half of the year to meet peak demand in the summer months in the Northern Hemisphere.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Days outstanding for trade payables was 87 days at September 30, 2018 compared to 85 days at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7" w:right="2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Investing Activities</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Investing activities used cash of $3,719 for the nine months ended September 30, 2018 and $216 for the nine months ended September 30, 2019. In 2018, the Company paid $3,912 to acquire Signode and $25 for the settlement of a foreign exchange contract related to the acquisition.</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Investing activities for the nine months ended September 30, 2018 also included cash collections of $490 related to beneficial interests in transferred receivables. In July 2018, the Company terminated its $200 North American securitization facility, which included a deferred purchase price component, and entered into a new securitization facility which removed the deferred purchase price component but requires the Company to maintain a deposit in a restricted cash account. Proceeds from the new securitization facility are included in the receivables line in the Company's Consolidated Statement of Cash Flows.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currently expects capital expenditures for 2019 to be approximately $450.</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Financing Activities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Financing activities provided cash of $3,902 for the nine months ended September 30, 2018 and used cash of $245 for the nine months ended September 30, 2019. In 2018, financing activities primarily included borrowings to finance the Signode acquisition.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Liquidity</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As of September 30, 2019, $304 of the Company's $339 of cash and cash equivalents was located outside the U.S. The Company funds its cash needs in the U.S. through cash flows from operations in the U.S., distributions from certain foreign subsidiaries, borrowings under its revolving credit facility and the acceleration of cash receipts under its receivable securitization facilities. Of the cash and cash equivalents located outside the U.S., $222 was held by subsidiaries for which earnings are considered indefinitely reinvested. While based on current operating plans the Company does not foresee a need to repatriate these funds, if such earnings were repatriated the Company would be required to record any incremental taxes on the repatriated funds.</w:t>
      </w:r>
    </w:p>
    <w:p>
      <w:pPr>
        <w:spacing w:after="0" w:line="18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of September 30, 2019, the Company had $1,518 of borrowing capacity available under its revolving credit facility, equal to the total facility of $1,650 less borrowings of $66 and outstanding standby letters of credit of $66. The Company could have borrowed this amount at September 30, 2019 and still been in compliance with its leverage ratio covenants.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Capital Resources</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September 30, 2019, the Company had approximately $128 of capital commitments primarily related to its Americas Beverage and European Beverage segments. The Company expects to fund these commitments primarily through cash flows generated from operations.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Contractual Obligations</w:t>
      </w:r>
    </w:p>
    <w:p>
      <w:pPr>
        <w:spacing w:after="0" w:line="229" w:lineRule="exact"/>
        <w:rPr>
          <w:sz w:val="20"/>
          <w:szCs w:val="20"/>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nine months ended September 30, 2019 there were no material changes to the Company's contractual obligations provided within Part II, Item 7, “Management's Discussion and Analysis of Financial Condition and Results of Operations” of the Company's Annual Report on Form 10-K for the year ended December 31, 2018, which information is incorporated herein by reference, except for the October 2019 debt issuance which is described in </w:t>
      </w:r>
      <w:hyperlink w:anchor="page22">
        <w:r>
          <w:rPr>
            <w:rFonts w:ascii="Times New Roman" w:cs="Times New Roman" w:eastAsia="Times New Roman" w:hAnsi="Times New Roman"/>
            <w:sz w:val="18"/>
            <w:szCs w:val="18"/>
            <w:u w:val="single" w:color="auto"/>
            <w:color w:val="0000EE"/>
          </w:rPr>
          <w:t>Note N</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consolidated financial statements included in this Quarterly Report on Form 10-Q.</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Commitments and Contingent Liabilities</w:t>
      </w:r>
    </w:p>
    <w:p>
      <w:pPr>
        <w:spacing w:after="0" w:line="229" w:lineRule="exact"/>
        <w:rPr>
          <w:sz w:val="20"/>
          <w:szCs w:val="20"/>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regarding the Company's commitments and contingent liabilities appears in Part I within Item 1 of this report under </w:t>
      </w:r>
      <w:hyperlink w:anchor="page15">
        <w:r>
          <w:rPr>
            <w:rFonts w:ascii="Times New Roman" w:cs="Times New Roman" w:eastAsia="Times New Roman" w:hAnsi="Times New Roman"/>
            <w:sz w:val="18"/>
            <w:szCs w:val="18"/>
            <w:u w:val="single" w:color="auto"/>
            <w:color w:val="0000EE"/>
          </w:rPr>
          <w:t>Note L</w:t>
        </w:r>
      </w:hyperlink>
      <w:r>
        <w:rPr>
          <w:rFonts w:ascii="Times New Roman" w:cs="Times New Roman" w:eastAsia="Times New Roman" w:hAnsi="Times New Roman"/>
          <w:sz w:val="18"/>
          <w:szCs w:val="18"/>
          <w:color w:val="auto"/>
        </w:rPr>
        <w:t>, entitled “Commitments and Contingent Liabilities,” to the consolidated financial statements, and in Part II within Item 1A of this report which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17" w:right="2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which require that management make numerous estimates and assumptions.</w:t>
      </w:r>
    </w:p>
    <w:p>
      <w:pPr>
        <w:spacing w:after="0" w:line="207"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Actual results could differ from these estimates and assumptions, impacting the reported results of operations and financial condition of the Company. Part II, Item 7, “Management's Discussion and Analysis of Financial Condition and Results of Operations” and Note A to the consolidated financial statements contained in the Company's Annual Report on Form</w:t>
      </w:r>
    </w:p>
    <w:p>
      <w:pPr>
        <w:spacing w:after="0" w:line="2" w:lineRule="exact"/>
        <w:rPr>
          <w:sz w:val="20"/>
          <w:szCs w:val="20"/>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10-K for the year ended December 31, 2018 describe the significant accounting estimates and policies used in the preparation of the consolidated financial statements. Updates to the Company's accounting policies related to new accounting pronouncements are included in </w:t>
      </w:r>
      <w:hyperlink w:anchor="page8">
        <w:r>
          <w:rPr>
            <w:rFonts w:ascii="Times New Roman" w:cs="Times New Roman" w:eastAsia="Times New Roman" w:hAnsi="Times New Roman"/>
            <w:sz w:val="18"/>
            <w:szCs w:val="18"/>
            <w:u w:val="single" w:color="auto"/>
            <w:color w:val="0000EE"/>
          </w:rPr>
          <w:t>Note 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consolidated financial statements included in this Quarterly Report on Form 10-Q.</w:t>
      </w:r>
    </w:p>
    <w:p>
      <w:pPr>
        <w:spacing w:after="0" w:line="186" w:lineRule="exact"/>
        <w:rPr>
          <w:sz w:val="20"/>
          <w:szCs w:val="20"/>
          <w:color w:val="auto"/>
        </w:rPr>
      </w:pPr>
    </w:p>
    <w:p>
      <w:pPr>
        <w:ind w:left="660" w:right="340"/>
        <w:spacing w:after="0" w:line="282" w:lineRule="auto"/>
        <w:rPr>
          <w:sz w:val="20"/>
          <w:szCs w:val="20"/>
          <w:color w:val="auto"/>
        </w:rPr>
      </w:pPr>
      <w:r>
        <w:rPr>
          <w:rFonts w:ascii="Times New Roman" w:cs="Times New Roman" w:eastAsia="Times New Roman" w:hAnsi="Times New Roman"/>
          <w:sz w:val="18"/>
          <w:szCs w:val="18"/>
          <w:color w:val="auto"/>
        </w:rPr>
        <w:t>The discussion below supplements the discussion from the Company's Annual Report on Form 10-K for the year ended December 31, 2018 with respect to goodwill.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Goodwill Impairment</w:t>
      </w:r>
    </w:p>
    <w:p>
      <w:pPr>
        <w:spacing w:after="0" w:line="225" w:lineRule="exact"/>
        <w:rPr>
          <w:sz w:val="20"/>
          <w:szCs w:val="20"/>
          <w:color w:val="auto"/>
        </w:rPr>
      </w:pPr>
    </w:p>
    <w:p>
      <w:pPr>
        <w:ind w:left="660" w:right="20"/>
        <w:spacing w:after="0" w:line="255" w:lineRule="auto"/>
        <w:rPr>
          <w:sz w:val="20"/>
          <w:szCs w:val="20"/>
          <w:color w:val="auto"/>
        </w:rPr>
      </w:pPr>
      <w:r>
        <w:rPr>
          <w:rFonts w:ascii="Times New Roman" w:cs="Times New Roman" w:eastAsia="Times New Roman" w:hAnsi="Times New Roman"/>
          <w:sz w:val="18"/>
          <w:szCs w:val="18"/>
          <w:color w:val="auto"/>
        </w:rPr>
        <w:t>As of October 1, 2018, the estimated fair values of the European Aerosols and Specialty Packaging and the North America Food reporting units were 29% and 41% higher than their carrying values. These reporting units operate in low-growth environments with multiple competitors, which could result in lower selling prices. In addition, shifts in consumer demand could result in lower volumes. While the Company believes current Adjusted EBITDA projections are reasonable, the reporting units' ability to maintain or grow Adjusted EBITDA could be negatively impacted by the above factors. If Adjusted EBITDA of the European Aerosols and Specialty Packaging and the North America Food reporting units decreased by 21% and 26%, the fair value of these reporting units would approximate carrying value. To the extent future operating results were to decline, causing the estimated fair values to fall below carrying values, it is possible that an impairment charge of up to $87 for the European Aerosols and Specialty Packaging reporting unit and $114 for the North America Food reporting unit could be recorded.</w:t>
      </w:r>
    </w:p>
    <w:p>
      <w:pPr>
        <w:spacing w:after="0" w:line="185" w:lineRule="exact"/>
        <w:rPr>
          <w:sz w:val="20"/>
          <w:szCs w:val="20"/>
          <w:color w:val="auto"/>
        </w:rPr>
      </w:pPr>
    </w:p>
    <w:p>
      <w:pPr>
        <w:ind w:left="660" w:right="2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as described in </w:t>
      </w:r>
      <w:hyperlink w:anchor="page11">
        <w:r>
          <w:rPr>
            <w:rFonts w:ascii="Times New Roman" w:cs="Times New Roman" w:eastAsia="Times New Roman" w:hAnsi="Times New Roman"/>
            <w:sz w:val="18"/>
            <w:szCs w:val="18"/>
            <w:u w:val="single" w:color="auto"/>
            <w:color w:val="0000EE"/>
          </w:rPr>
          <w:t>Note D</w:t>
        </w:r>
      </w:hyperlink>
      <w:r>
        <w:rPr>
          <w:rFonts w:ascii="Times New Roman" w:cs="Times New Roman" w:eastAsia="Times New Roman" w:hAnsi="Times New Roman"/>
          <w:sz w:val="18"/>
          <w:szCs w:val="18"/>
          <w:color w:val="auto"/>
        </w:rPr>
        <w:t>, the Company recorded additional goodwill in 2018 in connection with the acquisition of Signode. The Transit Packaging reporting unit has goodwill of $1,489 as of September 30, 2019.</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229" w:lineRule="exact"/>
        <w:rPr>
          <w:sz w:val="20"/>
          <w:szCs w:val="20"/>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Statements included herein, including, but not limited to, those in “Management's Discussion and Analysis of Financial Condition and Results of Operations” and in the discussions of asbestos in </w:t>
      </w:r>
      <w:hyperlink w:anchor="page14">
        <w:r>
          <w:rPr>
            <w:rFonts w:ascii="Times New Roman" w:cs="Times New Roman" w:eastAsia="Times New Roman" w:hAnsi="Times New Roman"/>
            <w:sz w:val="18"/>
            <w:szCs w:val="18"/>
            <w:u w:val="single" w:color="auto"/>
            <w:color w:val="0000EE"/>
          </w:rPr>
          <w:t>Note 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commitments and contingencies in </w:t>
      </w:r>
      <w:hyperlink w:anchor="page15">
        <w:r>
          <w:rPr>
            <w:rFonts w:ascii="Times New Roman" w:cs="Times New Roman" w:eastAsia="Times New Roman" w:hAnsi="Times New Roman"/>
            <w:sz w:val="18"/>
            <w:szCs w:val="18"/>
            <w:u w:val="single" w:color="auto"/>
            <w:color w:val="0000EE"/>
          </w:rPr>
          <w:t>Note L</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consolidated financial statements included in this Quarterly Report on Form 10-Q, and also in Part I, Item 1, “Business” and Item 3, “Legal Proceedings” and in Part II, Item 7, “Management's Discussion and Analysis of Financial Condition and Results of Operations,” within the Company's Annual Report on Form 10-K for the year ended December 31, 2018, which are not historical facts (including any statements concerning plans and objectives of management for capacity additions, share repurchases, dividends, future operations or economic performance, or assumptions related thereto), are “forward-looking statements” within the meaning of the federal securities laws. In addition, the Company and its representatives may, from time to time, make oral or written statements which are also “forward-looking statements.”</w:t>
      </w:r>
    </w:p>
    <w:p>
      <w:pPr>
        <w:spacing w:after="0" w:line="18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made based upon management's expectations and beliefs concerning future events impacting the Company and, therefore, involve a number of risks and uncertainties. Management cautions that forward-</w:t>
      </w: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looking statements are not guarantees and that actual results could differ materially from those expressed or implied in the forward-looking statements.</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Securities and Exchange Commission (“SEC”), the Company does not intend to review or revise any particular forward-looking statement in light of future events.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17" w:right="2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A discussion of important factors that could cause the actual results of operations or financial condition of the Company to differ from expectations has been set forth in the Company's Annual Report on Form 10-K for the year ended December 31, 2018 within Part II, Item 7: “Management's Discussion and Analysis of Financial Condition and Results of Operations”</w:t>
      </w:r>
    </w:p>
    <w:p>
      <w:pPr>
        <w:spacing w:after="0" w:line="2"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under the caption “Forward Looking Statements” and is incorporated herein by reference. Some of the factors are also discussed elsewhere in this Form 10-Q and in prior Company filings with the SEC. In addition, other factors have been or may be discussed from time to time in the Company's SEC filings.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normal course of business the Company is subject to risk from adverse fluctuations in foreign exchange and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 counterparties. These instruments are not used for trading or speculative purposes. The extent to which the Company uses such instruments is dependent upon its access to these contracts in the financial markets and its success in using other methods, such as netting exposures in the same currencies to mitigate foreign exchange risk and using sales arrangements that permit the pass-through of commodity prices and foreign exchange rate risks to customers. The Company's objective in managing its exposure to market risk is to limit the impact on earnings and cash flow. For further discussion of the Company's use of derivative instruments and their fair values at September 30, 2019, see </w:t>
      </w:r>
      <w:hyperlink w:anchor="page17">
        <w:r>
          <w:rPr>
            <w:rFonts w:ascii="Times New Roman" w:cs="Times New Roman" w:eastAsia="Times New Roman" w:hAnsi="Times New Roman"/>
            <w:sz w:val="18"/>
            <w:szCs w:val="18"/>
            <w:u w:val="single" w:color="auto"/>
            <w:color w:val="0000EE"/>
          </w:rPr>
          <w:t>Note M</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consolidated financial statements included in this Quarterly Report on Form 10-Q.</w:t>
      </w:r>
    </w:p>
    <w:p>
      <w:pPr>
        <w:spacing w:after="0" w:line="18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September 30, 2019, the Company had $2.7 billion principal floating interest rate debt. A change of 0.25% in these floating interest rates would change annual interest expense by approximately $7 million before tax.</w:t>
      </w:r>
    </w:p>
    <w:p>
      <w:pPr>
        <w:spacing w:after="0" w:line="162"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July 2017, the Financial Conduct Authority (the authority that regulates LIBOR) announced it intends to stop compelling banks to submit rates for the calculation of LIBOR after 2021. The U.S. Federal Reserve, in conjunction with the Alternative Reference Rate Committee, or ARRC, has announced the replacement of U.S. dollar LIBOR rates with a new index calculated by short-term repurchase agreements backed by U.S. Treasury securities called the Secured Overnight Financing Rate (SOFR). The first publication of SOFR was released in April 2018. Whether or not SOFR attains market traction as a LIBOR replacement tool remains in question and the future of LIBOR at this time is uncertain. At September 30, 2019, the Company does have contracts that are indexed to LIBOR, including cross-currency swap contracts and certain of its term loan facilities, and continues to monitor this activity and evaluate the related risks.</w:t>
      </w:r>
    </w:p>
    <w:p>
      <w:pPr>
        <w:spacing w:after="0" w:line="200" w:lineRule="exact"/>
        <w:rPr>
          <w:sz w:val="20"/>
          <w:szCs w:val="20"/>
          <w:color w:val="auto"/>
        </w:rPr>
      </w:pPr>
    </w:p>
    <w:p>
      <w:pPr>
        <w:spacing w:after="0" w:line="20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management, including the Company's Chief Executive Officer and Chief Financial Officer, has evaluated the effectiveness of the design and operation of its disclosure controls and procedures. Based upon that evaluation and as of the end of the quarter for which this report is made, the Company's Chief Executive Officer and Chief Financial Officer concluded that the disclosure controls and procedures were effective. Disclosure controls and procedures ensure that information to be disclosed in reports that the Company files and submits under the Exchange Act is recorded, processed, summarized and reported within the time periods specified in the rules and terms of the SEC, and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18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There has been no change in internal controls over financial reporting that occurred during the period covered by this report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7" w:right="2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87"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left="340" w:firstLine="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information regarding the Company's potential asbestos-related liabilities and other litigation, see </w:t>
      </w:r>
      <w:hyperlink w:anchor="page14">
        <w:r>
          <w:rPr>
            <w:rFonts w:ascii="Times New Roman" w:cs="Times New Roman" w:eastAsia="Times New Roman" w:hAnsi="Times New Roman"/>
            <w:sz w:val="18"/>
            <w:szCs w:val="18"/>
            <w:u w:val="single" w:color="auto"/>
            <w:color w:val="0000EE"/>
          </w:rPr>
          <w:t>Note 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entitled “Asbestos-Related Liabilities” and </w:t>
      </w:r>
      <w:hyperlink w:anchor="page15">
        <w:r>
          <w:rPr>
            <w:rFonts w:ascii="Times New Roman" w:cs="Times New Roman" w:eastAsia="Times New Roman" w:hAnsi="Times New Roman"/>
            <w:sz w:val="18"/>
            <w:szCs w:val="18"/>
            <w:u w:val="single" w:color="auto"/>
            <w:color w:val="0000EE"/>
          </w:rPr>
          <w:t>Note L</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entitled “Commitments and Contingent Liabilities” to the consolidated financial statements within Part I, Item 1 of this Quarterly Report on Form 10-Q, which information is incorporated herein by reference.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report should be read in conjunction with the risk factors discussed in Item 1A of the Company's Annual Report on Form 10-K for the year ended December 31, 2018. The risks described in the Company's Annual Report on Form 10-K are not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2. Unregistered Sale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purchases of the Company's equity securities during the three months ended September 30, 2019.</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2016, the Company's Board of Directors authorized the repurchase of an aggregate amount of $1 billion of the Company's common stock through the end of 2019. Share repurchases under the Company's programs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 As of September 30, 2019, $669 million of the Company’s outstanding common stock may be repurchased under the program.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115 shares surrendered to cover taxes on the vesting of restricted stock during the three months ended September 30, 2019.</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events required to be reported under Item 3 for the three months ended September 30, 2019.</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17" w:right="239" w:bottom="1440" w:gutter="0" w:footer="0" w:header="0"/>
        </w:sectPr>
      </w:pPr>
    </w:p>
    <w:bookmarkStart w:id="54" w:name="page55"/>
    <w:bookmarkEnd w:id="54"/>
    <w:p>
      <w:pPr>
        <w:ind w:left="42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0" w:lineRule="exact"/>
        <w:rPr>
          <w:sz w:val="20"/>
          <w:szCs w:val="20"/>
          <w:color w:val="auto"/>
        </w:rPr>
      </w:pPr>
    </w:p>
    <w:p>
      <w:pPr>
        <w:spacing w:after="0" w:line="245" w:lineRule="exact"/>
        <w:rPr>
          <w:sz w:val="20"/>
          <w:szCs w:val="20"/>
          <w:color w:val="auto"/>
        </w:rPr>
      </w:pPr>
    </w:p>
    <w:p>
      <w:pPr>
        <w:ind w:left="780" w:hanging="755"/>
        <w:spacing w:after="0" w:line="282"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31.1</w:t>
      </w:r>
      <w:r>
        <w:rPr>
          <w:sz w:val="20"/>
          <w:szCs w:val="20"/>
          <w:color w:val="auto"/>
        </w:rPr>
        <w:tab/>
      </w:r>
      <w:hyperlink w:anchor="page57">
        <w:r>
          <w:rPr>
            <w:rFonts w:ascii="Times New Roman" w:cs="Times New Roman" w:eastAsia="Times New Roman" w:hAnsi="Times New Roman"/>
            <w:sz w:val="18"/>
            <w:szCs w:val="18"/>
            <w:u w:val="single" w:color="auto"/>
            <w:color w:val="0000FF"/>
          </w:rPr>
          <w:t>Certification of Chief Executive Officer pursuant to Rule 13a-14(a) or 15d-14(a) of the Securities Exchange Act of 1934, as adopted</w:t>
        </w:r>
      </w:hyperlink>
      <w:r>
        <w:rPr>
          <w:rFonts w:ascii="Times New Roman" w:cs="Times New Roman" w:eastAsia="Times New Roman" w:hAnsi="Times New Roman"/>
          <w:sz w:val="18"/>
          <w:szCs w:val="18"/>
          <w:u w:val="single" w:color="auto"/>
          <w:color w:val="0000FF"/>
        </w:rPr>
        <w:t xml:space="preserve"> </w:t>
      </w:r>
      <w:hyperlink w:anchor="page57">
        <w:r>
          <w:rPr>
            <w:rFonts w:ascii="Times New Roman" w:cs="Times New Roman" w:eastAsia="Times New Roman" w:hAnsi="Times New Roman"/>
            <w:sz w:val="18"/>
            <w:szCs w:val="18"/>
            <w:u w:val="single" w:color="auto"/>
            <w:color w:val="0000FF"/>
          </w:rPr>
          <w:t>pursuant to Section 302 of the Sarbanes-Oxley Act of 2002.</w:t>
        </w:r>
      </w:hyperlink>
    </w:p>
    <w:p>
      <w:pPr>
        <w:spacing w:after="0" w:line="270" w:lineRule="exact"/>
        <w:rPr>
          <w:sz w:val="20"/>
          <w:szCs w:val="20"/>
          <w:color w:val="auto"/>
        </w:rPr>
      </w:pPr>
    </w:p>
    <w:p>
      <w:pPr>
        <w:ind w:left="780" w:right="20" w:hanging="755"/>
        <w:spacing w:after="0" w:line="282" w:lineRule="auto"/>
        <w:tabs>
          <w:tab w:leader="none" w:pos="7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31.2</w:t>
      </w:r>
      <w:r>
        <w:rPr>
          <w:sz w:val="20"/>
          <w:szCs w:val="20"/>
          <w:color w:val="auto"/>
        </w:rPr>
        <w:tab/>
      </w:r>
      <w:hyperlink w:anchor="page58">
        <w:r>
          <w:rPr>
            <w:rFonts w:ascii="Times New Roman" w:cs="Times New Roman" w:eastAsia="Times New Roman" w:hAnsi="Times New Roman"/>
            <w:sz w:val="18"/>
            <w:szCs w:val="18"/>
            <w:u w:val="single" w:color="auto"/>
            <w:color w:val="0000FF"/>
          </w:rPr>
          <w:t>Certification of Chief Financial Officer pursuant to Rule 13a-14(a) or 15d-14(a) of the Securities Exchange Act of 1934, as adopted</w:t>
        </w:r>
      </w:hyperlink>
      <w:r>
        <w:rPr>
          <w:rFonts w:ascii="Times New Roman" w:cs="Times New Roman" w:eastAsia="Times New Roman" w:hAnsi="Times New Roman"/>
          <w:sz w:val="18"/>
          <w:szCs w:val="18"/>
          <w:u w:val="single" w:color="auto"/>
          <w:color w:val="0000FF"/>
        </w:rPr>
        <w:t xml:space="preserve"> </w:t>
      </w:r>
      <w:hyperlink w:anchor="page58">
        <w:r>
          <w:rPr>
            <w:rFonts w:ascii="Times New Roman" w:cs="Times New Roman" w:eastAsia="Times New Roman" w:hAnsi="Times New Roman"/>
            <w:sz w:val="18"/>
            <w:szCs w:val="18"/>
            <w:u w:val="single" w:color="auto"/>
            <w:color w:val="0000FF"/>
          </w:rPr>
          <w:t>pursuant to Section 302 of the Sarbanes-Oxley Act of 2002.</w:t>
        </w:r>
      </w:hyperlink>
    </w:p>
    <w:p>
      <w:pPr>
        <w:spacing w:after="0" w:line="270" w:lineRule="exact"/>
        <w:rPr>
          <w:sz w:val="20"/>
          <w:szCs w:val="20"/>
          <w:color w:val="auto"/>
        </w:rPr>
      </w:pPr>
    </w:p>
    <w:p>
      <w:pPr>
        <w:jc w:val="both"/>
        <w:ind w:left="780" w:hanging="757"/>
        <w:spacing w:after="0" w:line="266" w:lineRule="auto"/>
        <w:tabs>
          <w:tab w:leader="none" w:pos="780" w:val="left"/>
        </w:tabs>
        <w:numPr>
          <w:ilvl w:val="0"/>
          <w:numId w:val="24"/>
        </w:numPr>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 executed by</w:t>
        </w:r>
      </w:hyperlink>
      <w:r>
        <w:rPr>
          <w:rFonts w:ascii="Times New Roman" w:cs="Times New Roman" w:eastAsia="Times New Roman" w:hAnsi="Times New Roman"/>
          <w:sz w:val="18"/>
          <w:szCs w:val="18"/>
          <w:u w:val="single" w:color="auto"/>
          <w:color w:val="0000FF"/>
        </w:rPr>
        <w:t xml:space="preserve"> </w:t>
      </w:r>
      <w:hyperlink w:anchor="page59">
        <w:r>
          <w:rPr>
            <w:rFonts w:ascii="Times New Roman" w:cs="Times New Roman" w:eastAsia="Times New Roman" w:hAnsi="Times New Roman"/>
            <w:sz w:val="18"/>
            <w:szCs w:val="18"/>
            <w:u w:val="single" w:color="auto"/>
            <w:color w:val="0000FF"/>
          </w:rPr>
          <w:t>Timothy J. Donahue, President and Chief Executive Officer of Crown Holdings, Inc. and Thomas A. Kelly, Senior Vice President and</w:t>
        </w:r>
      </w:hyperlink>
      <w:r>
        <w:rPr>
          <w:rFonts w:ascii="Times New Roman" w:cs="Times New Roman" w:eastAsia="Times New Roman" w:hAnsi="Times New Roman"/>
          <w:sz w:val="18"/>
          <w:szCs w:val="18"/>
          <w:u w:val="single" w:color="auto"/>
          <w:color w:val="0000FF"/>
        </w:rPr>
        <w:t xml:space="preserve"> </w:t>
      </w:r>
      <w:hyperlink w:anchor="page59">
        <w:r>
          <w:rPr>
            <w:rFonts w:ascii="Times New Roman" w:cs="Times New Roman" w:eastAsia="Times New Roman" w:hAnsi="Times New Roman"/>
            <w:sz w:val="18"/>
            <w:szCs w:val="18"/>
            <w:u w:val="single" w:color="auto"/>
            <w:color w:val="0000FF"/>
          </w:rPr>
          <w:t>Chief Financial Officer of Crown Holdings, Inc.</w:t>
        </w:r>
      </w:hyperlink>
    </w:p>
    <w:p>
      <w:pPr>
        <w:spacing w:after="0" w:line="284" w:lineRule="exact"/>
        <w:rPr>
          <w:rFonts w:ascii="Times New Roman" w:cs="Times New Roman" w:eastAsia="Times New Roman" w:hAnsi="Times New Roman"/>
          <w:sz w:val="18"/>
          <w:szCs w:val="18"/>
          <w:u w:val="single" w:color="auto"/>
          <w:color w:val="0000FF"/>
        </w:rPr>
      </w:pPr>
    </w:p>
    <w:p>
      <w:pPr>
        <w:jc w:val="both"/>
        <w:ind w:left="780" w:hanging="757"/>
        <w:spacing w:after="0" w:line="256" w:lineRule="auto"/>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Registrant's Quarterly Report on Form 10-Q for the quarter ended September 30, 2019 formatted in inline XBRL (eXtensible Business Reporting Language): (i) Consolidated Statements of Operations for the three and nine months ended September 30, 2019 and 2018, (ii) Consolidated Statements of Comprehensive Income for the three and nine months ended September 30, 2019 and 2018, (iii) Consolidated Balance Sheets as of September 30, 2019 and December 31, 2018, (iv) Consolidated Statements of Cash Flows for the nine months ended September 30, 2019 and 2018, (v) Consolidated Statements of Changes in Equity for the nine months ended September 30, 2019 and 2018 and (vi) Notes to Consolidated Financial Statements.</w:t>
      </w:r>
    </w:p>
    <w:p>
      <w:pPr>
        <w:spacing w:after="0" w:line="296" w:lineRule="exact"/>
        <w:rPr>
          <w:rFonts w:ascii="Times New Roman" w:cs="Times New Roman" w:eastAsia="Times New Roman" w:hAnsi="Times New Roman"/>
          <w:sz w:val="18"/>
          <w:szCs w:val="18"/>
          <w:u w:val="single" w:color="auto"/>
          <w:color w:val="0000FF"/>
        </w:rPr>
      </w:pPr>
    </w:p>
    <w:p>
      <w:pPr>
        <w:ind w:left="4960" w:right="3400" w:hanging="4937"/>
        <w:spacing w:after="0" w:line="595" w:lineRule="auto"/>
        <w:tabs>
          <w:tab w:leader="none" w:pos="77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55</w:t>
      </w:r>
    </w:p>
    <w:p>
      <w:pPr>
        <w:sectPr>
          <w:pgSz w:w="11900" w:h="16838" w:orient="portrait"/>
          <w:cols w:equalWidth="0" w:num="1">
            <w:col w:w="10740"/>
          </w:cols>
          <w:pgMar w:left="900" w:top="117" w:right="259" w:bottom="1440" w:gutter="0" w:footer="0" w:header="0"/>
        </w:sectPr>
      </w:pPr>
    </w:p>
    <w:bookmarkStart w:id="55" w:name="page56"/>
    <w:bookmarkEnd w:id="55"/>
    <w:p>
      <w:pPr>
        <w:ind w:left="42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u w:val="single" w:color="auto"/>
          <w:color w:val="auto"/>
        </w:rPr>
        <w:t>Crown Holdings, Inc.</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Registrant</w:t>
      </w:r>
    </w:p>
    <w:p>
      <w:pPr>
        <w:spacing w:after="0" w:line="369" w:lineRule="exact"/>
        <w:rPr>
          <w:sz w:val="20"/>
          <w:szCs w:val="20"/>
          <w:color w:val="auto"/>
        </w:rPr>
      </w:pPr>
    </w:p>
    <w:p>
      <w:pPr>
        <w:ind w:left="5920"/>
        <w:spacing w:after="0"/>
        <w:tabs>
          <w:tab w:leader="none" w:pos="6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4079875</wp:posOffset>
            </wp:positionH>
            <wp:positionV relativeFrom="paragraph">
              <wp:posOffset>34290</wp:posOffset>
            </wp:positionV>
            <wp:extent cx="2752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David A. Beaver</w:t>
      </w:r>
    </w:p>
    <w:p>
      <w:pPr>
        <w:spacing w:after="0" w:line="6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Vice President and Corporate Controller</w:t>
      </w:r>
    </w:p>
    <w:p>
      <w:pPr>
        <w:spacing w:after="0" w:line="6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2019</w:t>
      </w:r>
    </w:p>
    <w:p>
      <w:pPr>
        <w:spacing w:after="0" w:line="200" w:lineRule="exact"/>
        <w:rPr>
          <w:sz w:val="20"/>
          <w:szCs w:val="20"/>
          <w:color w:val="auto"/>
        </w:rPr>
      </w:pPr>
    </w:p>
    <w:p>
      <w:pPr>
        <w:spacing w:after="0" w:line="26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760"/>
          </w:cols>
          <w:pgMar w:left="900" w:top="117"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Timothy J. Donahue, certify that:</w:t>
      </w:r>
    </w:p>
    <w:p>
      <w:pPr>
        <w:spacing w:after="0" w:line="22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25"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340" w:hanging="332"/>
        <w:spacing w:after="0" w:line="292"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03" w:lineRule="exact"/>
        <w:rPr>
          <w:rFonts w:ascii="Arial" w:cs="Arial" w:eastAsia="Arial" w:hAnsi="Arial"/>
          <w:sz w:val="18"/>
          <w:szCs w:val="18"/>
          <w:color w:val="auto"/>
        </w:rPr>
      </w:pPr>
    </w:p>
    <w:p>
      <w:pPr>
        <w:jc w:val="both"/>
        <w:ind w:left="980" w:hanging="324"/>
        <w:spacing w:after="0" w:line="271"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jc w:val="both"/>
        <w:ind w:left="980" w:hanging="324"/>
        <w:spacing w:after="0" w:line="271"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jc w:val="both"/>
        <w:ind w:left="980" w:hanging="324"/>
        <w:spacing w:after="0" w:line="271"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left="980" w:hanging="324"/>
        <w:spacing w:after="0" w:line="271"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980" w:hanging="324"/>
        <w:spacing w:after="0" w:line="292" w:lineRule="auto"/>
        <w:tabs>
          <w:tab w:leader="none" w:pos="866"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980" w:hanging="324"/>
        <w:spacing w:after="0" w:line="292"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1" w:lineRule="exact"/>
        <w:rPr>
          <w:sz w:val="20"/>
          <w:szCs w:val="20"/>
          <w:color w:val="auto"/>
        </w:rPr>
      </w:pPr>
    </w:p>
    <w:p>
      <w:pPr>
        <w:spacing w:after="0"/>
        <w:tabs>
          <w:tab w:leader="none" w:pos="2660" w:val="left"/>
          <w:tab w:leader="none" w:pos="6900" w:val="left"/>
        </w:tabs>
        <w:rPr>
          <w:sz w:val="20"/>
          <w:szCs w:val="20"/>
          <w:color w:val="auto"/>
        </w:rPr>
      </w:pPr>
      <w:r>
        <w:rPr>
          <w:rFonts w:ascii="Arial" w:cs="Arial" w:eastAsia="Arial" w:hAnsi="Arial"/>
          <w:sz w:val="18"/>
          <w:szCs w:val="18"/>
          <w:color w:val="auto"/>
        </w:rPr>
        <w:t>Date: October 31, 2019</w:t>
      </w:r>
      <w:r>
        <w:rPr>
          <w:sz w:val="20"/>
          <w:szCs w:val="20"/>
          <w:color w:val="auto"/>
        </w:rPr>
        <w:tab/>
      </w:r>
      <w:r>
        <w:rPr>
          <w:rFonts w:ascii="Arial" w:cs="Arial" w:eastAsia="Arial" w:hAnsi="Arial"/>
          <w:sz w:val="18"/>
          <w:szCs w:val="18"/>
          <w:u w:val="single" w:color="auto"/>
          <w:color w:val="auto"/>
        </w:rPr>
        <w:t>/s/ Timothy J. Donahue</w:t>
      </w:r>
      <w:r>
        <w:rPr>
          <w:sz w:val="20"/>
          <w:szCs w:val="20"/>
          <w:color w:val="auto"/>
        </w:rPr>
        <w:tab/>
      </w:r>
      <w:r>
        <w:rPr>
          <w:rFonts w:ascii="Arial" w:cs="Arial" w:eastAsia="Arial" w:hAnsi="Arial"/>
          <w:sz w:val="17"/>
          <w:szCs w:val="17"/>
          <w:color w:val="auto"/>
        </w:rPr>
        <w:t>Timothy J. Donahue</w:t>
      </w:r>
    </w:p>
    <w:p>
      <w:pPr>
        <w:spacing w:after="0" w:line="3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9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Thomas A. Kelly, certify that:</w:t>
      </w:r>
    </w:p>
    <w:p>
      <w:pPr>
        <w:spacing w:after="0" w:line="22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25"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340" w:hanging="332"/>
        <w:spacing w:after="0" w:line="292"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03" w:lineRule="exact"/>
        <w:rPr>
          <w:rFonts w:ascii="Arial" w:cs="Arial" w:eastAsia="Arial" w:hAnsi="Arial"/>
          <w:sz w:val="18"/>
          <w:szCs w:val="18"/>
          <w:color w:val="auto"/>
        </w:rPr>
      </w:pPr>
    </w:p>
    <w:p>
      <w:pPr>
        <w:jc w:val="both"/>
        <w:ind w:left="980" w:hanging="324"/>
        <w:spacing w:after="0" w:line="271"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jc w:val="both"/>
        <w:ind w:left="980" w:hanging="324"/>
        <w:spacing w:after="0" w:line="271"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jc w:val="both"/>
        <w:ind w:left="980" w:hanging="324"/>
        <w:spacing w:after="0" w:line="271"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left="980" w:hanging="324"/>
        <w:spacing w:after="0" w:line="271"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980" w:hanging="324"/>
        <w:spacing w:after="0" w:line="292" w:lineRule="auto"/>
        <w:tabs>
          <w:tab w:leader="none" w:pos="866"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980" w:hanging="324"/>
        <w:spacing w:after="0" w:line="292"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7"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Date: October 31, 2019</w:t>
      </w:r>
      <w:r>
        <w:rPr>
          <w:sz w:val="20"/>
          <w:szCs w:val="20"/>
          <w:color w:val="auto"/>
        </w:rPr>
        <w:tab/>
      </w:r>
      <w:r>
        <w:rPr>
          <w:rFonts w:ascii="Arial" w:cs="Arial" w:eastAsia="Arial" w:hAnsi="Arial"/>
          <w:sz w:val="17"/>
          <w:szCs w:val="17"/>
          <w:u w:val="single" w:color="auto"/>
          <w:color w:val="auto"/>
        </w:rPr>
        <w:t>/s/ Thomas A. Kelly</w:t>
      </w:r>
    </w:p>
    <w:p>
      <w:pPr>
        <w:spacing w:after="0" w:line="3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Thomas A. Kelly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79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line="268"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In connection with the Quarterly Report of Crown Holdings, Inc. (the “Company”) on Form 10-Q for the period ending September 30, 2019 (the “Report”), each of the undersigned officers certify, pursuant to 18 U.S.C. § 1350, as adopted pursuant to § 906 of the Sarbanes-Oxley Act of 2002, that:</w:t>
      </w:r>
    </w:p>
    <w:p>
      <w:pPr>
        <w:spacing w:after="0" w:line="198"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The Report fully complies with the requirements of Section 13(a) or 15(d) of the Securities Exchange Act of 1934;</w:t>
      </w:r>
    </w:p>
    <w:p>
      <w:pPr>
        <w:spacing w:after="0" w:line="4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and</w:t>
      </w:r>
    </w:p>
    <w:p>
      <w:pPr>
        <w:spacing w:after="0" w:line="232" w:lineRule="exact"/>
        <w:rPr>
          <w:rFonts w:ascii="Arial" w:cs="Arial" w:eastAsia="Arial" w:hAnsi="Arial"/>
          <w:sz w:val="21"/>
          <w:szCs w:val="21"/>
          <w:color w:val="auto"/>
        </w:rPr>
      </w:pPr>
    </w:p>
    <w:p>
      <w:pPr>
        <w:ind w:firstLine="8"/>
        <w:spacing w:after="0" w:line="281" w:lineRule="auto"/>
        <w:tabs>
          <w:tab w:leader="none" w:pos="5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position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40" w:type="dxa"/>
            <w:vAlign w:val="bottom"/>
          </w:tcPr>
          <w:p>
            <w:pPr>
              <w:spacing w:after="0"/>
              <w:rPr>
                <w:sz w:val="20"/>
                <w:szCs w:val="20"/>
                <w:color w:val="auto"/>
              </w:rPr>
            </w:pPr>
            <w:r>
              <w:rPr>
                <w:rFonts w:ascii="Arial" w:cs="Arial" w:eastAsia="Arial" w:hAnsi="Arial"/>
                <w:sz w:val="22"/>
                <w:szCs w:val="22"/>
                <w:color w:val="auto"/>
              </w:rPr>
              <w:t>Date: October 31, 2019</w:t>
            </w:r>
          </w:p>
        </w:tc>
        <w:tc>
          <w:tcPr>
            <w:tcW w:w="5400" w:type="dxa"/>
            <w:vAlign w:val="bottom"/>
            <w:gridSpan w:val="4"/>
          </w:tcPr>
          <w:p>
            <w:pPr>
              <w:ind w:left="480"/>
              <w:spacing w:after="0"/>
              <w:rPr>
                <w:sz w:val="20"/>
                <w:szCs w:val="20"/>
                <w:color w:val="auto"/>
              </w:rPr>
            </w:pPr>
            <w:r>
              <w:rPr>
                <w:rFonts w:ascii="Arial" w:cs="Arial" w:eastAsia="Arial" w:hAnsi="Arial"/>
                <w:sz w:val="22"/>
                <w:szCs w:val="22"/>
                <w:color w:val="auto"/>
              </w:rPr>
              <w:t>/s/ Timothy J. Donahue</w:t>
            </w:r>
          </w:p>
        </w:tc>
      </w:tr>
      <w:tr>
        <w:trPr>
          <w:trHeight w:val="20"/>
        </w:trPr>
        <w:tc>
          <w:tcPr>
            <w:tcW w:w="2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56"/>
        </w:trPr>
        <w:tc>
          <w:tcPr>
            <w:tcW w:w="2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920" w:type="dxa"/>
            <w:vAlign w:val="bottom"/>
            <w:gridSpan w:val="3"/>
          </w:tcPr>
          <w:p>
            <w:pPr>
              <w:ind w:left="1320"/>
              <w:spacing w:after="0"/>
              <w:rPr>
                <w:sz w:val="20"/>
                <w:szCs w:val="20"/>
                <w:color w:val="auto"/>
              </w:rPr>
            </w:pPr>
            <w:r>
              <w:rPr>
                <w:rFonts w:ascii="Arial" w:cs="Arial" w:eastAsia="Arial" w:hAnsi="Arial"/>
                <w:sz w:val="22"/>
                <w:szCs w:val="22"/>
                <w:color w:val="auto"/>
              </w:rPr>
              <w:t>Timothy J. Donahue</w:t>
            </w:r>
          </w:p>
        </w:tc>
      </w:tr>
      <w:tr>
        <w:trPr>
          <w:trHeight w:val="294"/>
        </w:trPr>
        <w:tc>
          <w:tcPr>
            <w:tcW w:w="2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920" w:type="dxa"/>
            <w:vAlign w:val="bottom"/>
            <w:gridSpan w:val="3"/>
          </w:tcPr>
          <w:p>
            <w:pPr>
              <w:ind w:left="1320"/>
              <w:spacing w:after="0"/>
              <w:rPr>
                <w:sz w:val="20"/>
                <w:szCs w:val="20"/>
                <w:color w:val="auto"/>
              </w:rPr>
            </w:pPr>
            <w:r>
              <w:rPr>
                <w:rFonts w:ascii="Arial" w:cs="Arial" w:eastAsia="Arial" w:hAnsi="Arial"/>
                <w:sz w:val="22"/>
                <w:szCs w:val="22"/>
                <w:color w:val="auto"/>
                <w:w w:val="97"/>
              </w:rPr>
              <w:t>President and Chief Executive Officer</w:t>
            </w:r>
          </w:p>
        </w:tc>
      </w:tr>
      <w:tr>
        <w:trPr>
          <w:trHeight w:val="457"/>
        </w:trPr>
        <w:tc>
          <w:tcPr>
            <w:tcW w:w="2740" w:type="dxa"/>
            <w:vAlign w:val="bottom"/>
          </w:tcPr>
          <w:p>
            <w:pPr>
              <w:spacing w:after="0"/>
              <w:rPr>
                <w:sz w:val="20"/>
                <w:szCs w:val="20"/>
                <w:color w:val="auto"/>
              </w:rPr>
            </w:pPr>
            <w:r>
              <w:rPr>
                <w:rFonts w:ascii="Arial" w:cs="Arial" w:eastAsia="Arial" w:hAnsi="Arial"/>
                <w:sz w:val="22"/>
                <w:szCs w:val="22"/>
                <w:color w:val="auto"/>
              </w:rPr>
              <w:t>Date: October 31, 2019</w:t>
            </w:r>
          </w:p>
        </w:tc>
        <w:tc>
          <w:tcPr>
            <w:tcW w:w="5400" w:type="dxa"/>
            <w:vAlign w:val="bottom"/>
            <w:gridSpan w:val="4"/>
          </w:tcPr>
          <w:p>
            <w:pPr>
              <w:ind w:left="480"/>
              <w:spacing w:after="0"/>
              <w:rPr>
                <w:sz w:val="20"/>
                <w:szCs w:val="20"/>
                <w:color w:val="auto"/>
              </w:rPr>
            </w:pPr>
            <w:r>
              <w:rPr>
                <w:rFonts w:ascii="Arial" w:cs="Arial" w:eastAsia="Arial" w:hAnsi="Arial"/>
                <w:sz w:val="22"/>
                <w:szCs w:val="22"/>
                <w:color w:val="auto"/>
              </w:rPr>
              <w:t>/s/ Thomas A. Kelly</w:t>
            </w:r>
          </w:p>
        </w:tc>
      </w:tr>
      <w:tr>
        <w:trPr>
          <w:trHeight w:val="20"/>
        </w:trPr>
        <w:tc>
          <w:tcPr>
            <w:tcW w:w="2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r>
      <w:tr>
        <w:trPr>
          <w:trHeight w:val="256"/>
        </w:trPr>
        <w:tc>
          <w:tcPr>
            <w:tcW w:w="2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920" w:type="dxa"/>
            <w:vAlign w:val="bottom"/>
            <w:gridSpan w:val="3"/>
          </w:tcPr>
          <w:p>
            <w:pPr>
              <w:ind w:left="1320"/>
              <w:spacing w:after="0"/>
              <w:rPr>
                <w:sz w:val="20"/>
                <w:szCs w:val="20"/>
                <w:color w:val="auto"/>
              </w:rPr>
            </w:pPr>
            <w:r>
              <w:rPr>
                <w:rFonts w:ascii="Arial" w:cs="Arial" w:eastAsia="Arial" w:hAnsi="Arial"/>
                <w:sz w:val="22"/>
                <w:szCs w:val="22"/>
                <w:color w:val="auto"/>
              </w:rPr>
              <w:t>Thomas A. Kelly</w:t>
            </w:r>
          </w:p>
        </w:tc>
      </w:tr>
      <w:tr>
        <w:trPr>
          <w:trHeight w:val="257"/>
        </w:trPr>
        <w:tc>
          <w:tcPr>
            <w:tcW w:w="2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920" w:type="dxa"/>
            <w:vAlign w:val="bottom"/>
            <w:gridSpan w:val="3"/>
          </w:tcPr>
          <w:p>
            <w:pPr>
              <w:ind w:left="1320"/>
              <w:spacing w:after="0"/>
              <w:rPr>
                <w:sz w:val="20"/>
                <w:szCs w:val="20"/>
                <w:color w:val="auto"/>
              </w:rPr>
            </w:pPr>
            <w:r>
              <w:rPr>
                <w:rFonts w:ascii="Arial" w:cs="Arial" w:eastAsia="Arial" w:hAnsi="Arial"/>
                <w:sz w:val="22"/>
                <w:szCs w:val="22"/>
                <w:color w:val="auto"/>
              </w:rPr>
              <w:t>Senior Vice President</w:t>
            </w:r>
          </w:p>
        </w:tc>
      </w:tr>
      <w:tr>
        <w:trPr>
          <w:trHeight w:val="294"/>
        </w:trPr>
        <w:tc>
          <w:tcPr>
            <w:tcW w:w="2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920" w:type="dxa"/>
            <w:vAlign w:val="bottom"/>
            <w:gridSpan w:val="3"/>
          </w:tcPr>
          <w:p>
            <w:pPr>
              <w:ind w:left="1320"/>
              <w:spacing w:after="0"/>
              <w:rPr>
                <w:sz w:val="20"/>
                <w:szCs w:val="20"/>
                <w:color w:val="auto"/>
              </w:rPr>
            </w:pPr>
            <w:r>
              <w:rPr>
                <w:rFonts w:ascii="Arial" w:cs="Arial" w:eastAsia="Arial" w:hAnsi="Arial"/>
                <w:sz w:val="22"/>
                <w:szCs w:val="22"/>
                <w:color w:val="auto"/>
              </w:rPr>
              <w:t>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81"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The foregoing certification is being furnished to the Securities and Exchange Commission as an exhibit to this Quarterly Report on Form 10-Q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420"/>
      </w:cols>
      <w:pgMar w:left="240" w:top="8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upperLetter"/>
      <w:start w:val="1"/>
    </w:lvl>
  </w:abstractNum>
  <w:abstractNum w:abstractNumId="3">
    <w:nsid w:val="4E6AFB66"/>
    <w:multiLevelType w:val="hybridMultilevel"/>
    <w:lvl w:ilvl="0">
      <w:lvlJc w:val="left"/>
      <w:lvlText w:val="%1."/>
      <w:numFmt w:val="upperLetter"/>
      <w:start w:val="3"/>
    </w:lvl>
  </w:abstractNum>
  <w:abstractNum w:abstractNumId="4">
    <w:nsid w:val="25E45D32"/>
    <w:multiLevelType w:val="hybridMultilevel"/>
    <w:lvl w:ilvl="0">
      <w:lvlJc w:val="left"/>
      <w:lvlText w:val="%1."/>
      <w:numFmt w:val="upperLetter"/>
      <w:start w:val="4"/>
    </w:lvl>
  </w:abstractNum>
  <w:abstractNum w:abstractNumId="5">
    <w:nsid w:val="519B500D"/>
    <w:multiLevelType w:val="hybridMultilevel"/>
    <w:lvl w:ilvl="0">
      <w:lvlJc w:val="left"/>
      <w:lvlText w:val="%1."/>
      <w:numFmt w:val="upperLetter"/>
      <w:start w:val="5"/>
    </w:lvl>
  </w:abstractNum>
  <w:abstractNum w:abstractNumId="6">
    <w:nsid w:val="431BD7B7"/>
    <w:multiLevelType w:val="hybridMultilevel"/>
    <w:lvl w:ilvl="0">
      <w:lvlJc w:val="left"/>
      <w:lvlText w:val="%1."/>
      <w:numFmt w:val="upperLetter"/>
      <w:start w:val="6"/>
    </w:lvl>
  </w:abstractNum>
  <w:abstractNum w:abstractNumId="7">
    <w:nsid w:val="3F2DBA31"/>
    <w:multiLevelType w:val="hybridMultilevel"/>
    <w:lvl w:ilvl="0">
      <w:lvlJc w:val="left"/>
      <w:lvlText w:val="%1."/>
      <w:numFmt w:val="upperLetter"/>
      <w:start w:val="8"/>
    </w:lvl>
  </w:abstractNum>
  <w:abstractNum w:abstractNumId="8">
    <w:nsid w:val="7C83E458"/>
    <w:multiLevelType w:val="hybridMultilevel"/>
    <w:lvl w:ilvl="0">
      <w:lvlJc w:val="left"/>
      <w:lvlText w:val="%1."/>
      <w:numFmt w:val="upperLetter"/>
      <w:start w:val="9"/>
    </w:lvl>
  </w:abstractNum>
  <w:abstractNum w:abstractNumId="9">
    <w:nsid w:val="257130A3"/>
    <w:multiLevelType w:val="hybridMultilevel"/>
    <w:lvl w:ilvl="0">
      <w:lvlJc w:val="left"/>
      <w:lvlText w:val="%1."/>
      <w:numFmt w:val="upperLetter"/>
      <w:start w:val="10"/>
    </w:lvl>
  </w:abstractNum>
  <w:abstractNum w:abstractNumId="10">
    <w:nsid w:val="62BBD95A"/>
    <w:multiLevelType w:val="hybridMultilevel"/>
    <w:lvl w:ilvl="0">
      <w:lvlJc w:val="left"/>
      <w:lvlText w:val="%1."/>
      <w:numFmt w:val="upperLetter"/>
      <w:start w:val="11"/>
    </w:lvl>
  </w:abstractNum>
  <w:abstractNum w:abstractNumId="11">
    <w:nsid w:val="436C6125"/>
    <w:multiLevelType w:val="hybridMultilevel"/>
    <w:lvl w:ilvl="0">
      <w:lvlJc w:val="left"/>
      <w:lvlText w:val="%1."/>
      <w:numFmt w:val="upperLetter"/>
      <w:start w:val="12"/>
    </w:lvl>
  </w:abstractNum>
  <w:abstractNum w:abstractNumId="12">
    <w:nsid w:val="628C895D"/>
    <w:multiLevelType w:val="hybridMultilevel"/>
    <w:lvl w:ilvl="0">
      <w:lvlJc w:val="left"/>
      <w:lvlText w:val="%1."/>
      <w:numFmt w:val="upperLetter"/>
      <w:start w:val="13"/>
    </w:lvl>
  </w:abstractNum>
  <w:abstractNum w:abstractNumId="13">
    <w:nsid w:val="333AB105"/>
    <w:multiLevelType w:val="hybridMultilevel"/>
    <w:lvl w:ilvl="0">
      <w:lvlJc w:val="left"/>
      <w:lvlText w:val="%1."/>
      <w:numFmt w:val="upperLetter"/>
      <w:start w:val="14"/>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upperLetter"/>
      <w:start w:val="15"/>
    </w:lvl>
  </w:abstractNum>
  <w:abstractNum w:abstractNumId="16">
    <w:nsid w:val="2D1D5AE9"/>
    <w:multiLevelType w:val="hybridMultilevel"/>
    <w:lvl w:ilvl="0">
      <w:lvlJc w:val="left"/>
      <w:lvlText w:val="%1."/>
      <w:numFmt w:val="upperLetter"/>
      <w:start w:val="16"/>
    </w:lvl>
  </w:abstractNum>
  <w:abstractNum w:abstractNumId="17">
    <w:nsid w:val="6763845E"/>
    <w:multiLevelType w:val="hybridMultilevel"/>
    <w:lvl w:ilvl="0">
      <w:lvlJc w:val="left"/>
      <w:lvlText w:val="%1."/>
      <w:numFmt w:val="upperLetter"/>
      <w:start w:val="17"/>
    </w:lvl>
  </w:abstractNum>
  <w:abstractNum w:abstractNumId="18">
    <w:nsid w:val="75A2A8D4"/>
    <w:multiLevelType w:val="hybridMultilevel"/>
    <w:lvl w:ilvl="0">
      <w:lvlJc w:val="left"/>
      <w:lvlText w:val="%1."/>
      <w:numFmt w:val="upperLetter"/>
      <w:start w:val="18"/>
    </w:lvl>
  </w:abstractNum>
  <w:abstractNum w:abstractNumId="19">
    <w:nsid w:val="8EDBDAB"/>
    <w:multiLevelType w:val="hybridMultilevel"/>
    <w:lvl w:ilvl="0">
      <w:lvlJc w:val="left"/>
      <w:lvlText w:val="%1."/>
      <w:numFmt w:val="upperLetter"/>
      <w:start w:val="19"/>
    </w:lvl>
  </w:abstractNum>
  <w:abstractNum w:abstractNumId="20">
    <w:nsid w:val="79838CB2"/>
    <w:multiLevelType w:val="hybridMultilevel"/>
    <w:lvl w:ilvl="0">
      <w:lvlJc w:val="left"/>
      <w:lvlText w:val="%1."/>
      <w:numFmt w:val="upperLetter"/>
      <w:start w:val="20"/>
    </w:lvl>
  </w:abstractNum>
  <w:abstractNum w:abstractNumId="21">
    <w:nsid w:val="4353D0CD"/>
    <w:multiLevelType w:val="hybridMultilevel"/>
    <w:lvl w:ilvl="0">
      <w:lvlJc w:val="left"/>
      <w:lvlText w:val="%1."/>
      <w:numFmt w:val="upperLetter"/>
      <w:start w:val="21"/>
    </w:lvl>
    <w:lvl w:ilvl="1">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32"/>
    </w:lvl>
  </w:abstractNum>
  <w:abstractNum w:abstractNumId="24">
    <w:nsid w:val="54E49EB4"/>
    <w:multiLevelType w:val="hybridMultilevel"/>
    <w:lvl w:ilvl="0">
      <w:lvlJc w:val="left"/>
      <w:lvlText w:val="%1"/>
      <w:numFmt w:val="decimal"/>
      <w:start w:val="101"/>
    </w:lvl>
  </w:abstractNum>
  <w:abstractNum w:abstractNumId="25">
    <w:nsid w:val="71F32454"/>
    <w:multiLevelType w:val="hybridMultilevel"/>
    <w:lvl w:ilvl="0">
      <w:lvlJc w:val="left"/>
      <w:lvlText w:val="%1"/>
      <w:numFmt w:val="decimal"/>
      <w:start w:val="104"/>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2019-12-28T03:36:44Z</dcterms:created>
  <dcterms:modified xsi:type="dcterms:W3CDTF">2019-12-28T03:36:44Z</dcterms:modified>
</cp:coreProperties>
</file>