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37028d8k.htm"/>
      <w:bookmarkStart w:id="1" w:name="ksd63702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November 30,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CROWN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345"/>
        <w:gridCol w:w="60"/>
        <w:gridCol w:w="1055"/>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001-41550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75-3099507</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14025 Riveredge Drive, Suite 300,</w:t>
      </w:r>
    </w:p>
    <w:p>
      <w:pPr>
        <w:pStyle w:val="TextBody"/>
        <w:bidi w:val="0"/>
        <w:spacing w:before="0" w:after="0"/>
        <w:jc w:val="center"/>
        <w:rPr>
          <w:rFonts w:ascii="Times New Roman" w:hAnsi="Times New Roman"/>
          <w:b/>
          <w:sz w:val="20"/>
        </w:rPr>
      </w:pPr>
      <w:r>
        <w:rPr>
          <w:rFonts w:ascii="Times New Roman" w:hAnsi="Times New Roman"/>
          <w:b/>
          <w:sz w:val="20"/>
        </w:rPr>
        <w:t>Tampa, Florida 33637</w:t>
      </w:r>
    </w:p>
    <w:p>
      <w:pPr>
        <w:pStyle w:val="TextBody"/>
        <w:bidi w:val="0"/>
        <w:spacing w:before="0" w:after="0"/>
        <w:jc w:val="center"/>
        <w:rPr>
          <w:rFonts w:ascii="Times New Roman" w:hAnsi="Times New Roman"/>
          <w:b/>
          <w:sz w:val="20"/>
        </w:rPr>
      </w:pPr>
      <w:r>
        <w:rPr>
          <w:rFonts w:ascii="Times New Roman" w:hAnsi="Times New Roman"/>
          <w:b/>
          <w:sz w:val="20"/>
        </w:rPr>
        <w:t>(215) 698-5100</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 Including Area Code, of Registrant’s Principal Executive Offices)</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25"/>
        <w:gridCol w:w="60"/>
        <w:gridCol w:w="770"/>
        <w:gridCol w:w="60"/>
        <w:gridCol w:w="266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25" w:type="dxa"/>
            <w:tcBorders/>
            <w:vAlign w:val="center"/>
          </w:tcPr>
          <w:p>
            <w:pPr>
              <w:pStyle w:val="TableContents"/>
              <w:bidi w:val="0"/>
              <w:spacing w:before="0" w:after="283"/>
              <w:jc w:val="center"/>
              <w:rPr/>
            </w:pPr>
            <w:r>
              <w:rPr/>
              <w:t>Common Stock $5.00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3/8% Debentures Due 2026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CCK26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1/2% Debentures Due 2096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CCK96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245"/>
        <w:gridCol w:w="7280"/>
      </w:tblGrid>
      <w:tr>
        <w:trPr/>
        <w:tc>
          <w:tcPr>
            <w:tcW w:w="245"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1 - REGISTRANT’S BUSINESS AND OPERATIONS </w:t>
      </w:r>
    </w:p>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1040"/>
        <w:gridCol w:w="3785"/>
      </w:tblGrid>
      <w:tr>
        <w:trPr/>
        <w:tc>
          <w:tcPr>
            <w:tcW w:w="1040"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2.03 below is hereby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 FINANCIAL OPERATION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4"/>
        <w:gridCol w:w="9171"/>
      </w:tblGrid>
      <w:tr>
        <w:trPr/>
        <w:tc>
          <w:tcPr>
            <w:tcW w:w="1034" w:type="dxa"/>
            <w:tcBorders/>
            <w:vAlign w:val="center"/>
          </w:tcPr>
          <w:p>
            <w:pPr>
              <w:pStyle w:val="TableContents"/>
              <w:bidi w:val="0"/>
              <w:spacing w:before="0" w:after="283"/>
              <w:jc w:val="left"/>
              <w:rPr>
                <w:b/>
              </w:rPr>
            </w:pPr>
            <w:r>
              <w:rPr>
                <w:b/>
              </w:rPr>
              <w:t>Item 2.03.</w:t>
            </w:r>
          </w:p>
        </w:tc>
        <w:tc>
          <w:tcPr>
            <w:tcW w:w="91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the Registrant. </w:t>
            </w:r>
          </w:p>
        </w:tc>
      </w:tr>
    </w:tbl>
    <w:p>
      <w:pPr>
        <w:pStyle w:val="TextBody"/>
        <w:bidi w:val="0"/>
        <w:spacing w:before="120" w:after="0"/>
        <w:jc w:val="left"/>
        <w:rPr>
          <w:rFonts w:ascii="Times New Roman" w:hAnsi="Times New Roman"/>
          <w:sz w:val="20"/>
        </w:rPr>
      </w:pPr>
      <w:r>
        <w:rPr>
          <w:rFonts w:ascii="Times New Roman" w:hAnsi="Times New Roman"/>
          <w:sz w:val="20"/>
        </w:rPr>
        <w:t>On November 30, 2023, Crown Holdings, Inc. (the “</w:t>
      </w:r>
      <w:r>
        <w:rPr>
          <w:rFonts w:ascii="Times New Roman" w:hAnsi="Times New Roman"/>
          <w:sz w:val="20"/>
          <w:u w:val="single"/>
        </w:rPr>
        <w:t>Company</w:t>
      </w:r>
      <w:r>
        <w:rPr>
          <w:rFonts w:ascii="Times New Roman" w:hAnsi="Times New Roman"/>
          <w:sz w:val="20"/>
        </w:rPr>
        <w:t>”) entered into a Purchase Agreement (the “</w:t>
      </w:r>
      <w:r>
        <w:rPr>
          <w:rFonts w:ascii="Times New Roman" w:hAnsi="Times New Roman"/>
          <w:sz w:val="20"/>
          <w:u w:val="single"/>
        </w:rPr>
        <w:t>Purchase Agreement</w:t>
      </w:r>
      <w:r>
        <w:rPr>
          <w:rFonts w:ascii="Times New Roman" w:hAnsi="Times New Roman"/>
          <w:sz w:val="20"/>
        </w:rPr>
        <w:t>”) pursuant to which Crown European Holdings S.A. (the “</w:t>
      </w:r>
      <w:r>
        <w:rPr>
          <w:rFonts w:ascii="Times New Roman" w:hAnsi="Times New Roman"/>
          <w:sz w:val="20"/>
          <w:u w:val="single"/>
        </w:rPr>
        <w:t>Issuer</w:t>
      </w:r>
      <w:r>
        <w:rPr>
          <w:rFonts w:ascii="Times New Roman" w:hAnsi="Times New Roman"/>
          <w:sz w:val="20"/>
        </w:rPr>
        <w:t>”), a subsidiary of the Company, agreed to issue and sell to several initial purchasers, for whom BNP Paribas is acting as representative, €500,000,000 in aggregate principal amount of senior unsecured notes due 2029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March 15, 2029 and will accrue interest at a rate of 4.750% per year. Interest on the Notes will be payable semi-annually on March 15 and September 15 of each year, beginning on March 15, 2024. The Issuer may redeem some or all of the Notes, at its option, at any time prior to December 15, 2028 by paying 100% of the principal amount, plus accrued and unpaid interest, if any, to, but excluding, the redemption date, and a make-whole premium.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redeem some or all of the Notes, at its option, at any time on or after December 15, 2028 by paying 100% of the principal amount,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the Issuer or the Company experiences a change of control repurchase event, the Issuer may be required to offer to purchase the Notes at a purchase price equal to 101% of their principal amount, plus accrued and unpaid interest, if any,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senior obligations of the Issuer. The Notes will be unconditionally guaranteed on a senior basis by the Company and, subject to applicable law and exceptions, certain of the Company’s current and future subsidiaries organized under the laws of the United States, Canada, United Kingdom, France, Germany, Luxembourg, Mexico, the Netherlands and Switzerland. </w:t>
      </w:r>
    </w:p>
    <w:p>
      <w:pPr>
        <w:pStyle w:val="TextBody"/>
        <w:bidi w:val="0"/>
        <w:spacing w:before="240" w:after="0"/>
        <w:jc w:val="left"/>
        <w:rPr>
          <w:rFonts w:ascii="Times New Roman" w:hAnsi="Times New Roman"/>
          <w:sz w:val="20"/>
        </w:rPr>
      </w:pPr>
      <w:r>
        <w:rPr>
          <w:rFonts w:ascii="Times New Roman" w:hAnsi="Times New Roman"/>
          <w:sz w:val="20"/>
        </w:rPr>
        <w:t>The Notes will be sold in a private placement and resold by the initial purchasers to persons reasonably believed to be qualified institutional buyers pursuant to Rule 144A of the Securities Act of 1933, as amended (the “</w:t>
      </w:r>
      <w:r>
        <w:rPr>
          <w:rFonts w:ascii="Times New Roman" w:hAnsi="Times New Roman"/>
          <w:sz w:val="20"/>
          <w:u w:val="single"/>
        </w:rPr>
        <w:t>Securities Act</w:t>
      </w:r>
      <w:r>
        <w:rPr>
          <w:rFonts w:ascii="Times New Roman" w:hAnsi="Times New Roman"/>
          <w:sz w:val="20"/>
        </w:rPr>
        <w:t xml:space="preserve">”),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does not purport to be complete and is qualified in its entirety by the full text of the Purchase Agreement attached hereto as Exhibit 10.1, which is hereby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2022 and in subsequent filings made prior to or after the date hereof. The Company does not intend to review or revise any particular forward-looking statement in light of future events.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9 - FINANCIAL STATEMENTS AND EXHIBITS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1040"/>
        <w:gridCol w:w="2960"/>
      </w:tblGrid>
      <w:tr>
        <w:trPr/>
        <w:tc>
          <w:tcPr>
            <w:tcW w:w="1040"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center"/>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637028dex101.htm">
              <w:r>
                <w:rPr>
                  <w:rStyle w:val="InternetLink"/>
                </w:rPr>
                <w:t xml:space="preserve">Purchase Agreement, dated as of November 30, 2023, by and among the Company, the Issuer, BNP Paribas, as representative of the Initial Purchasers named in Schedule I thereto, and the Guarantors (as defined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Form 8-K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December 4, 2023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665"/>
        <w:gridCol w:w="60"/>
        <w:gridCol w:w="384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pPr>
            <w:r>
              <w:rPr/>
              <w:t>CROWN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90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Christy L. Kalaus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Christy L. Kalaus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Vice President and Corporate Controller</w:t>
            </w:r>
          </w:p>
        </w:tc>
      </w:tr>
    </w:tbl>
    <w:p>
      <w:pPr>
        <w:pStyle w:val="TextBody"/>
        <w:bidi w:val="0"/>
        <w:spacing w:before="0" w:after="0"/>
        <w:jc w:val="right"/>
        <w:rPr>
          <w:rFonts w:ascii="Times New Roman" w:hAnsi="Times New Roman"/>
          <w:b/>
          <w:sz w:val="20"/>
        </w:rPr>
      </w:pPr>
      <w:bookmarkStart w:id="2" w:name="d637028dex101.htm"/>
      <w:bookmarkStart w:id="3" w:name="ksd637028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CROWN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BY </w:t>
      </w:r>
    </w:p>
    <w:p>
      <w:pPr>
        <w:pStyle w:val="TextBody"/>
        <w:bidi w:val="0"/>
        <w:spacing w:before="240" w:after="0"/>
        <w:jc w:val="center"/>
        <w:rPr>
          <w:rFonts w:ascii="Times New Roman" w:hAnsi="Times New Roman"/>
          <w:b/>
          <w:sz w:val="20"/>
        </w:rPr>
      </w:pPr>
      <w:r>
        <w:rPr>
          <w:rFonts w:ascii="Times New Roman" w:hAnsi="Times New Roman"/>
          <w:b/>
          <w:sz w:val="20"/>
        </w:rPr>
        <w:t xml:space="preserve">CROWN EUROPEAN HOLDINGS S.A.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sz w:val="20"/>
        </w:rPr>
      </w:pPr>
      <w:r>
        <w:rPr>
          <w:rFonts w:ascii="Times New Roman" w:hAnsi="Times New Roman"/>
          <w:sz w:val="20"/>
        </w:rPr>
        <w:t xml:space="preserve">500,000,000 4.750% Senior Notes due 2029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Purchase Agreement </w:t>
      </w:r>
    </w:p>
    <w:p>
      <w:pPr>
        <w:pStyle w:val="TextBody"/>
        <w:bidi w:val="0"/>
        <w:spacing w:before="240" w:after="0"/>
        <w:jc w:val="right"/>
        <w:rPr>
          <w:rFonts w:ascii="Times New Roman" w:hAnsi="Times New Roman"/>
          <w:sz w:val="20"/>
        </w:rPr>
      </w:pPr>
      <w:r>
        <w:rPr>
          <w:rFonts w:ascii="Times New Roman" w:hAnsi="Times New Roman"/>
          <w:sz w:val="20"/>
        </w:rPr>
        <w:t xml:space="preserve">November 30,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91"/>
        <w:gridCol w:w="120"/>
        <w:gridCol w:w="3398"/>
        <w:gridCol w:w="120"/>
        <w:gridCol w:w="3476"/>
      </w:tblGrid>
      <w:tr>
        <w:trPr/>
        <w:tc>
          <w:tcPr>
            <w:tcW w:w="30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r>
      <w:tr>
        <w:trPr/>
        <w:tc>
          <w:tcPr>
            <w:tcW w:w="3091" w:type="dxa"/>
            <w:tcBorders/>
          </w:tcPr>
          <w:p>
            <w:pPr>
              <w:pStyle w:val="TableContents"/>
              <w:bidi w:val="0"/>
              <w:spacing w:before="0" w:after="0"/>
              <w:jc w:val="center"/>
              <w:rPr>
                <w:rFonts w:ascii="Times New Roman" w:hAnsi="Times New Roman"/>
                <w:sz w:val="20"/>
              </w:rPr>
            </w:pPr>
            <w:r>
              <w:rPr>
                <w:rFonts w:ascii="Times New Roman" w:hAnsi="Times New Roman"/>
                <w:sz w:val="20"/>
              </w:rPr>
              <w:t>BNP Paribas</w:t>
            </w:r>
          </w:p>
          <w:p>
            <w:pPr>
              <w:pStyle w:val="TableContents"/>
              <w:bidi w:val="0"/>
              <w:spacing w:before="0" w:after="0"/>
              <w:jc w:val="center"/>
              <w:rPr>
                <w:rFonts w:ascii="Times New Roman" w:hAnsi="Times New Roman"/>
                <w:sz w:val="20"/>
              </w:rPr>
            </w:pPr>
            <w:r>
              <w:rPr>
                <w:rFonts w:ascii="Times New Roman" w:hAnsi="Times New Roman"/>
                <w:sz w:val="20"/>
              </w:rPr>
              <w:t>16, boulevard des Italiens</w:t>
            </w:r>
          </w:p>
          <w:p>
            <w:pPr>
              <w:pStyle w:val="TableContents"/>
              <w:bidi w:val="0"/>
              <w:spacing w:before="0" w:after="20"/>
              <w:jc w:val="center"/>
              <w:rPr>
                <w:rFonts w:ascii="Times New Roman" w:hAnsi="Times New Roman"/>
                <w:sz w:val="20"/>
              </w:rPr>
            </w:pPr>
            <w:r>
              <w:rPr>
                <w:rFonts w:ascii="Times New Roman" w:hAnsi="Times New Roman"/>
                <w:sz w:val="20"/>
              </w:rPr>
              <w:t>75009 Paris</w:t>
            </w:r>
          </w:p>
        </w:tc>
        <w:tc>
          <w:tcPr>
            <w:tcW w:w="120"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0"/>
              <w:jc w:val="center"/>
              <w:rPr>
                <w:rFonts w:ascii="Times New Roman" w:hAnsi="Times New Roman"/>
                <w:sz w:val="20"/>
              </w:rPr>
            </w:pPr>
            <w:r>
              <w:rPr>
                <w:rFonts w:ascii="Times New Roman" w:hAnsi="Times New Roman"/>
                <w:sz w:val="20"/>
              </w:rPr>
              <w:t>Citigroup Global Markets</w:t>
            </w:r>
          </w:p>
          <w:p>
            <w:pPr>
              <w:pStyle w:val="TableContents"/>
              <w:bidi w:val="0"/>
              <w:spacing w:before="0" w:after="0"/>
              <w:jc w:val="center"/>
              <w:rPr>
                <w:rFonts w:ascii="Times New Roman" w:hAnsi="Times New Roman"/>
                <w:sz w:val="20"/>
              </w:rPr>
            </w:pPr>
            <w:r>
              <w:rPr>
                <w:rFonts w:ascii="Times New Roman" w:hAnsi="Times New Roman"/>
                <w:sz w:val="20"/>
              </w:rPr>
              <w:t>Europe AG</w:t>
            </w:r>
          </w:p>
          <w:p>
            <w:pPr>
              <w:pStyle w:val="TableContents"/>
              <w:bidi w:val="0"/>
              <w:spacing w:before="0" w:after="0"/>
              <w:jc w:val="center"/>
              <w:rPr>
                <w:rFonts w:ascii="Times New Roman" w:hAnsi="Times New Roman"/>
                <w:sz w:val="20"/>
              </w:rPr>
            </w:pPr>
            <w:r>
              <w:rPr>
                <w:rFonts w:ascii="Times New Roman" w:hAnsi="Times New Roman"/>
                <w:sz w:val="20"/>
              </w:rPr>
              <w:t>Reuterweg 16</w:t>
            </w:r>
          </w:p>
          <w:p>
            <w:pPr>
              <w:pStyle w:val="TableContents"/>
              <w:bidi w:val="0"/>
              <w:spacing w:before="0" w:after="0"/>
              <w:jc w:val="center"/>
              <w:rPr>
                <w:rFonts w:ascii="Times New Roman" w:hAnsi="Times New Roman"/>
                <w:sz w:val="20"/>
              </w:rPr>
            </w:pPr>
            <w:r>
              <w:rPr>
                <w:rFonts w:ascii="Times New Roman" w:hAnsi="Times New Roman"/>
                <w:sz w:val="20"/>
              </w:rPr>
              <w:t>60323 Frankfurt am Main</w:t>
            </w:r>
          </w:p>
          <w:p>
            <w:pPr>
              <w:pStyle w:val="TableContents"/>
              <w:bidi w:val="0"/>
              <w:spacing w:before="0" w:after="20"/>
              <w:jc w:val="center"/>
              <w:rPr>
                <w:rFonts w:ascii="Times New Roman" w:hAnsi="Times New Roman"/>
                <w:sz w:val="20"/>
              </w:rPr>
            </w:pPr>
            <w:r>
              <w:rPr>
                <w:rFonts w:ascii="Times New Roman" w:hAnsi="Times New Roman"/>
                <w:sz w:val="20"/>
              </w:rPr>
              <w:t>Germany</w:t>
            </w:r>
          </w:p>
        </w:tc>
        <w:tc>
          <w:tcPr>
            <w:tcW w:w="120" w:type="dxa"/>
            <w:tcBorders/>
            <w:vAlign w:val="bottom"/>
          </w:tcPr>
          <w:p>
            <w:pPr>
              <w:pStyle w:val="TableContents"/>
              <w:bidi w:val="0"/>
              <w:spacing w:before="0" w:after="283"/>
              <w:jc w:val="left"/>
              <w:rPr/>
            </w:pPr>
            <w:r>
              <w:rPr/>
              <w:t>  </w:t>
            </w:r>
          </w:p>
        </w:tc>
        <w:tc>
          <w:tcPr>
            <w:tcW w:w="3476" w:type="dxa"/>
            <w:tcBorders/>
          </w:tcPr>
          <w:p>
            <w:pPr>
              <w:pStyle w:val="TableContents"/>
              <w:bidi w:val="0"/>
              <w:spacing w:before="0" w:after="0"/>
              <w:jc w:val="center"/>
              <w:rPr>
                <w:rFonts w:ascii="Times New Roman" w:hAnsi="Times New Roman"/>
                <w:sz w:val="20"/>
              </w:rPr>
            </w:pPr>
            <w:r>
              <w:rPr>
                <w:rFonts w:ascii="Times New Roman" w:hAnsi="Times New Roman"/>
                <w:sz w:val="20"/>
              </w:rPr>
              <w:t>Deutsche Bank Aktiengesellschaft</w:t>
            </w:r>
          </w:p>
          <w:p>
            <w:pPr>
              <w:pStyle w:val="TableContents"/>
              <w:bidi w:val="0"/>
              <w:spacing w:before="0" w:after="0"/>
              <w:jc w:val="center"/>
              <w:rPr>
                <w:rFonts w:ascii="Times New Roman" w:hAnsi="Times New Roman"/>
                <w:sz w:val="20"/>
              </w:rPr>
            </w:pPr>
            <w:r>
              <w:rPr>
                <w:rFonts w:ascii="Times New Roman" w:hAnsi="Times New Roman"/>
                <w:sz w:val="20"/>
              </w:rPr>
              <w:t>Mainzer Landstr. 11-17</w:t>
            </w:r>
          </w:p>
          <w:p>
            <w:pPr>
              <w:pStyle w:val="TableContents"/>
              <w:bidi w:val="0"/>
              <w:spacing w:before="0" w:after="0"/>
              <w:jc w:val="center"/>
              <w:rPr>
                <w:rFonts w:ascii="Times New Roman" w:hAnsi="Times New Roman"/>
                <w:sz w:val="20"/>
              </w:rPr>
            </w:pPr>
            <w:r>
              <w:rPr>
                <w:rFonts w:ascii="Times New Roman" w:hAnsi="Times New Roman"/>
                <w:sz w:val="20"/>
              </w:rPr>
              <w:t>60329 Frankfurt am Main</w:t>
            </w:r>
          </w:p>
          <w:p>
            <w:pPr>
              <w:pStyle w:val="TableContents"/>
              <w:bidi w:val="0"/>
              <w:spacing w:before="0" w:after="20"/>
              <w:jc w:val="center"/>
              <w:rPr>
                <w:rFonts w:ascii="Times New Roman" w:hAnsi="Times New Roman"/>
                <w:sz w:val="20"/>
              </w:rPr>
            </w:pPr>
            <w:r>
              <w:rPr>
                <w:rFonts w:ascii="Times New Roman" w:hAnsi="Times New Roman"/>
                <w:sz w:val="20"/>
              </w:rPr>
              <w:t>Germany</w:t>
            </w:r>
          </w:p>
        </w:tc>
      </w:tr>
      <w:tr>
        <w:trPr>
          <w:trHeight w:val="240" w:hRule="atLeast"/>
        </w:trPr>
        <w:tc>
          <w:tcPr>
            <w:tcW w:w="3091"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3596" w:type="dxa"/>
            <w:gridSpan w:val="2"/>
            <w:tcBorders/>
            <w:vAlign w:val="center"/>
          </w:tcPr>
          <w:p>
            <w:pPr>
              <w:pStyle w:val="TableContents"/>
              <w:bidi w:val="0"/>
              <w:spacing w:before="0" w:after="283"/>
              <w:jc w:val="left"/>
              <w:rPr>
                <w:sz w:val="4"/>
                <w:szCs w:val="4"/>
              </w:rPr>
            </w:pPr>
            <w:r>
              <w:rPr>
                <w:sz w:val="4"/>
                <w:szCs w:val="4"/>
              </w:rPr>
            </w:r>
          </w:p>
        </w:tc>
      </w:tr>
      <w:tr>
        <w:trPr/>
        <w:tc>
          <w:tcPr>
            <w:tcW w:w="3091" w:type="dxa"/>
            <w:tcBorders/>
          </w:tcPr>
          <w:p>
            <w:pPr>
              <w:pStyle w:val="TableContents"/>
              <w:bidi w:val="0"/>
              <w:spacing w:before="0" w:after="0"/>
              <w:jc w:val="center"/>
              <w:rPr>
                <w:rFonts w:ascii="Times New Roman" w:hAnsi="Times New Roman"/>
                <w:sz w:val="20"/>
              </w:rPr>
            </w:pPr>
            <w:r>
              <w:rPr>
                <w:rFonts w:ascii="Times New Roman" w:hAnsi="Times New Roman"/>
                <w:sz w:val="20"/>
              </w:rPr>
              <w:t>BofA Securities Europe SA</w:t>
            </w:r>
          </w:p>
          <w:p>
            <w:pPr>
              <w:pStyle w:val="TableContents"/>
              <w:bidi w:val="0"/>
              <w:spacing w:before="0" w:after="0"/>
              <w:jc w:val="center"/>
              <w:rPr>
                <w:rFonts w:ascii="Times New Roman" w:hAnsi="Times New Roman"/>
                <w:sz w:val="20"/>
              </w:rPr>
            </w:pPr>
            <w:r>
              <w:rPr>
                <w:rFonts w:ascii="Times New Roman" w:hAnsi="Times New Roman"/>
                <w:sz w:val="20"/>
              </w:rPr>
              <w:t>51 rue La Boétie</w:t>
            </w:r>
          </w:p>
          <w:p>
            <w:pPr>
              <w:pStyle w:val="TableContents"/>
              <w:bidi w:val="0"/>
              <w:spacing w:before="0" w:after="20"/>
              <w:jc w:val="center"/>
              <w:rPr>
                <w:rFonts w:ascii="Times New Roman" w:hAnsi="Times New Roman"/>
                <w:sz w:val="20"/>
              </w:rPr>
            </w:pPr>
            <w:r>
              <w:rPr>
                <w:rFonts w:ascii="Times New Roman" w:hAnsi="Times New Roman"/>
                <w:sz w:val="20"/>
              </w:rPr>
              <w:t>75008 Paris</w:t>
            </w:r>
          </w:p>
        </w:tc>
        <w:tc>
          <w:tcPr>
            <w:tcW w:w="120"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0"/>
              <w:jc w:val="center"/>
              <w:rPr>
                <w:rFonts w:ascii="Times New Roman" w:hAnsi="Times New Roman"/>
                <w:sz w:val="20"/>
              </w:rPr>
            </w:pPr>
            <w:r>
              <w:rPr>
                <w:rFonts w:ascii="Times New Roman" w:hAnsi="Times New Roman"/>
                <w:sz w:val="20"/>
              </w:rPr>
              <w:t>Crédit Agricole Corporate and</w:t>
            </w:r>
          </w:p>
          <w:p>
            <w:pPr>
              <w:pStyle w:val="TableContents"/>
              <w:bidi w:val="0"/>
              <w:spacing w:before="0" w:after="0"/>
              <w:jc w:val="center"/>
              <w:rPr>
                <w:rFonts w:ascii="Times New Roman" w:hAnsi="Times New Roman"/>
                <w:sz w:val="20"/>
              </w:rPr>
            </w:pPr>
            <w:r>
              <w:rPr>
                <w:rFonts w:ascii="Times New Roman" w:hAnsi="Times New Roman"/>
                <w:sz w:val="20"/>
              </w:rPr>
              <w:t>Investment Bank</w:t>
            </w:r>
          </w:p>
          <w:p>
            <w:pPr>
              <w:pStyle w:val="TableContents"/>
              <w:bidi w:val="0"/>
              <w:spacing w:before="0" w:after="0"/>
              <w:jc w:val="center"/>
              <w:rPr>
                <w:rFonts w:ascii="Times New Roman" w:hAnsi="Times New Roman"/>
                <w:sz w:val="20"/>
              </w:rPr>
            </w:pPr>
            <w:r>
              <w:rPr>
                <w:rFonts w:ascii="Times New Roman" w:hAnsi="Times New Roman"/>
                <w:sz w:val="20"/>
              </w:rPr>
              <w:t>12, Place des Etats-Unis</w:t>
            </w:r>
          </w:p>
          <w:p>
            <w:pPr>
              <w:pStyle w:val="TableContents"/>
              <w:bidi w:val="0"/>
              <w:spacing w:before="0" w:after="0"/>
              <w:jc w:val="center"/>
              <w:rPr>
                <w:rFonts w:ascii="Times New Roman" w:hAnsi="Times New Roman"/>
                <w:sz w:val="20"/>
              </w:rPr>
            </w:pPr>
            <w:r>
              <w:rPr>
                <w:rFonts w:ascii="Times New Roman" w:hAnsi="Times New Roman"/>
                <w:sz w:val="20"/>
              </w:rPr>
              <w:t>CS 70052</w:t>
            </w:r>
          </w:p>
          <w:p>
            <w:pPr>
              <w:pStyle w:val="TableContents"/>
              <w:bidi w:val="0"/>
              <w:spacing w:before="0" w:after="0"/>
              <w:jc w:val="center"/>
              <w:rPr>
                <w:rFonts w:ascii="Times New Roman" w:hAnsi="Times New Roman"/>
                <w:sz w:val="20"/>
              </w:rPr>
            </w:pPr>
            <w:r>
              <w:rPr>
                <w:rFonts w:ascii="Times New Roman" w:hAnsi="Times New Roman"/>
                <w:sz w:val="20"/>
              </w:rPr>
              <w:t>92547 MONTROUGE CEDEX</w:t>
            </w:r>
          </w:p>
          <w:p>
            <w:pPr>
              <w:pStyle w:val="TableContents"/>
              <w:bidi w:val="0"/>
              <w:spacing w:before="0" w:after="20"/>
              <w:jc w:val="center"/>
              <w:rPr>
                <w:rFonts w:ascii="Times New Roman" w:hAnsi="Times New Roman"/>
                <w:sz w:val="20"/>
              </w:rPr>
            </w:pPr>
            <w:r>
              <w:rPr>
                <w:rFonts w:ascii="Times New Roman" w:hAnsi="Times New Roman"/>
                <w:sz w:val="20"/>
              </w:rPr>
              <w:t>France</w:t>
            </w:r>
          </w:p>
        </w:tc>
        <w:tc>
          <w:tcPr>
            <w:tcW w:w="120" w:type="dxa"/>
            <w:tcBorders/>
            <w:vAlign w:val="bottom"/>
          </w:tcPr>
          <w:p>
            <w:pPr>
              <w:pStyle w:val="TableContents"/>
              <w:bidi w:val="0"/>
              <w:spacing w:before="0" w:after="283"/>
              <w:jc w:val="left"/>
              <w:rPr/>
            </w:pPr>
            <w:r>
              <w:rPr/>
              <w:t>  </w:t>
            </w:r>
          </w:p>
        </w:tc>
        <w:tc>
          <w:tcPr>
            <w:tcW w:w="3476" w:type="dxa"/>
            <w:tcBorders/>
          </w:tcPr>
          <w:p>
            <w:pPr>
              <w:pStyle w:val="TableContents"/>
              <w:bidi w:val="0"/>
              <w:spacing w:before="0" w:after="0"/>
              <w:jc w:val="center"/>
              <w:rPr>
                <w:rFonts w:ascii="Times New Roman" w:hAnsi="Times New Roman"/>
                <w:sz w:val="20"/>
              </w:rPr>
            </w:pPr>
            <w:r>
              <w:rPr>
                <w:rFonts w:ascii="Times New Roman" w:hAnsi="Times New Roman"/>
                <w:sz w:val="20"/>
              </w:rPr>
              <w:t>Mizuho Securities Europe GmbH</w:t>
            </w:r>
          </w:p>
          <w:p>
            <w:pPr>
              <w:pStyle w:val="TableContents"/>
              <w:bidi w:val="0"/>
              <w:spacing w:before="0" w:after="0"/>
              <w:jc w:val="center"/>
              <w:rPr>
                <w:rFonts w:ascii="Times New Roman" w:hAnsi="Times New Roman"/>
                <w:sz w:val="20"/>
              </w:rPr>
            </w:pPr>
            <w:r>
              <w:rPr>
                <w:rFonts w:ascii="Times New Roman" w:hAnsi="Times New Roman"/>
                <w:sz w:val="20"/>
              </w:rPr>
              <w:t>Taunustor 1</w:t>
            </w:r>
          </w:p>
          <w:p>
            <w:pPr>
              <w:pStyle w:val="TableContents"/>
              <w:bidi w:val="0"/>
              <w:spacing w:before="0" w:after="0"/>
              <w:jc w:val="center"/>
              <w:rPr>
                <w:rFonts w:ascii="Times New Roman" w:hAnsi="Times New Roman"/>
                <w:sz w:val="20"/>
              </w:rPr>
            </w:pPr>
            <w:r>
              <w:rPr>
                <w:rFonts w:ascii="Times New Roman" w:hAnsi="Times New Roman"/>
                <w:sz w:val="20"/>
              </w:rPr>
              <w:t>60310 Frankfurt am Main</w:t>
            </w:r>
          </w:p>
          <w:p>
            <w:pPr>
              <w:pStyle w:val="TableContents"/>
              <w:bidi w:val="0"/>
              <w:spacing w:before="0" w:after="20"/>
              <w:jc w:val="center"/>
              <w:rPr>
                <w:rFonts w:ascii="Times New Roman" w:hAnsi="Times New Roman"/>
                <w:sz w:val="20"/>
              </w:rPr>
            </w:pPr>
            <w:r>
              <w:rPr>
                <w:rFonts w:ascii="Times New Roman" w:hAnsi="Times New Roman"/>
                <w:sz w:val="20"/>
              </w:rPr>
              <w:t>Germany</w:t>
            </w:r>
          </w:p>
        </w:tc>
      </w:tr>
      <w:tr>
        <w:trPr>
          <w:trHeight w:val="240" w:hRule="atLeast"/>
        </w:trPr>
        <w:tc>
          <w:tcPr>
            <w:tcW w:w="3091"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3596" w:type="dxa"/>
            <w:gridSpan w:val="2"/>
            <w:tcBorders/>
            <w:vAlign w:val="center"/>
          </w:tcPr>
          <w:p>
            <w:pPr>
              <w:pStyle w:val="TableContents"/>
              <w:bidi w:val="0"/>
              <w:spacing w:before="0" w:after="283"/>
              <w:jc w:val="left"/>
              <w:rPr>
                <w:sz w:val="4"/>
                <w:szCs w:val="4"/>
              </w:rPr>
            </w:pPr>
            <w:r>
              <w:rPr>
                <w:sz w:val="4"/>
                <w:szCs w:val="4"/>
              </w:rPr>
            </w:r>
          </w:p>
        </w:tc>
      </w:tr>
      <w:tr>
        <w:trPr/>
        <w:tc>
          <w:tcPr>
            <w:tcW w:w="3091" w:type="dxa"/>
            <w:tcBorders/>
          </w:tcPr>
          <w:p>
            <w:pPr>
              <w:pStyle w:val="TableContents"/>
              <w:bidi w:val="0"/>
              <w:spacing w:before="0" w:after="0"/>
              <w:jc w:val="center"/>
              <w:rPr>
                <w:rFonts w:ascii="Times New Roman" w:hAnsi="Times New Roman"/>
                <w:sz w:val="20"/>
              </w:rPr>
            </w:pPr>
            <w:r>
              <w:rPr>
                <w:rFonts w:ascii="Times New Roman" w:hAnsi="Times New Roman"/>
                <w:sz w:val="20"/>
              </w:rPr>
              <w:t>MUFG Securities (Europe) N.V.</w:t>
            </w:r>
          </w:p>
          <w:p>
            <w:pPr>
              <w:pStyle w:val="TableContents"/>
              <w:bidi w:val="0"/>
              <w:spacing w:before="0" w:after="0"/>
              <w:jc w:val="center"/>
              <w:rPr>
                <w:rFonts w:ascii="Times New Roman" w:hAnsi="Times New Roman"/>
                <w:sz w:val="20"/>
              </w:rPr>
            </w:pPr>
            <w:r>
              <w:rPr>
                <w:rFonts w:ascii="Times New Roman" w:hAnsi="Times New Roman"/>
                <w:sz w:val="20"/>
              </w:rPr>
              <w:t>World Trade Center,</w:t>
            </w:r>
          </w:p>
          <w:p>
            <w:pPr>
              <w:pStyle w:val="TableContents"/>
              <w:bidi w:val="0"/>
              <w:spacing w:before="0" w:after="0"/>
              <w:jc w:val="center"/>
              <w:rPr>
                <w:rFonts w:ascii="Times New Roman" w:hAnsi="Times New Roman"/>
                <w:sz w:val="20"/>
              </w:rPr>
            </w:pPr>
            <w:r>
              <w:rPr>
                <w:rFonts w:ascii="Times New Roman" w:hAnsi="Times New Roman"/>
                <w:sz w:val="20"/>
              </w:rPr>
              <w:t>Tower H, 11th Floor</w:t>
            </w:r>
          </w:p>
          <w:p>
            <w:pPr>
              <w:pStyle w:val="TableContents"/>
              <w:bidi w:val="0"/>
              <w:spacing w:before="0" w:after="0"/>
              <w:jc w:val="center"/>
              <w:rPr>
                <w:rFonts w:ascii="Times New Roman" w:hAnsi="Times New Roman"/>
                <w:sz w:val="20"/>
              </w:rPr>
            </w:pPr>
            <w:r>
              <w:rPr>
                <w:rFonts w:ascii="Times New Roman" w:hAnsi="Times New Roman"/>
                <w:sz w:val="20"/>
              </w:rPr>
              <w:t>Zuidplein 98</w:t>
            </w:r>
          </w:p>
          <w:p>
            <w:pPr>
              <w:pStyle w:val="TableContents"/>
              <w:bidi w:val="0"/>
              <w:spacing w:before="0" w:after="20"/>
              <w:jc w:val="center"/>
              <w:rPr>
                <w:rFonts w:ascii="Times New Roman" w:hAnsi="Times New Roman"/>
                <w:sz w:val="20"/>
              </w:rPr>
            </w:pPr>
            <w:r>
              <w:rPr>
                <w:rFonts w:ascii="Times New Roman" w:hAnsi="Times New Roman"/>
                <w:sz w:val="20"/>
              </w:rPr>
              <w:t>1077 XV Amsterdam</w:t>
            </w:r>
          </w:p>
        </w:tc>
        <w:tc>
          <w:tcPr>
            <w:tcW w:w="120"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0"/>
              <w:jc w:val="center"/>
              <w:rPr>
                <w:rFonts w:ascii="Times New Roman" w:hAnsi="Times New Roman"/>
                <w:sz w:val="20"/>
              </w:rPr>
            </w:pPr>
            <w:r>
              <w:rPr>
                <w:rFonts w:ascii="Times New Roman" w:hAnsi="Times New Roman"/>
                <w:sz w:val="20"/>
              </w:rPr>
              <w:t>Coöperatieve Rabobank U.A.</w:t>
            </w:r>
          </w:p>
          <w:p>
            <w:pPr>
              <w:pStyle w:val="TableContents"/>
              <w:bidi w:val="0"/>
              <w:spacing w:before="0" w:after="0"/>
              <w:jc w:val="center"/>
              <w:rPr>
                <w:rFonts w:ascii="Times New Roman" w:hAnsi="Times New Roman"/>
                <w:sz w:val="20"/>
              </w:rPr>
            </w:pPr>
            <w:r>
              <w:rPr>
                <w:rFonts w:ascii="Times New Roman" w:hAnsi="Times New Roman"/>
                <w:sz w:val="20"/>
              </w:rPr>
              <w:t>Croeselaan 18</w:t>
            </w:r>
          </w:p>
          <w:p>
            <w:pPr>
              <w:pStyle w:val="TableContents"/>
              <w:bidi w:val="0"/>
              <w:spacing w:before="0" w:after="0"/>
              <w:jc w:val="center"/>
              <w:rPr>
                <w:rFonts w:ascii="Times New Roman" w:hAnsi="Times New Roman"/>
                <w:sz w:val="20"/>
              </w:rPr>
            </w:pPr>
            <w:r>
              <w:rPr>
                <w:rFonts w:ascii="Times New Roman" w:hAnsi="Times New Roman"/>
                <w:sz w:val="20"/>
              </w:rPr>
              <w:t>3521CB Utrecht</w:t>
            </w:r>
          </w:p>
          <w:p>
            <w:pPr>
              <w:pStyle w:val="TableContents"/>
              <w:bidi w:val="0"/>
              <w:spacing w:before="0" w:after="20"/>
              <w:jc w:val="center"/>
              <w:rPr>
                <w:rFonts w:ascii="Times New Roman" w:hAnsi="Times New Roman"/>
                <w:sz w:val="20"/>
              </w:rPr>
            </w:pPr>
            <w:r>
              <w:rPr>
                <w:rFonts w:ascii="Times New Roman" w:hAnsi="Times New Roman"/>
                <w:sz w:val="20"/>
              </w:rPr>
              <w:t>The Netherlands</w:t>
            </w:r>
          </w:p>
        </w:tc>
        <w:tc>
          <w:tcPr>
            <w:tcW w:w="120" w:type="dxa"/>
            <w:tcBorders/>
            <w:vAlign w:val="bottom"/>
          </w:tcPr>
          <w:p>
            <w:pPr>
              <w:pStyle w:val="TableContents"/>
              <w:bidi w:val="0"/>
              <w:spacing w:before="0" w:after="283"/>
              <w:jc w:val="left"/>
              <w:rPr/>
            </w:pPr>
            <w:r>
              <w:rPr/>
              <w:t>  </w:t>
            </w:r>
          </w:p>
        </w:tc>
        <w:tc>
          <w:tcPr>
            <w:tcW w:w="3476" w:type="dxa"/>
            <w:tcBorders/>
          </w:tcPr>
          <w:p>
            <w:pPr>
              <w:pStyle w:val="TableContents"/>
              <w:bidi w:val="0"/>
              <w:spacing w:before="0" w:after="0"/>
              <w:jc w:val="center"/>
              <w:rPr>
                <w:rFonts w:ascii="Times New Roman" w:hAnsi="Times New Roman"/>
                <w:sz w:val="20"/>
              </w:rPr>
            </w:pPr>
            <w:r>
              <w:rPr>
                <w:rFonts w:ascii="Times New Roman" w:hAnsi="Times New Roman"/>
                <w:sz w:val="20"/>
              </w:rPr>
              <w:t>Banco Santander, S.A.</w:t>
            </w:r>
          </w:p>
          <w:p>
            <w:pPr>
              <w:pStyle w:val="TableContents"/>
              <w:bidi w:val="0"/>
              <w:spacing w:before="0" w:after="0"/>
              <w:jc w:val="center"/>
              <w:rPr>
                <w:rFonts w:ascii="Times New Roman" w:hAnsi="Times New Roman"/>
                <w:sz w:val="20"/>
              </w:rPr>
            </w:pPr>
            <w:r>
              <w:rPr>
                <w:rFonts w:ascii="Times New Roman" w:hAnsi="Times New Roman"/>
                <w:sz w:val="20"/>
              </w:rPr>
              <w:t>Ciudad Grupo Santander</w:t>
            </w:r>
          </w:p>
          <w:p>
            <w:pPr>
              <w:pStyle w:val="TableContents"/>
              <w:bidi w:val="0"/>
              <w:spacing w:before="0" w:after="0"/>
              <w:jc w:val="center"/>
              <w:rPr>
                <w:rFonts w:ascii="Times New Roman" w:hAnsi="Times New Roman"/>
                <w:sz w:val="20"/>
              </w:rPr>
            </w:pPr>
            <w:r>
              <w:rPr>
                <w:rFonts w:ascii="Times New Roman" w:hAnsi="Times New Roman"/>
                <w:sz w:val="20"/>
              </w:rPr>
              <w:t>Avenida de Cantabria s/n</w:t>
            </w:r>
          </w:p>
          <w:p>
            <w:pPr>
              <w:pStyle w:val="TableContents"/>
              <w:bidi w:val="0"/>
              <w:spacing w:before="0" w:after="0"/>
              <w:jc w:val="center"/>
              <w:rPr>
                <w:rFonts w:ascii="Times New Roman" w:hAnsi="Times New Roman"/>
                <w:sz w:val="20"/>
              </w:rPr>
            </w:pPr>
            <w:r>
              <w:rPr>
                <w:rFonts w:ascii="Times New Roman" w:hAnsi="Times New Roman"/>
                <w:sz w:val="20"/>
              </w:rPr>
              <w:t>Edificio Encinar</w:t>
            </w:r>
          </w:p>
          <w:p>
            <w:pPr>
              <w:pStyle w:val="TableContents"/>
              <w:bidi w:val="0"/>
              <w:spacing w:before="0" w:after="0"/>
              <w:jc w:val="center"/>
              <w:rPr>
                <w:rFonts w:ascii="Times New Roman" w:hAnsi="Times New Roman"/>
                <w:sz w:val="20"/>
              </w:rPr>
            </w:pPr>
            <w:r>
              <w:rPr>
                <w:rFonts w:ascii="Times New Roman" w:hAnsi="Times New Roman"/>
                <w:sz w:val="20"/>
              </w:rPr>
              <w:t>28660, Boadilla del Monte, Madrid,</w:t>
            </w:r>
          </w:p>
          <w:p>
            <w:pPr>
              <w:pStyle w:val="TableContents"/>
              <w:bidi w:val="0"/>
              <w:spacing w:before="0" w:after="20"/>
              <w:jc w:val="center"/>
              <w:rPr>
                <w:rFonts w:ascii="Times New Roman" w:hAnsi="Times New Roman"/>
                <w:sz w:val="20"/>
              </w:rPr>
            </w:pPr>
            <w:r>
              <w:rPr>
                <w:rFonts w:ascii="Times New Roman" w:hAnsi="Times New Roman"/>
                <w:sz w:val="20"/>
              </w:rPr>
              <w:t>Spain</w:t>
            </w:r>
          </w:p>
        </w:tc>
      </w:tr>
      <w:tr>
        <w:trPr>
          <w:trHeight w:val="240" w:hRule="atLeast"/>
        </w:trPr>
        <w:tc>
          <w:tcPr>
            <w:tcW w:w="3091"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3596" w:type="dxa"/>
            <w:gridSpan w:val="2"/>
            <w:tcBorders/>
            <w:vAlign w:val="center"/>
          </w:tcPr>
          <w:p>
            <w:pPr>
              <w:pStyle w:val="TableContents"/>
              <w:bidi w:val="0"/>
              <w:spacing w:before="0" w:after="283"/>
              <w:jc w:val="left"/>
              <w:rPr>
                <w:sz w:val="4"/>
                <w:szCs w:val="4"/>
              </w:rPr>
            </w:pPr>
            <w:r>
              <w:rPr>
                <w:sz w:val="4"/>
                <w:szCs w:val="4"/>
              </w:rPr>
            </w:r>
          </w:p>
        </w:tc>
      </w:tr>
      <w:tr>
        <w:trPr/>
        <w:tc>
          <w:tcPr>
            <w:tcW w:w="3091" w:type="dxa"/>
            <w:tcBorders/>
          </w:tcPr>
          <w:p>
            <w:pPr>
              <w:pStyle w:val="TableContents"/>
              <w:bidi w:val="0"/>
              <w:spacing w:before="0" w:after="0"/>
              <w:jc w:val="center"/>
              <w:rPr>
                <w:rFonts w:ascii="Times New Roman" w:hAnsi="Times New Roman"/>
                <w:sz w:val="20"/>
              </w:rPr>
            </w:pPr>
            <w:r>
              <w:rPr>
                <w:rFonts w:ascii="Times New Roman" w:hAnsi="Times New Roman"/>
                <w:sz w:val="20"/>
              </w:rPr>
              <w:t>Scotiabank (Ireland)</w:t>
            </w:r>
          </w:p>
          <w:p>
            <w:pPr>
              <w:pStyle w:val="TableContents"/>
              <w:bidi w:val="0"/>
              <w:spacing w:before="0" w:after="0"/>
              <w:jc w:val="center"/>
              <w:rPr>
                <w:rFonts w:ascii="Times New Roman" w:hAnsi="Times New Roman"/>
                <w:sz w:val="20"/>
              </w:rPr>
            </w:pPr>
            <w:r>
              <w:rPr>
                <w:rFonts w:ascii="Times New Roman" w:hAnsi="Times New Roman"/>
                <w:sz w:val="20"/>
              </w:rPr>
              <w:t>Designated Activity</w:t>
            </w:r>
          </w:p>
          <w:p>
            <w:pPr>
              <w:pStyle w:val="TableContents"/>
              <w:bidi w:val="0"/>
              <w:spacing w:before="0" w:after="0"/>
              <w:jc w:val="center"/>
              <w:rPr>
                <w:rFonts w:ascii="Times New Roman" w:hAnsi="Times New Roman"/>
                <w:sz w:val="20"/>
              </w:rPr>
            </w:pPr>
            <w:r>
              <w:rPr>
                <w:rFonts w:ascii="Times New Roman" w:hAnsi="Times New Roman"/>
                <w:sz w:val="20"/>
              </w:rPr>
              <w:t>Company</w:t>
            </w:r>
          </w:p>
          <w:p>
            <w:pPr>
              <w:pStyle w:val="TableContents"/>
              <w:bidi w:val="0"/>
              <w:spacing w:before="0" w:after="0"/>
              <w:jc w:val="center"/>
              <w:rPr>
                <w:rFonts w:ascii="Times New Roman" w:hAnsi="Times New Roman"/>
                <w:sz w:val="20"/>
              </w:rPr>
            </w:pPr>
            <w:r>
              <w:rPr>
                <w:rFonts w:ascii="Times New Roman" w:hAnsi="Times New Roman"/>
                <w:sz w:val="20"/>
              </w:rPr>
              <w:t>Three Park Place</w:t>
            </w:r>
          </w:p>
          <w:p>
            <w:pPr>
              <w:pStyle w:val="TableContents"/>
              <w:bidi w:val="0"/>
              <w:spacing w:before="0" w:after="0"/>
              <w:jc w:val="center"/>
              <w:rPr>
                <w:rFonts w:ascii="Times New Roman" w:hAnsi="Times New Roman"/>
                <w:sz w:val="20"/>
              </w:rPr>
            </w:pPr>
            <w:r>
              <w:rPr>
                <w:rFonts w:ascii="Times New Roman" w:hAnsi="Times New Roman"/>
                <w:sz w:val="20"/>
              </w:rPr>
              <w:t>Hatch Street Upper,</w:t>
            </w:r>
          </w:p>
          <w:p>
            <w:pPr>
              <w:pStyle w:val="TableContents"/>
              <w:bidi w:val="0"/>
              <w:spacing w:before="0" w:after="20"/>
              <w:jc w:val="center"/>
              <w:rPr>
                <w:rFonts w:ascii="Times New Roman" w:hAnsi="Times New Roman"/>
                <w:sz w:val="20"/>
              </w:rPr>
            </w:pPr>
            <w:r>
              <w:rPr>
                <w:rFonts w:ascii="Times New Roman" w:hAnsi="Times New Roman"/>
                <w:sz w:val="20"/>
              </w:rPr>
              <w:t>Dublin, Ireland</w:t>
            </w:r>
          </w:p>
        </w:tc>
        <w:tc>
          <w:tcPr>
            <w:tcW w:w="120"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0"/>
              <w:jc w:val="center"/>
              <w:rPr>
                <w:rFonts w:ascii="Times New Roman" w:hAnsi="Times New Roman"/>
                <w:sz w:val="20"/>
              </w:rPr>
            </w:pPr>
            <w:r>
              <w:rPr>
                <w:rFonts w:ascii="Times New Roman" w:hAnsi="Times New Roman"/>
                <w:sz w:val="20"/>
              </w:rPr>
              <w:t>TD Securities (USA) LLC</w:t>
            </w:r>
          </w:p>
          <w:p>
            <w:pPr>
              <w:pStyle w:val="TableContents"/>
              <w:bidi w:val="0"/>
              <w:spacing w:before="0" w:after="0"/>
              <w:jc w:val="center"/>
              <w:rPr>
                <w:rFonts w:ascii="Times New Roman" w:hAnsi="Times New Roman"/>
                <w:sz w:val="20"/>
              </w:rPr>
            </w:pPr>
            <w:r>
              <w:rPr>
                <w:rFonts w:ascii="Times New Roman" w:hAnsi="Times New Roman"/>
                <w:sz w:val="20"/>
              </w:rPr>
              <w:t>1 Vanderbilt Avenue, New</w:t>
            </w:r>
          </w:p>
          <w:p>
            <w:pPr>
              <w:pStyle w:val="TableContents"/>
              <w:bidi w:val="0"/>
              <w:spacing w:before="0" w:after="20"/>
              <w:jc w:val="center"/>
              <w:rPr>
                <w:rFonts w:ascii="Times New Roman" w:hAnsi="Times New Roman"/>
                <w:sz w:val="20"/>
              </w:rPr>
            </w:pPr>
            <w:r>
              <w:rPr>
                <w:rFonts w:ascii="Times New Roman" w:hAnsi="Times New Roman"/>
                <w:sz w:val="20"/>
              </w:rPr>
              <w:t>York, NY 10017</w:t>
            </w:r>
          </w:p>
        </w:tc>
        <w:tc>
          <w:tcPr>
            <w:tcW w:w="120" w:type="dxa"/>
            <w:tcBorders/>
            <w:vAlign w:val="bottom"/>
          </w:tcPr>
          <w:p>
            <w:pPr>
              <w:pStyle w:val="TableContents"/>
              <w:bidi w:val="0"/>
              <w:spacing w:before="0" w:after="283"/>
              <w:jc w:val="left"/>
              <w:rPr/>
            </w:pPr>
            <w:r>
              <w:rPr/>
              <w:t>  </w:t>
            </w:r>
          </w:p>
        </w:tc>
        <w:tc>
          <w:tcPr>
            <w:tcW w:w="3476" w:type="dxa"/>
            <w:tcBorders/>
          </w:tcPr>
          <w:p>
            <w:pPr>
              <w:pStyle w:val="TableContents"/>
              <w:bidi w:val="0"/>
              <w:spacing w:before="0" w:after="0"/>
              <w:jc w:val="center"/>
              <w:rPr>
                <w:rFonts w:ascii="Times New Roman" w:hAnsi="Times New Roman"/>
                <w:sz w:val="20"/>
              </w:rPr>
            </w:pPr>
            <w:r>
              <w:rPr>
                <w:rFonts w:ascii="Times New Roman" w:hAnsi="Times New Roman"/>
                <w:sz w:val="20"/>
              </w:rPr>
              <w:t>UniCredit Bank AG</w:t>
            </w:r>
          </w:p>
          <w:p>
            <w:pPr>
              <w:pStyle w:val="TableContents"/>
              <w:bidi w:val="0"/>
              <w:spacing w:before="0" w:after="0"/>
              <w:jc w:val="center"/>
              <w:rPr>
                <w:rFonts w:ascii="Times New Roman" w:hAnsi="Times New Roman"/>
                <w:sz w:val="20"/>
              </w:rPr>
            </w:pPr>
            <w:r>
              <w:rPr>
                <w:rFonts w:ascii="Times New Roman" w:hAnsi="Times New Roman"/>
                <w:sz w:val="20"/>
              </w:rPr>
              <w:t>Arabellastrasse 12</w:t>
            </w:r>
          </w:p>
          <w:p>
            <w:pPr>
              <w:pStyle w:val="TableContents"/>
              <w:bidi w:val="0"/>
              <w:spacing w:before="0" w:after="20"/>
              <w:jc w:val="center"/>
              <w:rPr>
                <w:rFonts w:ascii="Times New Roman" w:hAnsi="Times New Roman"/>
                <w:sz w:val="20"/>
              </w:rPr>
            </w:pPr>
            <w:r>
              <w:rPr>
                <w:rFonts w:ascii="Times New Roman" w:hAnsi="Times New Roman"/>
                <w:sz w:val="20"/>
              </w:rPr>
              <w:t>81925 Munich, Germany</w:t>
            </w:r>
          </w:p>
        </w:tc>
      </w:tr>
      <w:tr>
        <w:trPr>
          <w:trHeight w:val="240" w:hRule="atLeast"/>
        </w:trPr>
        <w:tc>
          <w:tcPr>
            <w:tcW w:w="3091"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3596" w:type="dxa"/>
            <w:gridSpan w:val="2"/>
            <w:tcBorders/>
            <w:vAlign w:val="center"/>
          </w:tcPr>
          <w:p>
            <w:pPr>
              <w:pStyle w:val="TableContents"/>
              <w:bidi w:val="0"/>
              <w:spacing w:before="0" w:after="283"/>
              <w:jc w:val="left"/>
              <w:rPr>
                <w:sz w:val="4"/>
                <w:szCs w:val="4"/>
              </w:rPr>
            </w:pPr>
            <w:r>
              <w:rPr>
                <w:sz w:val="4"/>
                <w:szCs w:val="4"/>
              </w:rPr>
            </w:r>
          </w:p>
        </w:tc>
      </w:tr>
      <w:tr>
        <w:trPr/>
        <w:tc>
          <w:tcPr>
            <w:tcW w:w="3091" w:type="dxa"/>
            <w:tcBorders/>
          </w:tcPr>
          <w:p>
            <w:pPr>
              <w:pStyle w:val="TableContents"/>
              <w:bidi w:val="0"/>
              <w:spacing w:before="0" w:after="0"/>
              <w:jc w:val="center"/>
              <w:rPr>
                <w:rFonts w:ascii="Times New Roman" w:hAnsi="Times New Roman"/>
                <w:sz w:val="20"/>
              </w:rPr>
            </w:pPr>
            <w:r>
              <w:rPr>
                <w:rFonts w:ascii="Times New Roman" w:hAnsi="Times New Roman"/>
                <w:sz w:val="20"/>
              </w:rPr>
              <w:t>Wells Fargo Securities Europe</w:t>
            </w:r>
          </w:p>
          <w:p>
            <w:pPr>
              <w:pStyle w:val="TableContents"/>
              <w:bidi w:val="0"/>
              <w:spacing w:before="0" w:after="0"/>
              <w:jc w:val="center"/>
              <w:rPr>
                <w:rFonts w:ascii="Times New Roman" w:hAnsi="Times New Roman"/>
                <w:sz w:val="20"/>
              </w:rPr>
            </w:pPr>
            <w:r>
              <w:rPr>
                <w:rFonts w:ascii="Times New Roman" w:hAnsi="Times New Roman"/>
                <w:sz w:val="20"/>
              </w:rPr>
              <w:t>S.A.</w:t>
            </w:r>
          </w:p>
          <w:p>
            <w:pPr>
              <w:pStyle w:val="TableContents"/>
              <w:bidi w:val="0"/>
              <w:spacing w:before="0" w:after="0"/>
              <w:jc w:val="center"/>
              <w:rPr>
                <w:rFonts w:ascii="Times New Roman" w:hAnsi="Times New Roman"/>
                <w:sz w:val="20"/>
              </w:rPr>
            </w:pPr>
            <w:r>
              <w:rPr>
                <w:rFonts w:ascii="Times New Roman" w:hAnsi="Times New Roman"/>
                <w:sz w:val="20"/>
              </w:rPr>
              <w:t>1-5 Rue Paul Cézanne, 75008</w:t>
            </w:r>
          </w:p>
          <w:p>
            <w:pPr>
              <w:pStyle w:val="TableContents"/>
              <w:bidi w:val="0"/>
              <w:spacing w:before="0" w:after="20"/>
              <w:jc w:val="center"/>
              <w:rPr>
                <w:rFonts w:ascii="Times New Roman" w:hAnsi="Times New Roman"/>
                <w:sz w:val="20"/>
              </w:rPr>
            </w:pPr>
            <w:r>
              <w:rPr>
                <w:rFonts w:ascii="Times New Roman" w:hAnsi="Times New Roman"/>
                <w:sz w:val="20"/>
              </w:rPr>
              <w:t>Paris, France</w:t>
            </w:r>
          </w:p>
        </w:tc>
        <w:tc>
          <w:tcPr>
            <w:tcW w:w="120"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0"/>
              <w:jc w:val="center"/>
              <w:rPr>
                <w:rFonts w:ascii="Times New Roman" w:hAnsi="Times New Roman"/>
                <w:sz w:val="20"/>
              </w:rPr>
            </w:pPr>
            <w:r>
              <w:rPr>
                <w:rFonts w:ascii="Times New Roman" w:hAnsi="Times New Roman"/>
                <w:sz w:val="20"/>
              </w:rPr>
              <w:t>Goldman Sachs &amp; Co. LLC</w:t>
            </w:r>
          </w:p>
          <w:p>
            <w:pPr>
              <w:pStyle w:val="TableContents"/>
              <w:bidi w:val="0"/>
              <w:spacing w:before="0" w:after="0"/>
              <w:jc w:val="center"/>
              <w:rPr>
                <w:rFonts w:ascii="Times New Roman" w:hAnsi="Times New Roman"/>
                <w:sz w:val="20"/>
              </w:rPr>
            </w:pPr>
            <w:r>
              <w:rPr>
                <w:rFonts w:ascii="Times New Roman" w:hAnsi="Times New Roman"/>
                <w:sz w:val="20"/>
              </w:rPr>
              <w:t>200 West St.</w:t>
            </w:r>
          </w:p>
          <w:p>
            <w:pPr>
              <w:pStyle w:val="TableContents"/>
              <w:bidi w:val="0"/>
              <w:spacing w:before="0" w:after="20"/>
              <w:jc w:val="center"/>
              <w:rPr>
                <w:rFonts w:ascii="Times New Roman" w:hAnsi="Times New Roman"/>
                <w:sz w:val="20"/>
              </w:rPr>
            </w:pPr>
            <w:r>
              <w:rPr>
                <w:rFonts w:ascii="Times New Roman" w:hAnsi="Times New Roman"/>
                <w:sz w:val="20"/>
              </w:rPr>
              <w:t>New York, NY 10282</w:t>
            </w:r>
          </w:p>
        </w:tc>
        <w:tc>
          <w:tcPr>
            <w:tcW w:w="120" w:type="dxa"/>
            <w:tcBorders/>
            <w:vAlign w:val="bottom"/>
          </w:tcPr>
          <w:p>
            <w:pPr>
              <w:pStyle w:val="TableContents"/>
              <w:bidi w:val="0"/>
              <w:spacing w:before="0" w:after="283"/>
              <w:jc w:val="left"/>
              <w:rPr/>
            </w:pPr>
            <w:r>
              <w:rPr/>
              <w:t>  </w:t>
            </w:r>
          </w:p>
        </w:tc>
        <w:tc>
          <w:tcPr>
            <w:tcW w:w="3476" w:type="dxa"/>
            <w:tcBorders/>
          </w:tcPr>
          <w:p>
            <w:pPr>
              <w:pStyle w:val="TableContents"/>
              <w:bidi w:val="0"/>
              <w:spacing w:before="0" w:after="0"/>
              <w:jc w:val="center"/>
              <w:rPr>
                <w:rFonts w:ascii="Times New Roman" w:hAnsi="Times New Roman"/>
                <w:sz w:val="20"/>
              </w:rPr>
            </w:pPr>
            <w:r>
              <w:rPr>
                <w:rFonts w:ascii="Times New Roman" w:hAnsi="Times New Roman"/>
                <w:sz w:val="20"/>
              </w:rPr>
              <w:t>Huntington Securities, Inc.</w:t>
            </w:r>
          </w:p>
          <w:p>
            <w:pPr>
              <w:pStyle w:val="TableContents"/>
              <w:bidi w:val="0"/>
              <w:spacing w:before="0" w:after="0"/>
              <w:jc w:val="center"/>
              <w:rPr>
                <w:rFonts w:ascii="Times New Roman" w:hAnsi="Times New Roman"/>
                <w:sz w:val="20"/>
              </w:rPr>
            </w:pPr>
            <w:r>
              <w:rPr>
                <w:rFonts w:ascii="Times New Roman" w:hAnsi="Times New Roman"/>
                <w:sz w:val="20"/>
              </w:rPr>
              <w:t>41 S. High St.</w:t>
            </w:r>
          </w:p>
          <w:p>
            <w:pPr>
              <w:pStyle w:val="TableContents"/>
              <w:bidi w:val="0"/>
              <w:spacing w:before="0" w:after="0"/>
              <w:jc w:val="center"/>
              <w:rPr>
                <w:rFonts w:ascii="Times New Roman" w:hAnsi="Times New Roman"/>
                <w:sz w:val="20"/>
              </w:rPr>
            </w:pPr>
            <w:r>
              <w:rPr>
                <w:rFonts w:ascii="Times New Roman" w:hAnsi="Times New Roman"/>
                <w:sz w:val="20"/>
              </w:rPr>
              <w:t>5th Floor</w:t>
            </w:r>
          </w:p>
          <w:p>
            <w:pPr>
              <w:pStyle w:val="TableContents"/>
              <w:bidi w:val="0"/>
              <w:spacing w:before="0" w:after="20"/>
              <w:jc w:val="center"/>
              <w:rPr>
                <w:rFonts w:ascii="Times New Roman" w:hAnsi="Times New Roman"/>
                <w:sz w:val="20"/>
              </w:rPr>
            </w:pPr>
            <w:r>
              <w:rPr>
                <w:rFonts w:ascii="Times New Roman" w:hAnsi="Times New Roman"/>
                <w:sz w:val="20"/>
              </w:rPr>
              <w:t>Columbus, OH 43287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15"/>
        <w:gridCol w:w="120"/>
        <w:gridCol w:w="3348"/>
        <w:gridCol w:w="120"/>
        <w:gridCol w:w="3302"/>
      </w:tblGrid>
      <w:tr>
        <w:trPr/>
        <w:tc>
          <w:tcPr>
            <w:tcW w:w="33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r>
      <w:tr>
        <w:trPr/>
        <w:tc>
          <w:tcPr>
            <w:tcW w:w="3315" w:type="dxa"/>
            <w:tcBorders/>
          </w:tcPr>
          <w:p>
            <w:pPr>
              <w:pStyle w:val="TableContents"/>
              <w:bidi w:val="0"/>
              <w:spacing w:before="0" w:after="0"/>
              <w:jc w:val="center"/>
              <w:rPr>
                <w:rFonts w:ascii="Times New Roman" w:hAnsi="Times New Roman"/>
                <w:sz w:val="20"/>
              </w:rPr>
            </w:pPr>
            <w:r>
              <w:rPr>
                <w:rFonts w:ascii="Times New Roman" w:hAnsi="Times New Roman"/>
                <w:sz w:val="20"/>
              </w:rPr>
              <w:t>ING Bank N.V.</w:t>
            </w:r>
          </w:p>
          <w:p>
            <w:pPr>
              <w:pStyle w:val="TableContents"/>
              <w:bidi w:val="0"/>
              <w:spacing w:before="0" w:after="0"/>
              <w:jc w:val="center"/>
              <w:rPr>
                <w:rFonts w:ascii="Times New Roman" w:hAnsi="Times New Roman"/>
                <w:sz w:val="20"/>
              </w:rPr>
            </w:pPr>
            <w:r>
              <w:rPr>
                <w:rFonts w:ascii="Times New Roman" w:hAnsi="Times New Roman"/>
                <w:sz w:val="20"/>
              </w:rPr>
              <w:t>Foppingadreef 7</w:t>
            </w:r>
          </w:p>
          <w:p>
            <w:pPr>
              <w:pStyle w:val="TableContents"/>
              <w:bidi w:val="0"/>
              <w:spacing w:before="0" w:after="0"/>
              <w:jc w:val="center"/>
              <w:rPr>
                <w:rFonts w:ascii="Times New Roman" w:hAnsi="Times New Roman"/>
                <w:sz w:val="20"/>
              </w:rPr>
            </w:pPr>
            <w:r>
              <w:rPr>
                <w:rFonts w:ascii="Times New Roman" w:hAnsi="Times New Roman"/>
                <w:sz w:val="20"/>
              </w:rPr>
              <w:t>1102 BD Amsterdam</w:t>
            </w:r>
          </w:p>
          <w:p>
            <w:pPr>
              <w:pStyle w:val="TableContents"/>
              <w:bidi w:val="0"/>
              <w:spacing w:before="0" w:after="20"/>
              <w:jc w:val="center"/>
              <w:rPr>
                <w:rFonts w:ascii="Times New Roman" w:hAnsi="Times New Roman"/>
                <w:sz w:val="20"/>
              </w:rPr>
            </w:pPr>
            <w:r>
              <w:rPr>
                <w:rFonts w:ascii="Times New Roman" w:hAnsi="Times New Roman"/>
                <w:sz w:val="20"/>
              </w:rPr>
              <w:t>The Netherlands</w:t>
            </w:r>
          </w:p>
        </w:tc>
        <w:tc>
          <w:tcPr>
            <w:tcW w:w="120"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0"/>
              <w:jc w:val="center"/>
              <w:rPr>
                <w:rFonts w:ascii="Times New Roman" w:hAnsi="Times New Roman"/>
                <w:sz w:val="20"/>
              </w:rPr>
            </w:pPr>
            <w:r>
              <w:rPr>
                <w:rFonts w:ascii="Times New Roman" w:hAnsi="Times New Roman"/>
                <w:sz w:val="20"/>
              </w:rPr>
              <w:t>PNC Capital Markets LLC</w:t>
            </w:r>
          </w:p>
          <w:p>
            <w:pPr>
              <w:pStyle w:val="TableContents"/>
              <w:bidi w:val="0"/>
              <w:spacing w:before="0" w:after="0"/>
              <w:jc w:val="center"/>
              <w:rPr>
                <w:rFonts w:ascii="Times New Roman" w:hAnsi="Times New Roman"/>
                <w:sz w:val="20"/>
              </w:rPr>
            </w:pPr>
            <w:r>
              <w:rPr>
                <w:rFonts w:ascii="Times New Roman" w:hAnsi="Times New Roman"/>
                <w:sz w:val="20"/>
              </w:rPr>
              <w:t>300 Fifth Avenue., 10th Fl</w:t>
            </w:r>
          </w:p>
          <w:p>
            <w:pPr>
              <w:pStyle w:val="TableContents"/>
              <w:bidi w:val="0"/>
              <w:spacing w:before="0" w:after="20"/>
              <w:jc w:val="center"/>
              <w:rPr>
                <w:rFonts w:ascii="Times New Roman" w:hAnsi="Times New Roman"/>
                <w:sz w:val="20"/>
              </w:rPr>
            </w:pPr>
            <w:r>
              <w:rPr>
                <w:rFonts w:ascii="Times New Roman" w:hAnsi="Times New Roman"/>
                <w:sz w:val="20"/>
              </w:rPr>
              <w:t>Pittsburgh, PA 15222</w:t>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bidi w:val="0"/>
              <w:spacing w:before="0" w:after="0"/>
              <w:jc w:val="center"/>
              <w:rPr>
                <w:rFonts w:ascii="Times New Roman" w:hAnsi="Times New Roman"/>
                <w:sz w:val="20"/>
              </w:rPr>
            </w:pPr>
            <w:r>
              <w:rPr>
                <w:rFonts w:ascii="Times New Roman" w:hAnsi="Times New Roman"/>
                <w:sz w:val="20"/>
              </w:rPr>
              <w:t>SMBC Bank EU AG</w:t>
            </w:r>
          </w:p>
          <w:p>
            <w:pPr>
              <w:pStyle w:val="TableContents"/>
              <w:bidi w:val="0"/>
              <w:spacing w:before="0" w:after="0"/>
              <w:jc w:val="center"/>
              <w:rPr>
                <w:rFonts w:ascii="Times New Roman" w:hAnsi="Times New Roman"/>
                <w:sz w:val="20"/>
              </w:rPr>
            </w:pPr>
            <w:r>
              <w:rPr>
                <w:rFonts w:ascii="Times New Roman" w:hAnsi="Times New Roman"/>
                <w:sz w:val="20"/>
              </w:rPr>
              <w:t>Neue Mainzer Straße 52-58,</w:t>
            </w:r>
          </w:p>
          <w:p>
            <w:pPr>
              <w:pStyle w:val="TableContents"/>
              <w:bidi w:val="0"/>
              <w:spacing w:before="0" w:after="20"/>
              <w:jc w:val="center"/>
              <w:rPr>
                <w:rFonts w:ascii="Times New Roman" w:hAnsi="Times New Roman"/>
                <w:sz w:val="20"/>
              </w:rPr>
            </w:pPr>
            <w:r>
              <w:rPr>
                <w:rFonts w:ascii="Times New Roman" w:hAnsi="Times New Roman"/>
                <w:sz w:val="20"/>
              </w:rPr>
              <w:t>60311 Frankfurt, Germany</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Crown Holdings, Inc., a Pennsylvania corporation (</w:t>
      </w:r>
      <w:r>
        <w:rPr>
          <w:rFonts w:ascii="Times New Roman" w:hAnsi="Times New Roman"/>
          <w:sz w:val="20"/>
          <w:u w:val="single"/>
        </w:rPr>
        <w:t>Holdings</w:t>
      </w:r>
      <w:r>
        <w:rPr>
          <w:rFonts w:ascii="Times New Roman" w:hAnsi="Times New Roman"/>
          <w:sz w:val="20"/>
        </w:rPr>
        <w:t xml:space="preserve">), and the indirect parent company of Crown European Holdings S.A., a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anonyme</w:t>
      </w:r>
      <w:r>
        <w:rPr>
          <w:rFonts w:ascii="Times New Roman" w:hAnsi="Times New Roman"/>
          <w:sz w:val="20"/>
        </w:rPr>
        <w:t xml:space="preserve"> organized under the laws of France (the </w:t>
      </w:r>
      <w:r>
        <w:rPr>
          <w:rFonts w:ascii="Times New Roman" w:hAnsi="Times New Roman"/>
          <w:sz w:val="20"/>
          <w:u w:val="single"/>
        </w:rPr>
        <w:t>Issuer</w:t>
      </w:r>
      <w:r>
        <w:rPr>
          <w:rFonts w:ascii="Times New Roman" w:hAnsi="Times New Roman"/>
          <w:sz w:val="20"/>
        </w:rPr>
        <w:t xml:space="preserve">), proposes that the Issuer issue and sell to the several purchasers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Initial Purchasers</w:t>
      </w:r>
      <w:r>
        <w:rPr>
          <w:rFonts w:ascii="Times New Roman" w:hAnsi="Times New Roman"/>
          <w:sz w:val="20"/>
        </w:rPr>
        <w:t>), for whom BNP Paribas (the </w:t>
      </w:r>
      <w:r>
        <w:rPr>
          <w:rFonts w:ascii="Times New Roman" w:hAnsi="Times New Roman"/>
          <w:sz w:val="20"/>
          <w:u w:val="single"/>
        </w:rPr>
        <w:t>Representative</w:t>
      </w:r>
      <w:r>
        <w:rPr>
          <w:rFonts w:ascii="Times New Roman" w:hAnsi="Times New Roman"/>
          <w:sz w:val="20"/>
        </w:rPr>
        <w:t>) is acting as representative, 500,000,000 aggregate principal amount of its 4.750% Senior Notes due 2029 (the </w:t>
      </w:r>
      <w:r>
        <w:rPr>
          <w:rFonts w:ascii="Times New Roman" w:hAnsi="Times New Roman"/>
          <w:sz w:val="20"/>
          <w:u w:val="single"/>
        </w:rPr>
        <w:t>Notes</w:t>
      </w:r>
      <w:r>
        <w:rPr>
          <w:rFonts w:ascii="Times New Roman" w:hAnsi="Times New Roman"/>
          <w:sz w:val="20"/>
        </w:rPr>
        <w:t xml:space="preserve">). The Notes will be fully and unconditionally guaranteed on a senior basis by Holdings and the other guarantors named in </w:t>
      </w:r>
      <w:r>
        <w:rPr>
          <w:rFonts w:ascii="Times New Roman" w:hAnsi="Times New Roman"/>
          <w:sz w:val="20"/>
          <w:u w:val="single"/>
        </w:rPr>
        <w:t>Schedule II</w:t>
      </w:r>
      <w:r>
        <w:rPr>
          <w:rFonts w:ascii="Times New Roman" w:hAnsi="Times New Roman"/>
          <w:sz w:val="20"/>
        </w:rPr>
        <w:t xml:space="preserve"> hereto (together with Holdings, the </w:t>
      </w:r>
      <w:r>
        <w:rPr>
          <w:rFonts w:ascii="Times New Roman" w:hAnsi="Times New Roman"/>
          <w:sz w:val="20"/>
          <w:u w:val="single"/>
        </w:rPr>
        <w:t>Guarantors</w:t>
      </w:r>
      <w:r>
        <w:rPr>
          <w:rFonts w:ascii="Times New Roman" w:hAnsi="Times New Roman"/>
          <w:sz w:val="20"/>
        </w:rPr>
        <w:t>; the Guarantors collectively with the Issuer, the </w:t>
      </w:r>
      <w:r>
        <w:rPr>
          <w:rFonts w:ascii="Times New Roman" w:hAnsi="Times New Roman"/>
          <w:sz w:val="20"/>
          <w:u w:val="single"/>
        </w:rPr>
        <w:t>Companies</w:t>
      </w:r>
      <w:r>
        <w:rPr>
          <w:rFonts w:ascii="Times New Roman" w:hAnsi="Times New Roman"/>
          <w:sz w:val="20"/>
        </w:rPr>
        <w:t>). The Notes will be issued pursuant to an indenture to be dated as of December 11, 2023 (the </w:t>
      </w:r>
      <w:r>
        <w:rPr>
          <w:rFonts w:ascii="Times New Roman" w:hAnsi="Times New Roman"/>
          <w:sz w:val="20"/>
          <w:u w:val="single"/>
        </w:rPr>
        <w:t>Indenture</w:t>
      </w:r>
      <w:r>
        <w:rPr>
          <w:rFonts w:ascii="Times New Roman" w:hAnsi="Times New Roman"/>
          <w:sz w:val="20"/>
        </w:rPr>
        <w:t>) among the Issuer, the Guarantors, U.S. Bank Trust Company, National Association, as trustee (the </w:t>
      </w:r>
      <w:r>
        <w:rPr>
          <w:rFonts w:ascii="Times New Roman" w:hAnsi="Times New Roman"/>
          <w:sz w:val="20"/>
          <w:u w:val="single"/>
        </w:rPr>
        <w:t>Trustee</w:t>
      </w:r>
      <w:r>
        <w:rPr>
          <w:rFonts w:ascii="Times New Roman" w:hAnsi="Times New Roman"/>
          <w:sz w:val="20"/>
        </w:rPr>
        <w:t>), Elavon Financial Services DAC, as paying agent, and Elavon Financial Services DAC, as registrar and transfer agent. The Notes will have the benefit of the guarantees (the </w:t>
      </w:r>
      <w:r>
        <w:rPr>
          <w:rFonts w:ascii="Times New Roman" w:hAnsi="Times New Roman"/>
          <w:sz w:val="20"/>
          <w:u w:val="single"/>
        </w:rPr>
        <w:t>Guarantees</w:t>
      </w:r>
      <w:r>
        <w:rPr>
          <w:rFonts w:ascii="Times New Roman" w:hAnsi="Times New Roman"/>
          <w:sz w:val="20"/>
        </w:rPr>
        <w:t> and, together with the Notes, the </w:t>
      </w:r>
      <w:r>
        <w:rPr>
          <w:rFonts w:ascii="Times New Roman" w:hAnsi="Times New Roman"/>
          <w:sz w:val="20"/>
          <w:u w:val="single"/>
        </w:rPr>
        <w:t>Securities</w:t>
      </w:r>
      <w:r>
        <w:rPr>
          <w:rFonts w:ascii="Times New Roman" w:hAnsi="Times New Roman"/>
          <w:sz w:val="20"/>
        </w:rPr>
        <w:t>) provided for in the Indenture. The use of the neuter in this Purchase Agreement (this </w:t>
      </w:r>
      <w:r>
        <w:rPr>
          <w:rFonts w:ascii="Times New Roman" w:hAnsi="Times New Roman"/>
          <w:sz w:val="20"/>
          <w:u w:val="single"/>
        </w:rPr>
        <w:t>Agreement</w:t>
      </w:r>
      <w:r>
        <w:rPr>
          <w:rFonts w:ascii="Times New Roman" w:hAnsi="Times New Roman"/>
          <w:sz w:val="20"/>
        </w:rPr>
        <w:t xml:space="preserve">) shall include the feminine and masculine wherever appropriate. Certain terms used herein are defined in Section 19 hereof.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Pricing Disclosure Package and the Final Memorandum (each as defined below), the Issuer intends to use a portion of the net proceeds from this offering to partially pay down the outstanding term loan a facility and term euro facility under Holdings credit agreement, and to pay related fees and expenses. The remaining net proceeds will be used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This Agreement, the Securities, the Indenture and the agreements and instruments to which Holdings or any of its subsidiaries is a signatory relating to the consummation of the transactions contemplated hereby and the issuance and sale of the Securities contemplated hereby, collectively, are referred to herein as the </w:t>
      </w:r>
      <w:r>
        <w:rPr>
          <w:rFonts w:ascii="Times New Roman" w:hAnsi="Times New Roman"/>
          <w:sz w:val="20"/>
          <w:u w:val="single"/>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sale of the Securities to the Initial Purchasers will be made without registration of the Securities under the Act in reliance upon exemptions from the registration requirements of the Act. </w:t>
      </w:r>
    </w:p>
    <w:p>
      <w:pPr>
        <w:pStyle w:val="TextBody"/>
        <w:bidi w:val="0"/>
        <w:spacing w:before="240" w:after="0"/>
        <w:jc w:val="left"/>
        <w:rPr>
          <w:rFonts w:ascii="Times New Roman" w:hAnsi="Times New Roman"/>
          <w:sz w:val="20"/>
        </w:rPr>
      </w:pPr>
      <w:r>
        <w:rPr>
          <w:rFonts w:ascii="Times New Roman" w:hAnsi="Times New Roman"/>
          <w:sz w:val="20"/>
        </w:rPr>
        <w:t>In connection with the sale of the Securities, the Companies have prepared a preliminary offering memorandum dated November 30, 2023 (including the information incorporated by reference therein, the </w:t>
      </w:r>
      <w:r>
        <w:rPr>
          <w:rFonts w:ascii="Times New Roman" w:hAnsi="Times New Roman"/>
          <w:sz w:val="20"/>
          <w:u w:val="single"/>
        </w:rPr>
        <w:t>Preliminary Memorandum</w:t>
      </w:r>
      <w:r>
        <w:rPr>
          <w:rFonts w:ascii="Times New Roman" w:hAnsi="Times New Roman"/>
          <w:sz w:val="20"/>
        </w:rPr>
        <w:t>), setting forth or including a description of the terms of the Securities, the terms of the offering of the Securities, a description of the Companies and any material developments relating to the Companies occurring after the date of the most recent historical financial statements included therein. As used herein, </w:t>
      </w:r>
      <w:r>
        <w:rPr>
          <w:rFonts w:ascii="Times New Roman" w:hAnsi="Times New Roman"/>
          <w:sz w:val="20"/>
          <w:u w:val="single"/>
        </w:rPr>
        <w:t>Pricing Disclosure Package</w:t>
      </w:r>
      <w:r>
        <w:rPr>
          <w:rFonts w:ascii="Times New Roman" w:hAnsi="Times New Roman"/>
          <w:sz w:val="20"/>
        </w:rPr>
        <w:t xml:space="preserve"> shall mean the Preliminary Memorandum, as supplemented or amended by the written communications listed on </w:t>
      </w:r>
      <w:r>
        <w:rPr>
          <w:rFonts w:ascii="Times New Roman" w:hAnsi="Times New Roman"/>
          <w:sz w:val="20"/>
          <w:u w:val="single"/>
        </w:rPr>
        <w:t>Annex A</w:t>
      </w:r>
      <w:r>
        <w:rPr>
          <w:rFonts w:ascii="Times New Roman" w:hAnsi="Times New Roman"/>
          <w:sz w:val="20"/>
        </w:rPr>
        <w:t xml:space="preserve"> hereto in the most recent form that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prepared and delivered by the Companies to the Initial Purchasers in connection with their solicitation of offers to purchase Securities prior to the time when sales of the Securities were first made (the </w:t>
      </w:r>
      <w:r>
        <w:rPr>
          <w:rFonts w:ascii="Times New Roman" w:hAnsi="Times New Roman"/>
          <w:sz w:val="20"/>
          <w:u w:val="single"/>
        </w:rPr>
        <w:t>Time of Execution</w:t>
      </w:r>
      <w:r>
        <w:rPr>
          <w:rFonts w:ascii="Times New Roman" w:hAnsi="Times New Roman"/>
          <w:sz w:val="20"/>
        </w:rPr>
        <w:t>). Promptly after the Time of Execution and in any event no later than the second Business Day following the Time of Execution, the Companies will prepare and deliver to the Initial Purchasers a final offering memorandum (including the information incorporated by reference therein, the </w:t>
      </w:r>
      <w:r>
        <w:rPr>
          <w:rFonts w:ascii="Times New Roman" w:hAnsi="Times New Roman"/>
          <w:sz w:val="20"/>
          <w:u w:val="single"/>
        </w:rPr>
        <w:t>Final Memorandum</w:t>
      </w:r>
      <w:r>
        <w:rPr>
          <w:rFonts w:ascii="Times New Roman" w:hAnsi="Times New Roman"/>
          <w:sz w:val="20"/>
        </w:rPr>
        <w:t xml:space="preserve">), which will consist of the Preliminary Memorandum with such changes therein as are required to reflect the information contained in the amendments or supplements listed on </w:t>
      </w:r>
      <w:r>
        <w:rPr>
          <w:rFonts w:ascii="Times New Roman" w:hAnsi="Times New Roman"/>
          <w:sz w:val="20"/>
          <w:u w:val="single"/>
        </w:rPr>
        <w:t>Annex A</w:t>
      </w:r>
      <w:r>
        <w:rPr>
          <w:rFonts w:ascii="Times New Roman" w:hAnsi="Times New Roman"/>
          <w:sz w:val="20"/>
        </w:rPr>
        <w:t xml:space="preserve"> hereto. The Companies hereby confirm that they have authorized the use of the Pricing Disclosure Package, the Final Memorandum and the Recorded Road Show (as defined below) in connection with the offer and sale of the Securities by the Initial Purchasers.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Representations and Warranties</w:t>
      </w:r>
      <w:r>
        <w:rPr>
          <w:rFonts w:ascii="Times New Roman" w:hAnsi="Times New Roman"/>
          <w:sz w:val="20"/>
        </w:rPr>
        <w:t>. As of the Time of Execution and at the Closing Date (as defined in Section 3 below), the Companies, jointly and severally, represent and warrant to and agree with each of the Initial Purchasers as follows (references in this Section 1 to the </w:t>
      </w:r>
      <w:r>
        <w:rPr>
          <w:rFonts w:ascii="Times New Roman" w:hAnsi="Times New Roman"/>
          <w:sz w:val="20"/>
          <w:u w:val="single"/>
        </w:rPr>
        <w:t>Offering Memorandum</w:t>
      </w:r>
      <w:r>
        <w:rPr>
          <w:rFonts w:ascii="Times New Roman" w:hAnsi="Times New Roman"/>
          <w:sz w:val="20"/>
        </w:rPr>
        <w:t xml:space="preserve"> are to (i) the Pricing Disclosure Package in the case of representations and warranties made as of the Time of Execution and (ii) both the Pricing Disclosure Package and the Final Memorandum in the case of representations and warranties made at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The Preliminary Memorandum, at the date thereof, did not contain any untrue statement of a material fact or omit to state any material fact necessary to make the statements therein, in the light of the circumstances under which they were made, not misleading. At the Time of Execution, the Pricing Disclosure Package does not, and on the Closing Date, will not, and the Final Memorandum as of its date and on the Closing Date will not, contain any untrue statement of a material fact or omit to state any material fact necessary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Companies make no representation or warranty as to the information contained in or omitted from the Pricing Disclosure Package and Final Memorandum, in reliance upon and in conformity with information furnished in writing to the Companies by or on behalf of the Initial Purchasers specifically for inclusion therein. The Companies have not distributed or referred to and will not distribute or refer to any written communications (as defined in Rule 405 of the Act) that constitute an offer to sell or solicitation of an offer to buy the Securities (each such communication by the Companies or their agents and representatives (other than the Pricing Disclosure Package and Final Memorandum) an </w:t>
      </w:r>
      <w:r>
        <w:rPr>
          <w:rFonts w:ascii="Times New Roman" w:hAnsi="Times New Roman"/>
          <w:sz w:val="20"/>
          <w:u w:val="single"/>
        </w:rPr>
        <w:t>Issuer Written Communication</w:t>
      </w:r>
      <w:r>
        <w:rPr>
          <w:rFonts w:ascii="Times New Roman" w:hAnsi="Times New Roman"/>
          <w:sz w:val="20"/>
        </w:rPr>
        <w:t>) other than the Pricing Disclosure Package, the Final Memorandum and the recorded electronic road show made available to investors (the </w:t>
      </w:r>
      <w:r>
        <w:rPr>
          <w:rFonts w:ascii="Times New Roman" w:hAnsi="Times New Roman"/>
          <w:sz w:val="20"/>
          <w:u w:val="single"/>
        </w:rPr>
        <w:t>Recorded Road Show</w:t>
      </w:r>
      <w:r>
        <w:rPr>
          <w:rFonts w:ascii="Times New Roman" w:hAnsi="Times New Roman"/>
          <w:sz w:val="20"/>
        </w:rPr>
        <w:t xml:space="preserve">). Any information in an Issuer Written Communication that is not otherwise included in the Pricing Disclosure Package and the Final Memorandum does not conflict with the Pricing Disclosure Package or the Final Memorandum, and each Issuer Written Communication, when taken together with the Pricing Disclosure Package, does not at the Time of Execution and, when taken together with the Final Memorandum at the Closing Date, will not contain any untrue statement of a material fact or omit to state any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None of the Companies or their respective Affiliates, or any person acting on behalf of any of them (other than the Initial Purchasers, as to which the Companies make no representation or warranty), has, directly or indirectly, made offers or sales of any security, or solicited offers to buy any security, under circumstances that would require the registration of the Securities under the Act. Assuming the accuracy of the representations and warranties of the Initial Purchasers in Section 4 of this Agreement, it is not necessary in connection with the offer, sale and delivery of the Securities to the Initial Purchasers or the initial resale of the Securities by the Initial Purchasers, in each case, in the manner contemplated by this Agreement, to register any of the Securities under the Act or to qualify the Indenture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(c)    None of the Companies or their respective Affiliates, or any person acting on behalf of any of them (other than the Initial Purchasers, as to which the Companies make no representation or warranty), has engaged in any form of general solicitation or general advertising (within the meaning of Regulation D) in connection with any offer or sale of the Securities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(d)    The Securities satisfy the eligibility requirements of Rule 144A(d)(3) under the Act. </w:t>
      </w:r>
    </w:p>
    <w:p>
      <w:pPr>
        <w:pStyle w:val="TextBody"/>
        <w:bidi w:val="0"/>
        <w:spacing w:before="120" w:after="0"/>
        <w:jc w:val="left"/>
        <w:rPr>
          <w:rFonts w:ascii="Times New Roman" w:hAnsi="Times New Roman"/>
          <w:sz w:val="20"/>
        </w:rPr>
      </w:pPr>
      <w:r>
        <w:rPr>
          <w:rFonts w:ascii="Times New Roman" w:hAnsi="Times New Roman"/>
          <w:sz w:val="20"/>
        </w:rPr>
        <w:t xml:space="preserve">(e)    None of the Companies or their respective Affiliates, or any person acting on behalf of any of them (other than the Initial Purchasers, as to which the Companies make no representation or warranty), has engaged in any directed selling efforts with respect to the Securities, and each of the Companies and their respective Affiliates has complied with the offering restrictions requirement of Regulation S. Terms used in this paragraph have the meanings given to them by Regulation S. </w:t>
      </w:r>
    </w:p>
    <w:p>
      <w:pPr>
        <w:pStyle w:val="TextBody"/>
        <w:bidi w:val="0"/>
        <w:spacing w:before="120" w:after="0"/>
        <w:jc w:val="left"/>
        <w:rPr>
          <w:rFonts w:ascii="Times New Roman" w:hAnsi="Times New Roman"/>
          <w:sz w:val="20"/>
        </w:rPr>
      </w:pPr>
      <w:r>
        <w:rPr>
          <w:rFonts w:ascii="Times New Roman" w:hAnsi="Times New Roman"/>
          <w:sz w:val="20"/>
        </w:rPr>
        <w:t xml:space="preserve">(f)    No securities of any of the Companies are of the same class (within the meaning of Rule 144A under the Act) as any of the Securities and listed on a national securities exchange registered under Section 6 of the Exchange Act or quoted in a U.S. automated inter-dealer quotation system. </w:t>
      </w:r>
    </w:p>
    <w:p>
      <w:pPr>
        <w:pStyle w:val="TextBody"/>
        <w:bidi w:val="0"/>
        <w:spacing w:before="120" w:after="0"/>
        <w:jc w:val="left"/>
        <w:rPr>
          <w:rFonts w:ascii="Times New Roman" w:hAnsi="Times New Roman"/>
          <w:sz w:val="20"/>
        </w:rPr>
      </w:pPr>
      <w:r>
        <w:rPr>
          <w:rFonts w:ascii="Times New Roman" w:hAnsi="Times New Roman"/>
          <w:sz w:val="20"/>
        </w:rPr>
        <w:t xml:space="preserve">(g)    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or X of the Board of Governors of the Federal Reserve System. </w:t>
      </w:r>
    </w:p>
    <w:p>
      <w:pPr>
        <w:pStyle w:val="TextBody"/>
        <w:bidi w:val="0"/>
        <w:spacing w:before="120" w:after="0"/>
        <w:jc w:val="left"/>
        <w:rPr>
          <w:rFonts w:ascii="Times New Roman" w:hAnsi="Times New Roman"/>
          <w:sz w:val="20"/>
        </w:rPr>
      </w:pPr>
      <w:r>
        <w:rPr>
          <w:rFonts w:ascii="Times New Roman" w:hAnsi="Times New Roman"/>
          <w:sz w:val="20"/>
        </w:rPr>
        <w:t xml:space="preserve">(h)    Application will be made by the Companies for the Notes to be listed on the Official List of the Luxembourg Stock Exchange and to be admitted to trading on the Euro MTF Market of the Luxembourg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(i)    None of the Companies or their respective subsidiaries is, and after giving effect to the offering and sale of the Securities and the application of the proceeds thereof as described in the Offering Memorandum none of them will be, required to register as an investment company within the meaning of the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Holdings is subject to the reporting requirements of, and has timely filed all material required to be filed by it pursuant to, Section 13 or Section 15(d)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(k)    None of the Companies or their respective Affiliates has paid or agreed to pay to any person any compensation for soliciting another to purchase any securities of any of them (except as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None of the Companies or their respective Affiliates has taken, directly or indirectly, any action designed to cause or which has constituted or which might reasonably be expected to cause or result, under the Exchange Act or otherwise, in the stabilization or manipulation of the price of any security of any of them to facilitate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 information to be provided by the Companies pursuant to Section 5(h) hereof will not, at the date thereof, contain any untrue statement of a material fact or omit to state any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(n)    The statements in the Offering Memorandum set forth or referenced under the headings Description of Certain Indebtedness, Description of the Notes, Certain U.S. Federal Income Tax Considerations and Material French Tax Considerations fairly summarize the matters therein described. </w:t>
      </w:r>
    </w:p>
    <w:p>
      <w:pPr>
        <w:pStyle w:val="TextBody"/>
        <w:bidi w:val="0"/>
        <w:spacing w:before="120" w:after="0"/>
        <w:jc w:val="left"/>
        <w:rPr>
          <w:rFonts w:ascii="Times New Roman" w:hAnsi="Times New Roman"/>
          <w:sz w:val="20"/>
        </w:rPr>
      </w:pPr>
      <w:r>
        <w:rPr>
          <w:rFonts w:ascii="Times New Roman" w:hAnsi="Times New Roman"/>
          <w:sz w:val="20"/>
        </w:rPr>
        <w:t xml:space="preserve">(o)    The statistical and market-related data included in the Offering Memorandum are based on or derived from sources which the Companies believe to be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(p)    There are no contracts, agreements or other documents or pending legal or governmental proceedings to which any of the Companies or their respective subsidiaries is a party or any property of any of the Companies or their respective subsidiaries is subject that would be required to be described in a prospectus under the Act that have not been described in the Offering Memorandum. The contracts, agreements and other documents so described in the Offering Memorandum are in full force and effect on the date of this Agreement. None of the Companies or their respective subsidiaries or, to the knowledge of any of the Companies, any other party is in breach of or default under any such contracts, agreements or other documents, other than a breach or default that would not reasonably be expected to have a material adverse effect on (i) the issue and sale of the Securities or the consummation of the other transactions contemplated by the Transaction Documents (including, without limitation the application of the proceeds from the issuance of the Securities) or (ii) the condition (financial or otherwise), prospects, earnings, business or properties of Holdings and its subsidiaries, taken as a whole, whether or not arising from transactions in the ordinary course of business (</w:t>
      </w:r>
      <w:r>
        <w:rPr>
          <w:rFonts w:ascii="Times New Roman" w:hAnsi="Times New Roman"/>
          <w:sz w:val="20"/>
          <w:u w:val="single"/>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    Holdings and each of its subsidiaries have been duly organized and are validly existing as a corporation or other legal entity in good standing (to the extent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concept exists under the laws of such jurisdiction) under the laws of the jurisdiction in which they are organized, with full corporate or other statutory power and authority to own or lease, as the case may be, and operate their properties and conduct their business as described in the Offering Memorandum. Holdings and each of its subsidiaries are duly qualified to do business as a foreign corporation or other legal entity and are in good standing under the laws of each jurisdiction which requires such qualification, except where the failure to do so qualify or be in good standing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    All the outstanding shares of capital stock of each subsidiary of Holdings have been duly and validly authorized and issued and are fully paid and, except as set forth in the Offering Memorandum, all outstanding shares of capital stock of such subsidiaries are owned by Holdings, either directly or through wholly-owned subsidiaries, free and clear of any perfected security interest or any other security interests, claims, liens or encumbrances, except for any such perfected security interests, or other security interests, claims, liens or encumbrances described in the Offering Memorandum or that would not reasonably be expected to result in a Material Adverse Effect or an Event of Default (as defined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(s)    Holdings capitalization is, on the basis stated in the Offering Memorandum, as set forth in the Actual column of the table set forth under the heading Capitalization in the Offering Memorandum. On the Closing Date, Holdings capitalization will be, on the basis stated in the Offering Memorandum, consistent in all material respects with the As Adjusted column of the table set forth under the heading Capitalization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(t)    This Agreement has been duly authorized, executed and delivered by each Company and, assuming the due authorization, execution and delivery thereof by the Initial Purchasers, will constitute the legal, valid and binding obligation of each Company, enforceable against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applicable laws and public policy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    [Reserved]. </w:t>
      </w:r>
    </w:p>
    <w:p>
      <w:pPr>
        <w:pStyle w:val="TextBody"/>
        <w:bidi w:val="0"/>
        <w:spacing w:before="120" w:after="0"/>
        <w:jc w:val="left"/>
        <w:rPr>
          <w:rFonts w:ascii="Times New Roman" w:hAnsi="Times New Roman"/>
          <w:sz w:val="20"/>
        </w:rPr>
      </w:pPr>
      <w:r>
        <w:rPr>
          <w:rFonts w:ascii="Times New Roman" w:hAnsi="Times New Roman"/>
          <w:sz w:val="20"/>
        </w:rPr>
        <w:t xml:space="preserve">(v)    The Indenture has been duly authorized by each of the Companies and, assuming the due authorization, execution and delivery thereof by the Trustee, when executed and delivered by each of the Companies, will constitute the legal, valid and binding obligation of each of the Companies, enforceable against each of the Companies in accordance with its terms (except that the enforcement thereof may be subject to applicable bankruptcy, reorganization, insolvency, fraudulent conveyance, moratorium or other laws of general applicability affecting creditors rights generally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effect and to general principles of equity and the discretion of the court before which any proceeding therefor may be brought regardless of whether such enforcement is considered in a proceeding at law or in equity). The Indenture meets the requirements for qualification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(w)    [Reserved]. </w:t>
      </w:r>
    </w:p>
    <w:p>
      <w:pPr>
        <w:pStyle w:val="TextBody"/>
        <w:bidi w:val="0"/>
        <w:spacing w:before="120" w:after="0"/>
        <w:jc w:val="left"/>
        <w:rPr>
          <w:rFonts w:ascii="Times New Roman" w:hAnsi="Times New Roman"/>
          <w:sz w:val="20"/>
        </w:rPr>
      </w:pPr>
      <w:r>
        <w:rPr>
          <w:rFonts w:ascii="Times New Roman" w:hAnsi="Times New Roman"/>
          <w:sz w:val="20"/>
        </w:rPr>
        <w:t xml:space="preserve">(x)    The Notes have been duly authorized by the Issuer and, when executed and authenticated in accordance with the provisions of the Indenture and delivered to and paid for by the Initial Purchasers in accordance with the terms hereof, will have been duly executed and delivered by the Issuer and will constitute the legal, valid and binding obligations of the Issuer, entitled to the benefits of the Indenture and enforceable against the Issuer in accordance with their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(y)    The Guarantees have been duly authorized by the Guarantors and, when the Notes have been executed in accordance with the provisions of the Indenture, will have been duly executed and delivered by the Guarantors and will constitute legal, valid and binding obligations of the Guarantors, entitled to the benefits of the Indenture and enforceable against the Guarantors in accordance with their terms (except that the enforcement thereof may be subject to applicable provisions of corporate law regarding the preservation of share capital and statutory reserves as well as bankruptcy, reorganization, insolvency, fraudulent conveyance, moratorium or other laws of general applicability affecting creditors rights generally from time to time in effect and to general principles of equity (and corresponding provisions under the laws applicable to the respective Guarantor) and the discretion of the court before which any proceeding therefor may be brought regardless of whether such enforcement is considered in a proceeding at law or in equity or as described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(z)    Each other Transaction Document has been duly authorized by each Company a party thereto and, assuming the due authorization, execution and delivery thereof by the other parties thereto, when executed and delivered by each such Company, will constitute the legal, valid and binding obligation of each such Company (each subject to the exclusions, exceptions and limitations provided therein), enforceable against each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The documents (or portions thereof) incorporated by reference in the Offering Memorandum when they became effective or were filed with the Commission, as the case may be, complied as to form in all material respects with the requirements of the Act or the Exchange Act, as applicable, and none of such documents contained an untrue statement of a material fact or omitted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(bb)    No consent, approval, authorization, filing with or order of any court or governmental agency or body is required in connection with the issue and sale of the Securities or the consummation of the transactions contemplated by any of the Transaction Documents, except such as may be required by the Luxembourg Stock Exchange or under the blue sky laws of any state in connection with the purchase and distribution of the Securities by the Initial Purchasers in the manner contemplated herein and in the Offering Memorandum, and except where the failure to obtain the same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None of the execution and delivery by any of the Companies party thereto of any of the Transaction Documents, the issue and sale of the Securities, the consummation of the other transactions contemplated by the Transaction Documents (including, without limitation the application of the proceeds from the issuance of the Securities) will conflict with, result in a breach or violation or imposition of any lien, charge or encumbrance upon any property or assets of any of the Companies or their respective subsidiaries pursuant to (i) the organizational documents of Holdings or any of its subsidiaries; (ii) the terms of any indenture, contract, lease, mortgage, deed of trust, note agreement, loan agreement, credit agreement or other agreement, obligation, condition, covenant or instrument to which Holdings or any of its subsidiaries is a party or bound or to which any property or assets of Holdings or any of its subsidiaries is subject; or (iii) any statute, law, rule, regulation, judgment, order or decree applicable to Holdings or any of its subsidiaries or any property or assets of Holdings or any of its subsidiaries of any court, regulatory body, administrative agency, governmental body, arbitrator or other authority having jurisdiction over Holdings or any of its subsidiaries or property or assets of any of their respective subsidiaries, except, in the case of clauses (ii) and (iii) above, as would not reasonably be expected to have a Material Adverse Effect or to materially adversely affect the rights of the holders of the Securities or of the Initial Purchasers under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(dd)    The consolidated historical financial statements and schedules of Holdings and its consolidated subsidiaries included in the Offering Memorandum present fairly in all material respects the financial condition, results of operations and cash flows of Holdings and its consolidated subsidiaries as of the dates and for the periods indicated, comply as to form in all material respects with the applicable requirements of the Act and have been prepared in conformity with generally accepted accounting principles applied on a consistent basis throughout the periods involved (except as otherwise noted therein). The financial data set forth under the caption SummarySummary Historical Financial Data in the Offering Memorandum fairly present, on the basis stated in the Offering Memorandum, the information included therein. The adjusted financial data included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Offering Memorandum include assumptions that provide a reasonable basis for presenting the significant effects directly attributable to the transactions and events described therein, the related adjustments give appropriate effect to those assumptions, and the adjustments reflect the proper application of those adjustments to the historical amounts in the adjusted financial data included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(ee)    Other than as set forth in the Offering Memorandum, no action, suit or proceeding by or before any court or governmental agency, authority or body or any arbitrator involving Holdings or any of its subsidiaries or any property or assets of Holdings or any of its subsidiaries is pending or, to the knowledge of Holdings, threatened that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(ff)    Holdings and each of its subsidiaries own or lease all such properties as are necessary to the conduct of their operations as presently conducted. Holdings and each of its subsidiaries have good and marketable title to, or valid leasehold interests in, or easements or other limited property interests in, or are licensed to use, all their material properties and assets, except for minor defects that do not interfere with their ability to conduct their business as currently conducted or utilize such properties and assets for their intended purposes, and except where failure to have such title, leasehold interests, easements or other limited property interests or licenses to use, in the aggregate, would not reasonably be expected to have a Material Adverse Effect. All material properties and assets of Holdings and each of its subsidiaries are free and clear of all liens, charges, encumbrances or restrictions, except for Permitted Liens (as defined in the Indenture) and as described in the Offering Memorandum. Each of the Companies and their respective subsidiaries has good and marketable title to all personal property it purports to own, except as described in the Offering Memorandum. </w:t>
      </w:r>
    </w:p>
    <w:p>
      <w:pPr>
        <w:pStyle w:val="TextBody"/>
        <w:bidi w:val="0"/>
        <w:spacing w:before="120" w:after="0"/>
        <w:jc w:val="left"/>
        <w:rPr>
          <w:rFonts w:ascii="Times New Roman" w:hAnsi="Times New Roman"/>
          <w:sz w:val="20"/>
        </w:rPr>
      </w:pPr>
      <w:r>
        <w:rPr>
          <w:rFonts w:ascii="Times New Roman" w:hAnsi="Times New Roman"/>
          <w:sz w:val="20"/>
        </w:rPr>
        <w:t xml:space="preserve">(gg)    Neither Holdings nor any of its subsidiaries is in violation or default of (i) any provision of its organizational documents; (ii) the terms of any indenture, contract, lease, mortgage, deed of trust, note agreement, loan agreement, credit agreement or other agreement, obligation, condition, covenant or instrument to which it is a party or bound or to which its property or assets is subject; or (iii) any statute, law, rule, regulation, judgment, order or decree applicable to it or any of its subsidiaries of any court, regulatory body, administrative agency, governmental body, arbitrator or other authority having jurisdiction over it or any such subsidiaries or any of their respective property or assets, except, in the case of clauses (ii) and (iii) above, for any such violation or default which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(hh)    PricewaterhouseCoopers LLP, who have certified certain financial statements of Holdings and its consolidated subsidiaries and delivered their report with respect to the audited consolidated financial statements and schedules included in the Offering Memorandum, are independent public accountants with respect to Holdings within the meaning of the Act and the Exchange Act and the related published rules and regulations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Holdings and each of its subsidiaries have timely filed all foreign, federal, state and local tax returns (or the equivalents thereof) that are required to be filed or have requested extensions thereof, except in any case in which the failure so to file would not reasonably be expected to have a Material Adverse Effect. Holdings and each of its subsidiaries have timely paid all taxes required to be paid by them whether or not shown in such returns (including withholding taxes) and any other assessment, fine or penalty levied against them, or to the extent that any of the foregoing is due and payable, except for any such assessment, fine or penalty that is being contested in good faith or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(kk)    No labor problem or dispute with the employees of Holdings or any of its subsidiaries exists or, to the knowledge of the Companies, is threatened or imminent, and there is no existing or imminent labor disturbance or collective bargaining activities by the employees of Holdings or any of its subsidiaries or, to the knowledge of any of the Companies, by the employees of any of the principal suppliers, contractors or customers of Holdings or any of its subsidiaries, in each case, that would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(ll)    Holdings and each of its subsidiaries are insured by insurers of recognized financial responsibility against such losses and risks and in such amounts as are prudent and customary in the businesses in which they are engaged, except, in each case, as disclosed in the Offering Memorandum or to the extent that such lack of insurance would not reasonably be expected to have a Material Adverse Effect. All policies of insurance and fidelity or surety bonds insuring Holdings or any of its subsidiaries or the businesses, assets, employees, officers and directors of Holdings or any of its subsidiaries are in full force and effect other than any policies of insurance and fidelity or surety bonds that, if not in full force and effect, would not reasonably be expected to have a Material Adverse Effect. Holdings and each of its subsidiaries are in compliance with the terms of such policies and instruments in all material respects. There are no claims by Holdings or any of its subsidiaries under any such policy or instrument as to which any insurance company is denying liability or defending under a reservation of rights clause, except for such claims which, if successfully denied, would not reasonably be expected to have a Material Adverse Effect. Neither Holdings nor any of its subsidiaries has been refused any insurance coverage sought or applied for. Neither Holdings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(mm)    No subsidiary of Holdings is prohibited, directly or indirectly, from paying any dividends on such subsidiarys capital stock, from making any other distribution on such subsidiarys capital stock, from repaying to Holdings or any other subsidiary of Holdings, any loans or advances to such subsidiary from Holdings or such other subsidiary or from transferring any of such subsidiarys property or assets to Holdings or any other subsidiary of Holdings, except as described in or contemplated by the Offering Memorandum (exclusive of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Holdings and each of its subsidiaries own or possess adequate licenses or other rights to use all patents, trademarks, service marks, trade names, copyrights and know-how that are necessary to conduct their respective businesses as described in the Offering Memorandum, except where the failure to own or possess such licenses or other rights to use such patents, trademarks, service marks, trade names, copyrights and know-how would not reasonably be expected to have a Material Adverse Effect. Neither Holdings nor any of its subsidiaries has received in the last three years,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could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(oo)    Holdings and each of its subsidiaries possess all licenses, certificates, permits and other authorizations issued by the appropriate federal, state or foreign regulatory authorities necessary to conduct their respective businesses as currently conducted, except where the failure to possess such licenses, certificates, permits or other authorizations would not reasonably be expected to have a Material Adverse Effect, and neither Holdings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(pp)    Holdings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Holdings and each of its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(qq)    (i) Holdings and each of its subsidiaries are in compliance in all material respects with any and all applicable foreign, federal, state and local laws and regulations and rules of common law relating to pollution or the protection of the environment, natural resources or occupational health and safety, including without limitation those relating to the release or threat of release of Hazardous Materials (</w:t>
      </w:r>
      <w:r>
        <w:rPr>
          <w:rFonts w:ascii="Times New Roman" w:hAnsi="Times New Roman"/>
          <w:sz w:val="20"/>
          <w:u w:val="single"/>
        </w:rPr>
        <w:t>Environmental Laws</w:t>
      </w:r>
      <w:r>
        <w:rPr>
          <w:rFonts w:ascii="Times New Roman" w:hAnsi="Times New Roman"/>
          <w:sz w:val="20"/>
        </w:rPr>
        <w:t xml:space="preserve">); (ii) Holdings and each of its subsidiaries have received and are in compliance in all material respects with all permits, licenses or other approvals required of it under applicable Environmental Laws to conduct their businesses as currently conducted; (iii) neither Holdings nor any of its subsidiaries has received written notice of any actual or potential liability for the investigation or remediation of any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there is no civil, criminal or administrative action, suit, demand, claim, hearing, notice of violation, investigation, proceeding, notice or demand letter or request for information pending or, to the knowledge of any of the Companies, threatened against Holdings or any of its subsidiaries under any Environmental Law; (v) no lien, charge, encumbrance or restriction has been recorded under any Environmental Law with respect to any assets, facility or property owned, operated, leased or controlled by Holdings or any of its subsidiaries; (vi) neither Holdings nor any of its subsidiaries is subject to any order, decree, consent, settlement or agreement requiring, or is otherwise obligated or required to perform, any response or corrective action relating to any Hazardous Materials; (vii) neither Holdings nor any of its subsidiaries has received written notice that it has been identified as a potentially responsible party under the Comprehensive Environmental Response, Compensation and Liability Act of 1980, as amended (</w:t>
      </w:r>
      <w:r>
        <w:rPr>
          <w:rFonts w:ascii="Times New Roman" w:hAnsi="Times New Roman"/>
          <w:sz w:val="20"/>
          <w:u w:val="single"/>
        </w:rPr>
        <w:t>CERCLA</w:t>
      </w:r>
      <w:r>
        <w:rPr>
          <w:rFonts w:ascii="Times New Roman" w:hAnsi="Times New Roman"/>
          <w:sz w:val="20"/>
        </w:rPr>
        <w:t>), or any comparable state or foreign law; (viii) no property or facility of Holdings or any of its subsidiaries is (x) listed or, to the knowledge of the Companies, proposed for listing on the National Priorities List under CERCLA or (y) listed in the Comprehensive Environmental Response, Compensation and Liability Information System List promulgated pursuant to CERCLA, or on any comparable list maintained by any governmental authority; and (ix) there are no past or present actions, events, operations or activities which would reasonably be expected to prevent or interfere with compliance by Holdings or any of its subsidiaries with any applicable Environmental Law or result in liability (including, without limitation, fines or penalties) under any applicable Environmental Law, except, in the case of each of clauses (i) through (ix) above, as (A) described in the Offering Memorandum (exclusive of any amendment or supplement thereto) or (B) would not reasonably be expected, individually or in the aggregate, to have a Material Adverse Effect. </w:t>
      </w:r>
      <w:r>
        <w:rPr>
          <w:rFonts w:ascii="Times New Roman" w:hAnsi="Times New Roman"/>
          <w:sz w:val="20"/>
          <w:u w:val="single"/>
        </w:rPr>
        <w:t>Hazardous Materials</w:t>
      </w:r>
      <w:r>
        <w:rPr>
          <w:rFonts w:ascii="Times New Roman" w:hAnsi="Times New Roman"/>
          <w:sz w:val="20"/>
        </w:rPr>
        <w:t xml:space="preserve"> means any hazardous or toxic substance, chemical, material, pollutant, waste, contaminant or constituent, which is subject to regulation under or could give rise to liability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(rr)    In the ordinary course of its business, Holdings periodically reviews the effect of Environmental Laws on the business, operations and properties of Holdings and its subsidiaries in the course of which it seeks to identify and evaluate associated costs and liabilities. On the basis of such review, and except as described in the Offering Memorandum, Holdings does not reasonably expect that such associated costs and liabilities would, singly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(ss)    Holdings and each of its subsidiaries have fulfilled their obligations, if any, under the minimum funding standards of Section 302 of the United States Employee Retirement Income Security Act of 1974, as amended (</w:t>
      </w:r>
      <w:r>
        <w:rPr>
          <w:rFonts w:ascii="Times New Roman" w:hAnsi="Times New Roman"/>
          <w:sz w:val="20"/>
          <w:u w:val="single"/>
        </w:rPr>
        <w:t>ERISA</w:t>
      </w:r>
      <w:r>
        <w:rPr>
          <w:rFonts w:ascii="Times New Roman" w:hAnsi="Times New Roman"/>
          <w:sz w:val="20"/>
        </w:rPr>
        <w:t xml:space="preserve">), and the regulations and published interpretations thereunder with respect to each plan (as defined in Section 3(3) of ERISA and such regulations and published interpretations) in which employees of any of the Companies or their respective subsidiaries are eligible to participate, and each such plan is, and on the Closing Date will be, in compliance in all material respects with the presently applicable provisions of ERISA and such regulations and published interpretations. Neither Holdings nor any of its subsidiaries has incurred any unpaid liability to the Pension Benefit Guaranty Corporation (other than for the payment of premiums in the ordinary course) under Title IV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(tt)    None of the Companies, any of their respective Affiliates or any director, officer, agent or employee of any of the Companies or their respective Affiliates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any provision of the Foreign Corrupt Practices Act of 1977; (iv) violated or is in violation of any provision of the Bribery Act 2010 of the United Kingdom or of any other applicable European Union or local law regulating payments to any government official or employee or (v) made any bribe, rebate, payoff, influence payment, kickback or other unlawful payment. Holdings and its subsidiaries have instituted and will maintain and enforce, policies and procedures designed to ensure compliance by Holdings and its subsidiaries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(uu)    The operations of Holdings and its subsidiaries are and have been conducted at all times in compliance with applicable financial recordkeeping and reporting requirements (including, but not limited to, the Currency and Foreign Transactions Reporting Act of 1970, as amended) and the money laundering statutes of all jurisdictions that apply to Holdings and its subsidiaries, the rules and regulations thereunder, and any related or similar rules, regulations or guidelines, issued administered or enforced by any relevant governmental agency (collectively, the </w:t>
      </w:r>
      <w:r>
        <w:rPr>
          <w:rFonts w:ascii="Times New Roman" w:hAnsi="Times New Roman"/>
          <w:sz w:val="20"/>
          <w:u w:val="single"/>
        </w:rPr>
        <w:t>Money Laundering Laws</w:t>
      </w:r>
      <w:r>
        <w:rPr>
          <w:rFonts w:ascii="Times New Roman" w:hAnsi="Times New Roman"/>
          <w:sz w:val="20"/>
        </w:rPr>
        <w:t xml:space="preserve">), and no material action, suit or proceeding by or before any court or governmental agency, authority or body or any arbitrator involving Holdings or any of its subsidiaries with respect to the Money Laundering Laws is pending or, to the knowledge of Holdings, threatened. </w:t>
      </w:r>
    </w:p>
    <w:p>
      <w:pPr>
        <w:pStyle w:val="TextBody"/>
        <w:bidi w:val="0"/>
        <w:spacing w:before="120" w:after="0"/>
        <w:jc w:val="left"/>
        <w:rPr>
          <w:rFonts w:ascii="Times New Roman" w:hAnsi="Times New Roman"/>
          <w:sz w:val="20"/>
        </w:rPr>
      </w:pPr>
      <w:r>
        <w:rPr>
          <w:rFonts w:ascii="Times New Roman" w:hAnsi="Times New Roman"/>
          <w:sz w:val="20"/>
        </w:rPr>
        <w:t>(vv)    None of Holdings or any of its subsidiaries or, to the knowledge of the Companies, any of their respective Affiliates, any director, officer, agent or employee of Holdings or any of its subsidiaries is or has been in violation of any applicable economic or trade sanctions or laws relating to money laundering, unlawful financial activities or unlawful use or appropriation of corporate funds, including those administered by the Office of Foreign Assets Control of the U.S. Department of Treasury, European Union (including, without limitation, economic sanctions imposed against certain states, organizations and individuals under the European Unions Common Foreign &amp; Security Policy), the United Nations Security Council, His Majestys Treasury, France, or other relevant sanctions authority (collectively, </w:t>
      </w:r>
      <w:r>
        <w:rPr>
          <w:rFonts w:ascii="Times New Roman" w:hAnsi="Times New Roman"/>
          <w:sz w:val="20"/>
          <w:u w:val="single"/>
        </w:rPr>
        <w:t>Sanctions</w:t>
      </w:r>
      <w:r>
        <w:rPr>
          <w:rFonts w:ascii="Times New Roman" w:hAnsi="Times New Roman"/>
          <w:sz w:val="20"/>
        </w:rPr>
        <w:t>) or is the subject or the target of Sanctions or owned 50% or more by or otherwise controlled by or acting on behalf of one or more persons or entities that are the subject to Sanctions or located, organized or resident in a country or territory that is the subject to Sanctions (especially, but not limited to Cuba, Iran, Syria, North Korea, the Crimea Region of Ukraine, the non-government controlled areas of the Kherson and Zaporizhzhia regions of Ukraine, or any other covered region of Ukraine identified pursuant to Executive Order 14065, the self-proclaimed Donetsk Peoples Republic (DNR) and the self-proclaimed Luhansk Peoples Republic, each a </w:t>
      </w:r>
      <w:r>
        <w:rPr>
          <w:rFonts w:ascii="Times New Roman" w:hAnsi="Times New Roman"/>
          <w:sz w:val="20"/>
          <w:u w:val="single"/>
        </w:rPr>
        <w:t>Sanctioned Country</w:t>
      </w:r>
      <w:r>
        <w:rPr>
          <w:rFonts w:ascii="Times New Roman" w:hAnsi="Times New Roman"/>
          <w:sz w:val="20"/>
        </w:rPr>
        <w:t xml:space="preserve">); the Issuer agrees that it will not directly or indirectly use the proceeds of the offering and sale of the Securities, or lend, contribute or otherwise make available such proceeds to any person or entity, or any subsidiary, joint venture partner or sub-division of such other person or entity, for the purpose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financing or facilitating the activities of any person or entity then subject to Sanctions or in a Sanctioned Country. With regard to BNP Paribas, Citigroup Global Markets Europe AG, Deutsche Bank Aktiengesellschaft, Banco Santander, S.A., Wells Fargo Securities Europe S.A., Coöperatieve Rabobank U.A., ING Bank N.V., SMBC Bank EU AG, UniCredit Bank AG, Scotiabank (Ireland) Designated Activity Company, MUFG Securities (Europe) N.V. and Mizuho Securities Europe GmbH, the representations in this paragraph (vv) shall not apply if and to the extent that the expression of, or compliance with, or receipt or acceptance of, such representation would breach any provision of (i) Council Regulation (EC) No. 2271/96, as amended from time to time (the EU Blocking Regulation), or any law or regulation implementing the EU Blocking Regulation in any member state of the European Union; or (ii) the EU Blocking Regulation as it forms part of United Kingdom domestic law by virtue of the European Union (Withdrawal) Act 2018 (the </w:t>
      </w:r>
      <w:r>
        <w:rPr>
          <w:rFonts w:ascii="Times New Roman" w:hAnsi="Times New Roman"/>
          <w:sz w:val="20"/>
          <w:u w:val="single"/>
        </w:rPr>
        <w:t>EUWA</w:t>
      </w:r>
      <w:r>
        <w:rPr>
          <w:rFonts w:ascii="Times New Roman" w:hAnsi="Times New Roman"/>
          <w:sz w:val="20"/>
        </w:rPr>
        <w:t>); or (iii) solely to the extent such regulation applies to the applicable Initial Purchasers, Section 7 of the German Foreign Trade Regulation (</w:t>
      </w:r>
      <w:r>
        <w:rPr>
          <w:rFonts w:ascii="Times New Roman" w:hAnsi="Times New Roman"/>
          <w:i/>
          <w:sz w:val="20"/>
        </w:rPr>
        <w:t>Außenwirtschaftsverordnung</w:t>
      </w:r>
      <w:r>
        <w:rPr>
          <w:rFonts w:ascii="Times New Roman" w:hAnsi="Times New Roman"/>
          <w:sz w:val="20"/>
        </w:rPr>
        <w:t xml:space="preserve">) or any similar applicable anti-boycott law or regulation. </w:t>
      </w:r>
    </w:p>
    <w:p>
      <w:pPr>
        <w:pStyle w:val="TextBody"/>
        <w:bidi w:val="0"/>
        <w:spacing w:before="120" w:after="0"/>
        <w:jc w:val="left"/>
        <w:rPr>
          <w:rFonts w:ascii="Times New Roman" w:hAnsi="Times New Roman"/>
          <w:sz w:val="20"/>
        </w:rPr>
      </w:pPr>
      <w:r>
        <w:rPr>
          <w:rFonts w:ascii="Times New Roman" w:hAnsi="Times New Roman"/>
          <w:sz w:val="20"/>
        </w:rPr>
        <w:t xml:space="preserve">(ww)    The issue of the Notes by the Issuer and the Guarantees by the Guarantors (subject to the exclusions and limitations set forth therein and in the Indenture) will not result in a breach of any provisions relating to financial assistance, principles of corporate benefit or any similar law or regulation of the jurisdictions applicable to them, which could affect the enforceability of the Notes or the Guarantees; </w:t>
      </w:r>
    </w:p>
    <w:p>
      <w:pPr>
        <w:pStyle w:val="TextBody"/>
        <w:bidi w:val="0"/>
        <w:spacing w:before="120" w:after="0"/>
        <w:jc w:val="left"/>
        <w:rPr>
          <w:rFonts w:ascii="Times New Roman" w:hAnsi="Times New Roman"/>
          <w:sz w:val="20"/>
        </w:rPr>
      </w:pPr>
      <w:r>
        <w:rPr>
          <w:rFonts w:ascii="Times New Roman" w:hAnsi="Times New Roman"/>
          <w:sz w:val="20"/>
        </w:rPr>
        <w:t>(xx)    None of Holdings, its subsidiaries or, to the knowledge of Holdings, any director, officer, agent, employee or Affiliate of Holdings or any of its subsidiaries has distributed or, prior to the later to occur of (i) the Closing Date and (ii) the completion of the distribution of the Notes, will distribute any material referring to the offering and sale of the Notes other than the Preliminary Memorandum, the Pricing Disclosure Package or the Final Memorandum or other materials, if any, permitted by the Act and the U.K. Financial Services and Markets Act 2000 (the </w:t>
      </w:r>
      <w:r>
        <w:rPr>
          <w:rFonts w:ascii="Times New Roman" w:hAnsi="Times New Roman"/>
          <w:sz w:val="20"/>
          <w:u w:val="single"/>
        </w:rPr>
        <w:t>FSMA</w:t>
      </w:r>
      <w:r>
        <w:rPr>
          <w:rFonts w:ascii="Times New Roman" w:hAnsi="Times New Roman"/>
          <w:sz w:val="20"/>
        </w:rPr>
        <w:t xml:space="preserve">) (or regulations or legislation promulgated pursuant to the Act or the FSMA) or required to be distributed by the Luxembourg Stock Exchange. </w:t>
      </w:r>
    </w:p>
    <w:p>
      <w:pPr>
        <w:pStyle w:val="TextBody"/>
        <w:bidi w:val="0"/>
        <w:spacing w:before="120" w:after="0"/>
        <w:jc w:val="left"/>
        <w:rPr>
          <w:rFonts w:ascii="Times New Roman" w:hAnsi="Times New Roman"/>
          <w:sz w:val="20"/>
        </w:rPr>
      </w:pPr>
      <w:r>
        <w:rPr>
          <w:rFonts w:ascii="Times New Roman" w:hAnsi="Times New Roman"/>
          <w:sz w:val="20"/>
        </w:rPr>
        <w:t>(yy)    Except as disclosed in the Offering Memorandum, and subject to the limitations described therein, no income, stamp or other taxes or levies, imposts, deductions, charges, compulsory loans or withholdings whatsoever (collectively, </w:t>
      </w:r>
      <w:r>
        <w:rPr>
          <w:rFonts w:ascii="Times New Roman" w:hAnsi="Times New Roman"/>
          <w:sz w:val="20"/>
          <w:u w:val="single"/>
        </w:rPr>
        <w:t>Taxes</w:t>
      </w:r>
      <w:r>
        <w:rPr>
          <w:rFonts w:ascii="Times New Roman" w:hAnsi="Times New Roman"/>
          <w:sz w:val="20"/>
        </w:rPr>
        <w:t>) are or will be, under applicable law in France, the United States or any other jurisdiction of incorporation, organization, formation, tax residency or place of business, as the case may be, of the Companies, or a jurisdiction in which any Company has a paying agent (for the avoidance of doubt, such paying agent not to include any Guarantor) with respect to the Notes, or any political subdivision thereof or therein (each, a </w:t>
      </w:r>
      <w:r>
        <w:rPr>
          <w:rFonts w:ascii="Times New Roman" w:hAnsi="Times New Roman"/>
          <w:sz w:val="20"/>
          <w:u w:val="single"/>
        </w:rPr>
        <w:t>Taxing Jurisdiction</w:t>
      </w:r>
      <w:r>
        <w:rPr>
          <w:rFonts w:ascii="Times New Roman" w:hAnsi="Times New Roman"/>
          <w:sz w:val="20"/>
        </w:rPr>
        <w:t xml:space="preserve">), imposed on, assessed against, levied against or collected with respect to any holder of the Notes by any such Taxing Jurisdiction on or in respect of principal, interest, premiums and penalties or other amounts payable under the Securities, or on account of the issue and sale, by the Companies or the execution, delivery or performance of this Agreement, the Indenture or any payments hereunder or thereunder, except for Taxes of a holder of the Notes levied, imposed, deducted, charged, compulsorily lent or withheld by any jurisdiction where such holder is incorporated, organized, formed or tax resident.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(zz)    None of the Companies or any property or assets of any of the Companies has any immunity from jurisdiction of any court or from any legal process. </w:t>
      </w:r>
    </w:p>
    <w:p>
      <w:pPr>
        <w:pStyle w:val="TextBody"/>
        <w:bidi w:val="0"/>
        <w:spacing w:before="120" w:after="0"/>
        <w:jc w:val="left"/>
        <w:rPr>
          <w:rFonts w:ascii="Times New Roman" w:hAnsi="Times New Roman"/>
          <w:sz w:val="20"/>
        </w:rPr>
      </w:pPr>
      <w:r>
        <w:rPr>
          <w:rFonts w:ascii="Times New Roman" w:hAnsi="Times New Roman"/>
          <w:sz w:val="20"/>
        </w:rPr>
        <w:t xml:space="preserve">(aaa)    After giving effect to savings clauses in the Indenture and the Guarantees that limit the liability of the Guarantors in certain cases to the extent provided therein, the fair value and present fair saleable value of the assets of each of the Companies and their respective subsidiaries exceeds, and immediately after the consummation of the issue and sale of the Securities and the consummation of the other transactions contemplated by the Transaction Documents will exceed, the sum of its stated liabilities and identified contingent liabilities. After giving effect to savings clauses in the Indenture and the Guarantees that limit the liability of the Guarantors in certain cases to the extent provided therein, none of the Companies or their respective subsidiaries is, and immediately after the consummation of the issue and sale of the Securities and the consummation of the other transactions contemplated by the Transaction Documents none of them will be, (x) left with unreasonably small capital with which to carry on its business as it is proposed to be conducted, (y) unable to pay its debts (contingent or otherwise) as they mature or (z) otherwise insolvent. </w:t>
      </w:r>
    </w:p>
    <w:p>
      <w:pPr>
        <w:pStyle w:val="TextBody"/>
        <w:bidi w:val="0"/>
        <w:spacing w:before="120" w:after="0"/>
        <w:jc w:val="left"/>
        <w:rPr>
          <w:rFonts w:ascii="Times New Roman" w:hAnsi="Times New Roman"/>
          <w:sz w:val="20"/>
        </w:rPr>
      </w:pPr>
      <w:r>
        <w:rPr>
          <w:rFonts w:ascii="Times New Roman" w:hAnsi="Times New Roman"/>
          <w:sz w:val="20"/>
        </w:rPr>
        <w:t xml:space="preserve">(bbb)    None of the French subsidiaries of Holdings nor any of the Companies has applied, or will apply, for until the Closing Date or is or will be at the Closing Date subject to: </w:t>
      </w:r>
    </w:p>
    <w:p>
      <w:pPr>
        <w:pStyle w:val="TextBody"/>
        <w:bidi w:val="0"/>
        <w:spacing w:before="120" w:after="0"/>
        <w:jc w:val="left"/>
        <w:rPr>
          <w:rFonts w:ascii="Times New Roman" w:hAnsi="Times New Roman"/>
          <w:sz w:val="20"/>
        </w:rPr>
      </w:pPr>
      <w:r>
        <w:rPr>
          <w:rFonts w:ascii="Times New Roman" w:hAnsi="Times New Roman"/>
          <w:sz w:val="20"/>
        </w:rPr>
        <w:t xml:space="preserve">(i)    a </w:t>
      </w:r>
      <w:r>
        <w:rPr>
          <w:rFonts w:ascii="Times New Roman" w:hAnsi="Times New Roman"/>
          <w:i/>
          <w:sz w:val="20"/>
        </w:rPr>
        <w:t>mandat</w:t>
      </w:r>
      <w:r>
        <w:rPr>
          <w:rFonts w:ascii="Times New Roman" w:hAnsi="Times New Roman"/>
          <w:sz w:val="20"/>
        </w:rPr>
        <w:t xml:space="preserve"> </w:t>
      </w:r>
      <w:r>
        <w:rPr>
          <w:rFonts w:ascii="Times New Roman" w:hAnsi="Times New Roman"/>
          <w:i/>
          <w:sz w:val="20"/>
        </w:rPr>
        <w:t>ad</w:t>
      </w:r>
      <w:r>
        <w:rPr>
          <w:rFonts w:ascii="Times New Roman" w:hAnsi="Times New Roman"/>
          <w:sz w:val="20"/>
        </w:rPr>
        <w:t xml:space="preserve"> </w:t>
      </w:r>
      <w:r>
        <w:rPr>
          <w:rFonts w:ascii="Times New Roman" w:hAnsi="Times New Roman"/>
          <w:i/>
          <w:sz w:val="20"/>
        </w:rPr>
        <w:t>hoc proceedings</w:t>
      </w:r>
      <w:r>
        <w:rPr>
          <w:rFonts w:ascii="Times New Roman" w:hAnsi="Times New Roman"/>
          <w:sz w:val="20"/>
        </w:rPr>
        <w:t xml:space="preserve"> (</w:t>
      </w:r>
      <w:r>
        <w:rPr>
          <w:rFonts w:ascii="Times New Roman" w:hAnsi="Times New Roman"/>
          <w:i/>
          <w:sz w:val="20"/>
        </w:rPr>
        <w:t>procédure de mandat ad hoc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a conciliation proceedings (</w:t>
      </w:r>
      <w:r>
        <w:rPr>
          <w:rFonts w:ascii="Times New Roman" w:hAnsi="Times New Roman"/>
          <w:i/>
          <w:sz w:val="20"/>
        </w:rPr>
        <w:t>procédure de conciliation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a safeguard proceedings (</w:t>
      </w:r>
      <w:r>
        <w:rPr>
          <w:rFonts w:ascii="Times New Roman" w:hAnsi="Times New Roman"/>
          <w:i/>
          <w:sz w:val="20"/>
        </w:rPr>
        <w:t>procédure de sauvegarde</w:t>
      </w:r>
      <w:r>
        <w:rPr>
          <w:rFonts w:ascii="Times New Roman" w:hAnsi="Times New Roman"/>
          <w:sz w:val="20"/>
        </w:rPr>
        <w:t>) or an accelerated safeguard proceedings (</w:t>
      </w:r>
      <w:r>
        <w:rPr>
          <w:rFonts w:ascii="Times New Roman" w:hAnsi="Times New Roman"/>
          <w:i/>
          <w:sz w:val="20"/>
        </w:rPr>
        <w:t>procédure de sauvegarde accélérée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a judgment issued for (x) the judicial reorganization (</w:t>
      </w:r>
      <w:r>
        <w:rPr>
          <w:rFonts w:ascii="Times New Roman" w:hAnsi="Times New Roman"/>
          <w:i/>
          <w:sz w:val="20"/>
        </w:rPr>
        <w:t>redressement judiciaire</w:t>
      </w:r>
      <w:r>
        <w:rPr>
          <w:rFonts w:ascii="Times New Roman" w:hAnsi="Times New Roman"/>
          <w:sz w:val="20"/>
        </w:rPr>
        <w:t>) or (y) the judicial liquidation proceedings (</w:t>
      </w:r>
      <w:r>
        <w:rPr>
          <w:rFonts w:ascii="Times New Roman" w:hAnsi="Times New Roman"/>
          <w:i/>
          <w:sz w:val="20"/>
        </w:rPr>
        <w:t>liquidation judiciaire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    a transfer of the whole of the business (</w:t>
      </w:r>
      <w:r>
        <w:rPr>
          <w:rFonts w:ascii="Times New Roman" w:hAnsi="Times New Roman"/>
          <w:i/>
          <w:sz w:val="20"/>
        </w:rPr>
        <w:t>cession totale de lentreprise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 voluntary liquidation; </w:t>
      </w:r>
    </w:p>
    <w:p>
      <w:pPr>
        <w:pStyle w:val="TextBody"/>
        <w:bidi w:val="0"/>
        <w:spacing w:before="120" w:after="0"/>
        <w:jc w:val="left"/>
        <w:rPr>
          <w:rFonts w:ascii="Times New Roman" w:hAnsi="Times New Roman"/>
          <w:sz w:val="20"/>
        </w:rPr>
      </w:pPr>
      <w:r>
        <w:rPr>
          <w:rFonts w:ascii="Times New Roman" w:hAnsi="Times New Roman"/>
          <w:sz w:val="20"/>
        </w:rPr>
        <w:t xml:space="preserve">(vii)    any other proceedings under any applicable laws which has an analogous effect to any of the proceedings referred to from (i) to (vi)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(viii)    any conveyance, assignment or other arrangement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(ix)    any composition with its creditors.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(ccc)    None of the Companies or their respective Affiliates, or any person acting on behalf of any of them (other than the Initial Purchasers, as to which the Companies make no representation or warranty), has offered or sold and will offer or sell, directly or indirectly, any Notes to the public in France other than pursuant to an exemption under Article 1(4) of the Regulation (EU) 2017/1129 of the European Parliament and of the Council of 14 June 2017 as amended from time to time (the </w:t>
      </w:r>
      <w:r>
        <w:rPr>
          <w:rFonts w:ascii="Times New Roman" w:hAnsi="Times New Roman"/>
          <w:sz w:val="20"/>
          <w:u w:val="single"/>
        </w:rPr>
        <w:t>Prospectus Regulation</w:t>
      </w:r>
      <w:r>
        <w:rPr>
          <w:rFonts w:ascii="Times New Roman" w:hAnsi="Times New Roman"/>
          <w:sz w:val="20"/>
        </w:rPr>
        <w:t>) or has distributed or caused to be distributed or will distribute or cause to be distributed to the public in France the Preliminary Memorandum, the Final Memorandum or any other offering or marketing material relating to the Notes, and that such offers, sales and distributions have been and shall only be made in France to qualified investors (</w:t>
      </w:r>
      <w:r>
        <w:rPr>
          <w:rFonts w:ascii="Times New Roman" w:hAnsi="Times New Roman"/>
          <w:i/>
          <w:sz w:val="20"/>
        </w:rPr>
        <w:t>investisseurs qualifiés</w:t>
      </w:r>
      <w:r>
        <w:rPr>
          <w:rFonts w:ascii="Times New Roman" w:hAnsi="Times New Roman"/>
          <w:sz w:val="20"/>
        </w:rPr>
        <w:t xml:space="preserve">), as defined in point (e) of Article 2 of the Prospectus Regulation and any related applicable French laws and regulations implementing the Prospectus Regulation. </w:t>
      </w:r>
    </w:p>
    <w:p>
      <w:pPr>
        <w:pStyle w:val="TextBody"/>
        <w:bidi w:val="0"/>
        <w:spacing w:before="120" w:after="0"/>
        <w:jc w:val="left"/>
        <w:rPr>
          <w:rFonts w:ascii="Times New Roman" w:hAnsi="Times New Roman"/>
          <w:sz w:val="20"/>
        </w:rPr>
      </w:pPr>
      <w:r>
        <w:rPr>
          <w:rFonts w:ascii="Times New Roman" w:hAnsi="Times New Roman"/>
          <w:sz w:val="20"/>
        </w:rPr>
        <w:t>(ddd)    Holdings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are adequate for, and operate and perform in all material respects as required in connection with the operation of the business of Holdings and its subsidiaries as currently conducted, free and clear of all material bugs, errors, defects, Trojan horses, time bombs, malware and other corruptants. Holdings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sz w:val="20"/>
          <w:u w:val="single"/>
        </w:rPr>
        <w:t>Personal Data</w:t>
      </w:r>
      <w:r>
        <w:rPr>
          <w:rFonts w:ascii="Times New Roman" w:hAnsi="Times New Roman"/>
          <w:sz w:val="20"/>
        </w:rPr>
        <w:t xml:space="preserve">)) used or held for use in connection with their businesses, and there have been no breaches, violations, disruptions, compromises or unauthorized uses of or accesses to same, except for the duty to notify any other person or where such breaches, violations, disruptions, compromises or unauthorized uses of or access to same, would not, individually or in the aggregate, be reasonably expected to have a Material Adverse Effect. Holdings and its subsidiaries are presently in material compliance with all applicable laws, statutes and regulations (including the European Union General Data Protection Regulation) and all judgments, orders, rules and regulations of any court or arbitrator or governmental or regulatory authority, internal policies and contractual obligations and, to the extent applicable, PCI-DSS, relating to the privacy and security of IT Systems and Personal Data and to the protection of such IT Systems and Personal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(eee)    Holdings and each of its subsidiaries maintain an effective system of disclosure controls and procedures (as defined in Rule 13a-15(e) of the Exchange Act) that is designed to ensure that information required to be disclosed by Holdings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Holdings management as appropriate to allow timely decisions regarding required disclosure. Holdings and its subsidiaries have carried out evaluations, with the participation of management, of the effectiveness of their disclosure controls and procedures as required by Rule 13a-15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signed by any officer of any of the Companies and delivered to the Initial Purchasers or counsel for the Initial Purchasers pursuant to this Agreement shall be deemed a representation and warranty by such Company, as to matters covered thereby, to each Initial Purchaser.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Purchase and Sale</w:t>
      </w:r>
      <w:r>
        <w:rPr>
          <w:rFonts w:ascii="Times New Roman" w:hAnsi="Times New Roman"/>
          <w:sz w:val="20"/>
        </w:rPr>
        <w:t>. Subject to the terms and conditions and in reliance upon the representations and warranties herein set forth, the Issuer agrees to sell to each Initial Purchaser, and each Initial Purchaser agrees, severally and not jointly, to purchase from the Issuer, at a purchase price equal to 98.75% of the principal amount of the Notes, plus accrued interest, if any, from December 11, 2023 to the Closing Date (the </w:t>
      </w:r>
      <w:r>
        <w:rPr>
          <w:rFonts w:ascii="Times New Roman" w:hAnsi="Times New Roman"/>
          <w:sz w:val="20"/>
          <w:u w:val="single"/>
        </w:rPr>
        <w:t>Purchase Amount</w:t>
      </w:r>
      <w:r>
        <w:rPr>
          <w:rFonts w:ascii="Times New Roman" w:hAnsi="Times New Roman"/>
          <w:sz w:val="20"/>
        </w:rPr>
        <w:t xml:space="preserve">), the principal amount of Securities set forth opposite such Initial Purchasers name in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Delivery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Delivery of and payment for the Securities shall be made at 10:00 A.M., London time, on December 11, 2023, or at such time on such later date (not later than December 18, 2023) as the Initial Purchasers shall designate, which date and time may be postponed among the Initial Purchasers and the Issuer or as provided in Section 9 hereof (such date and time of delivery and payment for the Securities being herein called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Notes sold within the United States to QIBs in reliance on Rule 144A will be represented by one or more global notes in registered form without interest coupons attached (the </w:t>
      </w:r>
      <w:r>
        <w:rPr>
          <w:rFonts w:ascii="Times New Roman" w:hAnsi="Times New Roman"/>
          <w:sz w:val="20"/>
          <w:u w:val="single"/>
        </w:rPr>
        <w:t>Rule 144A Global Note</w:t>
      </w:r>
      <w:r>
        <w:rPr>
          <w:rFonts w:ascii="Times New Roman" w:hAnsi="Times New Roman"/>
          <w:sz w:val="20"/>
        </w:rPr>
        <w:t>). The Notes sold outside the United States to persons who are not U.S. persons in reliance on Regulation S will be represented by one or more global notes in registered form without interest coupons attached (the </w:t>
      </w:r>
      <w:r>
        <w:rPr>
          <w:rFonts w:ascii="Times New Roman" w:hAnsi="Times New Roman"/>
          <w:sz w:val="20"/>
          <w:u w:val="single"/>
        </w:rPr>
        <w:t>Regulation S Global Note</w:t>
      </w:r>
      <w:r>
        <w:rPr>
          <w:rFonts w:ascii="Times New Roman" w:hAnsi="Times New Roman"/>
          <w:sz w:val="20"/>
        </w:rPr>
        <w:t> and, together with the Rule 144A Global Note, the </w:t>
      </w:r>
      <w:r>
        <w:rPr>
          <w:rFonts w:ascii="Times New Roman" w:hAnsi="Times New Roman"/>
          <w:sz w:val="20"/>
          <w:u w:val="single"/>
        </w:rPr>
        <w:t>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The Securities represented by the Global Notes will initially be credited free of payment to an account (the </w:t>
      </w:r>
      <w:r>
        <w:rPr>
          <w:rFonts w:ascii="Times New Roman" w:hAnsi="Times New Roman"/>
          <w:sz w:val="20"/>
          <w:u w:val="single"/>
        </w:rPr>
        <w:t>Commissionaire Account</w:t>
      </w:r>
      <w:r>
        <w:rPr>
          <w:rFonts w:ascii="Times New Roman" w:hAnsi="Times New Roman"/>
          <w:sz w:val="20"/>
        </w:rPr>
        <w:t>) for the benefit of the Representative, the terms of which will include a third-party beneficiary clause (</w:t>
      </w:r>
      <w:r>
        <w:rPr>
          <w:rFonts w:ascii="Times New Roman" w:hAnsi="Times New Roman"/>
          <w:i/>
          <w:sz w:val="20"/>
        </w:rPr>
        <w:t>stipulation pour autrui</w:t>
      </w:r>
      <w:r>
        <w:rPr>
          <w:rFonts w:ascii="Times New Roman" w:hAnsi="Times New Roman"/>
          <w:sz w:val="20"/>
        </w:rPr>
        <w:t xml:space="preserve">) with the Issuer as the third-party beneficiary, and provide that such Notes are to be delivered to others only against payment of the net Purchase Amount (i.e. less the commissions and expenses to be deducted from the Purchase Amount) into the Commissionaire Account on a delivery against payments basis. </w:t>
      </w:r>
    </w:p>
    <w:p>
      <w:pPr>
        <w:pStyle w:val="TextBody"/>
        <w:bidi w:val="0"/>
        <w:spacing w:before="240" w:after="0"/>
        <w:jc w:val="left"/>
        <w:rPr>
          <w:rFonts w:ascii="Times New Roman" w:hAnsi="Times New Roman"/>
          <w:sz w:val="20"/>
        </w:rPr>
      </w:pPr>
      <w:r>
        <w:rPr>
          <w:rFonts w:ascii="Times New Roman" w:hAnsi="Times New Roman"/>
          <w:sz w:val="20"/>
        </w:rPr>
        <w:t xml:space="preserve">(d)    The Representative acknowledges that (i) the Global Notes shall be held to the order of the Issuer and (ii) the net Purchase Amount received in the Commissionaire Accounts (i.e. less the commissions and expenses deducted from the Purchase Amount) will be held on behalf of the Issuer until such time as they are transferred to the Issuers order. The Representative undertakes that the net Purchase Amount for the Securities (i.e. less the commissions and expenses deducted from the Purchase Amount) will be transferred to the Issuers order promptly following receipt of the Purchase Amount in the Commissionaire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The Issuer acknowledges and accepts the benefit of the third-party beneficiary clause (</w:t>
      </w:r>
      <w:r>
        <w:rPr>
          <w:rFonts w:ascii="Times New Roman" w:hAnsi="Times New Roman"/>
          <w:i/>
          <w:sz w:val="20"/>
        </w:rPr>
        <w:t>stipulation pour autrui</w:t>
      </w:r>
      <w:r>
        <w:rPr>
          <w:rFonts w:ascii="Times New Roman" w:hAnsi="Times New Roman"/>
          <w:sz w:val="20"/>
        </w:rPr>
        <w:t>) pursuant to the Belgian Civil Code, in the case of Euroclear Bank SA/NV, as operator of the Euroclear System (</w:t>
      </w:r>
      <w:r>
        <w:rPr>
          <w:rFonts w:ascii="Times New Roman" w:hAnsi="Times New Roman"/>
          <w:sz w:val="20"/>
          <w:u w:val="single"/>
        </w:rPr>
        <w:t>Euroclear</w:t>
      </w:r>
      <w:r>
        <w:rPr>
          <w:rFonts w:ascii="Times New Roman" w:hAnsi="Times New Roman"/>
          <w:sz w:val="20"/>
        </w:rPr>
        <w:t xml:space="preserve">), and the Luxembourg Civil Code, in the case of Clearstream Banking, </w:t>
      </w:r>
      <w:r>
        <w:rPr>
          <w:rFonts w:ascii="Times New Roman" w:hAnsi="Times New Roman"/>
          <w:i/>
          <w:sz w:val="20"/>
        </w:rPr>
        <w:t xml:space="preserve">société anonyme </w:t>
      </w:r>
      <w:r>
        <w:rPr>
          <w:rFonts w:ascii="Times New Roman" w:hAnsi="Times New Roman"/>
          <w:sz w:val="20"/>
        </w:rPr>
        <w:t>(</w:t>
      </w:r>
      <w:r>
        <w:rPr>
          <w:rFonts w:ascii="Times New Roman" w:hAnsi="Times New Roman"/>
          <w:sz w:val="20"/>
          <w:u w:val="single"/>
        </w:rPr>
        <w:t>Clearstream</w:t>
      </w:r>
      <w:r>
        <w:rPr>
          <w:rFonts w:ascii="Times New Roman" w:hAnsi="Times New Roman"/>
          <w:sz w:val="20"/>
        </w:rPr>
        <w:t xml:space="preserve">), in each case in respect of the Commissionaire Account. </w:t>
      </w:r>
    </w:p>
    <w:p>
      <w:pPr>
        <w:pStyle w:val="TextBody"/>
        <w:bidi w:val="0"/>
        <w:spacing w:before="240" w:after="0"/>
        <w:jc w:val="left"/>
        <w:rPr>
          <w:rFonts w:ascii="Times New Roman" w:hAnsi="Times New Roman"/>
          <w:sz w:val="20"/>
        </w:rPr>
      </w:pPr>
      <w:r>
        <w:rPr>
          <w:rFonts w:ascii="Times New Roman" w:hAnsi="Times New Roman"/>
          <w:sz w:val="20"/>
        </w:rPr>
        <w:t xml:space="preserve">(f)    Payment for the Securities shall be made by the several Initial Purchasers by wire transfer payable in same-day funds to the account specified by the Issuer, and Euroclear and Clearstream shall credit the Securities to the Commissionaire Account of the Representative.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Offering by Initial Purchasers</w:t>
      </w:r>
      <w:r>
        <w:rPr>
          <w:rFonts w:ascii="Times New Roman" w:hAnsi="Times New Roman"/>
          <w:sz w:val="20"/>
        </w:rPr>
        <w:t xml:space="preserve">. Each Initial Purchaser, severally and not jointly, represents and warrants to and agrees with the Issuer that: </w:t>
      </w:r>
    </w:p>
    <w:p>
      <w:pPr>
        <w:pStyle w:val="TextBody"/>
        <w:bidi w:val="0"/>
        <w:spacing w:before="120" w:after="0"/>
        <w:jc w:val="left"/>
        <w:rPr>
          <w:rFonts w:ascii="Times New Roman" w:hAnsi="Times New Roman"/>
          <w:sz w:val="20"/>
        </w:rPr>
      </w:pPr>
      <w:r>
        <w:rPr>
          <w:rFonts w:ascii="Times New Roman" w:hAnsi="Times New Roman"/>
          <w:sz w:val="20"/>
        </w:rPr>
        <w:t xml:space="preserve">(a)    It is an accredited investor within the meaning of Rule 501 of the Act and acknowledges that it is purchasing the Securities pursuant to a private sale exemption from registration under the Act. </w:t>
      </w:r>
    </w:p>
    <w:p>
      <w:pPr>
        <w:pStyle w:val="TextBody"/>
        <w:bidi w:val="0"/>
        <w:spacing w:before="120" w:after="0"/>
        <w:jc w:val="left"/>
        <w:rPr>
          <w:rFonts w:ascii="Times New Roman" w:hAnsi="Times New Roman"/>
          <w:sz w:val="20"/>
        </w:rPr>
      </w:pPr>
      <w:r>
        <w:rPr>
          <w:rFonts w:ascii="Times New Roman" w:hAnsi="Times New Roman"/>
          <w:sz w:val="20"/>
        </w:rPr>
        <w:t xml:space="preserve">(b)    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w:t>
      </w:r>
      <w:r>
        <w:rPr>
          <w:rFonts w:ascii="Times New Roman" w:hAnsi="Times New Roman"/>
          <w:sz w:val="20"/>
          <w:u w:val="single"/>
        </w:rPr>
        <w:t>Exhibit A</w:t>
      </w:r>
      <w:r>
        <w:rPr>
          <w:rFonts w:ascii="Times New Roman" w:hAnsi="Times New Roman"/>
          <w:sz w:val="20"/>
        </w:rPr>
        <w:t xml:space="preserve"> hereto. Each of the Initial Purchasers will comply with all applicable laws and regulations in each jurisdiction in which it acquires, offers, sells or delivers Securities or has in its possession or distributes the Pricing Disclosure Package, the Final Memorandum, any Issuer Written Communication or any such other material, in all cases at its own expense, except as provided in Section 5(m). </w:t>
      </w:r>
    </w:p>
    <w:p>
      <w:pPr>
        <w:pStyle w:val="TextBody"/>
        <w:bidi w:val="0"/>
        <w:spacing w:before="120" w:after="0"/>
        <w:jc w:val="left"/>
        <w:rPr>
          <w:rFonts w:ascii="Times New Roman" w:hAnsi="Times New Roman"/>
          <w:sz w:val="20"/>
        </w:rPr>
      </w:pPr>
      <w:r>
        <w:rPr>
          <w:rFonts w:ascii="Times New Roman" w:hAnsi="Times New Roman"/>
          <w:sz w:val="20"/>
        </w:rPr>
        <w:t xml:space="preserve">(c)    Neither it nor any person acting on its behalf has made or will make offers or sales of the Securities in the United States by means of any form of general solicitation or general advertising (within the meaning of Regulation D under the Securities Act) in the United States or in any manner involving a public offering within the meaning of Section 4(a) of the Act. </w:t>
      </w:r>
    </w:p>
    <w:p>
      <w:pPr>
        <w:pStyle w:val="TextBody"/>
        <w:bidi w:val="0"/>
        <w:spacing w:before="120" w:after="0"/>
        <w:jc w:val="left"/>
        <w:rPr>
          <w:rFonts w:ascii="Times New Roman" w:hAnsi="Times New Roman"/>
          <w:sz w:val="20"/>
        </w:rPr>
      </w:pPr>
      <w:r>
        <w:rPr>
          <w:rFonts w:ascii="Times New Roman" w:hAnsi="Times New Roman"/>
          <w:sz w:val="20"/>
        </w:rPr>
        <w:t xml:space="preserve">(d)    Each Initial Purchaser acknowledges and agrees that the Issuer and, for the purposes of the opinions to be delivered to the Initial Purchasers pursuant to Section 6(a) through 6(d), (i) counsel for the Companies and (ii) counsel for the Initial Purchasers, respectively, may rely upon the accuracy of the representations and warranties of such Initial Purchaser, and compliance of such Initial Purchaser with its agreements, contained in paragraphs 4(a) through (c), above, and such Initial Purchaser hereby consents to such reliance.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Agreements</w:t>
      </w:r>
      <w:r>
        <w:rPr>
          <w:rFonts w:ascii="Times New Roman" w:hAnsi="Times New Roman"/>
          <w:sz w:val="20"/>
        </w:rPr>
        <w:t xml:space="preserve">. The Companies, jointly and severally, agree, with each Initial Purchaser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Companies will furnish to each Initial Purchaser and to counsel for the Initial Purchasers, without charge, during the period referred to in paragraph (c) below, as many copies of the Pricing Disclosure Package, any Issuer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Communication and the Final Memorandum and any amendments and supplements thereto as they may reasonably request and each as so delivered shall be in form and substance reasonably satisfactory to the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(b)    The Companies will not amend or supplement the Pricing Disclosure Package or the Final Memorandum, other than by filing documents under the Exchange Act that are incorporated by reference therein, or distribute or refer to any Issuer Written Communication, in each case, without the prior written consent of the Representative;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the completion of the distribution of the Securities by the Initial Purchasers (as determined by the Representative in its sole discretion), Holdings and its subsidiaries will not file any document under the Exchange Act that is incorporated by reference in the Pricing Disclosure Package or the Final Memorandum unless, prior to such proposed filing, the Companies have furnished the Representative with a copy of such document for their review and the Representative has not reasonably objected to the filing of such document. The Companies will promptly advise the Initial Purchasers when any document filed under the Exchange Act that is incorporated by reference in the Pricing Disclosure Package or the Final Memorandum shall have been filed with the Commission. The Companies will promptly, upon the reasonable request of the Representative or counsel for the Initial Purchasers, make any amendments or supplements to the Pricing Disclosure Package and the Final Memorandum that may be necessary or advisable in connection with the resale of the Notes by the Initial Purchasers. </w:t>
      </w:r>
    </w:p>
    <w:p>
      <w:pPr>
        <w:pStyle w:val="TextBody"/>
        <w:bidi w:val="0"/>
        <w:spacing w:before="120" w:after="0"/>
        <w:jc w:val="left"/>
        <w:rPr>
          <w:rFonts w:ascii="Times New Roman" w:hAnsi="Times New Roman"/>
          <w:sz w:val="20"/>
        </w:rPr>
      </w:pPr>
      <w:r>
        <w:rPr>
          <w:rFonts w:ascii="Times New Roman" w:hAnsi="Times New Roman"/>
          <w:sz w:val="20"/>
        </w:rPr>
        <w:t xml:space="preserve">(c)    If at any time prior to the completion of the sale of the Securities by the Initial Purchasers (as determined by the Representative), (i) any governmental or regulatory authority issues any order preventing or suspending the use of any of the Pricing Disclosure Package or the Final Memorandum or (ii) any event occurs as a result of which the Pricing Disclosure Package, any Issuer Written Communication or the Final Memorandum, as then amended or supplemented, would include any untrue statement of a material fact or omit to state any material fact necessary to make the statements therein, in the light of the circumstances under which they were made or the circumstances then prevailing, not misleading, or if it should be necessary to amend or supplement the Pricing Disclosure Package, any Issuer Written Communication or the Final Memorandum to comply with applicable law, the Companies will promptly (i) notify the Initial Purchasers of any such event; (ii) subject to the requirements of paragraph (b) of this Section 5, prepare an amendment or supplement that will correct such statement or omission or effect such compliance; and (iii) supply any supplemented or amended Pricing Disclosure Package, Issuer Written Communication or the Final Memorandum to the Initial Purchasers and counsel for the Initial Purchasers without charge in such quantities as they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a Company may do so under applicable law, the Companies will arrange, if necessary, for the qualification of the Securities for sale by the Initial Purchasers under the laws of such jurisdictions as the Initial Purchasers may reasonably designate and will maintain such qualifications in effect so long as required for the sale of the Securities; </w:t>
      </w:r>
      <w:r>
        <w:rPr>
          <w:rFonts w:ascii="Times New Roman" w:hAnsi="Times New Roman"/>
          <w:sz w:val="20"/>
          <w:u w:val="single"/>
        </w:rPr>
        <w:t>provided</w:t>
      </w:r>
      <w:r>
        <w:rPr>
          <w:rFonts w:ascii="Times New Roman" w:hAnsi="Times New Roman"/>
          <w:sz w:val="20"/>
        </w:rPr>
        <w:t xml:space="preserve"> that in no event shall any Company be obligated to qualify to do business in any jurisdiction where it is not now so qualified, to execute a general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service of process in any jurisdiction with respect to which such a consent has not been previously executed or to subject itself to taxation in any jurisdiction wherein it would not otherwise be subject to tax but for the requirements of this paragraph. The Companies will promptly advise the Representative of the receipt by any Company of any notification with respect to the suspension of the qualification of the Securities for sale in any jurisdiction or the initiation or threatening of any proceeding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(e)    The Companies will not, and will not permit any of their respective Affiliates to, resell any Securities that have been acquired by any of them. </w:t>
      </w:r>
    </w:p>
    <w:p>
      <w:pPr>
        <w:pStyle w:val="TextBody"/>
        <w:bidi w:val="0"/>
        <w:spacing w:before="120" w:after="0"/>
        <w:jc w:val="left"/>
        <w:rPr>
          <w:rFonts w:ascii="Times New Roman" w:hAnsi="Times New Roman"/>
          <w:sz w:val="20"/>
        </w:rPr>
      </w:pPr>
      <w:r>
        <w:rPr>
          <w:rFonts w:ascii="Times New Roman" w:hAnsi="Times New Roman"/>
          <w:sz w:val="20"/>
        </w:rPr>
        <w:t xml:space="preserve">(f)    None of the Companies or their respective Affiliates, or any person acting on behalf of any of them, will, directly or indirectly, make offers or sales of any security, or solicit offers to buy any security, under circumstances that would require the registration of the Securities under the Act. </w:t>
      </w:r>
    </w:p>
    <w:p>
      <w:pPr>
        <w:pStyle w:val="TextBody"/>
        <w:bidi w:val="0"/>
        <w:spacing w:before="120" w:after="0"/>
        <w:jc w:val="left"/>
        <w:rPr>
          <w:rFonts w:ascii="Times New Roman" w:hAnsi="Times New Roman"/>
          <w:sz w:val="20"/>
        </w:rPr>
      </w:pPr>
      <w:r>
        <w:rPr>
          <w:rFonts w:ascii="Times New Roman" w:hAnsi="Times New Roman"/>
          <w:sz w:val="20"/>
        </w:rPr>
        <w:t xml:space="preserve">(g)    None of the Companies or their respective Affiliates, or any person acting on behalf of any of them, will engage in any form of general solicitation or general advertising (within the meaning of Regulation D) in connection with any offer or sale of the Securities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(h)    So long as any of the Securities are restricted securities within the meaning of Rule 144(a)(3) under the Act, each Company will, during any period in which it is not subject to and in compliance with Section 13 or 15(d) of the Exchange Act or it is not exempt from such reporting requirements pursuant to and in compliance with 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    None of the Companies or their respective Affiliates, or any person acting on behalf of any of them, will engage in any directed selling efforts with respect to the Securities, and each of them will comply with the offering restrictions requirement of Regulation S. Terms used in this paragraph have the meanings given to them by Regulation S. </w:t>
      </w:r>
    </w:p>
    <w:p>
      <w:pPr>
        <w:pStyle w:val="TextBody"/>
        <w:bidi w:val="0"/>
        <w:spacing w:before="120" w:after="0"/>
        <w:jc w:val="left"/>
        <w:rPr>
          <w:rFonts w:ascii="Times New Roman" w:hAnsi="Times New Roman"/>
          <w:sz w:val="20"/>
        </w:rPr>
      </w:pPr>
      <w:r>
        <w:rPr>
          <w:rFonts w:ascii="Times New Roman" w:hAnsi="Times New Roman"/>
          <w:sz w:val="20"/>
        </w:rPr>
        <w:t xml:space="preserve">(j)    The Companies will cooperate with the Representative and use their respective reasonable best efforts to permit the Notes to be eligible for clearance and settlement through Euroclear and Clearstream. The Companies will use their reasonable best efforts to cause the Notes to be listed on the Official List of the Luxembourg Stock Exchange and to be admitted to trading on the Euro MTF Market of the Luxembourg Stock Exchange as soon as practicable after the date hereof. If the Notes cease to be listed on the Official List of the Luxembourg Stock Exchange, the Companies will use their reasonable best efforts as soon as practicable to list such Notes on another recognized stock exchange or exchange regulated market in western Europe.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Companies will not and will not permit any of their subsidiaries to, for a period of ninety (90) days following the Time of Execution, without the prior written consent of the Representative, offer, sell or contract to sell, or otherwise dispose of, or enter into any transaction which is designed to, or might reasonably be expected to, result in the disposition (whether by actual disposition or effective economic disposition due to cash settlement or otherwise) by any Company or any Affiliate of any Company or any person in privity with any Company or any Affiliate of any Company, directly or indirectly, or announce the offering of any debt securities issued or guaranteed by any Company (or any subsidiary of a Company) (other than the Securities, debt under the Existing Credit Agreement, the issuance by Crown Americas LLC of U.S. dollar-denominated senior notes and intercompany notes). </w:t>
      </w:r>
    </w:p>
    <w:p>
      <w:pPr>
        <w:pStyle w:val="TextBody"/>
        <w:bidi w:val="0"/>
        <w:spacing w:before="120" w:after="0"/>
        <w:jc w:val="left"/>
        <w:rPr>
          <w:rFonts w:ascii="Times New Roman" w:hAnsi="Times New Roman"/>
          <w:sz w:val="20"/>
        </w:rPr>
      </w:pPr>
      <w:r>
        <w:rPr>
          <w:rFonts w:ascii="Times New Roman" w:hAnsi="Times New Roman"/>
          <w:sz w:val="20"/>
        </w:rPr>
        <w:t xml:space="preserve">(l)    The Companies will not take, directly or indirectly, any action designed to or which has constituted or which might reasonably be expected to cause or result, under the Act or the Exchange Act or otherwise, in stabilization or manipulation of the price of any security of any Company to facilitate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 Companies, jointly and severally, agree to pay the costs and expenses relating to the following matters: (i) the preparation of the Indenture, the issuance of the Securities and the fees of the Trustee; (ii) the preparation, printing or reproduction of the Pricing Disclosure Package and the Final Memorandum and each amendment or supplement thereto; (iii) the printing (or reproduction) and delivery (including postage, air freight charges and charges for counting and packaging) of such copies of the Pricing Disclosure Package and the Final Memorandum, and all amendments or supplements to either of them, as may, in each case, be reasonably 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any registration or qualification of the Securities for offer and sale under the securities or blue sky laws of the several states (including filing fees and the reasonable fees and expenses of counsel for the Initial Purchasers relating to such registration and qualification); (vii) admitting the Notes for listing on the Official List of the Luxembourg Stock Exchange and for trading on the Euro MTF Market; (viii) the transportation and other expenses incurred by or on behalf of the Companies representatives in connection with presentations to prospective purchasers of the Securities; (ix) the fees and expenses of the Companies accountants and the fees and expenses of counsel (including local and special counsel) for the Companies; (x) any appraisal or valuation performed in connection with the offering and sale of the Securities; and (xi) all other costs and expenses incident to the performance by the Companies of their respective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(n)    The Companies will apply the proceeds from the offering and sale of the Securities as provided under the caption Use of Proceeds in the Pricing Disclosure Package and the Final Memorandum.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6.    </w:t>
      </w:r>
      <w:r>
        <w:rPr>
          <w:rFonts w:ascii="Times New Roman" w:hAnsi="Times New Roman"/>
          <w:sz w:val="20"/>
          <w:u w:val="single"/>
        </w:rPr>
        <w:t>Conditions to the Obligations of the Initial Purchasers</w:t>
      </w:r>
      <w:r>
        <w:rPr>
          <w:rFonts w:ascii="Times New Roman" w:hAnsi="Times New Roman"/>
          <w:sz w:val="20"/>
        </w:rPr>
        <w:t xml:space="preserve">. The obligations of the Initial Purchasers to purchase the Securities shall be subject to the accuracy of the representations and warranties on the part of the Companies contained herein at their respective times of execution of this Agreement, as of the Closing Date and as of any settlement date pursuant to Section 3 hereof, to the accuracy of the statements of the Companies made in any certificates pursuant to the provisions hereof, to the performance by the Companies of their respective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Companies shall have requested and caused (i) Dechert LLP, special United States counsel for the Companies, to furnish to the Initial Purchasers their opinion and negative assurance letter, each delivered on the Closing Date and dated the Closing Date and addressed to the Initial Purchasers, substantially in the form reasonably satisfactory to the Initial Purchasers and their counsel and (ii) Adam J. Dickstein, General Counsel of Holdings, to furnish to the Initial Purchasers his opinion, delivered on the Closing Date and dated the Closing Date and addressed to the Initial Purchasers, substantially in the form reasonably satisfactory to the Initial Purchasers and their counsel. In rendering such opinions and assurances, such counsel may rely (A) as to matters involving the application of laws of any jurisdiction other than the Commonwealth of Pennsylvania, the State of New York, the Federal laws of the United States and the Delaware General Corporation Law,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 </w:t>
      </w:r>
    </w:p>
    <w:p>
      <w:pPr>
        <w:pStyle w:val="TextBody"/>
        <w:bidi w:val="0"/>
        <w:spacing w:before="120" w:after="0"/>
        <w:jc w:val="left"/>
        <w:rPr>
          <w:rFonts w:ascii="Times New Roman" w:hAnsi="Times New Roman"/>
          <w:sz w:val="20"/>
        </w:rPr>
      </w:pPr>
      <w:r>
        <w:rPr>
          <w:rFonts w:ascii="Times New Roman" w:hAnsi="Times New Roman"/>
          <w:sz w:val="20"/>
        </w:rPr>
        <w:t xml:space="preserve">(b)    The Companies shall have requested and caused Dechert (Paris) LLP, special French counsel to the Companies, to furnish to the Initial Purchasers their opinion, delivered on the Closing Date and dated the Closing Date and addressed to the Initial Purchasers, substantially in the form reasonably satisfactory to the Initial Purchasers and their counsel. In rendering such opinion, such counsel may rely (A) as to matters involving the application of laws of any jurisdiction other than the Republic of France,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 </w:t>
      </w:r>
    </w:p>
    <w:p>
      <w:pPr>
        <w:pStyle w:val="TextBody"/>
        <w:bidi w:val="0"/>
        <w:spacing w:before="120" w:after="0"/>
        <w:jc w:val="left"/>
        <w:rPr>
          <w:rFonts w:ascii="Times New Roman" w:hAnsi="Times New Roman"/>
          <w:sz w:val="20"/>
        </w:rPr>
      </w:pPr>
      <w:r>
        <w:rPr>
          <w:rFonts w:ascii="Times New Roman" w:hAnsi="Times New Roman"/>
          <w:sz w:val="20"/>
        </w:rPr>
        <w:t xml:space="preserve">(c)    The Companies shall have requested and caused one or more local counsel for the Companies, reasonably satisfactory to the Initial Purchasers and counsel to the Initial Purchasers, in each of Canada, Germany, Luxembourg, Mexico, the Netherlands, Spain, Switzerland and the United Kingdom to furnish to the Initial Purchasers their opinion, delivered on the Closing Date and dated the Closing Date and addressed to the Initial Purchasers. In rendering such opinion, such counsel may rely as to matters of fact, to the extent they deem proper, on certificates of responsible officers of relevant Companies. </w:t>
      </w:r>
    </w:p>
    <w:p>
      <w:pPr>
        <w:pStyle w:val="TextBody"/>
        <w:bidi w:val="0"/>
        <w:spacing w:before="120" w:after="0"/>
        <w:jc w:val="left"/>
        <w:rPr>
          <w:rFonts w:ascii="Times New Roman" w:hAnsi="Times New Roman"/>
          <w:sz w:val="20"/>
        </w:rPr>
      </w:pPr>
      <w:r>
        <w:rPr>
          <w:rFonts w:ascii="Times New Roman" w:hAnsi="Times New Roman"/>
          <w:sz w:val="20"/>
        </w:rPr>
        <w:t xml:space="preserve">(d)    The Initial Purchasers shall have received from each of (i) Cahill Gordon &amp; Reindel LLP, special United States counsel for the Initial Purchasers,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Gide Loyrette Nouel A.A.R.P.I., special French counsel for the Initial Purchasers, such opinion or opinions, delivered on the Closing Date and dated the Closing Date and addressed to the Initial Purchasers, with respect to such matters as the Initial Purchasers may reasonably require, and the Companies shall have furnished to such counsel such documents as they request for the purpose of enabling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(e)    Holdings shall have furnished to the Initial Purchasers a certificate of Holdings and the Issuer, signed by the Chairman of the Board or the President and the principal financial or accounting officer of each of Holdings and the Issuer, delivered on the Closing Date and dated the Closing Date, to the effect that the signers of such certificate have carefully examined the Pricing Disclosure Package and the Final Memorandum, any amendment or supplement to the Pricing Disclosure Package and the Final Memorandum and this Agreement and that: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Companies in this Agreement are true and correct in all material respects (other than the representations and warranties set forth in Section 1(tt), (uu) and (vv) which shall be true and correct in all respects) on and as of the Closing Date with the same effect as if made on the Closing Date, and the Companies have complied with all the agreements and satisfied all the conditions on their part to be performed or satisfied hereunder at or prior to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(ii)    since the date of the most recent financial statements included in the Pricing Disclosure Package and the Final Memorandum (exclusive of any amendment or supplement thereto), there has been no material adverse change in the condition (financial or otherwise), prospects, earnings, business or properties of the Issuer, individually, or of Holdings and its subsidiaries, taken as a whole, whether or not arising from transactions in the ordinary course of business, except as set forth in or contemplated by the Pricing Disclosure Package and the Final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(f)    At the Time of Execution, Holdings shall have caused PricewaterhouseCoopers LLP to furnish to the Initial Purchasers a comfort letter, dated the Time of Execution, in form and substance satisfactory to counsel for the Initial Purchasers with respect to the audited and any unaudited or pro forma financial information in the Pricing Disclosure Package. On the Closing Date, Holdings shall have caused PricewaterhouseCoopers LLP to furnish to the Initial Purchasers a comfort letter dated the Closing Date, in form and substance satisfactory to counsel for the Initial Purchasers and reaffirming or updating as of a more recent date, the information in the comfort letter dated the Time of Execution.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120" w:after="0"/>
        <w:jc w:val="left"/>
        <w:rPr>
          <w:rFonts w:ascii="Times New Roman" w:hAnsi="Times New Roman"/>
          <w:sz w:val="20"/>
        </w:rPr>
      </w:pPr>
      <w:r>
        <w:rPr>
          <w:rFonts w:ascii="Times New Roman" w:hAnsi="Times New Roman"/>
          <w:sz w:val="20"/>
        </w:rPr>
        <w:t xml:space="preserve">(h)    Subsequent to the Time of Execution or, if earlier, the dates as of which information is given in the Pricing Disclosure Package and the Final Memorandum (exclusive of any amendment or supplement thereto), there shall not have been (i) any change or decrease specified in the letter or letters referred to in paragraph (f)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or (ii) any change, or any development involving a prospective change, in or affecting the condition (financial or otherwise), prospects, earnings, business or properties of the Issuer or of Holdings and its subsidiaries, whether or not arising from transactions in the ordinary course of business, except as set forth in or contemplated in the Pricing Disclosure Package and the Final Memorandum (exclusive of any amendment or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Pricing Disclosure Package and the Final Memorandum (exclusive of any amendment or supplement thereto). </w:t>
      </w:r>
    </w:p>
    <w:p>
      <w:pPr>
        <w:pStyle w:val="TextBody"/>
        <w:bidi w:val="0"/>
        <w:spacing w:before="120" w:after="0"/>
        <w:jc w:val="left"/>
        <w:rPr>
          <w:rFonts w:ascii="Times New Roman" w:hAnsi="Times New Roman"/>
          <w:sz w:val="20"/>
        </w:rPr>
      </w:pPr>
      <w:r>
        <w:rPr>
          <w:rFonts w:ascii="Times New Roman" w:hAnsi="Times New Roman"/>
          <w:sz w:val="20"/>
        </w:rPr>
        <w:t xml:space="preserve">(i)    The Companies and the Trustee shall have entered into the Indenture in form and substance reasonably satisfactory to the Representative, and the Representative shall have received counterparts, conformed as executed, thereof. </w:t>
      </w:r>
    </w:p>
    <w:p>
      <w:pPr>
        <w:pStyle w:val="TextBody"/>
        <w:bidi w:val="0"/>
        <w:spacing w:before="120" w:after="0"/>
        <w:jc w:val="left"/>
        <w:rPr>
          <w:rFonts w:ascii="Times New Roman" w:hAnsi="Times New Roman"/>
          <w:sz w:val="20"/>
        </w:rPr>
      </w:pPr>
      <w:r>
        <w:rPr>
          <w:rFonts w:ascii="Times New Roman" w:hAnsi="Times New Roman"/>
          <w:sz w:val="20"/>
        </w:rPr>
        <w:t xml:space="preserve">(j)    Each of the Guarantors shall have executed a Guarantee in form and substance reasonably satisfactory to the Representative, and the Initial Purchasers shall have received counterparts, conformed as executed, thereof. </w:t>
      </w:r>
    </w:p>
    <w:p>
      <w:pPr>
        <w:pStyle w:val="TextBody"/>
        <w:bidi w:val="0"/>
        <w:spacing w:before="120" w:after="0"/>
        <w:jc w:val="left"/>
        <w:rPr>
          <w:rFonts w:ascii="Times New Roman" w:hAnsi="Times New Roman"/>
          <w:sz w:val="20"/>
        </w:rPr>
      </w:pPr>
      <w:r>
        <w:rPr>
          <w:rFonts w:ascii="Times New Roman" w:hAnsi="Times New Roman"/>
          <w:sz w:val="20"/>
        </w:rPr>
        <w:t xml:space="preserve">(k)    The Companies shall have filed an application to list the Notes on the Official List of the Luxembourg Stock Exchange, and the Notes shall be eligible for clearance and settlement through 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(l)    The Companies shall have appointed CT Corporation System, located at 111 Eighth Avenue, New York, New York 10011, as its agent for service of process in the United States under this Agreement, the Indenture and the Securities in accordance with Section 21 hereof and the equivalent provision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(m)    The Issuer and each of the Guarantors shall have taken all necessary corporate action required to execute, deliver and perform the obligations under the Transaction Documents (including, without limitation, the application of the proceeds from the issuance of the Securities) and such documents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(n)    Subsequent to the Time of Execution, there shall not have been any decrease in the rating of any debt securities of any of the Companies by any nationally recognized statistical rating organization registered under Section 15E of the Exchange Act or any notice given of any intended or potential decrease in any such rating or of a possible change in any such rating that does not indicate the direction of the possible change. </w:t>
      </w:r>
    </w:p>
    <w:p>
      <w:pPr>
        <w:pStyle w:val="TextBody"/>
        <w:bidi w:val="0"/>
        <w:spacing w:before="120" w:after="0"/>
        <w:jc w:val="left"/>
        <w:rPr>
          <w:rFonts w:ascii="Times New Roman" w:hAnsi="Times New Roman"/>
          <w:sz w:val="20"/>
        </w:rPr>
      </w:pPr>
      <w:r>
        <w:rPr>
          <w:rFonts w:ascii="Times New Roman" w:hAnsi="Times New Roman"/>
          <w:sz w:val="20"/>
        </w:rPr>
        <w:t xml:space="preserve">(o)    Prior to the Closing Date, each of the Companies shall have furnished to the Representative such further information, certificates and documents as the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If any of the conditions specified in this Section 6 shall not have been fulfilled in all respects when and as provided in this Agreement, or if any of the opinions and certificates mentioned above or elsewhere in this Agreement shall not be in all material respects reasonably satisfactory in form and substance to the Representative and counsel for the Initial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and all obligations of the Initial Purchasers hereunder may be canceled at, or at any time prior to, the Closing Date by the Initial Purchasers. Notice of such cancellation shall be given to the Companies in writing or by telephone or facsimile confirmed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documents required to be delivered by this Section 6 will be delivered at the office of Cahill Gordon &amp; Reindel LLP, counsel for the Initial Purchasers, at 32 Old Slip, New York, New York 10005.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Reimbursement of Expenses</w:t>
      </w:r>
      <w:r>
        <w:rPr>
          <w:rFonts w:ascii="Times New Roman" w:hAnsi="Times New Roman"/>
          <w:sz w:val="20"/>
        </w:rPr>
        <w:t xml:space="preserve">. If the sale of the Securities provided for herein is not consummated because any condition to the obligations of the Initial Purchasers set forth in Section 6 hereof is not satisfied, because of any termination pursuant to Section 10 hereof or because of any refusal, inability or failure on the part of any Company to perform any agreement herein or comply with any provision hereof other than by reason of a default by any of the Initial Purchasers, the Companies, jointly and severally, agree to reimburse the Initial Purchasers severally through the Representative promptly after demand for all reasonable out-of-pocket expenses (including reasonable fees and disbursements of counsel) that shall have been incurred by them in connection with the proposed purchase and sale of the Securities.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jointly and severally, agree, to indemnify and hold harmless each Initial Purchaser, the directors, officers, employees, affiliates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Pricing Disclosure Package, any Issuer Written Communication, the Final Memorandum (or in any supplement or amendment thereto) or any information provided by any Company to any holder or prospective purchaser of Securities pursuant to Section 5(h),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Companies will not be liable in any such case to the extent that any such loss, claim, damage or liability arises out of or is based upon any such untrue statement or alleged untrue statement or omission or alleged omission made in the Pricing Disclosure Package or the Final Memorandum, or in any amendment thereof or supplement thereto, in reliance upon and in conformity with written information furnished to the Companies by or on behalf of any Initial Purchaser specifically for inclusion therein. This indemnity agreement will be in addition to any liability which the Companies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Each Initial Purchaser, severally and not jointly, agrees to indemnify and hold harmless, each Company, each of their directors, each of their officers, each of their employees, each of their agents and each person who controls a Company within the meaning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either the Act or the Exchange Act and to the same extent as the foregoing indemnity from the Companies to each Initial Purchaser, but only with reference to written information relating to such Initial Purchaser furnished to the Companies by or on behalf of such Initial Purchaser specifically for inclusion in the Pricing Disclosure Package, the Final Memorandum (or in any amendment or supplement thereto) or any Issuer Written Communication. This indemnity agreement will be in addition to any liability which any Initial Purchaser may otherwise have. The Companies acknowledge that the statements set forth in the paragraph related to stabilization, syndicate covering transactions and penalty bids and the fifth sentence in the fifteenth paragraph, each under the heading Plan of Distribution in the Preliminary Memorandum and Final Memorandum, constitute the only information furnished in writing by or on behalf of the Initial Purchasers for inclusion in the Pricing Disclosure Package and Final Memorandum (or in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findings of fault, culpability or failure to act by or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behalf of any indemnified party. An indemnifying party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(d)    In the event that the indemnity provided in paragraph (a) or (b) of this Section 8 is unavailable to or insufficient to hold harmless an indemnified party for any reason, the Companies and the Initial Purchasers, severally and not jointly, agree to contribute to the aggregate losses, claims, damages and liabilities (including legal or other expenses reasonably incurred in connection with investigating or defending same) (collectively </w:t>
      </w:r>
      <w:r>
        <w:rPr>
          <w:rFonts w:ascii="Times New Roman" w:hAnsi="Times New Roman"/>
          <w:sz w:val="20"/>
          <w:u w:val="single"/>
        </w:rPr>
        <w:t>Losses</w:t>
      </w:r>
      <w:r>
        <w:rPr>
          <w:rFonts w:ascii="Times New Roman" w:hAnsi="Times New Roman"/>
          <w:sz w:val="20"/>
        </w:rPr>
        <w:t xml:space="preserve">) to which one or more of the Companies and the Initial Purchasers may be subject in such proportion as is appropriate to reflect the relative benefits received by the Companies on the one hand and by the Initial Purchasers on the other hand from the offering of the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case shall any Initial Purchaser (except as may be provided in any agreement among the Initial Purchasers relating to the offering of the Securities) be responsible for any amount in excess of the purchase discount or commission applicable to the Securities purchased by such Initial Purchaser hereunder. If the allocation provided by the immediately preceding sentence is unavailable for any reason, the Companies and the Initial Purchasers shall contribute in such proportion as is appropriate to reflect not only such relative benefits but also the relative fault of the Companies on the one hand and of the Initial Purchasers on the other hand in connection with the statements or omissions which resulted in such Losses, as well as any other relevant equitable considerations. Benefits received by the Companies shall be deemed to be equal to the total net proceeds from the offering (before deducting expenses) received by the Issuer, and benefits received by the Initial Purchasers shall be deemed to be equal to the total purchase discounts and commissions. Relative fault shall be determined by reference to, among other things, whether any untrue or any alleged untrue statement of a material fact or the omission or alleged omission to state a material fact relates to information provided by the Companies on the one hand or the Initial Purchasers on the other, the intent of the parties and their relative knowledge, information and opportunity to correct or prevent such untrue statement or omission. The Issuer, the Guarantors and the Initial Purchasers agree that it would not be just and equitable if contribution were determined by pro rata allocation or any other method of allocation which does not take account of the equitable considerations referred to above. Notwithstanding the provisions of this Section 8(d), no Initial Purchaser shall be required to contribute any amount in excess of the discount received by such Initial Purchaser in connection with the Securities distributed by it.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Initial Purchaser within the meaning of either the Act or the Exchange Act and each director, officer, employee, affiliate and agent of an Initial Purchaser shall have the same rights to contribution as such Initial Purchaser, and each person who controls a Company within the meaning of either the Act or the Exchange Act and each officer, director, employee and agent of a Company shall have the same rights to contribution as such Company, subject in each case to the applicable terms and conditions of this paragraph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9.    </w:t>
      </w:r>
      <w:r>
        <w:rPr>
          <w:rFonts w:ascii="Times New Roman" w:hAnsi="Times New Roman"/>
          <w:sz w:val="20"/>
          <w:u w:val="single"/>
        </w:rPr>
        <w:t>Default by an Initial Purchaser</w:t>
      </w:r>
      <w:r>
        <w:rPr>
          <w:rFonts w:ascii="Times New Roman" w:hAnsi="Times New Roman"/>
          <w:sz w:val="20"/>
        </w:rPr>
        <w:t xml:space="preserve">. If any one or more Initial Purchasers shall fail to purchase and pay for any of the Securities agreed to be purchased by such Initial Purchaser hereunder and such failure to purchase shall constitute a default in the performance of its or their obligations under this Agreement, the remaining Initial Purchasers shall be obligated severally to take up and pay for (at the respective purchase prices set forth in Section 2 and in the respective proportions which the amount of Securities set forth opposite their names in </w:t>
      </w:r>
      <w:r>
        <w:rPr>
          <w:rFonts w:ascii="Times New Roman" w:hAnsi="Times New Roman"/>
          <w:sz w:val="20"/>
          <w:u w:val="single"/>
        </w:rPr>
        <w:t>Schedule I</w:t>
      </w:r>
      <w:r>
        <w:rPr>
          <w:rFonts w:ascii="Times New Roman" w:hAnsi="Times New Roman"/>
          <w:sz w:val="20"/>
        </w:rPr>
        <w:t xml:space="preserve"> hereto bears to the aggregate amount of Securities set forth opposite the names of all the remaining Initial Purchasers) the Securities which the defaulting Initial Purchaser or Initial Purchasers agreed but failed to purchase;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aggregate amount of Securities which the defaulting Initial Purchaser or Initial Purchasers agreed but failed to purchase shall exceed 10% of the aggregate amount of Securities set forth in </w:t>
      </w:r>
      <w:r>
        <w:rPr>
          <w:rFonts w:ascii="Times New Roman" w:hAnsi="Times New Roman"/>
          <w:sz w:val="20"/>
          <w:u w:val="single"/>
        </w:rPr>
        <w:t>Schedule I</w:t>
      </w:r>
      <w:r>
        <w:rPr>
          <w:rFonts w:ascii="Times New Roman" w:hAnsi="Times New Roman"/>
          <w:sz w:val="20"/>
        </w:rPr>
        <w:t xml:space="preserve"> hereto, the remaining Initial Purchasers shall have the right to purchase all, but shall not be under any obligation to purchase any, of the Securities, and if such nondefaulting Initial Purchasers do not purchase all the Securities, this Agreement will terminate without liability to any nondefaulting Initial Purchaser or the Companies. In the event of a default by any Initial Purchaser as set forth in this Section 9, the Closing Date shall be postponed for such period, not exceeding five Business Days, as the Representative shall determine in order that the required changes in the Pricing Disclosure Package and the Final Memorandum or in any other documents or arrangements may be effected. Nothing contained in this Agreement and no action taken under this paragraph shall relieve any defaulting Initial Purchaser of its liability, if any, to the Companies or any nondefaulting Initial Purchaser for damages occasioned by its default hereunder.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Termination</w:t>
      </w:r>
      <w:r>
        <w:rPr>
          <w:rFonts w:ascii="Times New Roman" w:hAnsi="Times New Roman"/>
          <w:sz w:val="20"/>
        </w:rPr>
        <w:t xml:space="preserve">. This Agreement shall be subject to termination in the absolute discretion of the Representative, by notice given to the Issuer prior to delivery of and payment for the Securities, if at any time prior to such time (i) trading in any of Holdings securities shall have been suspended by the Commission or the New York Stock Exchange or trading in securities generally on the New York Stock Exchange, the Luxembourg Stock Exchange or the Nasdaq Global Market shall have been suspended or limited or minimum prices shall have been established on any such exchange or Nasdaq Global Market; (ii) a banking moratorium shall have been declared either by Federal or New York State authorities or by authorities in the European Union or any member state thereof; or (iii) there shall have occurred any outbreak or escalation of hostilities, declaration by the United States or the European Union or any member state thereof of a national emergency or war or other calamity or crisis the effect of which on financial markets is such as to make it, in the sole judgment of the Representative, impracticable or inadvisable to proceed with the offering or delivery of the Securities as contemplated by the Pricing Disclosure Package and the Final Memorandum (exclusive of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Representations and Indemnities to Survive</w:t>
      </w:r>
      <w:r>
        <w:rPr>
          <w:rFonts w:ascii="Times New Roman" w:hAnsi="Times New Roman"/>
          <w:sz w:val="20"/>
        </w:rPr>
        <w:t xml:space="preserve">. The respective indemnities, rights of contribution, qualified financial contracts resolution stay and bail-in provisions, agreements, representations, warranties and other statements of the Companies or their respective officers and of the Initial Purchasers set forth in or made pursuant to this Agreement will remain in full force and effect, regardless of any investigation made by or on behalf of the Initial Purchasers or the Companies or any of the officers, directors, employees, agents or controlling persons referred to in Section 8 hereof, and will survive delivery of and payment for the Securities. The provisions of Sections 7, 8 and 11 hereof shall survive the termination or cancellation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if sent to the Initial Purchasers, will be mailed, delivered or telefaxed to BNP Paribas, 10 Harewood Avenue, London NW1 6AA, United Kingdom, Attention: Fixed Income Syndicate; if sent to the Companies, will be mailed, delivered or telefaxed to Crown Holdings, Inc., 770 Township Line Road, Yardley, PA 19067, Attention: General Counsel (email: Adam.Dickstein@crowncork.com), with a copy to Dechert LLP, Cira Center, 2929 Arch Street, Philadelphia, PA 19104, Attention: Ian A. Hartman (fax no.: (215) 994-2222).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Agreement and Acknowledgment with Respect to the Exercise of Bail-in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Exercise of EU Bail-in Powers</w:t>
      </w:r>
      <w:r>
        <w:rPr>
          <w:rFonts w:ascii="Times New Roman" w:hAnsi="Times New Roman"/>
          <w:sz w:val="20"/>
        </w:rPr>
        <w:t xml:space="preserve">. Notwithstanding and to the exclusion of any other term of this Agreement or any other agreements, arrangements or understandings between any applicable Initial Purchaser and any other party to this Agreement, each of the parties to this Agreement acknowledges and accepts that a BRRD Liability arising under this Agreement may be subject to the exercise of the relevant Bail-in Powers by the Relevant Resolution Authority, and acknowledges, accepts and agrees to be bound by: </w:t>
      </w:r>
    </w:p>
    <w:p>
      <w:pPr>
        <w:pStyle w:val="TextBody"/>
        <w:bidi w:val="0"/>
        <w:spacing w:before="120" w:after="0"/>
        <w:jc w:val="left"/>
        <w:rPr>
          <w:rFonts w:ascii="Times New Roman" w:hAnsi="Times New Roman"/>
          <w:sz w:val="20"/>
        </w:rPr>
      </w:pPr>
      <w:r>
        <w:rPr>
          <w:rFonts w:ascii="Times New Roman" w:hAnsi="Times New Roman"/>
          <w:sz w:val="20"/>
        </w:rPr>
        <w:t>(i)    the effect of the exercise of Bail-in Powers by the Relevant Resolution Authority in relation to any BRRD Liability of an applicable Initial Purchaser (the </w:t>
      </w:r>
      <w:r>
        <w:rPr>
          <w:rFonts w:ascii="Times New Roman" w:hAnsi="Times New Roman"/>
          <w:sz w:val="20"/>
          <w:u w:val="single"/>
        </w:rPr>
        <w:t>Relevant BRRD Party</w:t>
      </w:r>
      <w:r>
        <w:rPr>
          <w:rFonts w:ascii="Times New Roman" w:hAnsi="Times New Roman"/>
          <w:sz w:val="20"/>
        </w:rPr>
        <w:t xml:space="preserve">) to such other party under this Agreement, that (without limitation) may include and result in any of the following, or some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(a)    the reduction of all, or a portion, of the BRRD Liability or outstanding amounts due thereon; </w:t>
      </w:r>
    </w:p>
    <w:p>
      <w:pPr>
        <w:pStyle w:val="TextBody"/>
        <w:bidi w:val="0"/>
        <w:spacing w:before="120" w:after="0"/>
        <w:jc w:val="left"/>
        <w:rPr>
          <w:rFonts w:ascii="Times New Roman" w:hAnsi="Times New Roman"/>
          <w:sz w:val="20"/>
        </w:rPr>
      </w:pPr>
      <w:r>
        <w:rPr>
          <w:rFonts w:ascii="Times New Roman" w:hAnsi="Times New Roman"/>
          <w:sz w:val="20"/>
        </w:rPr>
        <w:t xml:space="preserve">(b)    the conversion of all, or a portion, of the BRRD Liability into shares, other securities or other obligations of the Relevant BRRD Party or another person, and the issue to or conferral on such other party to this Agreement of such shares, securities or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cancellation of the BRRD Liability; or </w:t>
      </w:r>
    </w:p>
    <w:p>
      <w:pPr>
        <w:pStyle w:val="TextBody"/>
        <w:bidi w:val="0"/>
        <w:spacing w:before="120" w:after="0"/>
        <w:jc w:val="left"/>
        <w:rPr>
          <w:rFonts w:ascii="Times New Roman" w:hAnsi="Times New Roman"/>
          <w:sz w:val="20"/>
        </w:rPr>
      </w:pPr>
      <w:r>
        <w:rPr>
          <w:rFonts w:ascii="Times New Roman" w:hAnsi="Times New Roman"/>
          <w:sz w:val="20"/>
        </w:rPr>
        <w:t xml:space="preserve">(d)    the amendment or alteration of any interest, if applicable, thereon, the maturity or the dates on which any payments are due, including by suspending payment for a temporary period; and </w:t>
      </w:r>
    </w:p>
    <w:p>
      <w:pPr>
        <w:pStyle w:val="TextBody"/>
        <w:bidi w:val="0"/>
        <w:spacing w:before="120" w:after="0"/>
        <w:jc w:val="left"/>
        <w:rPr>
          <w:rFonts w:ascii="Times New Roman" w:hAnsi="Times New Roman"/>
          <w:sz w:val="20"/>
        </w:rPr>
      </w:pPr>
      <w:r>
        <w:rPr>
          <w:rFonts w:ascii="Times New Roman" w:hAnsi="Times New Roman"/>
          <w:sz w:val="20"/>
        </w:rPr>
        <w:t xml:space="preserve">(ii)    the variation of the terms of this Agreement, as deemed necessary by the Relevant Resolution Authority, to give effect to the exercise of Bail-in Powers by the Relevant Resolution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Section 13(a):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w:t>
      </w:r>
      <w:r>
        <w:rPr>
          <w:rFonts w:ascii="Times New Roman" w:hAnsi="Times New Roman"/>
          <w:sz w:val="20"/>
        </w:rPr>
        <w:t xml:space="preserve"> means in relation to a member state of the European Economic Area which has implemented, or which at any time implements, the BRRD, the relevant implementing law, regulation, rule or requirement as described in the EU Bail-in Legislation Schedule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Powers</w:t>
      </w:r>
      <w:r>
        <w:rPr>
          <w:rFonts w:ascii="Times New Roman" w:hAnsi="Times New Roman"/>
          <w:sz w:val="20"/>
        </w:rPr>
        <w:t xml:space="preserve"> means any Write-down and Conversion Powers as defined in the EU Bail-in Legislation Schedule, in relation to the relevant Bail-in Legislation;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BRRD</w:t>
      </w:r>
      <w:r>
        <w:rPr>
          <w:rFonts w:ascii="Times New Roman" w:hAnsi="Times New Roman"/>
          <w:sz w:val="20"/>
        </w:rPr>
        <w:t xml:space="preserve"> means Directive 2014/59/EU establishing a framework for the recovery and resolution of credit institutions and investment firms,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BRRD Liability</w:t>
      </w:r>
      <w:r>
        <w:rPr>
          <w:rFonts w:ascii="Times New Roman" w:hAnsi="Times New Roman"/>
          <w:sz w:val="20"/>
        </w:rPr>
        <w:t xml:space="preserve"> means a liability in respect of which the relevant Write Down and Conversion Powers in the applicable Bail-in Legislation may be exercised;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 Schedule</w:t>
      </w:r>
      <w:r>
        <w:rPr>
          <w:rFonts w:ascii="Times New Roman" w:hAnsi="Times New Roman"/>
          <w:sz w:val="20"/>
        </w:rPr>
        <w:t xml:space="preserve"> means the document described as such, then in effect, and published by the Loan Market Association (or any successor person) from time to time at http://www.lma.eu.com/documents-guidelines/eu-bail-legislation-schedule; 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Resolution Authority</w:t>
      </w:r>
      <w:r>
        <w:rPr>
          <w:rFonts w:ascii="Times New Roman" w:hAnsi="Times New Roman"/>
          <w:sz w:val="20"/>
        </w:rPr>
        <w:t xml:space="preserve"> means the resolution authority with the ability to exercise any Bail-in Powers in relation to the Relevant BRRD Party.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Exercise of UK Bail-in Powers</w:t>
      </w:r>
      <w:r>
        <w:rPr>
          <w:rFonts w:ascii="Times New Roman" w:hAnsi="Times New Roman"/>
          <w:i/>
          <w:sz w:val="20"/>
        </w:rPr>
        <w:t>.</w:t>
      </w:r>
      <w:r>
        <w:rPr>
          <w:rFonts w:ascii="Times New Roman" w:hAnsi="Times New Roman"/>
          <w:sz w:val="20"/>
        </w:rPr>
        <w:t xml:space="preserve"> Notwithstanding and to the exclusion of any other term of this Agreement or any other agreements, arrangements or understandings between any applicable Initial Purchaser and any other party to this Agreement, each of the parties to this Agreement acknowledges and accepts that a UK Bail-in Liability arising under this Agreement may be subject to the exercise of UK Bail-in Powers by the relevant UK Resolution Authority, and acknowledges, accepts and agrees to be bound by: </w:t>
      </w:r>
    </w:p>
    <w:p>
      <w:pPr>
        <w:pStyle w:val="TextBody"/>
        <w:bidi w:val="0"/>
        <w:spacing w:before="120" w:after="0"/>
        <w:jc w:val="left"/>
        <w:rPr>
          <w:rFonts w:ascii="Times New Roman" w:hAnsi="Times New Roman"/>
          <w:sz w:val="20"/>
        </w:rPr>
      </w:pPr>
      <w:r>
        <w:rPr>
          <w:rFonts w:ascii="Times New Roman" w:hAnsi="Times New Roman"/>
          <w:sz w:val="20"/>
        </w:rPr>
        <w:t>(i)    the effect of the exercise of UK Bail-in Powers by the relevant UK Resolution Authority in relation to any UK Bail-in Liability of an applicable Initial Purchaser (the </w:t>
      </w:r>
      <w:r>
        <w:rPr>
          <w:rFonts w:ascii="Times New Roman" w:hAnsi="Times New Roman"/>
          <w:sz w:val="20"/>
          <w:u w:val="single"/>
        </w:rPr>
        <w:t>Relevant UK Bail-in Party</w:t>
      </w:r>
      <w:r>
        <w:rPr>
          <w:rFonts w:ascii="Times New Roman" w:hAnsi="Times New Roman"/>
          <w:sz w:val="20"/>
        </w:rPr>
        <w:t xml:space="preserve">) to any other party under this Agreement, that (without limitation) may include and result in any of the following, or some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(a)    the reduction of all, or a portion, of the UK Bail-in Liability or outstanding amounts due thereon; </w:t>
      </w:r>
    </w:p>
    <w:p>
      <w:pPr>
        <w:pStyle w:val="TextBody"/>
        <w:bidi w:val="0"/>
        <w:spacing w:before="120" w:after="0"/>
        <w:jc w:val="left"/>
        <w:rPr>
          <w:rFonts w:ascii="Times New Roman" w:hAnsi="Times New Roman"/>
          <w:sz w:val="20"/>
        </w:rPr>
      </w:pPr>
      <w:r>
        <w:rPr>
          <w:rFonts w:ascii="Times New Roman" w:hAnsi="Times New Roman"/>
          <w:sz w:val="20"/>
        </w:rPr>
        <w:t xml:space="preserve">(b)    the conversion of all, or a portion, of the UK Bail-in Liability into shares or other securities or other obligations of the Relevant UK Bail-in Party or another person, and the issue to or conferral on such other party to this Agreement of such shares, securities or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cancellation of the UK Bail-in Liability;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amendment or alteration of any interest, if applicable, thereon, the maturity or the dates on which any payments are due, including by suspending payment for a temporary period; and </w:t>
      </w:r>
    </w:p>
    <w:p>
      <w:pPr>
        <w:pStyle w:val="TextBody"/>
        <w:bidi w:val="0"/>
        <w:spacing w:before="120" w:after="0"/>
        <w:jc w:val="left"/>
        <w:rPr>
          <w:rFonts w:ascii="Times New Roman" w:hAnsi="Times New Roman"/>
          <w:sz w:val="20"/>
        </w:rPr>
      </w:pPr>
      <w:r>
        <w:rPr>
          <w:rFonts w:ascii="Times New Roman" w:hAnsi="Times New Roman"/>
          <w:sz w:val="20"/>
        </w:rPr>
        <w:t xml:space="preserve">(ii)    the variation of the terms of this Agreement, as deemed necessary, to give effect to the exercise of UK Bail-in Powers by the relevant UK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13(b):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Bail-in Legislation</w:t>
      </w:r>
      <w:r>
        <w:rPr>
          <w:rFonts w:ascii="Times New Roman" w:hAnsi="Times New Roman"/>
          <w:sz w:val="20"/>
        </w:rPr>
        <w:t xml:space="preserve"> means Part I of the UK Banking Act 2009, as amended, and any other law or regulation applicable in the UK relating to the resolution of unsound or failing banks, investment firms or other financial institutions or their affiliates (otherwise than through liquidation, administration or other insolvency proceedings);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Bail-in Liability</w:t>
      </w:r>
      <w:r>
        <w:rPr>
          <w:rFonts w:ascii="Times New Roman" w:hAnsi="Times New Roman"/>
          <w:sz w:val="20"/>
        </w:rPr>
        <w:t xml:space="preserve"> means a liability in respect of which the UK Bail-in Powers may be exercised; 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Bail-in Powers</w:t>
      </w:r>
      <w:r>
        <w:rPr>
          <w:rFonts w:ascii="Times New Roman" w:hAnsi="Times New Roman"/>
          <w:sz w:val="20"/>
        </w:rPr>
        <w:t xml:space="preserve">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Resolution Authority</w:t>
      </w:r>
      <w:r>
        <w:rPr>
          <w:rFonts w:ascii="Times New Roman" w:hAnsi="Times New Roman"/>
          <w:sz w:val="20"/>
        </w:rPr>
        <w:t xml:space="preserve"> means the resolution authority with the ability to exercise any UK Bail-in Powers in relation to a Relevant UK Bail-in Party.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Successors</w:t>
      </w:r>
      <w:r>
        <w:rPr>
          <w:rFonts w:ascii="Times New Roman" w:hAnsi="Times New Roman"/>
          <w:sz w:val="20"/>
        </w:rPr>
        <w:t xml:space="preserve">.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Applicable Law</w:t>
      </w:r>
      <w:r>
        <w:rPr>
          <w:rFonts w:ascii="Times New Roman" w:hAnsi="Times New Roman"/>
          <w:sz w:val="20"/>
        </w:rPr>
        <w:t xml:space="preserve">. This Agreement will be governed by and construed in accordance with the laws of the State of New York applicable to contracts made and to be performed within the State of New York. Any right to trial by jury with respect to any claim or proceeding related to or arising out of this Agreement or any transaction or conduct in connection herewith is waived.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Counterparts</w:t>
      </w:r>
      <w:r>
        <w:rPr>
          <w:rFonts w:ascii="Times New Roman" w:hAnsi="Times New Roman"/>
          <w:sz w:val="20"/>
        </w:rPr>
        <w:t xml:space="preserve">. Delivery of an executed counterpart of a signature page of this Agreement by facsimile or other electronic transmission (including in .pdf format) will be effective as delivery of a manually executed counterpart hereof. The words execution, signed, signature, and words of like import herein shall be deemed to include electronic signatures, the electronic matching of assignment terms and contract formations on the electronic platform DocuSign, digital copies of a signatorys manual signature, and deliveries or the keeping of records in electronic form, each of which shall be of the same legal effect, validity or enforceability as a manually executed signature to the extent and as provided for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No Advisory or Fiduciary Responsibility</w:t>
      </w:r>
      <w:r>
        <w:rPr>
          <w:rFonts w:ascii="Times New Roman" w:hAnsi="Times New Roman"/>
          <w:sz w:val="20"/>
        </w:rPr>
        <w:t xml:space="preserve">. Each of the Companies acknowledges and agrees that (i) the purchase and sale of the Securities pursuant to this Agreement is an arms length commercial transaction between the Companies, on the one hand, and the Initial Purchasers, on the other, (ii) in connection therewith and with the process leading to such transaction each Initial Purchaser is acting solely as a principal and not the agent or fiduciary of the Companies, (iii) no Initial Purchaser has assumed an advisory or fiduciary responsibility in favor of the Companies with respect to the offering contemplated hereby or the process leading thereto (irrespective of whether such Initial Purchaser has advised or is currently advising the Companies on other matters) or any other obligation to the Companies except the obligations expressly set forth in this Agreement and (iv) the Companies have consulted their own legal and financial advisors to the extent they deemed appropriate. Each of the Companies agrees that it will not claim that any Initial Purchaser has rendered advisory services of any nature or respect, or owes a fiduciary or similar duty to it, in connection with such transaction or the process leading thereto. The Issuer confirms to act as principal for its own account and not as agent or trustee in any capacity on behalf of any party in relation to the Transaction Documents.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Definitions</w:t>
      </w:r>
      <w:r>
        <w:rPr>
          <w:rFonts w:ascii="Times New Roman" w:hAnsi="Times New Roman"/>
          <w:sz w:val="20"/>
        </w:rPr>
        <w:t xml:space="preserve">. The terms which follow, when used in this Agreement, shall have the meanings indicated.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shall have the meaning specified in Rule 501(b) of Regulation 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The City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Company Act</w:t>
      </w:r>
      <w:r>
        <w:rPr>
          <w:rFonts w:ascii="Times New Roman" w:hAnsi="Times New Roman"/>
          <w:sz w:val="20"/>
        </w:rPr>
        <w:t xml:space="preserve"> shall mean the Investment Company Act of 1940,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D</w:t>
      </w:r>
      <w:r>
        <w:rPr>
          <w:rFonts w:ascii="Times New Roman" w:hAnsi="Times New Roman"/>
          <w:sz w:val="20"/>
        </w:rPr>
        <w:t xml:space="preserve"> shall mean Regulation D under the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w:t>
      </w:r>
      <w:r>
        <w:rPr>
          <w:rFonts w:ascii="Times New Roman" w:hAnsi="Times New Roman"/>
          <w:sz w:val="20"/>
        </w:rPr>
        <w:t xml:space="preserve"> shall mean Regulation S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 Indenture Act</w:t>
      </w:r>
      <w:r>
        <w:rPr>
          <w:rFonts w:ascii="Times New Roman" w:hAnsi="Times New Roman"/>
          <w:sz w:val="20"/>
        </w:rPr>
        <w:t xml:space="preserve"> shall mean the Trust Indenture Act of 1939, as amended,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Limitations Applicable to the Issuer and Guarantors organized under the laws of France (each a </w:t>
      </w:r>
      <w:r>
        <w:rPr>
          <w:rFonts w:ascii="Times New Roman" w:hAnsi="Times New Roman"/>
          <w:sz w:val="20"/>
          <w:u w:val="single"/>
        </w:rPr>
        <w:t>French Company</w:t>
      </w:r>
      <w:r>
        <w:rPr>
          <w:rFonts w:ascii="Times New Roman" w:hAnsi="Times New Roman"/>
          <w:sz w:val="20"/>
        </w:rPr>
        <w:t>) and under the laws of England and Wales (each an </w:t>
      </w:r>
      <w:r>
        <w:rPr>
          <w:rFonts w:ascii="Times New Roman" w:hAnsi="Times New Roman"/>
          <w:sz w:val="20"/>
          <w:u w:val="single"/>
        </w:rPr>
        <w:t>English Company</w:t>
      </w:r>
      <w:r>
        <w:rPr>
          <w:rFonts w:ascii="Times New Roman" w:hAnsi="Times New Roman"/>
          <w:sz w:val="20"/>
        </w:rPr>
        <w:t>). Notwithstanding anything to the contrary in this Agreement, (i) the representations, warranties and covenants made by any French Company or English Company in this Agreement shall be made for its own account and be strictly limited to matters related to such French Company or such English Company and its subsidiaries in connection, to the extent applicable, with the Guarantees granted by such French Company or such English Company, (ii) no French Company is acting jointly and severally with the other Guarantors or the Issuer and no French Company shall be considered as </w:t>
      </w:r>
      <w:r>
        <w:rPr>
          <w:rFonts w:ascii="Times New Roman" w:hAnsi="Times New Roman"/>
          <w:i/>
          <w:sz w:val="20"/>
        </w:rPr>
        <w:t>co-débiteurs solidaires</w:t>
      </w:r>
      <w:r>
        <w:rPr>
          <w:rFonts w:ascii="Times New Roman" w:hAnsi="Times New Roman"/>
          <w:sz w:val="20"/>
        </w:rPr>
        <w:t> as to any obligation under this Agreement, (iii) any expenses or indemnities to be paid by any French Company under this Agreement shall be limited to the expenses or indemnities incidental to the performance of its obligations under this Agreement, (iv) any certificate to be given by a French Company under Section 6(o) shall be strictly limited to matters related to it and its subsidiaries and (v) any obligations, representations or liabilities incurred or assumed under this Agreement by any French Company shall not include any obligations, representations or liabilities which if incurred would constitute a violation to its corporate benefit or interest (</w:t>
      </w:r>
      <w:r>
        <w:rPr>
          <w:rFonts w:ascii="Times New Roman" w:hAnsi="Times New Roman"/>
          <w:i/>
          <w:sz w:val="20"/>
        </w:rPr>
        <w:t>intérêt social</w:t>
      </w:r>
      <w:r>
        <w:rPr>
          <w:rFonts w:ascii="Times New Roman" w:hAnsi="Times New Roman"/>
          <w:sz w:val="20"/>
        </w:rPr>
        <w:t xml:space="preserve">) in particular within the meaning of Articles L.241-3, L. 242-6, L. 243-1 or L.244-1 of the French </w:t>
      </w:r>
      <w:r>
        <w:rPr>
          <w:rFonts w:ascii="Times New Roman" w:hAnsi="Times New Roman"/>
          <w:i/>
          <w:sz w:val="20"/>
        </w:rPr>
        <w:t>Code de commerce</w:t>
      </w:r>
      <w:r>
        <w:rPr>
          <w:rFonts w:ascii="Times New Roman" w:hAnsi="Times New Roman"/>
          <w:sz w:val="20"/>
        </w:rPr>
        <w:t xml:space="preserve">, and/or would constitute prohibited financial assistance within the meaning of Article L.225-216 of the French </w:t>
      </w:r>
      <w:r>
        <w:rPr>
          <w:rFonts w:ascii="Times New Roman" w:hAnsi="Times New Roman"/>
          <w:i/>
          <w:sz w:val="20"/>
        </w:rPr>
        <w:t>Code de commerce</w:t>
      </w:r>
      <w:r>
        <w:rPr>
          <w:rFonts w:ascii="Times New Roman" w:hAnsi="Times New Roman"/>
          <w:sz w:val="20"/>
        </w:rPr>
        <w:t xml:space="preserve"> and/or would constitute a misuse of corporate assets within the meaning of Articles L. 241-3, L.242-6, L.243-1 or L. 244-1 of the French </w:t>
      </w:r>
      <w:r>
        <w:rPr>
          <w:rFonts w:ascii="Times New Roman" w:hAnsi="Times New Roman"/>
          <w:i/>
          <w:sz w:val="20"/>
        </w:rPr>
        <w:t>Code de commerce</w:t>
      </w:r>
      <w:r>
        <w:rPr>
          <w:rFonts w:ascii="Times New Roman" w:hAnsi="Times New Roman"/>
          <w:sz w:val="20"/>
        </w:rPr>
        <w:t xml:space="preserve"> or any other law or regulations having the same effect, as interpreted by French courts. </w:t>
      </w:r>
    </w:p>
    <w:p>
      <w:pPr>
        <w:pStyle w:val="TextBody"/>
        <w:bidi w:val="0"/>
        <w:spacing w:before="240" w:after="0"/>
        <w:jc w:val="left"/>
        <w:rPr>
          <w:rFonts w:ascii="Times New Roman" w:hAnsi="Times New Roman"/>
          <w:sz w:val="20"/>
        </w:rPr>
      </w:pPr>
      <w:r>
        <w:rPr>
          <w:rFonts w:ascii="Times New Roman" w:hAnsi="Times New Roman"/>
          <w:sz w:val="20"/>
        </w:rPr>
        <w:t>(b)    Limitations Applicable to the Guarantors organized under the laws of Spain (each a </w:t>
      </w:r>
      <w:r>
        <w:rPr>
          <w:rFonts w:ascii="Times New Roman" w:hAnsi="Times New Roman"/>
          <w:sz w:val="20"/>
          <w:u w:val="single"/>
        </w:rPr>
        <w:t>Spanish Company</w:t>
      </w:r>
      <w:r>
        <w:rPr>
          <w:rFonts w:ascii="Times New Roman" w:hAnsi="Times New Roman"/>
          <w:sz w:val="20"/>
        </w:rPr>
        <w:t xml:space="preserve">). Notwithstanding anything to the contrary in this Agreement, any obligations, representations or liabilities incurred or assumed under this Agreement by any Spanish Company shall be deemed to have been incurred or assumed only to the extent that such obligations, representations or liabilities would not, if incurred or assumed, contravene the Spanish law rules on financial assistance </w:t>
      </w:r>
      <w:r>
        <w:rPr>
          <w:rFonts w:ascii="Times New Roman" w:hAnsi="Times New Roman"/>
          <w:i/>
          <w:sz w:val="20"/>
        </w:rPr>
        <w:t xml:space="preserve">ex </w:t>
      </w:r>
      <w:r>
        <w:rPr>
          <w:rFonts w:ascii="Times New Roman" w:hAnsi="Times New Roman"/>
          <w:sz w:val="20"/>
        </w:rPr>
        <w:t>articles 143.2 or 150, as applicable, of the Spanish Capital Companies Act (</w:t>
      </w:r>
      <w:r>
        <w:rPr>
          <w:rFonts w:ascii="Times New Roman" w:hAnsi="Times New Roman"/>
          <w:i/>
          <w:sz w:val="20"/>
        </w:rPr>
        <w:t>Real Decreto Legislativo 1/2010, de 2 de julio, por el que se aprueba el texto refundido de la Ley de Sociedades de Capital</w:t>
      </w:r>
      <w:r>
        <w:rPr>
          <w:rFonts w:ascii="Times New Roman" w:hAnsi="Times New Roman"/>
          <w:sz w:val="20"/>
        </w:rPr>
        <w:t>) (</w:t>
      </w:r>
      <w:r>
        <w:rPr>
          <w:rFonts w:ascii="Times New Roman" w:hAnsi="Times New Roman"/>
          <w:sz w:val="20"/>
          <w:u w:val="single"/>
        </w:rPr>
        <w:t>LSC</w:t>
      </w:r>
      <w:r>
        <w:rPr>
          <w:rFonts w:ascii="Times New Roman" w:hAnsi="Times New Roman"/>
          <w:sz w:val="20"/>
        </w:rPr>
        <w:t>), and the Spanish law limitations on the issuance or guaranteeing of notes by limited liability companies (</w:t>
      </w:r>
      <w:r>
        <w:rPr>
          <w:rFonts w:ascii="Times New Roman" w:hAnsi="Times New Roman"/>
          <w:i/>
          <w:sz w:val="20"/>
        </w:rPr>
        <w:t>sociedades de responsabilidad limitada</w:t>
      </w:r>
      <w:r>
        <w:rPr>
          <w:rFonts w:ascii="Times New Roman" w:hAnsi="Times New Roman"/>
          <w:sz w:val="20"/>
        </w:rPr>
        <w:t xml:space="preserve">) </w:t>
      </w:r>
      <w:r>
        <w:rPr>
          <w:rFonts w:ascii="Times New Roman" w:hAnsi="Times New Roman"/>
          <w:i/>
          <w:sz w:val="20"/>
        </w:rPr>
        <w:t xml:space="preserve">ex </w:t>
      </w:r>
      <w:r>
        <w:rPr>
          <w:rFonts w:ascii="Times New Roman" w:hAnsi="Times New Roman"/>
          <w:sz w:val="20"/>
        </w:rPr>
        <w:t xml:space="preserve">article 401 LSC. </w:t>
      </w:r>
    </w:p>
    <w:p>
      <w:pPr>
        <w:pStyle w:val="TextBody"/>
        <w:bidi w:val="0"/>
        <w:spacing w:before="240" w:after="0"/>
        <w:jc w:val="left"/>
        <w:rPr>
          <w:rFonts w:ascii="Times New Roman" w:hAnsi="Times New Roman"/>
          <w:sz w:val="20"/>
        </w:rPr>
      </w:pPr>
      <w:r>
        <w:rPr>
          <w:rFonts w:ascii="Times New Roman" w:hAnsi="Times New Roman"/>
          <w:sz w:val="20"/>
        </w:rPr>
        <w:t xml:space="preserve">(c)    Limitations Applicable to the Guarantors incorporated and organized under the laws of Switzerland. Section 10.06(a)(4) of the Indenture shall apply to this Agreement mutatis mutandis.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Consent to Jurisdiction</w:t>
      </w:r>
      <w:r>
        <w:rPr>
          <w:rFonts w:ascii="Times New Roman" w:hAnsi="Times New Roman"/>
          <w:sz w:val="20"/>
        </w:rPr>
        <w:t>. Any legal suit, action or proceeding arising out of or based upon this Agreement or the transactions contemplated hereby (</w:t>
      </w:r>
      <w:r>
        <w:rPr>
          <w:rFonts w:ascii="Times New Roman" w:hAnsi="Times New Roman"/>
          <w:sz w:val="20"/>
          <w:u w:val="single"/>
        </w:rPr>
        <w:t>Related Proceedings</w:t>
      </w:r>
      <w:r>
        <w:rPr>
          <w:rFonts w:ascii="Times New Roman" w:hAnsi="Times New Roman"/>
          <w:sz w:val="20"/>
        </w:rPr>
        <w:t xml:space="preserve">) may be instituted in the federal courts of the United States of America or the courts of the State of New York in each case sitting in the borough of Manhattan, the city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(collectively, the </w:t>
      </w:r>
      <w:r>
        <w:rPr>
          <w:rFonts w:ascii="Times New Roman" w:hAnsi="Times New Roman"/>
          <w:sz w:val="20"/>
          <w:u w:val="single"/>
        </w:rPr>
        <w:t>Specified Courts</w:t>
      </w:r>
      <w:r>
        <w:rPr>
          <w:rFonts w:ascii="Times New Roman" w:hAnsi="Times New Roman"/>
          <w:sz w:val="20"/>
        </w:rPr>
        <w:t>), and each party irrevocably submits to the exclusive jurisdiction (except for suits, actions or proceedings instituted in regard to the enforcement of a judgment of any Specified Court in a Related Proceeding (a </w:t>
      </w:r>
      <w:r>
        <w:rPr>
          <w:rFonts w:ascii="Times New Roman" w:hAnsi="Times New Roman"/>
          <w:sz w:val="20"/>
          <w:u w:val="single"/>
        </w:rPr>
        <w:t>Related Judgment</w:t>
      </w:r>
      <w:r>
        <w:rPr>
          <w:rFonts w:ascii="Times New Roman" w:hAnsi="Times New Roman"/>
          <w:sz w:val="20"/>
        </w:rPr>
        <w:t xml:space="preserve">),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 Each party not located in the United States shall, prior to the Closing Date, irrevocably appoint CT Corporation System as its agent to receive service of process or other legal summons for purposes of any Related Proceeding that may be instituted in any Specified Court.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Waiver of Immunity</w:t>
      </w:r>
      <w:r>
        <w:rPr>
          <w:rFonts w:ascii="Times New Roman" w:hAnsi="Times New Roman"/>
          <w:sz w:val="20"/>
        </w:rPr>
        <w:t xml:space="preserve">.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Judgment Currency</w:t>
      </w:r>
      <w:r>
        <w:rPr>
          <w:rFonts w:ascii="Times New Roman" w:hAnsi="Times New Roman"/>
          <w:sz w:val="20"/>
        </w:rPr>
        <w:t xml:space="preserve">. If for the purposes of obtaining judgment in any court it is necessary to convert a sum due hereunder into any currency other than Euros, the parties hereto agree, to the fullest extent that they may effectively do so, that the rate of exchange used shall be the rate at which in accordance with normal banking procedures the Initial Purchasers could purchase Euros with such other currency in the City of New York on the business day preceding that on which final judgment is given. The obligations of each Company in respect of any sum due from it to any Initial Purchaser shall, notwithstanding any judgment in any currency other than Euros, not be discharged until the first business day, following receipt by such Initial Purchaser of any sum adjudged to be so due in such other currency, on which (and only to the extent that) such Initial Purchaser may in accordance with normal banking procedures purchase Euros with such other currency.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Acknowledgment Related to Co-Manufacturer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Solely for the purposes of the requirements of Article 9(8) of the MIFID Product Governance rules under EU Delegated Directive 2017/593 (the EU MiFID Product Governance Rules) regarding the mutual responsibilities of manufacturers under the EU MiFID Product Governance Rules, each of Deutsche Bank Aktiengesellschaft and Citigroup Global Markets Europe AG (each an </w:t>
      </w:r>
      <w:r>
        <w:rPr>
          <w:rFonts w:ascii="Times New Roman" w:hAnsi="Times New Roman"/>
          <w:sz w:val="20"/>
          <w:u w:val="single"/>
        </w:rPr>
        <w:t>EU Manufacturer</w:t>
      </w:r>
      <w:r>
        <w:rPr>
          <w:rFonts w:ascii="Times New Roman" w:hAnsi="Times New Roman"/>
          <w:sz w:val="20"/>
        </w:rPr>
        <w:t> and together, the </w:t>
      </w:r>
      <w:r>
        <w:rPr>
          <w:rFonts w:ascii="Times New Roman" w:hAnsi="Times New Roman"/>
          <w:sz w:val="20"/>
          <w:u w:val="single"/>
        </w:rPr>
        <w:t>EU Manufacturers</w:t>
      </w:r>
      <w:r>
        <w:rPr>
          <w:rFonts w:ascii="Times New Roman" w:hAnsi="Times New Roman"/>
          <w:sz w:val="20"/>
        </w:rPr>
        <w:t xml:space="preserve">), acknowledges to each other EU Manufacturer that it understands the responsibilities conferred upon it under the EU MiFID Product Governance Rules relating to each of the product approval process and the target market as applying to the Notes and the related information set out in the Preliminary Memorandum, Pricing Disclosure Package and the Final Memorandum.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Initial Purchasers, the Issuer and the Guarantors note the application of the Product Governance Rules and acknowledge the target market identified as applying to the Notes by the EU Manufacturers and the related information set out in the Preliminary Memorandum, Pricing Disclosure Package and the Final Memorandum. </w:t>
      </w:r>
    </w:p>
    <w:p>
      <w:pPr>
        <w:pStyle w:val="TextBody"/>
        <w:bidi w:val="0"/>
        <w:spacing w:before="240" w:after="0"/>
        <w:jc w:val="left"/>
        <w:rPr>
          <w:rFonts w:ascii="Times New Roman" w:hAnsi="Times New Roman"/>
          <w:sz w:val="20"/>
        </w:rPr>
      </w:pPr>
      <w:r>
        <w:rPr>
          <w:rFonts w:ascii="Times New Roman" w:hAnsi="Times New Roman"/>
          <w:sz w:val="20"/>
        </w:rPr>
        <w:t>(b)    Solely for the purposes of the requirements of 3.2.7R of the FCA Handbook Product Intervention and Product Governance Sourcebook (the </w:t>
      </w:r>
      <w:r>
        <w:rPr>
          <w:rFonts w:ascii="Times New Roman" w:hAnsi="Times New Roman"/>
          <w:sz w:val="20"/>
          <w:u w:val="single"/>
        </w:rPr>
        <w:t>UK MiFIR Product Governance Rules</w:t>
      </w:r>
      <w:r>
        <w:rPr>
          <w:rFonts w:ascii="Times New Roman" w:hAnsi="Times New Roman"/>
          <w:sz w:val="20"/>
        </w:rPr>
        <w:t>) regarding the mutual responsibilities of manufacturers under the UK MiFIR Product Governance Rules, BNP Paribas (the </w:t>
      </w:r>
      <w:r>
        <w:rPr>
          <w:rFonts w:ascii="Times New Roman" w:hAnsi="Times New Roman"/>
          <w:sz w:val="20"/>
          <w:u w:val="single"/>
        </w:rPr>
        <w:t>UK Manufacturer</w:t>
      </w:r>
      <w:r>
        <w:rPr>
          <w:rFonts w:ascii="Times New Roman" w:hAnsi="Times New Roman"/>
          <w:sz w:val="20"/>
        </w:rPr>
        <w:t xml:space="preserve">) acknowledges that it understands the responsibilities conferred upon it under the UK MiFIR Product Governance Rules relating to each of the product approval process, the target market and the proposed distribution channels as applying to the Notes and the related information set out in the Preliminary Memorandum, Pricing Disclosure Package and the Final Memorandum. The other Initial Purchasers, the Issuer and the Guarantors note the application of the UK MiFIR Product Governance Rules and acknowledge the target market and distribution channels identified as applying to the Notes by the UK Manufacturer and the related information set out in the Preliminary Memorandum, Pricing Disclosure Package and the Final Memorandum.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QFC Stay Rules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(B)    a covered bank as that term is defined in, and interpreted in accordance with, 12 C.F.R. § 47.3(b);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covered FSI as that term is defined in, and interpreted in accordance with, 12 C.F.R. § 382.2(b).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Agreement and your acceptance shall represent a binding agreement among the Companies and the several Initial Purchasers. </w:t>
      </w:r>
    </w:p>
    <w:p>
      <w:pPr>
        <w:pStyle w:val="TextBody"/>
        <w:bidi w:val="0"/>
        <w:spacing w:before="0" w:after="0"/>
        <w:jc w:val="left"/>
        <w:rPr/>
      </w:pPr>
      <w:r>
        <w:rPr/>
        <w:t> </w:t>
      </w:r>
    </w:p>
    <w:tbl>
      <w:tblPr>
        <w:tblW w:w="2250" w:type="pct"/>
        <w:jc w:val="right"/>
        <w:tblInd w:w="0" w:type="dxa"/>
        <w:tblLayout w:type="fixed"/>
        <w:tblCellMar>
          <w:top w:w="0" w:type="dxa"/>
          <w:left w:w="0" w:type="dxa"/>
          <w:bottom w:w="0" w:type="dxa"/>
          <w:right w:w="0" w:type="dxa"/>
        </w:tblCellMar>
      </w:tblPr>
      <w:tblGrid>
        <w:gridCol w:w="180"/>
        <w:gridCol w:w="181"/>
        <w:gridCol w:w="4231"/>
      </w:tblGrid>
      <w:tr>
        <w:trPr/>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Pr>
          <w:p>
            <w:pPr>
              <w:pStyle w:val="TableContents"/>
              <w:bidi w:val="0"/>
              <w:spacing w:before="0" w:after="283"/>
              <w:jc w:val="left"/>
              <w:rPr/>
            </w:pPr>
            <w:r>
              <w:rPr/>
              <w:t>Very truly yours,</w:t>
            </w:r>
          </w:p>
        </w:tc>
      </w:tr>
    </w:tbl>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EUROPEAN HOLDINGS S.A.</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Kevin C. Clothier</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Administrateur/DG Délégué</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HOLDINGS, INC.</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Kevin C. Clothier</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Senior Vice President and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8"/>
        <w:gridCol w:w="60"/>
        <w:gridCol w:w="3374"/>
      </w:tblGrid>
      <w:tr>
        <w:trPr/>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CROWN CORK &amp; SEAL DEUTSCHLAND HOLDINGS GMBH</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Jochen Linzenich</w:t>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Jochen Linzenich</w:t>
            </w:r>
          </w:p>
        </w:tc>
      </w:tr>
      <w:tr>
        <w:trPr/>
        <w:tc>
          <w:tcPr>
            <w:tcW w:w="64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6095" w:type="dxa"/>
        <w:jc w:val="right"/>
        <w:tblInd w:w="0" w:type="dxa"/>
        <w:tblLayout w:type="fixed"/>
        <w:tblCellMar>
          <w:top w:w="0" w:type="dxa"/>
          <w:left w:w="0" w:type="dxa"/>
          <w:bottom w:w="0" w:type="dxa"/>
          <w:right w:w="0" w:type="dxa"/>
        </w:tblCellMar>
      </w:tblPr>
      <w:tblGrid>
        <w:gridCol w:w="476"/>
        <w:gridCol w:w="93"/>
        <w:gridCol w:w="1015"/>
        <w:gridCol w:w="93"/>
        <w:gridCol w:w="4418"/>
      </w:tblGrid>
      <w:tr>
        <w:trPr/>
        <w:tc>
          <w:tcPr>
            <w:tcW w:w="476"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4418" w:type="dxa"/>
            <w:tcBorders/>
            <w:vAlign w:val="center"/>
          </w:tcPr>
          <w:p>
            <w:pPr>
              <w:pStyle w:val="TableContents"/>
              <w:bidi w:val="0"/>
              <w:spacing w:before="0" w:after="283"/>
              <w:jc w:val="left"/>
              <w:rPr>
                <w:sz w:val="4"/>
                <w:szCs w:val="4"/>
              </w:rPr>
            </w:pPr>
            <w:r>
              <w:rPr>
                <w:sz w:val="4"/>
                <w:szCs w:val="4"/>
              </w:rPr>
            </w:r>
          </w:p>
        </w:tc>
      </w:tr>
      <w:tr>
        <w:trPr/>
        <w:tc>
          <w:tcPr>
            <w:tcW w:w="6095" w:type="dxa"/>
            <w:gridSpan w:val="5"/>
            <w:tcBorders/>
          </w:tcPr>
          <w:p>
            <w:pPr>
              <w:pStyle w:val="TableContents"/>
              <w:bidi w:val="0"/>
              <w:spacing w:before="0" w:after="283"/>
              <w:jc w:val="left"/>
              <w:rPr/>
            </w:pPr>
            <w:r>
              <w:rPr>
                <w:u w:val="single"/>
              </w:rPr>
              <w:t>GUARANTORS</w:t>
            </w:r>
            <w:r>
              <w:rPr/>
              <w:t>:</w:t>
            </w:r>
          </w:p>
        </w:tc>
      </w:tr>
      <w:tr>
        <w:trPr>
          <w:trHeight w:val="240" w:hRule="atLeast"/>
        </w:trPr>
        <w:tc>
          <w:tcPr>
            <w:tcW w:w="6095" w:type="dxa"/>
            <w:gridSpan w:val="5"/>
            <w:tcBorders/>
            <w:vAlign w:val="center"/>
          </w:tcPr>
          <w:p>
            <w:pPr>
              <w:pStyle w:val="TableContents"/>
              <w:bidi w:val="0"/>
              <w:spacing w:before="0" w:after="283"/>
              <w:jc w:val="left"/>
              <w:rPr>
                <w:sz w:val="4"/>
                <w:szCs w:val="4"/>
              </w:rPr>
            </w:pPr>
            <w:r>
              <w:rPr>
                <w:sz w:val="4"/>
                <w:szCs w:val="4"/>
              </w:rPr>
            </w:r>
          </w:p>
        </w:tc>
      </w:tr>
      <w:tr>
        <w:trPr/>
        <w:tc>
          <w:tcPr>
            <w:tcW w:w="6095" w:type="dxa"/>
            <w:gridSpan w:val="5"/>
            <w:tcBorders/>
          </w:tcPr>
          <w:p>
            <w:pPr>
              <w:pStyle w:val="TableContents"/>
              <w:bidi w:val="0"/>
              <w:spacing w:before="0" w:after="283"/>
              <w:jc w:val="left"/>
              <w:rPr/>
            </w:pPr>
            <w:r>
              <w:rPr/>
              <w:t>CR USA, INC.</w:t>
            </w:r>
          </w:p>
        </w:tc>
      </w:tr>
      <w:tr>
        <w:trPr/>
        <w:tc>
          <w:tcPr>
            <w:tcW w:w="6095" w:type="dxa"/>
            <w:gridSpan w:val="5"/>
            <w:tcBorders/>
          </w:tcPr>
          <w:p>
            <w:pPr>
              <w:pStyle w:val="TableContents"/>
              <w:bidi w:val="0"/>
              <w:spacing w:before="0" w:after="283"/>
              <w:jc w:val="left"/>
              <w:rPr/>
            </w:pPr>
            <w:r>
              <w:rPr/>
              <w:t>CROWN BEVERAGE PACKAGING PUERTO RICO, INC.</w:t>
            </w:r>
          </w:p>
        </w:tc>
      </w:tr>
      <w:tr>
        <w:trPr>
          <w:trHeight w:val="240" w:hRule="atLeast"/>
        </w:trPr>
        <w:tc>
          <w:tcPr>
            <w:tcW w:w="476" w:type="dxa"/>
            <w:tcBorders/>
            <w:vAlign w:val="center"/>
          </w:tcPr>
          <w:p>
            <w:pPr>
              <w:pStyle w:val="TableContents"/>
              <w:bidi w:val="0"/>
              <w:spacing w:before="0" w:after="283"/>
              <w:jc w:val="left"/>
              <w:rPr>
                <w:sz w:val="4"/>
                <w:szCs w:val="4"/>
              </w:rPr>
            </w:pPr>
            <w:r>
              <w:rPr>
                <w:sz w:val="4"/>
                <w:szCs w:val="4"/>
              </w:rPr>
            </w:r>
          </w:p>
        </w:tc>
        <w:tc>
          <w:tcPr>
            <w:tcW w:w="5619" w:type="dxa"/>
            <w:gridSpan w:val="4"/>
            <w:tcBorders/>
            <w:vAlign w:val="center"/>
          </w:tcPr>
          <w:p>
            <w:pPr>
              <w:pStyle w:val="TableContents"/>
              <w:bidi w:val="0"/>
              <w:spacing w:before="0" w:after="283"/>
              <w:jc w:val="left"/>
              <w:rPr>
                <w:sz w:val="4"/>
                <w:szCs w:val="4"/>
              </w:rPr>
            </w:pPr>
            <w:r>
              <w:rPr>
                <w:sz w:val="4"/>
                <w:szCs w:val="4"/>
              </w:rPr>
            </w:r>
          </w:p>
        </w:tc>
      </w:tr>
      <w:tr>
        <w:trPr/>
        <w:tc>
          <w:tcPr>
            <w:tcW w:w="476"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5526"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 L. Kalaus</w:t>
            </w:r>
          </w:p>
        </w:tc>
      </w:tr>
      <w:tr>
        <w:trPr/>
        <w:tc>
          <w:tcPr>
            <w:tcW w:w="476"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left"/>
              <w:rPr/>
            </w:pPr>
            <w:r>
              <w:rPr/>
              <w:t>Name:</w:t>
            </w:r>
          </w:p>
        </w:tc>
        <w:tc>
          <w:tcPr>
            <w:tcW w:w="93" w:type="dxa"/>
            <w:tcBorders/>
            <w:vAlign w:val="bottom"/>
          </w:tcPr>
          <w:p>
            <w:pPr>
              <w:pStyle w:val="TableContents"/>
              <w:bidi w:val="0"/>
              <w:spacing w:before="0" w:after="283"/>
              <w:jc w:val="left"/>
              <w:rPr/>
            </w:pPr>
            <w:r>
              <w:rPr/>
              <w:t> </w:t>
            </w:r>
          </w:p>
        </w:tc>
        <w:tc>
          <w:tcPr>
            <w:tcW w:w="4418" w:type="dxa"/>
            <w:tcBorders/>
            <w:vAlign w:val="bottom"/>
          </w:tcPr>
          <w:p>
            <w:pPr>
              <w:pStyle w:val="TableContents"/>
              <w:bidi w:val="0"/>
              <w:spacing w:before="0" w:after="283"/>
              <w:jc w:val="left"/>
              <w:rPr/>
            </w:pPr>
            <w:r>
              <w:rPr/>
              <w:t>Christy L. Kalaus</w:t>
            </w:r>
          </w:p>
        </w:tc>
      </w:tr>
      <w:tr>
        <w:trPr/>
        <w:tc>
          <w:tcPr>
            <w:tcW w:w="476"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left"/>
              <w:rPr/>
            </w:pPr>
            <w:r>
              <w:rPr/>
              <w:t>Title:</w:t>
            </w:r>
          </w:p>
        </w:tc>
        <w:tc>
          <w:tcPr>
            <w:tcW w:w="93" w:type="dxa"/>
            <w:tcBorders/>
            <w:vAlign w:val="bottom"/>
          </w:tcPr>
          <w:p>
            <w:pPr>
              <w:pStyle w:val="TableContents"/>
              <w:bidi w:val="0"/>
              <w:spacing w:before="0" w:after="283"/>
              <w:jc w:val="left"/>
              <w:rPr/>
            </w:pPr>
            <w:r>
              <w:rPr/>
              <w:t> </w:t>
            </w:r>
          </w:p>
        </w:tc>
        <w:tc>
          <w:tcPr>
            <w:tcW w:w="4418" w:type="dxa"/>
            <w:tcBorders/>
            <w:vAlign w:val="bottom"/>
          </w:tcPr>
          <w:p>
            <w:pPr>
              <w:pStyle w:val="TableContents"/>
              <w:bidi w:val="0"/>
              <w:spacing w:before="0" w:after="283"/>
              <w:jc w:val="left"/>
              <w:rPr/>
            </w:pPr>
            <w:r>
              <w:rPr/>
              <w:t>Vice President and Controller</w:t>
            </w:r>
          </w:p>
        </w:tc>
      </w:tr>
      <w:tr>
        <w:trPr>
          <w:trHeight w:val="240" w:hRule="atLeast"/>
        </w:trPr>
        <w:tc>
          <w:tcPr>
            <w:tcW w:w="6095" w:type="dxa"/>
            <w:gridSpan w:val="5"/>
            <w:tcBorders/>
            <w:vAlign w:val="center"/>
          </w:tcPr>
          <w:p>
            <w:pPr>
              <w:pStyle w:val="TableContents"/>
              <w:bidi w:val="0"/>
              <w:spacing w:before="0" w:after="283"/>
              <w:jc w:val="left"/>
              <w:rPr>
                <w:sz w:val="4"/>
                <w:szCs w:val="4"/>
              </w:rPr>
            </w:pPr>
            <w:r>
              <w:rPr>
                <w:sz w:val="4"/>
                <w:szCs w:val="4"/>
              </w:rPr>
            </w:r>
          </w:p>
        </w:tc>
      </w:tr>
      <w:tr>
        <w:trPr/>
        <w:tc>
          <w:tcPr>
            <w:tcW w:w="6095" w:type="dxa"/>
            <w:gridSpan w:val="5"/>
            <w:tcBorders/>
          </w:tcPr>
          <w:p>
            <w:pPr>
              <w:pStyle w:val="TableContents"/>
              <w:bidi w:val="0"/>
              <w:spacing w:before="0" w:after="283"/>
              <w:jc w:val="left"/>
              <w:rPr/>
            </w:pPr>
            <w:r>
              <w:rPr/>
              <w:t>CROWN CONSULTANTS, INC.</w:t>
            </w:r>
          </w:p>
        </w:tc>
      </w:tr>
      <w:tr>
        <w:trPr/>
        <w:tc>
          <w:tcPr>
            <w:tcW w:w="6095" w:type="dxa"/>
            <w:gridSpan w:val="5"/>
            <w:tcBorders/>
          </w:tcPr>
          <w:p>
            <w:pPr>
              <w:pStyle w:val="TableContents"/>
              <w:bidi w:val="0"/>
              <w:spacing w:before="0" w:after="283"/>
              <w:jc w:val="left"/>
              <w:rPr/>
            </w:pPr>
            <w:r>
              <w:rPr/>
              <w:t>CROWN FINANCIAL CORPORATION</w:t>
            </w:r>
          </w:p>
        </w:tc>
      </w:tr>
      <w:tr>
        <w:trPr>
          <w:trHeight w:val="240" w:hRule="atLeast"/>
        </w:trPr>
        <w:tc>
          <w:tcPr>
            <w:tcW w:w="476" w:type="dxa"/>
            <w:tcBorders/>
            <w:vAlign w:val="center"/>
          </w:tcPr>
          <w:p>
            <w:pPr>
              <w:pStyle w:val="TableContents"/>
              <w:bidi w:val="0"/>
              <w:spacing w:before="0" w:after="283"/>
              <w:jc w:val="left"/>
              <w:rPr>
                <w:sz w:val="4"/>
                <w:szCs w:val="4"/>
              </w:rPr>
            </w:pPr>
            <w:r>
              <w:rPr>
                <w:sz w:val="4"/>
                <w:szCs w:val="4"/>
              </w:rPr>
            </w:r>
          </w:p>
        </w:tc>
        <w:tc>
          <w:tcPr>
            <w:tcW w:w="5619" w:type="dxa"/>
            <w:gridSpan w:val="4"/>
            <w:tcBorders/>
            <w:vAlign w:val="center"/>
          </w:tcPr>
          <w:p>
            <w:pPr>
              <w:pStyle w:val="TableContents"/>
              <w:bidi w:val="0"/>
              <w:spacing w:before="0" w:after="283"/>
              <w:jc w:val="left"/>
              <w:rPr>
                <w:sz w:val="4"/>
                <w:szCs w:val="4"/>
              </w:rPr>
            </w:pPr>
            <w:r>
              <w:rPr>
                <w:sz w:val="4"/>
                <w:szCs w:val="4"/>
              </w:rPr>
            </w:r>
          </w:p>
        </w:tc>
      </w:tr>
      <w:tr>
        <w:trPr/>
        <w:tc>
          <w:tcPr>
            <w:tcW w:w="476"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5526"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476"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left"/>
              <w:rPr/>
            </w:pPr>
            <w:r>
              <w:rPr/>
              <w:t>Name:</w:t>
            </w:r>
          </w:p>
        </w:tc>
        <w:tc>
          <w:tcPr>
            <w:tcW w:w="93" w:type="dxa"/>
            <w:tcBorders/>
            <w:vAlign w:val="bottom"/>
          </w:tcPr>
          <w:p>
            <w:pPr>
              <w:pStyle w:val="TableContents"/>
              <w:bidi w:val="0"/>
              <w:spacing w:before="0" w:after="283"/>
              <w:jc w:val="left"/>
              <w:rPr/>
            </w:pPr>
            <w:r>
              <w:rPr/>
              <w:t> </w:t>
            </w:r>
          </w:p>
        </w:tc>
        <w:tc>
          <w:tcPr>
            <w:tcW w:w="4418" w:type="dxa"/>
            <w:tcBorders/>
            <w:vAlign w:val="bottom"/>
          </w:tcPr>
          <w:p>
            <w:pPr>
              <w:pStyle w:val="TableContents"/>
              <w:bidi w:val="0"/>
              <w:spacing w:before="0" w:after="283"/>
              <w:jc w:val="left"/>
              <w:rPr/>
            </w:pPr>
            <w:r>
              <w:rPr/>
              <w:t>Kevin C. Clothier</w:t>
            </w:r>
          </w:p>
        </w:tc>
      </w:tr>
      <w:tr>
        <w:trPr/>
        <w:tc>
          <w:tcPr>
            <w:tcW w:w="476"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left"/>
              <w:rPr/>
            </w:pPr>
            <w:r>
              <w:rPr/>
              <w:t>Title:</w:t>
            </w:r>
          </w:p>
        </w:tc>
        <w:tc>
          <w:tcPr>
            <w:tcW w:w="93" w:type="dxa"/>
            <w:tcBorders/>
            <w:vAlign w:val="bottom"/>
          </w:tcPr>
          <w:p>
            <w:pPr>
              <w:pStyle w:val="TableContents"/>
              <w:bidi w:val="0"/>
              <w:spacing w:before="0" w:after="283"/>
              <w:jc w:val="left"/>
              <w:rPr/>
            </w:pPr>
            <w:r>
              <w:rPr/>
              <w:t> </w:t>
            </w:r>
          </w:p>
        </w:tc>
        <w:tc>
          <w:tcPr>
            <w:tcW w:w="4418" w:type="dxa"/>
            <w:tcBorders/>
            <w:vAlign w:val="bottom"/>
          </w:tcPr>
          <w:p>
            <w:pPr>
              <w:pStyle w:val="TableContents"/>
              <w:bidi w:val="0"/>
              <w:spacing w:before="0" w:after="283"/>
              <w:jc w:val="left"/>
              <w:rPr/>
            </w:pPr>
            <w:r>
              <w:rPr/>
              <w:t>President</w:t>
            </w:r>
          </w:p>
        </w:tc>
      </w:tr>
      <w:tr>
        <w:trPr>
          <w:trHeight w:val="240" w:hRule="atLeast"/>
        </w:trPr>
        <w:tc>
          <w:tcPr>
            <w:tcW w:w="6095" w:type="dxa"/>
            <w:gridSpan w:val="5"/>
            <w:tcBorders/>
            <w:vAlign w:val="center"/>
          </w:tcPr>
          <w:p>
            <w:pPr>
              <w:pStyle w:val="TableContents"/>
              <w:bidi w:val="0"/>
              <w:spacing w:before="0" w:after="283"/>
              <w:jc w:val="left"/>
              <w:rPr>
                <w:sz w:val="4"/>
                <w:szCs w:val="4"/>
              </w:rPr>
            </w:pPr>
            <w:r>
              <w:rPr>
                <w:sz w:val="4"/>
                <w:szCs w:val="4"/>
              </w:rPr>
            </w:r>
          </w:p>
        </w:tc>
      </w:tr>
      <w:tr>
        <w:trPr/>
        <w:tc>
          <w:tcPr>
            <w:tcW w:w="6095" w:type="dxa"/>
            <w:gridSpan w:val="5"/>
            <w:tcBorders/>
          </w:tcPr>
          <w:p>
            <w:pPr>
              <w:pStyle w:val="TableContents"/>
              <w:bidi w:val="0"/>
              <w:spacing w:before="0" w:after="283"/>
              <w:jc w:val="left"/>
              <w:rPr/>
            </w:pPr>
            <w:r>
              <w:rPr/>
              <w:t>CROWN CORK &amp; SEAL COMPANY (DE), LLC</w:t>
            </w:r>
          </w:p>
        </w:tc>
      </w:tr>
      <w:tr>
        <w:trPr>
          <w:trHeight w:val="240" w:hRule="atLeast"/>
        </w:trPr>
        <w:tc>
          <w:tcPr>
            <w:tcW w:w="476" w:type="dxa"/>
            <w:tcBorders/>
            <w:vAlign w:val="center"/>
          </w:tcPr>
          <w:p>
            <w:pPr>
              <w:pStyle w:val="TableContents"/>
              <w:bidi w:val="0"/>
              <w:spacing w:before="0" w:after="283"/>
              <w:jc w:val="left"/>
              <w:rPr>
                <w:sz w:val="4"/>
                <w:szCs w:val="4"/>
              </w:rPr>
            </w:pPr>
            <w:r>
              <w:rPr>
                <w:sz w:val="4"/>
                <w:szCs w:val="4"/>
              </w:rPr>
            </w:r>
          </w:p>
        </w:tc>
        <w:tc>
          <w:tcPr>
            <w:tcW w:w="5619" w:type="dxa"/>
            <w:gridSpan w:val="4"/>
            <w:tcBorders/>
            <w:vAlign w:val="center"/>
          </w:tcPr>
          <w:p>
            <w:pPr>
              <w:pStyle w:val="TableContents"/>
              <w:bidi w:val="0"/>
              <w:spacing w:before="0" w:after="283"/>
              <w:jc w:val="left"/>
              <w:rPr>
                <w:sz w:val="4"/>
                <w:szCs w:val="4"/>
              </w:rPr>
            </w:pPr>
            <w:r>
              <w:rPr>
                <w:sz w:val="4"/>
                <w:szCs w:val="4"/>
              </w:rPr>
            </w:r>
          </w:p>
        </w:tc>
      </w:tr>
      <w:tr>
        <w:trPr/>
        <w:tc>
          <w:tcPr>
            <w:tcW w:w="476"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5526"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476"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left"/>
              <w:rPr/>
            </w:pPr>
            <w:r>
              <w:rPr/>
              <w:t>Name:</w:t>
            </w:r>
          </w:p>
        </w:tc>
        <w:tc>
          <w:tcPr>
            <w:tcW w:w="93" w:type="dxa"/>
            <w:tcBorders/>
            <w:vAlign w:val="bottom"/>
          </w:tcPr>
          <w:p>
            <w:pPr>
              <w:pStyle w:val="TableContents"/>
              <w:bidi w:val="0"/>
              <w:spacing w:before="0" w:after="283"/>
              <w:jc w:val="left"/>
              <w:rPr/>
            </w:pPr>
            <w:r>
              <w:rPr/>
              <w:t> </w:t>
            </w:r>
          </w:p>
        </w:tc>
        <w:tc>
          <w:tcPr>
            <w:tcW w:w="4418" w:type="dxa"/>
            <w:tcBorders/>
            <w:vAlign w:val="bottom"/>
          </w:tcPr>
          <w:p>
            <w:pPr>
              <w:pStyle w:val="TableContents"/>
              <w:bidi w:val="0"/>
              <w:spacing w:before="0" w:after="283"/>
              <w:jc w:val="left"/>
              <w:rPr/>
            </w:pPr>
            <w:r>
              <w:rPr/>
              <w:t>Kevin C. Clothier</w:t>
            </w:r>
          </w:p>
        </w:tc>
      </w:tr>
      <w:tr>
        <w:trPr/>
        <w:tc>
          <w:tcPr>
            <w:tcW w:w="476"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left"/>
              <w:rPr/>
            </w:pPr>
            <w:r>
              <w:rPr/>
              <w:t>Title:</w:t>
            </w:r>
          </w:p>
        </w:tc>
        <w:tc>
          <w:tcPr>
            <w:tcW w:w="93" w:type="dxa"/>
            <w:tcBorders/>
            <w:vAlign w:val="bottom"/>
          </w:tcPr>
          <w:p>
            <w:pPr>
              <w:pStyle w:val="TableContents"/>
              <w:bidi w:val="0"/>
              <w:spacing w:before="0" w:after="283"/>
              <w:jc w:val="left"/>
              <w:rPr/>
            </w:pPr>
            <w:r>
              <w:rPr/>
              <w:t> </w:t>
            </w:r>
          </w:p>
        </w:tc>
        <w:tc>
          <w:tcPr>
            <w:tcW w:w="4418" w:type="dxa"/>
            <w:tcBorders/>
            <w:vAlign w:val="bottom"/>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6260" w:type="dxa"/>
        <w:jc w:val="right"/>
        <w:tblInd w:w="0" w:type="dxa"/>
        <w:tblLayout w:type="fixed"/>
        <w:tblCellMar>
          <w:top w:w="0" w:type="dxa"/>
          <w:left w:w="0" w:type="dxa"/>
          <w:bottom w:w="0" w:type="dxa"/>
          <w:right w:w="0" w:type="dxa"/>
        </w:tblCellMar>
      </w:tblPr>
      <w:tblGrid>
        <w:gridCol w:w="519"/>
        <w:gridCol w:w="102"/>
        <w:gridCol w:w="1107"/>
        <w:gridCol w:w="102"/>
        <w:gridCol w:w="4430"/>
      </w:tblGrid>
      <w:tr>
        <w:trPr/>
        <w:tc>
          <w:tcPr>
            <w:tcW w:w="51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430" w:type="dxa"/>
            <w:tcBorders/>
            <w:vAlign w:val="center"/>
          </w:tcPr>
          <w:p>
            <w:pPr>
              <w:pStyle w:val="TableContents"/>
              <w:bidi w:val="0"/>
              <w:spacing w:before="0" w:after="283"/>
              <w:jc w:val="left"/>
              <w:rPr>
                <w:sz w:val="4"/>
                <w:szCs w:val="4"/>
              </w:rPr>
            </w:pPr>
            <w:r>
              <w:rPr>
                <w:sz w:val="4"/>
                <w:szCs w:val="4"/>
              </w:rPr>
            </w:r>
          </w:p>
        </w:tc>
      </w:tr>
      <w:tr>
        <w:trPr/>
        <w:tc>
          <w:tcPr>
            <w:tcW w:w="6260" w:type="dxa"/>
            <w:gridSpan w:val="5"/>
            <w:tcBorders/>
          </w:tcPr>
          <w:p>
            <w:pPr>
              <w:pStyle w:val="TableContents"/>
              <w:bidi w:val="0"/>
              <w:spacing w:before="0" w:after="283"/>
              <w:jc w:val="left"/>
              <w:rPr/>
            </w:pPr>
            <w:r>
              <w:rPr/>
              <w:t>CROWN CORK &amp; SEAL USA, INC.</w:t>
            </w:r>
          </w:p>
        </w:tc>
      </w:tr>
      <w:tr>
        <w:trPr>
          <w:trHeight w:val="240" w:hRule="atLeast"/>
        </w:trPr>
        <w:tc>
          <w:tcPr>
            <w:tcW w:w="519" w:type="dxa"/>
            <w:tcBorders/>
            <w:vAlign w:val="center"/>
          </w:tcPr>
          <w:p>
            <w:pPr>
              <w:pStyle w:val="TableContents"/>
              <w:bidi w:val="0"/>
              <w:spacing w:before="0" w:after="283"/>
              <w:jc w:val="left"/>
              <w:rPr>
                <w:sz w:val="4"/>
                <w:szCs w:val="4"/>
              </w:rPr>
            </w:pPr>
            <w:r>
              <w:rPr>
                <w:sz w:val="4"/>
                <w:szCs w:val="4"/>
              </w:rPr>
            </w:r>
          </w:p>
        </w:tc>
        <w:tc>
          <w:tcPr>
            <w:tcW w:w="5741"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63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Name: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Title: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Assistant Treasurer</w:t>
            </w:r>
          </w:p>
        </w:tc>
      </w:tr>
      <w:tr>
        <w:trPr>
          <w:trHeight w:val="240" w:hRule="atLeast"/>
        </w:trPr>
        <w:tc>
          <w:tcPr>
            <w:tcW w:w="6260" w:type="dxa"/>
            <w:gridSpan w:val="5"/>
            <w:tcBorders/>
            <w:vAlign w:val="center"/>
          </w:tcPr>
          <w:p>
            <w:pPr>
              <w:pStyle w:val="TableContents"/>
              <w:bidi w:val="0"/>
              <w:spacing w:before="0" w:after="283"/>
              <w:jc w:val="left"/>
              <w:rPr>
                <w:sz w:val="4"/>
                <w:szCs w:val="4"/>
              </w:rPr>
            </w:pPr>
            <w:r>
              <w:rPr>
                <w:sz w:val="4"/>
                <w:szCs w:val="4"/>
              </w:rPr>
            </w:r>
          </w:p>
        </w:tc>
      </w:tr>
      <w:tr>
        <w:trPr/>
        <w:tc>
          <w:tcPr>
            <w:tcW w:w="6260" w:type="dxa"/>
            <w:gridSpan w:val="5"/>
            <w:tcBorders/>
          </w:tcPr>
          <w:p>
            <w:pPr>
              <w:pStyle w:val="TableContents"/>
              <w:bidi w:val="0"/>
              <w:spacing w:before="0" w:after="283"/>
              <w:jc w:val="left"/>
              <w:rPr/>
            </w:pPr>
            <w:r>
              <w:rPr/>
              <w:t>SIGNODE INDUSTRIAL GROUP US INC.</w:t>
            </w:r>
          </w:p>
        </w:tc>
      </w:tr>
      <w:tr>
        <w:trPr>
          <w:trHeight w:val="240" w:hRule="atLeast"/>
        </w:trPr>
        <w:tc>
          <w:tcPr>
            <w:tcW w:w="519" w:type="dxa"/>
            <w:tcBorders/>
            <w:vAlign w:val="center"/>
          </w:tcPr>
          <w:p>
            <w:pPr>
              <w:pStyle w:val="TableContents"/>
              <w:bidi w:val="0"/>
              <w:spacing w:before="0" w:after="283"/>
              <w:jc w:val="left"/>
              <w:rPr>
                <w:sz w:val="4"/>
                <w:szCs w:val="4"/>
              </w:rPr>
            </w:pPr>
            <w:r>
              <w:rPr>
                <w:sz w:val="4"/>
                <w:szCs w:val="4"/>
              </w:rPr>
            </w:r>
          </w:p>
        </w:tc>
        <w:tc>
          <w:tcPr>
            <w:tcW w:w="5741"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63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Name: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Title: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Vice President</w:t>
            </w:r>
          </w:p>
        </w:tc>
      </w:tr>
      <w:tr>
        <w:trPr>
          <w:trHeight w:val="240" w:hRule="atLeast"/>
        </w:trPr>
        <w:tc>
          <w:tcPr>
            <w:tcW w:w="6260" w:type="dxa"/>
            <w:gridSpan w:val="5"/>
            <w:tcBorders/>
            <w:vAlign w:val="center"/>
          </w:tcPr>
          <w:p>
            <w:pPr>
              <w:pStyle w:val="TableContents"/>
              <w:bidi w:val="0"/>
              <w:spacing w:before="0" w:after="283"/>
              <w:jc w:val="left"/>
              <w:rPr>
                <w:sz w:val="4"/>
                <w:szCs w:val="4"/>
              </w:rPr>
            </w:pPr>
            <w:r>
              <w:rPr>
                <w:sz w:val="4"/>
                <w:szCs w:val="4"/>
              </w:rPr>
            </w:r>
          </w:p>
        </w:tc>
      </w:tr>
      <w:tr>
        <w:trPr/>
        <w:tc>
          <w:tcPr>
            <w:tcW w:w="6260" w:type="dxa"/>
            <w:gridSpan w:val="5"/>
            <w:tcBorders/>
          </w:tcPr>
          <w:p>
            <w:pPr>
              <w:pStyle w:val="TableContents"/>
              <w:bidi w:val="0"/>
              <w:spacing w:before="0" w:after="283"/>
              <w:jc w:val="left"/>
              <w:rPr/>
            </w:pPr>
            <w:r>
              <w:rPr/>
              <w:t>FOREIGN MANUFACTURERS FINANCE CORPORATION</w:t>
            </w:r>
          </w:p>
        </w:tc>
      </w:tr>
      <w:tr>
        <w:trPr/>
        <w:tc>
          <w:tcPr>
            <w:tcW w:w="6260" w:type="dxa"/>
            <w:gridSpan w:val="5"/>
            <w:tcBorders/>
          </w:tcPr>
          <w:p>
            <w:pPr>
              <w:pStyle w:val="TableContents"/>
              <w:bidi w:val="0"/>
              <w:spacing w:before="0" w:after="283"/>
              <w:jc w:val="left"/>
              <w:rPr/>
            </w:pPr>
            <w:r>
              <w:rPr/>
              <w:t>CROWN CORK &amp; SEAL COMPANY, INC.</w:t>
            </w:r>
          </w:p>
        </w:tc>
      </w:tr>
      <w:tr>
        <w:trPr/>
        <w:tc>
          <w:tcPr>
            <w:tcW w:w="6260" w:type="dxa"/>
            <w:gridSpan w:val="5"/>
            <w:tcBorders/>
          </w:tcPr>
          <w:p>
            <w:pPr>
              <w:pStyle w:val="TableContents"/>
              <w:bidi w:val="0"/>
              <w:spacing w:before="0" w:after="283"/>
              <w:jc w:val="left"/>
              <w:rPr/>
            </w:pPr>
            <w:r>
              <w:rPr/>
              <w:t>CROWN INTERNATIONAL HOLDINGS, INC.</w:t>
            </w:r>
          </w:p>
        </w:tc>
      </w:tr>
      <w:tr>
        <w:trPr/>
        <w:tc>
          <w:tcPr>
            <w:tcW w:w="6260" w:type="dxa"/>
            <w:gridSpan w:val="5"/>
            <w:tcBorders/>
          </w:tcPr>
          <w:p>
            <w:pPr>
              <w:pStyle w:val="TableContents"/>
              <w:bidi w:val="0"/>
              <w:spacing w:before="0" w:after="283"/>
              <w:jc w:val="left"/>
              <w:rPr/>
            </w:pPr>
            <w:r>
              <w:rPr/>
              <w:t>CROWN PACKAGING TECHNOLOGY, INC.</w:t>
            </w:r>
          </w:p>
        </w:tc>
      </w:tr>
      <w:tr>
        <w:trPr>
          <w:trHeight w:val="240" w:hRule="atLeast"/>
        </w:trPr>
        <w:tc>
          <w:tcPr>
            <w:tcW w:w="519" w:type="dxa"/>
            <w:tcBorders/>
            <w:vAlign w:val="center"/>
          </w:tcPr>
          <w:p>
            <w:pPr>
              <w:pStyle w:val="TableContents"/>
              <w:bidi w:val="0"/>
              <w:spacing w:before="0" w:after="283"/>
              <w:jc w:val="left"/>
              <w:rPr>
                <w:sz w:val="4"/>
                <w:szCs w:val="4"/>
              </w:rPr>
            </w:pPr>
            <w:r>
              <w:rPr>
                <w:sz w:val="4"/>
                <w:szCs w:val="4"/>
              </w:rPr>
            </w:r>
          </w:p>
        </w:tc>
        <w:tc>
          <w:tcPr>
            <w:tcW w:w="5741"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63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Name: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Title: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Vice President &amp; Treasurer</w:t>
            </w:r>
          </w:p>
        </w:tc>
      </w:tr>
      <w:tr>
        <w:trPr>
          <w:trHeight w:val="240" w:hRule="atLeast"/>
        </w:trPr>
        <w:tc>
          <w:tcPr>
            <w:tcW w:w="6260" w:type="dxa"/>
            <w:gridSpan w:val="5"/>
            <w:tcBorders/>
            <w:vAlign w:val="center"/>
          </w:tcPr>
          <w:p>
            <w:pPr>
              <w:pStyle w:val="TableContents"/>
              <w:bidi w:val="0"/>
              <w:spacing w:before="0" w:after="283"/>
              <w:jc w:val="left"/>
              <w:rPr>
                <w:sz w:val="4"/>
                <w:szCs w:val="4"/>
              </w:rPr>
            </w:pPr>
            <w:r>
              <w:rPr>
                <w:sz w:val="4"/>
                <w:szCs w:val="4"/>
              </w:rPr>
            </w:r>
          </w:p>
        </w:tc>
      </w:tr>
      <w:tr>
        <w:trPr/>
        <w:tc>
          <w:tcPr>
            <w:tcW w:w="6260" w:type="dxa"/>
            <w:gridSpan w:val="5"/>
            <w:tcBorders/>
          </w:tcPr>
          <w:p>
            <w:pPr>
              <w:pStyle w:val="TableContents"/>
              <w:bidi w:val="0"/>
              <w:spacing w:before="0" w:after="283"/>
              <w:jc w:val="left"/>
              <w:rPr/>
            </w:pPr>
            <w:r>
              <w:rPr/>
              <w:t>CROWN BEVERAGE PACKAGING, LLC</w:t>
            </w:r>
          </w:p>
        </w:tc>
      </w:tr>
      <w:tr>
        <w:trPr>
          <w:trHeight w:val="240" w:hRule="atLeast"/>
        </w:trPr>
        <w:tc>
          <w:tcPr>
            <w:tcW w:w="519" w:type="dxa"/>
            <w:tcBorders/>
            <w:vAlign w:val="center"/>
          </w:tcPr>
          <w:p>
            <w:pPr>
              <w:pStyle w:val="TableContents"/>
              <w:bidi w:val="0"/>
              <w:spacing w:before="0" w:after="283"/>
              <w:jc w:val="left"/>
              <w:rPr>
                <w:sz w:val="4"/>
                <w:szCs w:val="4"/>
              </w:rPr>
            </w:pPr>
            <w:r>
              <w:rPr>
                <w:sz w:val="4"/>
                <w:szCs w:val="4"/>
              </w:rPr>
            </w:r>
          </w:p>
        </w:tc>
        <w:tc>
          <w:tcPr>
            <w:tcW w:w="5741"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63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Name: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Title: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Assistant Treasurer</w:t>
            </w:r>
          </w:p>
        </w:tc>
      </w:tr>
      <w:tr>
        <w:trPr>
          <w:trHeight w:val="240" w:hRule="atLeast"/>
        </w:trPr>
        <w:tc>
          <w:tcPr>
            <w:tcW w:w="6260" w:type="dxa"/>
            <w:gridSpan w:val="5"/>
            <w:tcBorders/>
            <w:vAlign w:val="center"/>
          </w:tcPr>
          <w:p>
            <w:pPr>
              <w:pStyle w:val="TableContents"/>
              <w:bidi w:val="0"/>
              <w:spacing w:before="0" w:after="283"/>
              <w:jc w:val="left"/>
              <w:rPr>
                <w:sz w:val="4"/>
                <w:szCs w:val="4"/>
              </w:rPr>
            </w:pPr>
            <w:r>
              <w:rPr>
                <w:sz w:val="4"/>
                <w:szCs w:val="4"/>
              </w:rPr>
            </w:r>
          </w:p>
        </w:tc>
      </w:tr>
      <w:tr>
        <w:trPr/>
        <w:tc>
          <w:tcPr>
            <w:tcW w:w="6260" w:type="dxa"/>
            <w:gridSpan w:val="5"/>
            <w:tcBorders/>
          </w:tcPr>
          <w:p>
            <w:pPr>
              <w:pStyle w:val="TableContents"/>
              <w:bidi w:val="0"/>
              <w:spacing w:before="0" w:after="283"/>
              <w:jc w:val="left"/>
              <w:rPr/>
            </w:pPr>
            <w:r>
              <w:rPr/>
              <w:t>CROWN BEVERAGE HOLDINGS, INC.</w:t>
            </w:r>
          </w:p>
        </w:tc>
      </w:tr>
      <w:tr>
        <w:trPr>
          <w:trHeight w:val="240" w:hRule="atLeast"/>
        </w:trPr>
        <w:tc>
          <w:tcPr>
            <w:tcW w:w="519" w:type="dxa"/>
            <w:tcBorders/>
            <w:vAlign w:val="center"/>
          </w:tcPr>
          <w:p>
            <w:pPr>
              <w:pStyle w:val="TableContents"/>
              <w:bidi w:val="0"/>
              <w:spacing w:before="0" w:after="283"/>
              <w:jc w:val="left"/>
              <w:rPr>
                <w:sz w:val="4"/>
                <w:szCs w:val="4"/>
              </w:rPr>
            </w:pPr>
            <w:r>
              <w:rPr>
                <w:sz w:val="4"/>
                <w:szCs w:val="4"/>
              </w:rPr>
            </w:r>
          </w:p>
        </w:tc>
        <w:tc>
          <w:tcPr>
            <w:tcW w:w="5741"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63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Name: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David A. Beaver</w:t>
            </w:r>
          </w:p>
        </w:tc>
      </w:tr>
      <w:tr>
        <w:trPr/>
        <w:tc>
          <w:tcPr>
            <w:tcW w:w="51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left"/>
              <w:rPr/>
            </w:pPr>
            <w:r>
              <w:rPr/>
              <w:t>Title:</w:t>
            </w:r>
          </w:p>
        </w:tc>
        <w:tc>
          <w:tcPr>
            <w:tcW w:w="102" w:type="dxa"/>
            <w:tcBorders/>
            <w:vAlign w:val="bottom"/>
          </w:tcPr>
          <w:p>
            <w:pPr>
              <w:pStyle w:val="TableContents"/>
              <w:bidi w:val="0"/>
              <w:spacing w:before="0" w:after="283"/>
              <w:jc w:val="left"/>
              <w:rPr/>
            </w:pPr>
            <w:r>
              <w:rPr/>
              <w:t> </w:t>
            </w:r>
          </w:p>
        </w:tc>
        <w:tc>
          <w:tcPr>
            <w:tcW w:w="4430" w:type="dxa"/>
            <w:tcBorders/>
            <w:vAlign w:val="bottom"/>
          </w:tcPr>
          <w:p>
            <w:pPr>
              <w:pStyle w:val="TableContents"/>
              <w:bidi w:val="0"/>
              <w:spacing w:before="0" w:after="283"/>
              <w:jc w:val="left"/>
              <w:rPr/>
            </w:pPr>
            <w:r>
              <w:rPr/>
              <w:t>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4590" w:type="dxa"/>
        <w:jc w:val="right"/>
        <w:tblInd w:w="0" w:type="dxa"/>
        <w:tblLayout w:type="fixed"/>
        <w:tblCellMar>
          <w:top w:w="0" w:type="dxa"/>
          <w:left w:w="0" w:type="dxa"/>
          <w:bottom w:w="0" w:type="dxa"/>
          <w:right w:w="0" w:type="dxa"/>
        </w:tblCellMar>
      </w:tblPr>
      <w:tblGrid>
        <w:gridCol w:w="305"/>
        <w:gridCol w:w="60"/>
        <w:gridCol w:w="650"/>
        <w:gridCol w:w="60"/>
        <w:gridCol w:w="351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4590" w:type="dxa"/>
            <w:gridSpan w:val="5"/>
            <w:tcBorders/>
          </w:tcPr>
          <w:p>
            <w:pPr>
              <w:pStyle w:val="TableContents"/>
              <w:bidi w:val="0"/>
              <w:spacing w:before="0" w:after="283"/>
              <w:jc w:val="left"/>
              <w:rPr/>
            </w:pPr>
            <w:r>
              <w:rPr/>
              <w:t>SIGNODE INDUSTRIAL GROUP LLC</w:t>
            </w:r>
          </w:p>
        </w:tc>
      </w:tr>
      <w:tr>
        <w:trPr/>
        <w:tc>
          <w:tcPr>
            <w:tcW w:w="4590" w:type="dxa"/>
            <w:gridSpan w:val="5"/>
            <w:tcBorders/>
          </w:tcPr>
          <w:p>
            <w:pPr>
              <w:pStyle w:val="TableContents"/>
              <w:bidi w:val="0"/>
              <w:spacing w:before="0" w:after="283"/>
              <w:jc w:val="left"/>
              <w:rPr/>
            </w:pPr>
            <w:r>
              <w:rPr/>
              <w:t>SIGNODE PICKLING HOLDING LLC</w:t>
            </w:r>
          </w:p>
        </w:tc>
      </w:tr>
      <w:tr>
        <w:trPr/>
        <w:tc>
          <w:tcPr>
            <w:tcW w:w="4590" w:type="dxa"/>
            <w:gridSpan w:val="5"/>
            <w:tcBorders/>
          </w:tcPr>
          <w:p>
            <w:pPr>
              <w:pStyle w:val="TableContents"/>
              <w:bidi w:val="0"/>
              <w:spacing w:before="0" w:after="283"/>
              <w:jc w:val="left"/>
              <w:rPr/>
            </w:pPr>
            <w:r>
              <w:rPr/>
              <w:t>SIGNODE US IP HOLDINGS LLC</w:t>
            </w:r>
          </w:p>
        </w:tc>
      </w:tr>
      <w:tr>
        <w:trPr/>
        <w:tc>
          <w:tcPr>
            <w:tcW w:w="4590" w:type="dxa"/>
            <w:gridSpan w:val="5"/>
            <w:tcBorders/>
          </w:tcPr>
          <w:p>
            <w:pPr>
              <w:pStyle w:val="TableContents"/>
              <w:bidi w:val="0"/>
              <w:spacing w:before="0" w:after="283"/>
              <w:jc w:val="left"/>
              <w:rPr/>
            </w:pPr>
            <w:r>
              <w:rPr/>
              <w:t>SIGNODE INDUSTRIAL GROUP HOLDINGS US INC.</w:t>
            </w:r>
          </w:p>
        </w:tc>
      </w:tr>
      <w:tr>
        <w:trPr/>
        <w:tc>
          <w:tcPr>
            <w:tcW w:w="4590" w:type="dxa"/>
            <w:gridSpan w:val="5"/>
            <w:tcBorders/>
          </w:tcPr>
          <w:p>
            <w:pPr>
              <w:pStyle w:val="TableContents"/>
              <w:bidi w:val="0"/>
              <w:spacing w:before="0" w:after="283"/>
              <w:jc w:val="left"/>
              <w:rPr/>
            </w:pPr>
            <w:r>
              <w:rPr/>
              <w:t>SIGNODE INTERNATIONAL IP HOLDINGS LLC</w:t>
            </w:r>
          </w:p>
        </w:tc>
      </w:tr>
      <w:tr>
        <w:trPr/>
        <w:tc>
          <w:tcPr>
            <w:tcW w:w="4590" w:type="dxa"/>
            <w:gridSpan w:val="5"/>
            <w:tcBorders/>
          </w:tcPr>
          <w:p>
            <w:pPr>
              <w:pStyle w:val="TableContents"/>
              <w:bidi w:val="0"/>
              <w:spacing w:before="0" w:after="283"/>
              <w:jc w:val="left"/>
              <w:rPr/>
            </w:pPr>
            <w:r>
              <w:rPr/>
              <w:t>SIMPLIMATIC ENGINEERING HOLDINGS, LLC</w:t>
            </w:r>
          </w:p>
        </w:tc>
      </w:tr>
      <w:tr>
        <w:trPr/>
        <w:tc>
          <w:tcPr>
            <w:tcW w:w="4590" w:type="dxa"/>
            <w:gridSpan w:val="5"/>
            <w:tcBorders/>
          </w:tcPr>
          <w:p>
            <w:pPr>
              <w:pStyle w:val="TableContents"/>
              <w:bidi w:val="0"/>
              <w:spacing w:before="0" w:after="283"/>
              <w:jc w:val="left"/>
              <w:rPr/>
            </w:pPr>
            <w:r>
              <w:rPr/>
              <w:t>SIMPLIMTIC AUTOMATION LLC</w:t>
            </w:r>
          </w:p>
        </w:tc>
      </w:tr>
      <w:tr>
        <w:trPr/>
        <w:tc>
          <w:tcPr>
            <w:tcW w:w="4590" w:type="dxa"/>
            <w:gridSpan w:val="5"/>
            <w:tcBorders/>
          </w:tcPr>
          <w:p>
            <w:pPr>
              <w:pStyle w:val="TableContents"/>
              <w:bidi w:val="0"/>
              <w:spacing w:before="0" w:after="283"/>
              <w:jc w:val="left"/>
              <w:rPr/>
            </w:pPr>
            <w:r>
              <w:rPr/>
              <w:t>SEH REAL ESTATE HOLDINGS LLC</w:t>
            </w:r>
          </w:p>
        </w:tc>
      </w:tr>
      <w:tr>
        <w:trPr/>
        <w:tc>
          <w:tcPr>
            <w:tcW w:w="4590" w:type="dxa"/>
            <w:gridSpan w:val="5"/>
            <w:tcBorders/>
          </w:tcPr>
          <w:p>
            <w:pPr>
              <w:pStyle w:val="TableContents"/>
              <w:bidi w:val="0"/>
              <w:spacing w:before="0" w:after="283"/>
              <w:jc w:val="left"/>
              <w:rPr/>
            </w:pPr>
            <w:r>
              <w:rPr/>
              <w:t>SE INTERNATIONAL HOLDING LLC</w:t>
            </w:r>
          </w:p>
        </w:tc>
      </w:tr>
      <w:tr>
        <w:trPr/>
        <w:tc>
          <w:tcPr>
            <w:tcW w:w="4590" w:type="dxa"/>
            <w:gridSpan w:val="5"/>
            <w:tcBorders/>
          </w:tcPr>
          <w:p>
            <w:pPr>
              <w:pStyle w:val="TableContents"/>
              <w:bidi w:val="0"/>
              <w:spacing w:before="0" w:after="283"/>
              <w:jc w:val="left"/>
              <w:rPr/>
            </w:pPr>
            <w:r>
              <w:rPr/>
              <w:t>SE INTERNATIONAL HOLDINGS II LLC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285"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225"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left"/>
              <w:rPr/>
            </w:pPr>
            <w:r>
              <w:rPr/>
              <w:t>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left"/>
              <w:rPr/>
            </w:pPr>
            <w:r>
              <w:rPr/>
              <w:t>Vice President &amp; Assistant Treasurer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662"/>
        <w:gridCol w:w="60"/>
        <w:gridCol w:w="2976"/>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3079939 NOVA SCOTIA COMPANY/3079939</w:t>
            </w:r>
          </w:p>
          <w:p>
            <w:pPr>
              <w:pStyle w:val="TableContents"/>
              <w:bidi w:val="0"/>
              <w:spacing w:before="0" w:after="0"/>
              <w:jc w:val="left"/>
              <w:rPr>
                <w:rFonts w:ascii="Times New Roman" w:hAnsi="Times New Roman"/>
                <w:sz w:val="20"/>
              </w:rPr>
            </w:pPr>
            <w:r>
              <w:rPr>
                <w:rFonts w:ascii="Times New Roman" w:hAnsi="Times New Roman"/>
                <w:sz w:val="20"/>
              </w:rPr>
              <w:t>COMPAGNIE DE LA NOUVELLE ECOSSE</w:t>
            </w:r>
          </w:p>
          <w:p>
            <w:pPr>
              <w:pStyle w:val="TableContents"/>
              <w:bidi w:val="0"/>
              <w:spacing w:before="0" w:after="20"/>
              <w:jc w:val="left"/>
              <w:rPr>
                <w:rFonts w:ascii="Times New Roman" w:hAnsi="Times New Roman"/>
                <w:sz w:val="20"/>
              </w:rPr>
            </w:pPr>
            <w:r>
              <w:rPr>
                <w:rFonts w:ascii="Times New Roman" w:hAnsi="Times New Roman"/>
                <w:sz w:val="20"/>
              </w:rPr>
              <w:t>889273 ONTARIO INC.</w:t>
            </w:r>
          </w:p>
        </w:tc>
      </w:tr>
      <w:tr>
        <w:trPr/>
        <w:tc>
          <w:tcPr>
            <w:tcW w:w="4082" w:type="dxa"/>
            <w:gridSpan w:val="5"/>
            <w:tcBorders/>
          </w:tcPr>
          <w:p>
            <w:pPr>
              <w:pStyle w:val="TableContents"/>
              <w:bidi w:val="0"/>
              <w:spacing w:before="0" w:after="283"/>
              <w:jc w:val="left"/>
              <w:rPr/>
            </w:pPr>
            <w:r>
              <w:rPr/>
              <w:t>CROWN CANADIAN HOLDINGS ULC</w:t>
            </w:r>
          </w:p>
        </w:tc>
      </w:tr>
      <w:tr>
        <w:trPr/>
        <w:tc>
          <w:tcPr>
            <w:tcW w:w="4082" w:type="dxa"/>
            <w:gridSpan w:val="5"/>
            <w:tcBorders/>
          </w:tcPr>
          <w:p>
            <w:pPr>
              <w:pStyle w:val="TableContents"/>
              <w:bidi w:val="0"/>
              <w:spacing w:before="0" w:after="283"/>
              <w:jc w:val="left"/>
              <w:rPr/>
            </w:pPr>
            <w:r>
              <w:rPr/>
              <w:t>CROWN METAL PACKAGING CANADA INC.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4"/>
            <w:tcBorders/>
            <w:vAlign w:val="center"/>
          </w:tcPr>
          <w:p>
            <w:pPr>
              <w:pStyle w:val="TableContents"/>
              <w:bidi w:val="0"/>
              <w:spacing w:before="0" w:after="283"/>
              <w:jc w:val="left"/>
              <w:rPr>
                <w:sz w:val="4"/>
                <w:szCs w:val="4"/>
              </w:rPr>
            </w:pPr>
            <w:r>
              <w:rPr>
                <w:sz w:val="4"/>
                <w:szCs w:val="4"/>
              </w:rPr>
            </w:r>
          </w:p>
        </w:tc>
      </w:tr>
      <w:tr>
        <w:trPr/>
        <w:tc>
          <w:tcPr>
            <w:tcW w:w="3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98"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76" w:type="dxa"/>
            <w:tcBorders/>
            <w:vAlign w:val="bottom"/>
          </w:tcPr>
          <w:p>
            <w:pPr>
              <w:pStyle w:val="TableContents"/>
              <w:bidi w:val="0"/>
              <w:spacing w:before="0" w:after="283"/>
              <w:jc w:val="left"/>
              <w:rPr/>
            </w:pPr>
            <w:r>
              <w:rPr/>
              <w:t>David A. Beaver</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76" w:type="dxa"/>
            <w:tcBorders/>
            <w:vAlign w:val="bottom"/>
          </w:tcPr>
          <w:p>
            <w:pPr>
              <w:pStyle w:val="TableContents"/>
              <w:bidi w:val="0"/>
              <w:spacing w:before="0" w:after="283"/>
              <w:jc w:val="left"/>
              <w:rPr/>
            </w:pPr>
            <w:r>
              <w:rPr/>
              <w:t>Vice President &amp;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SIGNODE CANADA ULC</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4"/>
            <w:tcBorders/>
            <w:vAlign w:val="center"/>
          </w:tcPr>
          <w:p>
            <w:pPr>
              <w:pStyle w:val="TableContents"/>
              <w:bidi w:val="0"/>
              <w:spacing w:before="0" w:after="283"/>
              <w:jc w:val="left"/>
              <w:rPr>
                <w:sz w:val="4"/>
                <w:szCs w:val="4"/>
              </w:rPr>
            </w:pPr>
            <w:r>
              <w:rPr>
                <w:sz w:val="4"/>
                <w:szCs w:val="4"/>
              </w:rPr>
            </w:r>
          </w:p>
        </w:tc>
      </w:tr>
      <w:tr>
        <w:trPr/>
        <w:tc>
          <w:tcPr>
            <w:tcW w:w="32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98"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Abraham</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76" w:type="dxa"/>
            <w:tcBorders/>
            <w:vAlign w:val="bottom"/>
          </w:tcPr>
          <w:p>
            <w:pPr>
              <w:pStyle w:val="TableContents"/>
              <w:bidi w:val="0"/>
              <w:spacing w:before="0" w:after="283"/>
              <w:jc w:val="left"/>
              <w:rPr/>
            </w:pPr>
            <w:r>
              <w:rPr/>
              <w:t>Peter Abraham</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76"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5770" w:type="dxa"/>
        <w:jc w:val="right"/>
        <w:tblInd w:w="0" w:type="dxa"/>
        <w:tblLayout w:type="fixed"/>
        <w:tblCellMar>
          <w:top w:w="0" w:type="dxa"/>
          <w:left w:w="0" w:type="dxa"/>
          <w:bottom w:w="0" w:type="dxa"/>
          <w:right w:w="0" w:type="dxa"/>
        </w:tblCellMar>
      </w:tblPr>
      <w:tblGrid>
        <w:gridCol w:w="305"/>
        <w:gridCol w:w="60"/>
        <w:gridCol w:w="1061"/>
        <w:gridCol w:w="97"/>
        <w:gridCol w:w="4247"/>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4247" w:type="dxa"/>
            <w:tcBorders/>
            <w:vAlign w:val="center"/>
          </w:tcPr>
          <w:p>
            <w:pPr>
              <w:pStyle w:val="TableContents"/>
              <w:bidi w:val="0"/>
              <w:spacing w:before="0" w:after="283"/>
              <w:jc w:val="left"/>
              <w:rPr>
                <w:sz w:val="4"/>
                <w:szCs w:val="4"/>
              </w:rPr>
            </w:pPr>
            <w:r>
              <w:rPr>
                <w:sz w:val="4"/>
                <w:szCs w:val="4"/>
              </w:rPr>
            </w:r>
          </w:p>
        </w:tc>
      </w:tr>
      <w:tr>
        <w:trPr/>
        <w:tc>
          <w:tcPr>
            <w:tcW w:w="5770" w:type="dxa"/>
            <w:gridSpan w:val="5"/>
            <w:tcBorders/>
          </w:tcPr>
          <w:p>
            <w:pPr>
              <w:pStyle w:val="TableContents"/>
              <w:bidi w:val="0"/>
              <w:spacing w:before="0" w:after="283"/>
              <w:jc w:val="left"/>
              <w:rPr/>
            </w:pPr>
            <w:r>
              <w:rPr/>
              <w:t>CROWN METAL PACKAGING CANADA LP</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465"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5405" w:type="dxa"/>
            <w:gridSpan w:val="3"/>
            <w:tcBorders/>
            <w:vAlign w:val="bottom"/>
          </w:tcPr>
          <w:p>
            <w:pPr>
              <w:pStyle w:val="TableContents"/>
              <w:bidi w:val="0"/>
              <w:spacing w:before="0" w:after="283"/>
              <w:jc w:val="left"/>
              <w:rPr/>
            </w:pPr>
            <w:r>
              <w:rPr/>
              <w:t>Crown Metal Packaging Canada Inc., its General Partner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465"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5405"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Name:</w:t>
            </w:r>
          </w:p>
        </w:tc>
        <w:tc>
          <w:tcPr>
            <w:tcW w:w="97" w:type="dxa"/>
            <w:tcBorders/>
            <w:vAlign w:val="bottom"/>
          </w:tcPr>
          <w:p>
            <w:pPr>
              <w:pStyle w:val="TableContents"/>
              <w:bidi w:val="0"/>
              <w:spacing w:before="0" w:after="283"/>
              <w:jc w:val="left"/>
              <w:rPr/>
            </w:pPr>
            <w:r>
              <w:rPr/>
              <w:t> </w:t>
            </w:r>
          </w:p>
        </w:tc>
        <w:tc>
          <w:tcPr>
            <w:tcW w:w="4247" w:type="dxa"/>
            <w:tcBorders/>
            <w:vAlign w:val="bottom"/>
          </w:tcPr>
          <w:p>
            <w:pPr>
              <w:pStyle w:val="TableContents"/>
              <w:bidi w:val="0"/>
              <w:spacing w:before="0" w:after="283"/>
              <w:jc w:val="left"/>
              <w:rPr/>
            </w:pPr>
            <w:r>
              <w:rPr/>
              <w:t>David A. Beaver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Title:</w:t>
            </w:r>
          </w:p>
        </w:tc>
        <w:tc>
          <w:tcPr>
            <w:tcW w:w="97" w:type="dxa"/>
            <w:tcBorders/>
            <w:vAlign w:val="bottom"/>
          </w:tcPr>
          <w:p>
            <w:pPr>
              <w:pStyle w:val="TableContents"/>
              <w:bidi w:val="0"/>
              <w:spacing w:before="0" w:after="283"/>
              <w:jc w:val="left"/>
              <w:rPr/>
            </w:pPr>
            <w:r>
              <w:rPr/>
              <w:t> </w:t>
            </w:r>
          </w:p>
        </w:tc>
        <w:tc>
          <w:tcPr>
            <w:tcW w:w="4247" w:type="dxa"/>
            <w:tcBorders/>
            <w:vAlign w:val="bottom"/>
          </w:tcPr>
          <w:p>
            <w:pPr>
              <w:pStyle w:val="TableContents"/>
              <w:bidi w:val="0"/>
              <w:spacing w:before="0" w:after="283"/>
              <w:jc w:val="left"/>
              <w:rPr/>
            </w:pPr>
            <w:r>
              <w:rPr/>
              <w:t>Vice President &amp; Treasurer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39"/>
        <w:gridCol w:w="60"/>
        <w:gridCol w:w="671"/>
        <w:gridCol w:w="60"/>
        <w:gridCol w:w="2952"/>
      </w:tblGrid>
      <w:tr>
        <w:trPr/>
        <w:tc>
          <w:tcPr>
            <w:tcW w:w="33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BEVCAN FRANCE SAS</w:t>
            </w:r>
          </w:p>
        </w:tc>
      </w:tr>
      <w:tr>
        <w:trPr>
          <w:trHeight w:val="240" w:hRule="atLeast"/>
        </w:trPr>
        <w:tc>
          <w:tcPr>
            <w:tcW w:w="339" w:type="dxa"/>
            <w:tcBorders/>
            <w:vAlign w:val="center"/>
          </w:tcPr>
          <w:p>
            <w:pPr>
              <w:pStyle w:val="TableContents"/>
              <w:bidi w:val="0"/>
              <w:spacing w:before="0" w:after="283"/>
              <w:jc w:val="left"/>
              <w:rPr>
                <w:sz w:val="4"/>
                <w:szCs w:val="4"/>
              </w:rPr>
            </w:pPr>
            <w:r>
              <w:rPr>
                <w:sz w:val="4"/>
                <w:szCs w:val="4"/>
              </w:rPr>
            </w:r>
          </w:p>
        </w:tc>
        <w:tc>
          <w:tcPr>
            <w:tcW w:w="3743"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Browett</w:t>
            </w:r>
          </w:p>
        </w:tc>
      </w:tr>
      <w:tr>
        <w:trPr/>
        <w:tc>
          <w:tcPr>
            <w:tcW w:w="33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52" w:type="dxa"/>
            <w:tcBorders/>
            <w:vAlign w:val="bottom"/>
          </w:tcPr>
          <w:p>
            <w:pPr>
              <w:pStyle w:val="TableContents"/>
              <w:bidi w:val="0"/>
              <w:spacing w:before="0" w:after="283"/>
              <w:jc w:val="left"/>
              <w:rPr/>
            </w:pPr>
            <w:r>
              <w:rPr/>
              <w:t>Paul Browett</w:t>
            </w:r>
          </w:p>
        </w:tc>
      </w:tr>
      <w:tr>
        <w:trPr/>
        <w:tc>
          <w:tcPr>
            <w:tcW w:w="33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52" w:type="dxa"/>
            <w:tcBorders/>
            <w:vAlign w:val="bottom"/>
          </w:tcPr>
          <w:p>
            <w:pPr>
              <w:pStyle w:val="TableContents"/>
              <w:bidi w:val="0"/>
              <w:spacing w:before="0" w:after="283"/>
              <w:jc w:val="left"/>
              <w:rPr/>
            </w:pPr>
            <w:r>
              <w:rPr/>
              <w:t>Directeur Général</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DÉVELOPPEMENT</w:t>
            </w:r>
          </w:p>
        </w:tc>
      </w:tr>
      <w:tr>
        <w:trPr>
          <w:trHeight w:val="240" w:hRule="atLeast"/>
        </w:trPr>
        <w:tc>
          <w:tcPr>
            <w:tcW w:w="339" w:type="dxa"/>
            <w:tcBorders/>
            <w:vAlign w:val="center"/>
          </w:tcPr>
          <w:p>
            <w:pPr>
              <w:pStyle w:val="TableContents"/>
              <w:bidi w:val="0"/>
              <w:spacing w:before="0" w:after="283"/>
              <w:jc w:val="left"/>
              <w:rPr>
                <w:sz w:val="4"/>
                <w:szCs w:val="4"/>
              </w:rPr>
            </w:pPr>
            <w:r>
              <w:rPr>
                <w:sz w:val="4"/>
                <w:szCs w:val="4"/>
              </w:rPr>
            </w:r>
          </w:p>
        </w:tc>
        <w:tc>
          <w:tcPr>
            <w:tcW w:w="3743"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 Clothier</w:t>
            </w:r>
          </w:p>
        </w:tc>
      </w:tr>
      <w:tr>
        <w:trPr/>
        <w:tc>
          <w:tcPr>
            <w:tcW w:w="33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52" w:type="dxa"/>
            <w:tcBorders/>
            <w:vAlign w:val="bottom"/>
          </w:tcPr>
          <w:p>
            <w:pPr>
              <w:pStyle w:val="TableContents"/>
              <w:bidi w:val="0"/>
              <w:spacing w:before="0" w:after="283"/>
              <w:jc w:val="left"/>
              <w:rPr/>
            </w:pPr>
            <w:r>
              <w:rPr/>
              <w:t>Kevin C. Clothier</w:t>
            </w:r>
          </w:p>
        </w:tc>
      </w:tr>
      <w:tr>
        <w:trPr/>
        <w:tc>
          <w:tcPr>
            <w:tcW w:w="33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52" w:type="dxa"/>
            <w:tcBorders/>
            <w:vAlign w:val="bottom"/>
          </w:tcPr>
          <w:p>
            <w:pPr>
              <w:pStyle w:val="TableContents"/>
              <w:bidi w:val="0"/>
              <w:spacing w:before="0" w:after="283"/>
              <w:jc w:val="left"/>
              <w:rPr/>
            </w:pPr>
            <w:r>
              <w:rPr/>
              <w:t>Directeur Général</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EUROPE SAS</w:t>
            </w:r>
          </w:p>
        </w:tc>
      </w:tr>
      <w:tr>
        <w:trPr>
          <w:trHeight w:val="240" w:hRule="atLeast"/>
        </w:trPr>
        <w:tc>
          <w:tcPr>
            <w:tcW w:w="339" w:type="dxa"/>
            <w:tcBorders/>
            <w:vAlign w:val="center"/>
          </w:tcPr>
          <w:p>
            <w:pPr>
              <w:pStyle w:val="TableContents"/>
              <w:bidi w:val="0"/>
              <w:spacing w:before="0" w:after="283"/>
              <w:jc w:val="left"/>
              <w:rPr>
                <w:sz w:val="4"/>
                <w:szCs w:val="4"/>
              </w:rPr>
            </w:pPr>
            <w:r>
              <w:rPr>
                <w:sz w:val="4"/>
                <w:szCs w:val="4"/>
              </w:rPr>
            </w:r>
          </w:p>
        </w:tc>
        <w:tc>
          <w:tcPr>
            <w:tcW w:w="3743"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3"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Jean-Francois Lelouch</w:t>
            </w:r>
          </w:p>
        </w:tc>
      </w:tr>
      <w:tr>
        <w:trPr/>
        <w:tc>
          <w:tcPr>
            <w:tcW w:w="33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52" w:type="dxa"/>
            <w:tcBorders/>
            <w:vAlign w:val="bottom"/>
          </w:tcPr>
          <w:p>
            <w:pPr>
              <w:pStyle w:val="TableContents"/>
              <w:bidi w:val="0"/>
              <w:spacing w:before="0" w:after="283"/>
              <w:jc w:val="left"/>
              <w:rPr/>
            </w:pPr>
            <w:r>
              <w:rPr/>
              <w:t>Jean-Francois Lelouch</w:t>
            </w:r>
          </w:p>
        </w:tc>
      </w:tr>
      <w:tr>
        <w:trPr/>
        <w:tc>
          <w:tcPr>
            <w:tcW w:w="33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52" w:type="dxa"/>
            <w:tcBorders/>
            <w:vAlign w:val="bottom"/>
          </w:tcPr>
          <w:p>
            <w:pPr>
              <w:pStyle w:val="TableContents"/>
              <w:bidi w:val="0"/>
              <w:spacing w:before="0" w:after="283"/>
              <w:jc w:val="left"/>
              <w:rPr/>
            </w:pPr>
            <w:r>
              <w:rPr/>
              <w:t>Président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3"/>
        <w:gridCol w:w="60"/>
        <w:gridCol w:w="686"/>
        <w:gridCol w:w="60"/>
        <w:gridCol w:w="2913"/>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SOCIÉTÉ CIVILE IMMOBILIÉRE DES BACQUETS</w:t>
            </w:r>
          </w:p>
        </w:tc>
      </w:tr>
      <w:tr>
        <w:trPr/>
        <w:tc>
          <w:tcPr>
            <w:tcW w:w="4082" w:type="dxa"/>
            <w:gridSpan w:val="5"/>
            <w:tcBorders/>
          </w:tcPr>
          <w:p>
            <w:pPr>
              <w:pStyle w:val="TableContents"/>
              <w:bidi w:val="0"/>
              <w:spacing w:before="0" w:after="283"/>
              <w:jc w:val="left"/>
              <w:rPr/>
            </w:pPr>
            <w:r>
              <w:rPr/>
              <w:t>SOCIÉTÉ CIVILE IMMOBILIÉRE ROUSSEAU IVRY</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3" w:type="dxa"/>
            <w:tcBorders/>
            <w:vAlign w:val="bottom"/>
          </w:tcPr>
          <w:p>
            <w:pPr>
              <w:pStyle w:val="TableContents"/>
              <w:bidi w:val="0"/>
              <w:spacing w:before="0" w:after="283"/>
              <w:jc w:val="left"/>
              <w:rPr/>
            </w:pPr>
            <w:r>
              <w:rPr/>
              <w:t>Olaf Roth</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3" w:type="dxa"/>
            <w:tcBorders/>
            <w:vAlign w:val="bottom"/>
          </w:tcPr>
          <w:p>
            <w:pPr>
              <w:pStyle w:val="TableContents"/>
              <w:bidi w:val="0"/>
              <w:spacing w:before="0" w:after="283"/>
              <w:jc w:val="left"/>
              <w:rPr/>
            </w:pPr>
            <w:r>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SPG FRANCE HOLDINGS SAS</w:t>
            </w:r>
          </w:p>
        </w:tc>
      </w:tr>
      <w:tr>
        <w:trPr/>
        <w:tc>
          <w:tcPr>
            <w:tcW w:w="4082" w:type="dxa"/>
            <w:gridSpan w:val="5"/>
            <w:tcBorders/>
          </w:tcPr>
          <w:p>
            <w:pPr>
              <w:pStyle w:val="TableContents"/>
              <w:bidi w:val="0"/>
              <w:spacing w:before="0" w:after="283"/>
              <w:jc w:val="left"/>
              <w:rPr/>
            </w:pPr>
            <w:r>
              <w:rPr/>
              <w:t>SIGNODE FRANCE SAS</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3" w:type="dxa"/>
            <w:tcBorders/>
            <w:vAlign w:val="bottom"/>
          </w:tcPr>
          <w:p>
            <w:pPr>
              <w:pStyle w:val="TableContents"/>
              <w:bidi w:val="0"/>
              <w:spacing w:before="0" w:after="283"/>
              <w:jc w:val="left"/>
              <w:rPr/>
            </w:pPr>
            <w:r>
              <w:rPr/>
              <w:t>Olaf Roth</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3" w:type="dxa"/>
            <w:tcBorders/>
            <w:vAlign w:val="bottom"/>
          </w:tcPr>
          <w:p>
            <w:pPr>
              <w:pStyle w:val="TableContents"/>
              <w:bidi w:val="0"/>
              <w:spacing w:before="0" w:after="283"/>
              <w:jc w:val="left"/>
              <w:rPr/>
            </w:pPr>
            <w:r>
              <w:rPr/>
              <w:t>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42"/>
        <w:gridCol w:w="60"/>
        <w:gridCol w:w="673"/>
        <w:gridCol w:w="60"/>
        <w:gridCol w:w="2947"/>
      </w:tblGrid>
      <w:tr>
        <w:trPr/>
        <w:tc>
          <w:tcPr>
            <w:tcW w:w="3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SIGNODE PACKAGING SYSTEMS GMBH</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4"/>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Ellen Fleischmann</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7" w:type="dxa"/>
            <w:tcBorders/>
            <w:vAlign w:val="bottom"/>
          </w:tcPr>
          <w:p>
            <w:pPr>
              <w:pStyle w:val="TableContents"/>
              <w:bidi w:val="0"/>
              <w:spacing w:before="0" w:after="283"/>
              <w:jc w:val="left"/>
              <w:rPr/>
            </w:pPr>
            <w:r>
              <w:rPr/>
              <w:t>Ellen Fleischmann</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7" w:type="dxa"/>
            <w:tcBorders/>
            <w:vAlign w:val="bottom"/>
          </w:tcPr>
          <w:p>
            <w:pPr>
              <w:pStyle w:val="TableContents"/>
              <w:bidi w:val="0"/>
              <w:spacing w:before="0" w:after="283"/>
              <w:jc w:val="left"/>
              <w:rPr/>
            </w:pPr>
            <w:r>
              <w:rPr/>
              <w:t>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MEZGER HEFTSYSTEME GMBH</w:t>
            </w:r>
          </w:p>
        </w:tc>
      </w:tr>
      <w:tr>
        <w:trPr/>
        <w:tc>
          <w:tcPr>
            <w:tcW w:w="4082" w:type="dxa"/>
            <w:gridSpan w:val="5"/>
            <w:tcBorders/>
          </w:tcPr>
          <w:p>
            <w:pPr>
              <w:pStyle w:val="TableContents"/>
              <w:bidi w:val="0"/>
              <w:spacing w:before="0" w:after="283"/>
              <w:jc w:val="left"/>
              <w:rPr/>
            </w:pPr>
            <w:r>
              <w:rPr/>
              <w:t>SMP SCHWEDE MASCHINENBAU WEISCHLITZ GMBH</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4"/>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Ellen Fleischmann</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7" w:type="dxa"/>
            <w:tcBorders/>
            <w:vAlign w:val="bottom"/>
          </w:tcPr>
          <w:p>
            <w:pPr>
              <w:pStyle w:val="TableContents"/>
              <w:bidi w:val="0"/>
              <w:spacing w:before="0" w:after="283"/>
              <w:jc w:val="left"/>
              <w:rPr/>
            </w:pPr>
            <w:r>
              <w:rPr/>
              <w:t>Ellen Fleischmann</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7" w:type="dxa"/>
            <w:tcBorders/>
            <w:vAlign w:val="bottom"/>
          </w:tcPr>
          <w:p>
            <w:pPr>
              <w:pStyle w:val="TableContents"/>
              <w:bidi w:val="0"/>
              <w:spacing w:before="0" w:after="283"/>
              <w:jc w:val="left"/>
              <w:rPr/>
            </w:pPr>
            <w:r>
              <w:rPr/>
              <w:t>Managing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SIGNODE SYSTEM GMBH</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4"/>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Aloys Buderath</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7" w:type="dxa"/>
            <w:tcBorders/>
            <w:vAlign w:val="bottom"/>
          </w:tcPr>
          <w:p>
            <w:pPr>
              <w:pStyle w:val="TableContents"/>
              <w:bidi w:val="0"/>
              <w:spacing w:before="0" w:after="283"/>
              <w:jc w:val="left"/>
              <w:rPr/>
            </w:pPr>
            <w:r>
              <w:rPr/>
              <w:t>Peter Aloys Buderath</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7" w:type="dxa"/>
            <w:tcBorders/>
            <w:vAlign w:val="bottom"/>
          </w:tcPr>
          <w:p>
            <w:pPr>
              <w:pStyle w:val="TableContents"/>
              <w:bidi w:val="0"/>
              <w:spacing w:before="0" w:after="283"/>
              <w:jc w:val="left"/>
              <w:rPr/>
            </w:pPr>
            <w:r>
              <w:rPr/>
              <w:t>Managing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SPG GERMANY SERVICE MANAGEMENT GMBH</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4"/>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Olaf Roth</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7" w:type="dxa"/>
            <w:tcBorders/>
            <w:vAlign w:val="bottom"/>
          </w:tcPr>
          <w:p>
            <w:pPr>
              <w:pStyle w:val="TableContents"/>
              <w:bidi w:val="0"/>
              <w:spacing w:before="0" w:after="283"/>
              <w:jc w:val="left"/>
              <w:rPr/>
            </w:pPr>
            <w:r>
              <w:rPr/>
              <w:t>Olaf Roth</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7" w:type="dxa"/>
            <w:tcBorders/>
            <w:vAlign w:val="bottom"/>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6"/>
        <w:gridCol w:w="60"/>
        <w:gridCol w:w="661"/>
        <w:gridCol w:w="60"/>
        <w:gridCol w:w="2935"/>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PACKAGING LUX III, S.À.R.L.</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/s/ Paul Browett</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5" w:type="dxa"/>
            <w:tcBorders/>
            <w:vAlign w:val="bottom"/>
          </w:tcPr>
          <w:p>
            <w:pPr>
              <w:pStyle w:val="TableContents"/>
              <w:bidi w:val="0"/>
              <w:spacing w:before="0" w:after="283"/>
              <w:jc w:val="left"/>
              <w:rPr/>
            </w:pPr>
            <w:r>
              <w:rPr/>
              <w:t>Paul Browett</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5" w:type="dxa"/>
            <w:tcBorders/>
            <w:vAlign w:val="bottom"/>
          </w:tcPr>
          <w:p>
            <w:pPr>
              <w:pStyle w:val="TableContents"/>
              <w:bidi w:val="0"/>
              <w:spacing w:before="0" w:after="283"/>
              <w:jc w:val="left"/>
              <w:rPr/>
            </w:pPr>
            <w:r>
              <w:rPr/>
              <w:t>Manager A</w:t>
            </w:r>
          </w:p>
        </w:tc>
      </w:tr>
    </w:tbl>
    <w:tbl>
      <w:tblPr>
        <w:tblW w:w="2000" w:type="pct"/>
        <w:jc w:val="right"/>
        <w:tblInd w:w="0" w:type="dxa"/>
        <w:tblLayout w:type="fixed"/>
        <w:tblCellMar>
          <w:top w:w="0" w:type="dxa"/>
          <w:left w:w="0" w:type="dxa"/>
          <w:bottom w:w="0" w:type="dxa"/>
          <w:right w:w="0" w:type="dxa"/>
        </w:tblCellMar>
      </w:tblPr>
      <w:tblGrid>
        <w:gridCol w:w="364"/>
        <w:gridCol w:w="60"/>
        <w:gridCol w:w="658"/>
        <w:gridCol w:w="60"/>
        <w:gridCol w:w="2940"/>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Jacques Lancelon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Jacques Lancelon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Manager B</w:t>
            </w:r>
          </w:p>
        </w:tc>
      </w:tr>
    </w:tbl>
    <w:tbl>
      <w:tblPr>
        <w:tblW w:w="2000" w:type="pct"/>
        <w:jc w:val="right"/>
        <w:tblInd w:w="0" w:type="dxa"/>
        <w:tblLayout w:type="fixed"/>
        <w:tblCellMar>
          <w:top w:w="0" w:type="dxa"/>
          <w:left w:w="0" w:type="dxa"/>
          <w:bottom w:w="0" w:type="dxa"/>
          <w:right w:w="0" w:type="dxa"/>
        </w:tblCellMar>
      </w:tblPr>
      <w:tblGrid>
        <w:gridCol w:w="366"/>
        <w:gridCol w:w="60"/>
        <w:gridCol w:w="661"/>
        <w:gridCol w:w="60"/>
        <w:gridCol w:w="2935"/>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SPG INDUSTRIAL PACKAGING S.À.R.L.</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/s/ Olaf Roth</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5" w:type="dxa"/>
            <w:tcBorders/>
            <w:vAlign w:val="bottom"/>
          </w:tcPr>
          <w:p>
            <w:pPr>
              <w:pStyle w:val="TableContents"/>
              <w:bidi w:val="0"/>
              <w:spacing w:before="0" w:after="283"/>
              <w:jc w:val="left"/>
              <w:rPr/>
            </w:pPr>
            <w:r>
              <w:rPr/>
              <w:t>Olaf Roth</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5" w:type="dxa"/>
            <w:tcBorders/>
            <w:vAlign w:val="bottom"/>
          </w:tcPr>
          <w:p>
            <w:pPr>
              <w:pStyle w:val="TableContents"/>
              <w:bidi w:val="0"/>
              <w:spacing w:before="0" w:after="283"/>
              <w:jc w:val="left"/>
              <w:rPr/>
            </w:pPr>
            <w:r>
              <w:rPr/>
              <w:t>Manager A</w:t>
            </w:r>
          </w:p>
        </w:tc>
      </w:tr>
    </w:tbl>
    <w:tbl>
      <w:tblPr>
        <w:tblW w:w="2000" w:type="pct"/>
        <w:jc w:val="right"/>
        <w:tblInd w:w="0" w:type="dxa"/>
        <w:tblLayout w:type="fixed"/>
        <w:tblCellMar>
          <w:top w:w="0" w:type="dxa"/>
          <w:left w:w="0" w:type="dxa"/>
          <w:bottom w:w="0" w:type="dxa"/>
          <w:right w:w="0" w:type="dxa"/>
        </w:tblCellMar>
      </w:tblPr>
      <w:tblGrid>
        <w:gridCol w:w="364"/>
        <w:gridCol w:w="60"/>
        <w:gridCol w:w="658"/>
        <w:gridCol w:w="60"/>
        <w:gridCol w:w="2940"/>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Jacques Lancelon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Jacques Lancelon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Manager B</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4"/>
        <w:gridCol w:w="60"/>
        <w:gridCol w:w="658"/>
        <w:gridCol w:w="60"/>
        <w:gridCol w:w="2940"/>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SIGNODE INDUSTRIAL GROUP LUX S.A.</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Olaf Roth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Olaf Roth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Director A</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Jacques Lancelon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Jacques Lancelon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Director B</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SIGNODE LUXEMBOURG S.À.R.L.</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Olaf Roth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Olaf Roth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05"/>
        <w:gridCol w:w="226"/>
        <w:gridCol w:w="1461"/>
        <w:gridCol w:w="226"/>
        <w:gridCol w:w="1464"/>
      </w:tblGrid>
      <w:tr>
        <w:trPr/>
        <w:tc>
          <w:tcPr>
            <w:tcW w:w="70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ENVASES MEXICO, S.A. DE C.V.</w:t>
            </w:r>
          </w:p>
        </w:tc>
      </w:tr>
      <w:tr>
        <w:trPr/>
        <w:tc>
          <w:tcPr>
            <w:tcW w:w="4082" w:type="dxa"/>
            <w:gridSpan w:val="5"/>
            <w:tcBorders/>
          </w:tcPr>
          <w:p>
            <w:pPr>
              <w:pStyle w:val="TableContents"/>
              <w:bidi w:val="0"/>
              <w:spacing w:before="0" w:after="283"/>
              <w:jc w:val="left"/>
              <w:rPr/>
            </w:pPr>
            <w:r>
              <w:rPr/>
              <w:t>FÁBRICAS MONTERREY, S.A. DE C.V.</w:t>
            </w:r>
          </w:p>
        </w:tc>
      </w:tr>
      <w:tr>
        <w:trPr/>
        <w:tc>
          <w:tcPr>
            <w:tcW w:w="4082" w:type="dxa"/>
            <w:gridSpan w:val="5"/>
            <w:tcBorders/>
          </w:tcPr>
          <w:p>
            <w:pPr>
              <w:pStyle w:val="TableContents"/>
              <w:bidi w:val="0"/>
              <w:spacing w:before="0" w:after="283"/>
              <w:jc w:val="left"/>
              <w:rPr/>
            </w:pPr>
            <w:r>
              <w:rPr/>
              <w:t>CROWN FAMOSA, S.A. DE C.V.</w:t>
            </w:r>
          </w:p>
        </w:tc>
      </w:tr>
      <w:tr>
        <w:trPr/>
        <w:tc>
          <w:tcPr>
            <w:tcW w:w="4082" w:type="dxa"/>
            <w:gridSpan w:val="5"/>
            <w:tcBorders/>
          </w:tcPr>
          <w:p>
            <w:pPr>
              <w:pStyle w:val="TableContents"/>
              <w:bidi w:val="0"/>
              <w:spacing w:before="0" w:after="283"/>
              <w:jc w:val="left"/>
              <w:rPr/>
            </w:pPr>
            <w:r>
              <w:rPr/>
              <w:t>SILICES DE VERACRUZ, S.A. DE C.V.</w:t>
            </w:r>
          </w:p>
        </w:tc>
      </w:tr>
      <w:tr>
        <w:trPr/>
        <w:tc>
          <w:tcPr>
            <w:tcW w:w="4082" w:type="dxa"/>
            <w:gridSpan w:val="5"/>
            <w:tcBorders/>
          </w:tcPr>
          <w:p>
            <w:pPr>
              <w:pStyle w:val="TableContents"/>
              <w:bidi w:val="0"/>
              <w:spacing w:before="0" w:after="283"/>
              <w:jc w:val="left"/>
              <w:rPr/>
            </w:pPr>
            <w:r>
              <w:rPr/>
              <w:t>SILICE DEL ISTMO, S.A. DE C.V</w:t>
            </w:r>
          </w:p>
        </w:tc>
      </w:tr>
    </w:tbl>
    <w:tbl>
      <w:tblPr>
        <w:tblW w:w="2000" w:type="pct"/>
        <w:jc w:val="right"/>
        <w:tblInd w:w="0" w:type="dxa"/>
        <w:tblLayout w:type="fixed"/>
        <w:tblCellMar>
          <w:top w:w="0" w:type="dxa"/>
          <w:left w:w="0" w:type="dxa"/>
          <w:bottom w:w="0" w:type="dxa"/>
          <w:right w:w="0" w:type="dxa"/>
        </w:tblCellMar>
      </w:tblPr>
      <w:tblGrid>
        <w:gridCol w:w="343"/>
        <w:gridCol w:w="60"/>
        <w:gridCol w:w="635"/>
        <w:gridCol w:w="60"/>
        <w:gridCol w:w="2984"/>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VICHISA, S.A. DE C.V.</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4"/>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gridSpan w:val="3"/>
            <w:tcBorders>
              <w:bottom w:val="single" w:sz="2" w:space="0" w:color="000000"/>
            </w:tcBorders>
            <w:tcMar>
              <w:bottom w:w="28" w:type="dxa"/>
            </w:tcMar>
          </w:tcPr>
          <w:p>
            <w:pPr>
              <w:pStyle w:val="TableContents"/>
              <w:bidi w:val="0"/>
              <w:spacing w:before="0" w:after="283"/>
              <w:jc w:val="left"/>
              <w:rPr/>
            </w:pPr>
            <w:r>
              <w:rPr/>
              <w:t>/s/ David A. Beaver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4" w:type="dxa"/>
            <w:tcBorders/>
            <w:vAlign w:val="bottom"/>
          </w:tcPr>
          <w:p>
            <w:pPr>
              <w:pStyle w:val="TableContents"/>
              <w:bidi w:val="0"/>
              <w:spacing w:before="0" w:after="283"/>
              <w:jc w:val="left"/>
              <w:rPr/>
            </w:pPr>
            <w:r>
              <w:rPr/>
              <w:t>David A. Beaver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4" w:type="dxa"/>
            <w:tcBorders/>
            <w:vAlign w:val="bottom"/>
          </w:tcPr>
          <w:p>
            <w:pPr>
              <w:pStyle w:val="TableContents"/>
              <w:bidi w:val="0"/>
              <w:spacing w:before="0" w:after="283"/>
              <w:jc w:val="left"/>
              <w:rPr/>
            </w:pPr>
            <w:r>
              <w:rPr/>
              <w:t>Vice President &amp; Treasurer</w:t>
            </w:r>
          </w:p>
        </w:tc>
      </w:tr>
    </w:tbl>
    <w:tbl>
      <w:tblPr>
        <w:tblW w:w="2000" w:type="pct"/>
        <w:jc w:val="right"/>
        <w:tblInd w:w="0" w:type="dxa"/>
        <w:tblLayout w:type="fixed"/>
        <w:tblCellMar>
          <w:top w:w="0" w:type="dxa"/>
          <w:left w:w="0" w:type="dxa"/>
          <w:bottom w:w="0" w:type="dxa"/>
          <w:right w:w="0" w:type="dxa"/>
        </w:tblCellMar>
      </w:tblPr>
      <w:tblGrid>
        <w:gridCol w:w="168"/>
        <w:gridCol w:w="169"/>
        <w:gridCol w:w="1787"/>
        <w:gridCol w:w="169"/>
        <w:gridCol w:w="1789"/>
      </w:tblGrid>
      <w:tr>
        <w:trPr/>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SIGNODE MEXICO S. DE R.L. DE C.V.</w:t>
            </w:r>
          </w:p>
        </w:tc>
      </w:tr>
    </w:tbl>
    <w:tbl>
      <w:tblPr>
        <w:tblW w:w="2000" w:type="pct"/>
        <w:jc w:val="right"/>
        <w:tblInd w:w="0" w:type="dxa"/>
        <w:tblLayout w:type="fixed"/>
        <w:tblCellMar>
          <w:top w:w="0" w:type="dxa"/>
          <w:left w:w="0" w:type="dxa"/>
          <w:bottom w:w="0" w:type="dxa"/>
          <w:right w:w="0" w:type="dxa"/>
        </w:tblCellMar>
      </w:tblPr>
      <w:tblGrid>
        <w:gridCol w:w="364"/>
        <w:gridCol w:w="60"/>
        <w:gridCol w:w="660"/>
        <w:gridCol w:w="60"/>
        <w:gridCol w:w="293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0"/>
              <w:jc w:val="left"/>
              <w:rPr>
                <w:rFonts w:ascii="Times New Roman" w:hAnsi="Times New Roman"/>
                <w:sz w:val="20"/>
              </w:rPr>
            </w:pPr>
            <w:r>
              <w:rPr>
                <w:rFonts w:ascii="Times New Roman" w:hAnsi="Times New Roman"/>
                <w:sz w:val="20"/>
              </w:rPr>
              <w:t>SIMPLIMATIC AUTOMATION DE MEXICO S. DE R.L. DE C.V.</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Maria Evelia Hernandez</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8" w:type="dxa"/>
            <w:tcBorders/>
            <w:vAlign w:val="bottom"/>
          </w:tcPr>
          <w:p>
            <w:pPr>
              <w:pStyle w:val="TableContents"/>
              <w:bidi w:val="0"/>
              <w:spacing w:before="0" w:after="283"/>
              <w:jc w:val="left"/>
              <w:rPr/>
            </w:pPr>
            <w:r>
              <w:rPr/>
              <w:t>Maria Evelia Hernandez Rodriguez</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8" w:type="dxa"/>
            <w:tcBorders/>
            <w:vAlign w:val="bottom"/>
          </w:tcPr>
          <w:p>
            <w:pPr>
              <w:pStyle w:val="TableContents"/>
              <w:bidi w:val="0"/>
              <w:spacing w:before="0" w:after="283"/>
              <w:jc w:val="left"/>
              <w:rPr/>
            </w:pPr>
            <w:r>
              <w:rPr/>
              <w:t>Secretary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07"/>
        <w:gridCol w:w="208"/>
        <w:gridCol w:w="1729"/>
        <w:gridCol w:w="208"/>
        <w:gridCol w:w="1730"/>
      </w:tblGrid>
      <w:tr>
        <w:trPr/>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FAMOSA B.V.</w:t>
            </w:r>
          </w:p>
        </w:tc>
      </w:tr>
      <w:tr>
        <w:trPr/>
        <w:tc>
          <w:tcPr>
            <w:tcW w:w="4082" w:type="dxa"/>
            <w:gridSpan w:val="5"/>
            <w:tcBorders/>
          </w:tcPr>
          <w:p>
            <w:pPr>
              <w:pStyle w:val="TableContents"/>
              <w:bidi w:val="0"/>
              <w:spacing w:before="0" w:after="283"/>
              <w:jc w:val="left"/>
              <w:rPr/>
            </w:pPr>
            <w:r>
              <w:rPr/>
              <w:t>SIVESA B.V.</w:t>
            </w:r>
          </w:p>
        </w:tc>
      </w:tr>
    </w:tbl>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SISA MEXICO B.V.</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gridSpan w:val="3"/>
            <w:tcBorders>
              <w:bottom w:val="single" w:sz="2" w:space="0" w:color="000000"/>
            </w:tcBorders>
            <w:tcMar>
              <w:bottom w:w="28" w:type="dxa"/>
            </w:tcMar>
          </w:tcPr>
          <w:p>
            <w:pPr>
              <w:pStyle w:val="TableContents"/>
              <w:bidi w:val="0"/>
              <w:spacing w:before="0" w:after="283"/>
              <w:jc w:val="left"/>
              <w:rPr/>
            </w:pPr>
            <w:r>
              <w:rPr/>
              <w:t>/s/ Paul Browett</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vAlign w:val="bottom"/>
          </w:tcPr>
          <w:p>
            <w:pPr>
              <w:pStyle w:val="TableContents"/>
              <w:bidi w:val="0"/>
              <w:spacing w:before="0" w:after="283"/>
              <w:jc w:val="left"/>
              <w:rPr/>
            </w:pPr>
            <w:r>
              <w:rPr/>
              <w:t>Paul Browett</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SIGNODE NETHERLANDS B.V.</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Jochen Linzenich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vAlign w:val="bottom"/>
          </w:tcPr>
          <w:p>
            <w:pPr>
              <w:pStyle w:val="TableContents"/>
              <w:bidi w:val="0"/>
              <w:spacing w:before="0" w:after="283"/>
              <w:jc w:val="left"/>
              <w:rPr/>
            </w:pPr>
            <w:r>
              <w:rPr/>
              <w:t>Jochen Linzenich</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294"/>
        <w:gridCol w:w="295"/>
        <w:gridCol w:w="295"/>
        <w:gridCol w:w="295"/>
        <w:gridCol w:w="2903"/>
      </w:tblGrid>
      <w:tr>
        <w:trPr/>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PACKAGING EUROPEAN HOLDINGS GMBH</w:t>
            </w:r>
          </w:p>
        </w:tc>
      </w:tr>
    </w:tbl>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PACKAGING EUROPEAN DIVISION GMBH</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Andrea Vavassori</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vAlign w:val="bottom"/>
          </w:tcPr>
          <w:p>
            <w:pPr>
              <w:pStyle w:val="TableContents"/>
              <w:bidi w:val="0"/>
              <w:spacing w:before="0" w:after="283"/>
              <w:jc w:val="left"/>
              <w:rPr/>
            </w:pPr>
            <w:r>
              <w:rPr/>
              <w:t>Andrea Vavassori</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vAlign w:val="bottom"/>
          </w:tcPr>
          <w:p>
            <w:pPr>
              <w:pStyle w:val="TableContents"/>
              <w:bidi w:val="0"/>
              <w:spacing w:before="0" w:after="283"/>
              <w:jc w:val="left"/>
              <w:rPr/>
            </w:pPr>
            <w:r>
              <w:rPr/>
              <w:t>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SIGNODE SWITZERLAND GMBH</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gridSpan w:val="3"/>
            <w:tcBorders>
              <w:bottom w:val="single" w:sz="2" w:space="0" w:color="000000"/>
            </w:tcBorders>
            <w:tcMar>
              <w:bottom w:w="28" w:type="dxa"/>
            </w:tcMar>
          </w:tcPr>
          <w:p>
            <w:pPr>
              <w:pStyle w:val="TableContents"/>
              <w:bidi w:val="0"/>
              <w:spacing w:before="0" w:after="283"/>
              <w:jc w:val="left"/>
              <w:rPr/>
            </w:pPr>
            <w:r>
              <w:rPr/>
              <w:t>/s/ Olaf Roth</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vAlign w:val="bottom"/>
          </w:tcPr>
          <w:p>
            <w:pPr>
              <w:pStyle w:val="TableContents"/>
              <w:bidi w:val="0"/>
              <w:spacing w:before="0" w:after="283"/>
              <w:jc w:val="left"/>
              <w:rPr/>
            </w:pPr>
            <w:r>
              <w:rPr/>
              <w:t>Olaf Roth</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22"/>
        <w:gridCol w:w="523"/>
        <w:gridCol w:w="1256"/>
        <w:gridCol w:w="523"/>
        <w:gridCol w:w="1258"/>
      </w:tblGrid>
      <w:tr>
        <w:trPr/>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CARNAUDMETALBOX ENGINEERING LIMITED</w:t>
            </w:r>
          </w:p>
        </w:tc>
      </w:tr>
      <w:tr>
        <w:trPr/>
        <w:tc>
          <w:tcPr>
            <w:tcW w:w="4082" w:type="dxa"/>
            <w:gridSpan w:val="5"/>
            <w:tcBorders/>
          </w:tcPr>
          <w:p>
            <w:pPr>
              <w:pStyle w:val="TableContents"/>
              <w:bidi w:val="0"/>
              <w:spacing w:before="0" w:after="283"/>
              <w:jc w:val="left"/>
              <w:rPr/>
            </w:pPr>
            <w:r>
              <w:rPr/>
              <w:t>CARNAUDMETALBOX GROUP UK LIMITED</w:t>
            </w:r>
          </w:p>
        </w:tc>
      </w:tr>
    </w:tbl>
    <w:tbl>
      <w:tblPr>
        <w:tblW w:w="2000" w:type="pct"/>
        <w:jc w:val="right"/>
        <w:tblInd w:w="0" w:type="dxa"/>
        <w:tblLayout w:type="fixed"/>
        <w:tblCellMar>
          <w:top w:w="0" w:type="dxa"/>
          <w:left w:w="0" w:type="dxa"/>
          <w:bottom w:w="0" w:type="dxa"/>
          <w:right w:w="0" w:type="dxa"/>
        </w:tblCellMar>
      </w:tblPr>
      <w:tblGrid>
        <w:gridCol w:w="479"/>
        <w:gridCol w:w="86"/>
        <w:gridCol w:w="897"/>
        <w:gridCol w:w="86"/>
        <w:gridCol w:w="2534"/>
      </w:tblGrid>
      <w:tr>
        <w:trPr/>
        <w:tc>
          <w:tcPr>
            <w:tcW w:w="47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CARNAUDMETALBOX OVERSEAS LIMITED</w:t>
            </w:r>
          </w:p>
        </w:tc>
      </w:tr>
      <w:tr>
        <w:trPr>
          <w:trHeight w:val="240" w:hRule="atLeast"/>
        </w:trPr>
        <w:tc>
          <w:tcPr>
            <w:tcW w:w="479" w:type="dxa"/>
            <w:tcBorders/>
            <w:vAlign w:val="center"/>
          </w:tcPr>
          <w:p>
            <w:pPr>
              <w:pStyle w:val="TableContents"/>
              <w:bidi w:val="0"/>
              <w:spacing w:before="0" w:after="283"/>
              <w:jc w:val="left"/>
              <w:rPr>
                <w:sz w:val="4"/>
                <w:szCs w:val="4"/>
              </w:rPr>
            </w:pPr>
            <w:r>
              <w:rPr>
                <w:sz w:val="4"/>
                <w:szCs w:val="4"/>
              </w:rPr>
            </w:r>
          </w:p>
        </w:tc>
        <w:tc>
          <w:tcPr>
            <w:tcW w:w="3603" w:type="dxa"/>
            <w:gridSpan w:val="4"/>
            <w:tcBorders/>
            <w:vAlign w:val="center"/>
          </w:tcPr>
          <w:p>
            <w:pPr>
              <w:pStyle w:val="TableContents"/>
              <w:bidi w:val="0"/>
              <w:spacing w:before="0" w:after="283"/>
              <w:jc w:val="left"/>
              <w:rPr>
                <w:sz w:val="4"/>
                <w:szCs w:val="4"/>
              </w:rPr>
            </w:pPr>
            <w:r>
              <w:rPr>
                <w:sz w:val="4"/>
                <w:szCs w:val="4"/>
              </w:rPr>
            </w:r>
          </w:p>
        </w:tc>
      </w:tr>
      <w:tr>
        <w:trPr/>
        <w:tc>
          <w:tcPr>
            <w:tcW w:w="479" w:type="dxa"/>
            <w:tcBorders/>
          </w:tcPr>
          <w:p>
            <w:pPr>
              <w:pStyle w:val="TableContents"/>
              <w:bidi w:val="0"/>
              <w:spacing w:before="0" w:after="283"/>
              <w:jc w:val="left"/>
              <w:rPr/>
            </w:pPr>
            <w:r>
              <w:rPr/>
              <w:t>By:</w:t>
            </w:r>
          </w:p>
        </w:tc>
        <w:tc>
          <w:tcPr>
            <w:tcW w:w="86" w:type="dxa"/>
            <w:tcBorders>
              <w:bottom w:val="single" w:sz="2" w:space="0" w:color="000000"/>
            </w:tcBorders>
            <w:tcMar>
              <w:bottom w:w="28" w:type="dxa"/>
            </w:tcMar>
            <w:vAlign w:val="bottom"/>
          </w:tcPr>
          <w:p>
            <w:pPr>
              <w:pStyle w:val="TableContents"/>
              <w:bidi w:val="0"/>
              <w:spacing w:before="0" w:after="283"/>
              <w:jc w:val="left"/>
              <w:rPr/>
            </w:pPr>
            <w:r>
              <w:rPr/>
              <w:t> </w:t>
            </w:r>
          </w:p>
        </w:tc>
        <w:tc>
          <w:tcPr>
            <w:tcW w:w="3517" w:type="dxa"/>
            <w:gridSpan w:val="3"/>
            <w:tcBorders>
              <w:bottom w:val="single" w:sz="2" w:space="0" w:color="000000"/>
            </w:tcBorders>
            <w:tcMar>
              <w:bottom w:w="28" w:type="dxa"/>
            </w:tcMar>
          </w:tcPr>
          <w:p>
            <w:pPr>
              <w:pStyle w:val="TableContents"/>
              <w:bidi w:val="0"/>
              <w:spacing w:before="0" w:after="283"/>
              <w:jc w:val="left"/>
              <w:rPr/>
            </w:pPr>
            <w:r>
              <w:rPr/>
              <w:t>/s/ Paul Browett</w:t>
            </w:r>
          </w:p>
        </w:tc>
      </w:tr>
      <w:tr>
        <w:trPr/>
        <w:tc>
          <w:tcPr>
            <w:tcW w:w="479"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Name:</w:t>
            </w:r>
          </w:p>
        </w:tc>
        <w:tc>
          <w:tcPr>
            <w:tcW w:w="86" w:type="dxa"/>
            <w:tcBorders/>
            <w:vAlign w:val="bottom"/>
          </w:tcPr>
          <w:p>
            <w:pPr>
              <w:pStyle w:val="TableContents"/>
              <w:bidi w:val="0"/>
              <w:spacing w:before="0" w:after="283"/>
              <w:jc w:val="left"/>
              <w:rPr/>
            </w:pPr>
            <w:r>
              <w:rPr/>
              <w:t> </w:t>
            </w:r>
          </w:p>
        </w:tc>
        <w:tc>
          <w:tcPr>
            <w:tcW w:w="2534" w:type="dxa"/>
            <w:tcBorders/>
            <w:vAlign w:val="bottom"/>
          </w:tcPr>
          <w:p>
            <w:pPr>
              <w:pStyle w:val="TableContents"/>
              <w:bidi w:val="0"/>
              <w:spacing w:before="0" w:after="283"/>
              <w:jc w:val="left"/>
              <w:rPr/>
            </w:pPr>
            <w:r>
              <w:rPr/>
              <w:t>Paul Browett</w:t>
            </w:r>
          </w:p>
        </w:tc>
      </w:tr>
      <w:tr>
        <w:trPr/>
        <w:tc>
          <w:tcPr>
            <w:tcW w:w="479"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left"/>
              <w:rPr/>
            </w:pPr>
            <w:r>
              <w:rPr/>
              <w:t>Title:</w:t>
            </w:r>
          </w:p>
        </w:tc>
        <w:tc>
          <w:tcPr>
            <w:tcW w:w="86" w:type="dxa"/>
            <w:tcBorders/>
            <w:vAlign w:val="bottom"/>
          </w:tcPr>
          <w:p>
            <w:pPr>
              <w:pStyle w:val="TableContents"/>
              <w:bidi w:val="0"/>
              <w:spacing w:before="0" w:after="283"/>
              <w:jc w:val="left"/>
              <w:rPr/>
            </w:pPr>
            <w:r>
              <w:rPr/>
              <w:t> </w:t>
            </w:r>
          </w:p>
        </w:tc>
        <w:tc>
          <w:tcPr>
            <w:tcW w:w="2534"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687"/>
        <w:gridCol w:w="60"/>
        <w:gridCol w:w="2883"/>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PACKAGING MANUFACTURING UK LIMITED</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4"/>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gridSpan w:val="3"/>
            <w:tcBorders>
              <w:bottom w:val="single" w:sz="2" w:space="0" w:color="000000"/>
            </w:tcBorders>
            <w:tcMar>
              <w:bottom w:w="28" w:type="dxa"/>
            </w:tcMar>
          </w:tcPr>
          <w:p>
            <w:pPr>
              <w:pStyle w:val="TableContents"/>
              <w:bidi w:val="0"/>
              <w:spacing w:before="0" w:after="283"/>
              <w:jc w:val="left"/>
              <w:rPr/>
            </w:pPr>
            <w:r>
              <w:rPr/>
              <w:t>/s/ Paul Browett</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left"/>
              <w:rPr/>
            </w:pPr>
            <w:r>
              <w:rPr/>
              <w:t>Paul Browett</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660"/>
        <w:gridCol w:w="60"/>
        <w:gridCol w:w="293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PACKAGING DISTRIBUTION UK LIMITED</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Tim Conybeare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8" w:type="dxa"/>
            <w:tcBorders/>
            <w:vAlign w:val="bottom"/>
          </w:tcPr>
          <w:p>
            <w:pPr>
              <w:pStyle w:val="TableContents"/>
              <w:bidi w:val="0"/>
              <w:spacing w:before="0" w:after="283"/>
              <w:jc w:val="left"/>
              <w:rPr/>
            </w:pPr>
            <w:r>
              <w:rPr/>
              <w:t>Tim Conybeare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8"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SIGNODE UK LTD.</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gridSpan w:val="3"/>
            <w:tcBorders>
              <w:bottom w:val="single" w:sz="2" w:space="0" w:color="000000"/>
            </w:tcBorders>
            <w:tcMar>
              <w:bottom w:w="28" w:type="dxa"/>
            </w:tcMar>
          </w:tcPr>
          <w:p>
            <w:pPr>
              <w:pStyle w:val="TableContents"/>
              <w:bidi w:val="0"/>
              <w:spacing w:before="0" w:after="283"/>
              <w:jc w:val="left"/>
              <w:rPr/>
            </w:pPr>
            <w:r>
              <w:rPr/>
              <w:t>/s/ Olaf Roth</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vAlign w:val="bottom"/>
          </w:tcPr>
          <w:p>
            <w:pPr>
              <w:pStyle w:val="TableContents"/>
              <w:bidi w:val="0"/>
              <w:spacing w:before="0" w:after="283"/>
              <w:jc w:val="left"/>
              <w:rPr/>
            </w:pPr>
            <w:r>
              <w:rPr/>
              <w:t>Olaf Roth</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MEC-A-TEC SERVICES LIMITED</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gridSpan w:val="3"/>
            <w:tcBorders>
              <w:bottom w:val="single" w:sz="2" w:space="0" w:color="000000"/>
            </w:tcBorders>
            <w:tcMar>
              <w:bottom w:w="28" w:type="dxa"/>
            </w:tcMar>
          </w:tcPr>
          <w:p>
            <w:pPr>
              <w:pStyle w:val="TableContents"/>
              <w:bidi w:val="0"/>
              <w:spacing w:before="0" w:after="283"/>
              <w:jc w:val="left"/>
              <w:rPr/>
            </w:pPr>
            <w:r>
              <w:rPr/>
              <w:t>/s/ David A. Beaver</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vAlign w:val="bottom"/>
          </w:tcPr>
          <w:p>
            <w:pPr>
              <w:pStyle w:val="TableContents"/>
              <w:bidi w:val="0"/>
              <w:spacing w:before="0" w:after="283"/>
              <w:jc w:val="left"/>
              <w:rPr/>
            </w:pPr>
            <w:r>
              <w:rPr/>
              <w:t>David A. Beaver</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CROWN UK HOLDINGS LIMITED</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5" w:type="dxa"/>
            <w:gridSpan w:val="3"/>
            <w:tcBorders>
              <w:bottom w:val="single" w:sz="2" w:space="0" w:color="000000"/>
            </w:tcBorders>
            <w:tcMar>
              <w:bottom w:w="28" w:type="dxa"/>
            </w:tcMar>
          </w:tcPr>
          <w:p>
            <w:pPr>
              <w:pStyle w:val="TableContents"/>
              <w:bidi w:val="0"/>
              <w:spacing w:before="0" w:after="283"/>
              <w:jc w:val="left"/>
              <w:rPr/>
            </w:pPr>
            <w:r>
              <w:rPr/>
              <w:t>/s/ Kevin C. Clothier</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vAlign w:val="bottom"/>
          </w:tcPr>
          <w:p>
            <w:pPr>
              <w:pStyle w:val="TableContents"/>
              <w:bidi w:val="0"/>
              <w:spacing w:before="0" w:after="283"/>
              <w:jc w:val="left"/>
              <w:rPr/>
            </w:pPr>
            <w:r>
              <w:rPr/>
              <w:t>Kevin C. Clothier</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confirmed </w:t>
      </w:r>
    </w:p>
    <w:p>
      <w:pPr>
        <w:pStyle w:val="TextBody"/>
        <w:bidi w:val="0"/>
        <w:spacing w:before="0" w:after="0"/>
        <w:jc w:val="left"/>
        <w:rPr>
          <w:rFonts w:ascii="Times New Roman" w:hAnsi="Times New Roman"/>
          <w:sz w:val="20"/>
        </w:rPr>
      </w:pPr>
      <w:r>
        <w:rPr>
          <w:rFonts w:ascii="Times New Roman" w:hAnsi="Times New Roman"/>
          <w:sz w:val="20"/>
        </w:rPr>
        <w:t xml:space="preserve">and accepted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7"/>
        <w:gridCol w:w="60"/>
        <w:gridCol w:w="679"/>
        <w:gridCol w:w="60"/>
        <w:gridCol w:w="2926"/>
      </w:tblGrid>
      <w:tr>
        <w:trPr/>
        <w:tc>
          <w:tcPr>
            <w:tcW w:w="3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BNP PARIBAS</w:t>
            </w:r>
          </w:p>
        </w:tc>
      </w:tr>
      <w:tr>
        <w:trPr>
          <w:trHeight w:val="240" w:hRule="atLeast"/>
        </w:trPr>
        <w:tc>
          <w:tcPr>
            <w:tcW w:w="357" w:type="dxa"/>
            <w:tcBorders/>
            <w:vAlign w:val="center"/>
          </w:tcPr>
          <w:p>
            <w:pPr>
              <w:pStyle w:val="TableContents"/>
              <w:bidi w:val="0"/>
              <w:spacing w:before="0" w:after="283"/>
              <w:jc w:val="left"/>
              <w:rPr>
                <w:sz w:val="4"/>
                <w:szCs w:val="4"/>
              </w:rPr>
            </w:pPr>
            <w:r>
              <w:rPr>
                <w:sz w:val="4"/>
                <w:szCs w:val="4"/>
              </w:rPr>
            </w:r>
          </w:p>
        </w:tc>
        <w:tc>
          <w:tcPr>
            <w:tcW w:w="3725" w:type="dxa"/>
            <w:gridSpan w:val="4"/>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5" w:type="dxa"/>
            <w:gridSpan w:val="3"/>
            <w:tcBorders>
              <w:bottom w:val="single" w:sz="2" w:space="0" w:color="000000"/>
            </w:tcBorders>
            <w:tcMar>
              <w:bottom w:w="28" w:type="dxa"/>
            </w:tcMar>
          </w:tcPr>
          <w:p>
            <w:pPr>
              <w:pStyle w:val="TableContents"/>
              <w:bidi w:val="0"/>
              <w:spacing w:before="0" w:after="283"/>
              <w:jc w:val="left"/>
              <w:rPr/>
            </w:pPr>
            <w:r>
              <w:rPr/>
              <w:t>/s/ Vikas Katyal</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6" w:type="dxa"/>
            <w:tcBorders/>
            <w:vAlign w:val="bottom"/>
          </w:tcPr>
          <w:p>
            <w:pPr>
              <w:pStyle w:val="TableContents"/>
              <w:bidi w:val="0"/>
              <w:spacing w:before="0" w:after="283"/>
              <w:jc w:val="left"/>
              <w:rPr/>
            </w:pPr>
            <w:r>
              <w:rPr/>
              <w:t>Vikas Katyal</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6" w:type="dxa"/>
            <w:tcBorders/>
            <w:vAlign w:val="bottom"/>
          </w:tcPr>
          <w:p>
            <w:pPr>
              <w:pStyle w:val="TableContents"/>
              <w:bidi w:val="0"/>
              <w:spacing w:before="0" w:after="283"/>
              <w:jc w:val="left"/>
              <w:rPr/>
            </w:pPr>
            <w:r>
              <w:rPr/>
              <w:t>Authorised Signatory</w:t>
            </w:r>
          </w:p>
        </w:tc>
      </w:tr>
      <w:tr>
        <w:trPr>
          <w:trHeight w:val="240" w:hRule="atLeast"/>
        </w:trPr>
        <w:tc>
          <w:tcPr>
            <w:tcW w:w="357" w:type="dxa"/>
            <w:tcBorders/>
            <w:vAlign w:val="center"/>
          </w:tcPr>
          <w:p>
            <w:pPr>
              <w:pStyle w:val="TableContents"/>
              <w:bidi w:val="0"/>
              <w:spacing w:before="0" w:after="283"/>
              <w:jc w:val="left"/>
              <w:rPr>
                <w:sz w:val="4"/>
                <w:szCs w:val="4"/>
              </w:rPr>
            </w:pPr>
            <w:r>
              <w:rPr>
                <w:sz w:val="4"/>
                <w:szCs w:val="4"/>
              </w:rPr>
            </w:r>
          </w:p>
        </w:tc>
        <w:tc>
          <w:tcPr>
            <w:tcW w:w="3725" w:type="dxa"/>
            <w:gridSpan w:val="4"/>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5" w:type="dxa"/>
            <w:gridSpan w:val="3"/>
            <w:tcBorders>
              <w:bottom w:val="single" w:sz="2" w:space="0" w:color="000000"/>
            </w:tcBorders>
            <w:tcMar>
              <w:bottom w:w="28" w:type="dxa"/>
            </w:tcMar>
          </w:tcPr>
          <w:p>
            <w:pPr>
              <w:pStyle w:val="TableContents"/>
              <w:bidi w:val="0"/>
              <w:spacing w:before="0" w:after="283"/>
              <w:jc w:val="left"/>
              <w:rPr/>
            </w:pPr>
            <w:r>
              <w:rPr/>
              <w:t>/s/ Anne Besson-Imbert</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6" w:type="dxa"/>
            <w:tcBorders/>
            <w:vAlign w:val="bottom"/>
          </w:tcPr>
          <w:p>
            <w:pPr>
              <w:pStyle w:val="TableContents"/>
              <w:bidi w:val="0"/>
              <w:spacing w:before="0" w:after="283"/>
              <w:jc w:val="left"/>
              <w:rPr/>
            </w:pPr>
            <w:r>
              <w:rPr/>
              <w:t>Anne Besson-Imbert</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6" w:type="dxa"/>
            <w:tcBorders/>
            <w:vAlign w:val="bottom"/>
          </w:tcPr>
          <w:p>
            <w:pPr>
              <w:pStyle w:val="TableContents"/>
              <w:bidi w:val="0"/>
              <w:spacing w:before="0" w:after="283"/>
              <w:jc w:val="left"/>
              <w:rPr/>
            </w:pPr>
            <w:r>
              <w:rPr/>
              <w:t>Authorised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6"/>
        <w:gridCol w:w="60"/>
        <w:gridCol w:w="676"/>
        <w:gridCol w:w="60"/>
        <w:gridCol w:w="2930"/>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CITIGROUP GLOBAL MARKETS EUROPE AG</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4"/>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6" w:type="dxa"/>
            <w:gridSpan w:val="3"/>
            <w:tcBorders>
              <w:bottom w:val="single" w:sz="2" w:space="0" w:color="000000"/>
            </w:tcBorders>
            <w:tcMar>
              <w:bottom w:w="28" w:type="dxa"/>
            </w:tcMar>
          </w:tcPr>
          <w:p>
            <w:pPr>
              <w:pStyle w:val="TableContents"/>
              <w:bidi w:val="0"/>
              <w:spacing w:before="0" w:after="283"/>
              <w:jc w:val="left"/>
              <w:rPr/>
            </w:pPr>
            <w:r>
              <w:rPr/>
              <w:t>/s/ Adrien Belanger</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Adrien Belanger</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Delegated Signatory</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4"/>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6" w:type="dxa"/>
            <w:gridSpan w:val="3"/>
            <w:tcBorders>
              <w:bottom w:val="single" w:sz="2" w:space="0" w:color="000000"/>
            </w:tcBorders>
            <w:tcMar>
              <w:bottom w:w="28" w:type="dxa"/>
            </w:tcMar>
          </w:tcPr>
          <w:p>
            <w:pPr>
              <w:pStyle w:val="TableContents"/>
              <w:bidi w:val="0"/>
              <w:spacing w:before="0" w:after="283"/>
              <w:jc w:val="left"/>
              <w:rPr/>
            </w:pPr>
            <w:r>
              <w:rPr/>
              <w:t>/s/ Paul-Emmanuel Micolet</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Paul-Emmanuel Micolet</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87"/>
        <w:gridCol w:w="60"/>
        <w:gridCol w:w="704"/>
        <w:gridCol w:w="60"/>
        <w:gridCol w:w="2871"/>
      </w:tblGrid>
      <w:tr>
        <w:trPr/>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DEUTSCHE BANK AKTIENGESELLSCHAFT</w:t>
            </w:r>
          </w:p>
        </w:tc>
      </w:tr>
      <w:tr>
        <w:trPr>
          <w:trHeight w:val="240" w:hRule="atLeast"/>
        </w:trPr>
        <w:tc>
          <w:tcPr>
            <w:tcW w:w="387"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3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5" w:type="dxa"/>
            <w:gridSpan w:val="3"/>
            <w:tcBorders>
              <w:bottom w:val="single" w:sz="2" w:space="0" w:color="000000"/>
            </w:tcBorders>
            <w:tcMar>
              <w:bottom w:w="28" w:type="dxa"/>
            </w:tcMar>
          </w:tcPr>
          <w:p>
            <w:pPr>
              <w:pStyle w:val="TableContents"/>
              <w:bidi w:val="0"/>
              <w:spacing w:before="0" w:after="283"/>
              <w:jc w:val="left"/>
              <w:rPr/>
            </w:pPr>
            <w:r>
              <w:rPr/>
              <w:t>/s/ Jeremy Selway</w:t>
            </w:r>
          </w:p>
        </w:tc>
      </w:tr>
      <w:tr>
        <w:trPr/>
        <w:tc>
          <w:tcPr>
            <w:tcW w:w="3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71" w:type="dxa"/>
            <w:tcBorders/>
            <w:vAlign w:val="bottom"/>
          </w:tcPr>
          <w:p>
            <w:pPr>
              <w:pStyle w:val="TableContents"/>
              <w:bidi w:val="0"/>
              <w:spacing w:before="0" w:after="283"/>
              <w:jc w:val="left"/>
              <w:rPr/>
            </w:pPr>
            <w:r>
              <w:rPr/>
              <w:t>Jeremy Selway</w:t>
            </w:r>
          </w:p>
        </w:tc>
      </w:tr>
      <w:tr>
        <w:trPr/>
        <w:tc>
          <w:tcPr>
            <w:tcW w:w="3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71" w:type="dxa"/>
            <w:tcBorders/>
            <w:vAlign w:val="bottom"/>
          </w:tcPr>
          <w:p>
            <w:pPr>
              <w:pStyle w:val="TableContents"/>
              <w:bidi w:val="0"/>
              <w:spacing w:before="0" w:after="283"/>
              <w:jc w:val="left"/>
              <w:rPr/>
            </w:pPr>
            <w:r>
              <w:rPr/>
              <w:t>Managing Director Deutsche Bank</w:t>
            </w:r>
          </w:p>
        </w:tc>
      </w:tr>
      <w:tr>
        <w:trPr>
          <w:trHeight w:val="240" w:hRule="atLeast"/>
        </w:trPr>
        <w:tc>
          <w:tcPr>
            <w:tcW w:w="387"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3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5" w:type="dxa"/>
            <w:gridSpan w:val="3"/>
            <w:tcBorders>
              <w:bottom w:val="single" w:sz="2" w:space="0" w:color="000000"/>
            </w:tcBorders>
            <w:tcMar>
              <w:bottom w:w="28" w:type="dxa"/>
            </w:tcMar>
          </w:tcPr>
          <w:p>
            <w:pPr>
              <w:pStyle w:val="TableContents"/>
              <w:bidi w:val="0"/>
              <w:spacing w:before="0" w:after="283"/>
              <w:jc w:val="left"/>
              <w:rPr/>
            </w:pPr>
            <w:r>
              <w:rPr/>
              <w:t>/s/ Nicholas Burns</w:t>
            </w:r>
          </w:p>
        </w:tc>
      </w:tr>
      <w:tr>
        <w:trPr/>
        <w:tc>
          <w:tcPr>
            <w:tcW w:w="3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71" w:type="dxa"/>
            <w:tcBorders/>
            <w:vAlign w:val="bottom"/>
          </w:tcPr>
          <w:p>
            <w:pPr>
              <w:pStyle w:val="TableContents"/>
              <w:bidi w:val="0"/>
              <w:spacing w:before="0" w:after="283"/>
              <w:jc w:val="left"/>
              <w:rPr/>
            </w:pPr>
            <w:r>
              <w:rPr/>
              <w:t>Nicholas Burns</w:t>
            </w:r>
          </w:p>
        </w:tc>
      </w:tr>
      <w:tr>
        <w:trPr/>
        <w:tc>
          <w:tcPr>
            <w:tcW w:w="3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71"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1"/>
        <w:gridCol w:w="60"/>
        <w:gridCol w:w="685"/>
        <w:gridCol w:w="60"/>
        <w:gridCol w:w="2916"/>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BOFA SECURITIES EUROPE SA</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1" w:type="dxa"/>
            <w:gridSpan w:val="3"/>
            <w:tcBorders>
              <w:bottom w:val="single" w:sz="2" w:space="0" w:color="000000"/>
            </w:tcBorders>
            <w:tcMar>
              <w:bottom w:w="28" w:type="dxa"/>
            </w:tcMar>
          </w:tcPr>
          <w:p>
            <w:pPr>
              <w:pStyle w:val="TableContents"/>
              <w:bidi w:val="0"/>
              <w:spacing w:before="0" w:after="283"/>
              <w:jc w:val="left"/>
              <w:rPr/>
            </w:pPr>
            <w:r>
              <w:rPr/>
              <w:t>/s/ Astghhik Khachatryan</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6" w:type="dxa"/>
            <w:tcBorders/>
            <w:vAlign w:val="bottom"/>
          </w:tcPr>
          <w:p>
            <w:pPr>
              <w:pStyle w:val="TableContents"/>
              <w:bidi w:val="0"/>
              <w:spacing w:before="0" w:after="283"/>
              <w:jc w:val="left"/>
              <w:rPr/>
            </w:pPr>
            <w:r>
              <w:rPr/>
              <w:t>Astghik Khachatryan</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6" w:type="dxa"/>
            <w:tcBorders/>
            <w:vAlign w:val="bottom"/>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6725" w:type="dxa"/>
        <w:jc w:val="left"/>
        <w:tblInd w:w="0" w:type="dxa"/>
        <w:tblLayout w:type="fixed"/>
        <w:tblCellMar>
          <w:top w:w="0" w:type="dxa"/>
          <w:left w:w="0" w:type="dxa"/>
          <w:bottom w:w="0" w:type="dxa"/>
          <w:right w:w="0" w:type="dxa"/>
        </w:tblCellMar>
      </w:tblPr>
      <w:tblGrid>
        <w:gridCol w:w="828"/>
        <w:gridCol w:w="163"/>
        <w:gridCol w:w="1603"/>
        <w:gridCol w:w="163"/>
        <w:gridCol w:w="3968"/>
      </w:tblGrid>
      <w:tr>
        <w:trPr/>
        <w:tc>
          <w:tcPr>
            <w:tcW w:w="82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6725" w:type="dxa"/>
            <w:gridSpan w:val="5"/>
            <w:tcBorders/>
          </w:tcPr>
          <w:p>
            <w:pPr>
              <w:pStyle w:val="TableContents"/>
              <w:bidi w:val="0"/>
              <w:spacing w:before="0" w:after="283"/>
              <w:jc w:val="left"/>
              <w:rPr/>
            </w:pPr>
            <w:r>
              <w:rPr/>
              <w:t>CRÉDIT AGRICOLE CORPORATE AND INVESTMENT BANK</w:t>
            </w:r>
          </w:p>
        </w:tc>
      </w:tr>
      <w:tr>
        <w:trPr>
          <w:trHeight w:val="240" w:hRule="atLeast"/>
        </w:trPr>
        <w:tc>
          <w:tcPr>
            <w:tcW w:w="828" w:type="dxa"/>
            <w:tcBorders/>
            <w:vAlign w:val="center"/>
          </w:tcPr>
          <w:p>
            <w:pPr>
              <w:pStyle w:val="TableContents"/>
              <w:bidi w:val="0"/>
              <w:spacing w:before="0" w:after="283"/>
              <w:jc w:val="left"/>
              <w:rPr>
                <w:sz w:val="4"/>
                <w:szCs w:val="4"/>
              </w:rPr>
            </w:pPr>
            <w:r>
              <w:rPr>
                <w:sz w:val="4"/>
                <w:szCs w:val="4"/>
              </w:rPr>
            </w:r>
          </w:p>
        </w:tc>
        <w:tc>
          <w:tcPr>
            <w:tcW w:w="5897" w:type="dxa"/>
            <w:gridSpan w:val="4"/>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By:</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c>
          <w:tcPr>
            <w:tcW w:w="5734" w:type="dxa"/>
            <w:gridSpan w:val="3"/>
            <w:tcBorders>
              <w:bottom w:val="single" w:sz="2" w:space="0" w:color="000000"/>
            </w:tcBorders>
            <w:tcMar>
              <w:bottom w:w="28" w:type="dxa"/>
            </w:tcMar>
          </w:tcPr>
          <w:p>
            <w:pPr>
              <w:pStyle w:val="TableContents"/>
              <w:bidi w:val="0"/>
              <w:spacing w:before="0" w:after="283"/>
              <w:jc w:val="left"/>
              <w:rPr/>
            </w:pPr>
            <w:r>
              <w:rPr/>
              <w:t>/s/ Youssef Khlat</w:t>
            </w:r>
          </w:p>
        </w:tc>
      </w:tr>
      <w:tr>
        <w:trPr/>
        <w:tc>
          <w:tcPr>
            <w:tcW w:w="828"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left"/>
              <w:rPr/>
            </w:pPr>
            <w:r>
              <w:rPr/>
              <w:t>Name:</w:t>
            </w:r>
          </w:p>
        </w:tc>
        <w:tc>
          <w:tcPr>
            <w:tcW w:w="163" w:type="dxa"/>
            <w:tcBorders/>
            <w:vAlign w:val="bottom"/>
          </w:tcPr>
          <w:p>
            <w:pPr>
              <w:pStyle w:val="TableContents"/>
              <w:bidi w:val="0"/>
              <w:spacing w:before="0" w:after="283"/>
              <w:jc w:val="left"/>
              <w:rPr/>
            </w:pPr>
            <w:r>
              <w:rPr/>
              <w:t> </w:t>
            </w:r>
          </w:p>
        </w:tc>
        <w:tc>
          <w:tcPr>
            <w:tcW w:w="3968" w:type="dxa"/>
            <w:tcBorders/>
            <w:vAlign w:val="bottom"/>
          </w:tcPr>
          <w:p>
            <w:pPr>
              <w:pStyle w:val="TableContents"/>
              <w:bidi w:val="0"/>
              <w:spacing w:before="0" w:after="283"/>
              <w:jc w:val="left"/>
              <w:rPr/>
            </w:pPr>
            <w:r>
              <w:rPr/>
              <w:t>Youssef Khlat</w:t>
            </w:r>
          </w:p>
        </w:tc>
      </w:tr>
      <w:tr>
        <w:trPr/>
        <w:tc>
          <w:tcPr>
            <w:tcW w:w="828"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left"/>
              <w:rPr/>
            </w:pPr>
            <w:r>
              <w:rPr/>
              <w:t>Title:</w:t>
            </w:r>
          </w:p>
        </w:tc>
        <w:tc>
          <w:tcPr>
            <w:tcW w:w="163" w:type="dxa"/>
            <w:tcBorders/>
            <w:vAlign w:val="bottom"/>
          </w:tcPr>
          <w:p>
            <w:pPr>
              <w:pStyle w:val="TableContents"/>
              <w:bidi w:val="0"/>
              <w:spacing w:before="0" w:after="283"/>
              <w:jc w:val="left"/>
              <w:rPr/>
            </w:pPr>
            <w:r>
              <w:rPr/>
              <w:t> </w:t>
            </w:r>
          </w:p>
        </w:tc>
        <w:tc>
          <w:tcPr>
            <w:tcW w:w="3968" w:type="dxa"/>
            <w:tcBorders/>
            <w:vAlign w:val="bottom"/>
          </w:tcPr>
          <w:p>
            <w:pPr>
              <w:pStyle w:val="TableContents"/>
              <w:bidi w:val="0"/>
              <w:spacing w:before="0" w:after="283"/>
              <w:jc w:val="left"/>
              <w:rPr/>
            </w:pPr>
            <w:r>
              <w:rPr/>
              <w:t>M.D.</w:t>
            </w:r>
          </w:p>
        </w:tc>
      </w:tr>
      <w:tr>
        <w:trPr>
          <w:trHeight w:val="240" w:hRule="atLeast"/>
        </w:trPr>
        <w:tc>
          <w:tcPr>
            <w:tcW w:w="828" w:type="dxa"/>
            <w:tcBorders/>
            <w:vAlign w:val="center"/>
          </w:tcPr>
          <w:p>
            <w:pPr>
              <w:pStyle w:val="TableContents"/>
              <w:bidi w:val="0"/>
              <w:spacing w:before="0" w:after="283"/>
              <w:jc w:val="left"/>
              <w:rPr>
                <w:sz w:val="4"/>
                <w:szCs w:val="4"/>
              </w:rPr>
            </w:pPr>
            <w:r>
              <w:rPr>
                <w:sz w:val="4"/>
                <w:szCs w:val="4"/>
              </w:rPr>
            </w:r>
          </w:p>
        </w:tc>
        <w:tc>
          <w:tcPr>
            <w:tcW w:w="5897" w:type="dxa"/>
            <w:gridSpan w:val="4"/>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By:</w:t>
            </w:r>
          </w:p>
        </w:tc>
        <w:tc>
          <w:tcPr>
            <w:tcW w:w="163" w:type="dxa"/>
            <w:tcBorders>
              <w:bottom w:val="single" w:sz="2" w:space="0" w:color="000000"/>
            </w:tcBorders>
            <w:tcMar>
              <w:bottom w:w="28" w:type="dxa"/>
            </w:tcMar>
            <w:vAlign w:val="bottom"/>
          </w:tcPr>
          <w:p>
            <w:pPr>
              <w:pStyle w:val="TableContents"/>
              <w:bidi w:val="0"/>
              <w:spacing w:before="0" w:after="283"/>
              <w:jc w:val="left"/>
              <w:rPr/>
            </w:pPr>
            <w:r>
              <w:rPr/>
              <w:t> </w:t>
            </w:r>
          </w:p>
        </w:tc>
        <w:tc>
          <w:tcPr>
            <w:tcW w:w="5734" w:type="dxa"/>
            <w:gridSpan w:val="3"/>
            <w:tcBorders>
              <w:bottom w:val="single" w:sz="2" w:space="0" w:color="000000"/>
            </w:tcBorders>
            <w:tcMar>
              <w:bottom w:w="28" w:type="dxa"/>
            </w:tcMar>
          </w:tcPr>
          <w:p>
            <w:pPr>
              <w:pStyle w:val="TableContents"/>
              <w:bidi w:val="0"/>
              <w:spacing w:before="0" w:after="283"/>
              <w:jc w:val="left"/>
              <w:rPr/>
            </w:pPr>
            <w:r>
              <w:rPr/>
              <w:t>/s/ Pierre-François Martineau</w:t>
            </w:r>
          </w:p>
        </w:tc>
      </w:tr>
      <w:tr>
        <w:trPr/>
        <w:tc>
          <w:tcPr>
            <w:tcW w:w="828"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left"/>
              <w:rPr/>
            </w:pPr>
            <w:r>
              <w:rPr/>
              <w:t>Name:</w:t>
            </w:r>
          </w:p>
        </w:tc>
        <w:tc>
          <w:tcPr>
            <w:tcW w:w="163" w:type="dxa"/>
            <w:tcBorders/>
            <w:vAlign w:val="bottom"/>
          </w:tcPr>
          <w:p>
            <w:pPr>
              <w:pStyle w:val="TableContents"/>
              <w:bidi w:val="0"/>
              <w:spacing w:before="0" w:after="283"/>
              <w:jc w:val="left"/>
              <w:rPr/>
            </w:pPr>
            <w:r>
              <w:rPr/>
              <w:t> </w:t>
            </w:r>
          </w:p>
        </w:tc>
        <w:tc>
          <w:tcPr>
            <w:tcW w:w="3968" w:type="dxa"/>
            <w:tcBorders/>
            <w:vAlign w:val="bottom"/>
          </w:tcPr>
          <w:p>
            <w:pPr>
              <w:pStyle w:val="TableContents"/>
              <w:bidi w:val="0"/>
              <w:spacing w:before="0" w:after="283"/>
              <w:jc w:val="left"/>
              <w:rPr/>
            </w:pPr>
            <w:r>
              <w:rPr/>
              <w:t>Pierre-François Martineau</w:t>
            </w:r>
          </w:p>
        </w:tc>
      </w:tr>
      <w:tr>
        <w:trPr/>
        <w:tc>
          <w:tcPr>
            <w:tcW w:w="828"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left"/>
              <w:rPr/>
            </w:pPr>
            <w:r>
              <w:rPr/>
              <w:t>Title:</w:t>
            </w:r>
          </w:p>
        </w:tc>
        <w:tc>
          <w:tcPr>
            <w:tcW w:w="163" w:type="dxa"/>
            <w:tcBorders/>
            <w:vAlign w:val="bottom"/>
          </w:tcPr>
          <w:p>
            <w:pPr>
              <w:pStyle w:val="TableContents"/>
              <w:bidi w:val="0"/>
              <w:spacing w:before="0" w:after="283"/>
              <w:jc w:val="left"/>
              <w:rPr/>
            </w:pPr>
            <w:r>
              <w:rPr/>
              <w:t> </w:t>
            </w:r>
          </w:p>
        </w:tc>
        <w:tc>
          <w:tcPr>
            <w:tcW w:w="3968" w:type="dxa"/>
            <w:tcBorders/>
            <w:vAlign w:val="bottom"/>
          </w:tcPr>
          <w:p>
            <w:pPr>
              <w:pStyle w:val="TableContents"/>
              <w:bidi w:val="0"/>
              <w:spacing w:before="0" w:after="283"/>
              <w:jc w:val="left"/>
              <w:rPr/>
            </w:pPr>
            <w:r>
              <w:rPr/>
              <w:t>M.D.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4"/>
        <w:gridCol w:w="60"/>
        <w:gridCol w:w="689"/>
        <w:gridCol w:w="60"/>
        <w:gridCol w:w="2909"/>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MIZUHO SECURITIES EUROPE GMBH</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Wolfgang Krauss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9" w:type="dxa"/>
            <w:tcBorders/>
            <w:vAlign w:val="bottom"/>
          </w:tcPr>
          <w:p>
            <w:pPr>
              <w:pStyle w:val="TableContents"/>
              <w:bidi w:val="0"/>
              <w:spacing w:before="0" w:after="283"/>
              <w:jc w:val="left"/>
              <w:rPr/>
            </w:pPr>
            <w:r>
              <w:rPr/>
              <w:t>Wolfgang Krauss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9" w:type="dxa"/>
            <w:tcBorders/>
            <w:vAlign w:val="bottom"/>
          </w:tcPr>
          <w:p>
            <w:pPr>
              <w:pStyle w:val="TableContents"/>
              <w:bidi w:val="0"/>
              <w:spacing w:before="0" w:after="283"/>
              <w:jc w:val="left"/>
              <w:rPr/>
            </w:pPr>
            <w:r>
              <w:rPr/>
              <w:t>Executive Director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Peter Krafft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9" w:type="dxa"/>
            <w:tcBorders/>
            <w:vAlign w:val="bottom"/>
          </w:tcPr>
          <w:p>
            <w:pPr>
              <w:pStyle w:val="TableContents"/>
              <w:bidi w:val="0"/>
              <w:spacing w:before="0" w:after="283"/>
              <w:jc w:val="left"/>
              <w:rPr/>
            </w:pPr>
            <w:r>
              <w:rPr/>
              <w:t>Peter Krafft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9" w:type="dxa"/>
            <w:tcBorders/>
            <w:vAlign w:val="bottom"/>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5"/>
        <w:gridCol w:w="60"/>
        <w:gridCol w:w="692"/>
        <w:gridCol w:w="60"/>
        <w:gridCol w:w="2905"/>
      </w:tblGrid>
      <w:tr>
        <w:trPr/>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MUFG SECURITIES (EUROPE) N.V.</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3717"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7" w:type="dxa"/>
            <w:gridSpan w:val="3"/>
            <w:tcBorders>
              <w:bottom w:val="single" w:sz="2" w:space="0" w:color="000000"/>
            </w:tcBorders>
            <w:tcMar>
              <w:bottom w:w="28" w:type="dxa"/>
            </w:tcMar>
          </w:tcPr>
          <w:p>
            <w:pPr>
              <w:pStyle w:val="TableContents"/>
              <w:bidi w:val="0"/>
              <w:spacing w:before="0" w:after="283"/>
              <w:jc w:val="left"/>
              <w:rPr/>
            </w:pPr>
            <w:r>
              <w:rPr/>
              <w:t>/s/ Jeffrey Simmons</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5" w:type="dxa"/>
            <w:tcBorders/>
            <w:vAlign w:val="bottom"/>
          </w:tcPr>
          <w:p>
            <w:pPr>
              <w:pStyle w:val="TableContents"/>
              <w:bidi w:val="0"/>
              <w:spacing w:before="0" w:after="283"/>
              <w:jc w:val="left"/>
              <w:rPr/>
            </w:pPr>
            <w:r>
              <w:rPr/>
              <w:t>Jeffrey Simmons</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5" w:type="dxa"/>
            <w:tcBorders/>
            <w:vAlign w:val="bottom"/>
          </w:tcPr>
          <w:p>
            <w:pPr>
              <w:pStyle w:val="TableContents"/>
              <w:bidi w:val="0"/>
              <w:spacing w:before="0" w:after="283"/>
              <w:jc w:val="left"/>
              <w:rPr/>
            </w:pPr>
            <w:r>
              <w:rPr/>
              <w:t>Authorised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3"/>
        <w:gridCol w:w="60"/>
        <w:gridCol w:w="687"/>
        <w:gridCol w:w="60"/>
        <w:gridCol w:w="2912"/>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COÖPERATIEVE RABOBANK U.A.</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gridSpan w:val="3"/>
            <w:tcBorders>
              <w:bottom w:val="single" w:sz="2" w:space="0" w:color="000000"/>
            </w:tcBorders>
            <w:tcMar>
              <w:bottom w:w="28" w:type="dxa"/>
            </w:tcMar>
          </w:tcPr>
          <w:p>
            <w:pPr>
              <w:pStyle w:val="TableContents"/>
              <w:bidi w:val="0"/>
              <w:spacing w:before="0" w:after="283"/>
              <w:jc w:val="left"/>
              <w:rPr/>
            </w:pPr>
            <w:r>
              <w:rPr/>
              <w:t>/s/ M. Franken</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2" w:type="dxa"/>
            <w:tcBorders/>
            <w:vAlign w:val="bottom"/>
          </w:tcPr>
          <w:p>
            <w:pPr>
              <w:pStyle w:val="TableContents"/>
              <w:bidi w:val="0"/>
              <w:spacing w:before="0" w:after="283"/>
              <w:jc w:val="left"/>
              <w:rPr/>
            </w:pPr>
            <w:r>
              <w:rPr/>
              <w:t>M. Franken</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2" w:type="dxa"/>
            <w:tcBorders/>
            <w:vAlign w:val="bottom"/>
          </w:tcPr>
          <w:p>
            <w:pPr>
              <w:pStyle w:val="TableContents"/>
              <w:bidi w:val="0"/>
              <w:spacing w:before="0" w:after="283"/>
              <w:jc w:val="left"/>
              <w:rPr/>
            </w:pPr>
            <w:r>
              <w:rPr/>
              <w:t>ED</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gridSpan w:val="3"/>
            <w:tcBorders>
              <w:bottom w:val="single" w:sz="2" w:space="0" w:color="000000"/>
            </w:tcBorders>
            <w:tcMar>
              <w:bottom w:w="28" w:type="dxa"/>
            </w:tcMar>
          </w:tcPr>
          <w:p>
            <w:pPr>
              <w:pStyle w:val="TableContents"/>
              <w:bidi w:val="0"/>
              <w:spacing w:before="0" w:after="283"/>
              <w:jc w:val="left"/>
              <w:rPr/>
            </w:pPr>
            <w:r>
              <w:rPr/>
              <w:t>/s/ O.G. ter Waarbeek</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2" w:type="dxa"/>
            <w:tcBorders/>
            <w:vAlign w:val="bottom"/>
          </w:tcPr>
          <w:p>
            <w:pPr>
              <w:pStyle w:val="TableContents"/>
              <w:bidi w:val="0"/>
              <w:spacing w:before="0" w:after="283"/>
              <w:jc w:val="left"/>
              <w:rPr/>
            </w:pPr>
            <w:r>
              <w:rPr/>
              <w:t>O.G. ter Waarbeek</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2" w:type="dxa"/>
            <w:tcBorders/>
            <w:vAlign w:val="bottom"/>
          </w:tcPr>
          <w:p>
            <w:pPr>
              <w:pStyle w:val="TableContents"/>
              <w:bidi w:val="0"/>
              <w:spacing w:before="0" w:after="283"/>
              <w:jc w:val="left"/>
              <w:rPr/>
            </w:pPr>
            <w:r>
              <w:rPr/>
              <w:t>Head of Corporate Bond Origination</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3"/>
        <w:gridCol w:w="60"/>
        <w:gridCol w:w="689"/>
        <w:gridCol w:w="60"/>
        <w:gridCol w:w="2910"/>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BANCO SANTANDER, S.A.</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gridSpan w:val="3"/>
            <w:tcBorders>
              <w:bottom w:val="single" w:sz="2" w:space="0" w:color="000000"/>
            </w:tcBorders>
            <w:tcMar>
              <w:bottom w:w="28" w:type="dxa"/>
            </w:tcMar>
          </w:tcPr>
          <w:p>
            <w:pPr>
              <w:pStyle w:val="TableContents"/>
              <w:bidi w:val="0"/>
              <w:spacing w:before="0" w:after="283"/>
              <w:jc w:val="left"/>
              <w:rPr/>
            </w:pPr>
            <w:r>
              <w:rPr/>
              <w:t>/s/ Ioannis Kallianiotis</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0" w:type="dxa"/>
            <w:tcBorders/>
            <w:vAlign w:val="bottom"/>
          </w:tcPr>
          <w:p>
            <w:pPr>
              <w:pStyle w:val="TableContents"/>
              <w:bidi w:val="0"/>
              <w:spacing w:before="0" w:after="283"/>
              <w:jc w:val="left"/>
              <w:rPr/>
            </w:pPr>
            <w:r>
              <w:rPr/>
              <w:t>Ioannis Kallianiotis</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0" w:type="dxa"/>
            <w:tcBorders/>
            <w:vAlign w:val="bottom"/>
          </w:tcPr>
          <w:p>
            <w:pPr>
              <w:pStyle w:val="TableContents"/>
              <w:bidi w:val="0"/>
              <w:spacing w:before="0" w:after="283"/>
              <w:jc w:val="left"/>
              <w:rPr/>
            </w:pPr>
            <w:r>
              <w:rPr/>
              <w:t>ED</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4"/>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gridSpan w:val="3"/>
            <w:tcBorders>
              <w:bottom w:val="single" w:sz="2" w:space="0" w:color="000000"/>
            </w:tcBorders>
            <w:tcMar>
              <w:bottom w:w="28" w:type="dxa"/>
            </w:tcMar>
          </w:tcPr>
          <w:p>
            <w:pPr>
              <w:pStyle w:val="TableContents"/>
              <w:bidi w:val="0"/>
              <w:spacing w:before="0" w:after="283"/>
              <w:jc w:val="left"/>
              <w:rPr/>
            </w:pPr>
            <w:r>
              <w:rPr/>
              <w:t>/s/ Tommaso Gros-Pietro</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0" w:type="dxa"/>
            <w:tcBorders/>
            <w:vAlign w:val="bottom"/>
          </w:tcPr>
          <w:p>
            <w:pPr>
              <w:pStyle w:val="TableContents"/>
              <w:bidi w:val="0"/>
              <w:spacing w:before="0" w:after="283"/>
              <w:jc w:val="left"/>
              <w:rPr/>
            </w:pPr>
            <w:r>
              <w:rPr/>
              <w:t>Tommaso Gros-Pietro</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0" w:type="dxa"/>
            <w:tcBorders/>
            <w:vAlign w:val="bottom"/>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7025" w:type="dxa"/>
        <w:jc w:val="left"/>
        <w:tblInd w:w="0" w:type="dxa"/>
        <w:tblLayout w:type="fixed"/>
        <w:tblCellMar>
          <w:top w:w="0" w:type="dxa"/>
          <w:left w:w="0" w:type="dxa"/>
          <w:bottom w:w="0" w:type="dxa"/>
          <w:right w:w="0" w:type="dxa"/>
        </w:tblCellMar>
      </w:tblPr>
      <w:tblGrid>
        <w:gridCol w:w="1098"/>
        <w:gridCol w:w="216"/>
        <w:gridCol w:w="2125"/>
        <w:gridCol w:w="216"/>
        <w:gridCol w:w="3370"/>
      </w:tblGrid>
      <w:tr>
        <w:trPr/>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7025" w:type="dxa"/>
            <w:gridSpan w:val="5"/>
            <w:tcBorders/>
          </w:tcPr>
          <w:p>
            <w:pPr>
              <w:pStyle w:val="TableContents"/>
              <w:bidi w:val="0"/>
              <w:spacing w:before="0" w:after="283"/>
              <w:jc w:val="left"/>
              <w:rPr/>
            </w:pPr>
            <w:r>
              <w:rPr/>
              <w:t>SCOTIABANK (IRELAND) DESIGNATED ACTIVITY COMPANY</w:t>
            </w:r>
          </w:p>
        </w:tc>
      </w:tr>
      <w:tr>
        <w:trPr>
          <w:trHeight w:val="240" w:hRule="atLeast"/>
        </w:trPr>
        <w:tc>
          <w:tcPr>
            <w:tcW w:w="1098" w:type="dxa"/>
            <w:tcBorders/>
            <w:vAlign w:val="center"/>
          </w:tcPr>
          <w:p>
            <w:pPr>
              <w:pStyle w:val="TableContents"/>
              <w:bidi w:val="0"/>
              <w:spacing w:before="0" w:after="283"/>
              <w:jc w:val="left"/>
              <w:rPr>
                <w:sz w:val="4"/>
                <w:szCs w:val="4"/>
              </w:rPr>
            </w:pPr>
            <w:r>
              <w:rPr>
                <w:sz w:val="4"/>
                <w:szCs w:val="4"/>
              </w:rPr>
            </w:r>
          </w:p>
        </w:tc>
        <w:tc>
          <w:tcPr>
            <w:tcW w:w="5927" w:type="dxa"/>
            <w:gridSpan w:val="4"/>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283"/>
              <w:jc w:val="left"/>
              <w:rPr/>
            </w:pPr>
            <w:r>
              <w:rPr/>
              <w:t>By:</w:t>
            </w:r>
          </w:p>
        </w:tc>
        <w:tc>
          <w:tcPr>
            <w:tcW w:w="216" w:type="dxa"/>
            <w:tcBorders>
              <w:bottom w:val="single" w:sz="2" w:space="0" w:color="000000"/>
            </w:tcBorders>
            <w:tcMar>
              <w:bottom w:w="28" w:type="dxa"/>
            </w:tcMar>
            <w:vAlign w:val="bottom"/>
          </w:tcPr>
          <w:p>
            <w:pPr>
              <w:pStyle w:val="TableContents"/>
              <w:bidi w:val="0"/>
              <w:spacing w:before="0" w:after="283"/>
              <w:jc w:val="left"/>
              <w:rPr/>
            </w:pPr>
            <w:r>
              <w:rPr/>
              <w:t> </w:t>
            </w:r>
          </w:p>
        </w:tc>
        <w:tc>
          <w:tcPr>
            <w:tcW w:w="5711" w:type="dxa"/>
            <w:gridSpan w:val="3"/>
            <w:tcBorders>
              <w:bottom w:val="single" w:sz="2" w:space="0" w:color="000000"/>
            </w:tcBorders>
            <w:tcMar>
              <w:bottom w:w="28" w:type="dxa"/>
            </w:tcMar>
          </w:tcPr>
          <w:p>
            <w:pPr>
              <w:pStyle w:val="TableContents"/>
              <w:bidi w:val="0"/>
              <w:spacing w:before="0" w:after="283"/>
              <w:jc w:val="left"/>
              <w:rPr/>
            </w:pPr>
            <w:r>
              <w:rPr/>
              <w:t>/s/ Pauline Donohue</w:t>
            </w:r>
          </w:p>
        </w:tc>
      </w:tr>
      <w:tr>
        <w:trPr/>
        <w:tc>
          <w:tcPr>
            <w:tcW w:w="1098"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2125" w:type="dxa"/>
            <w:tcBorders/>
            <w:vAlign w:val="bottom"/>
          </w:tcPr>
          <w:p>
            <w:pPr>
              <w:pStyle w:val="TableContents"/>
              <w:bidi w:val="0"/>
              <w:spacing w:before="0" w:after="283"/>
              <w:jc w:val="left"/>
              <w:rPr/>
            </w:pPr>
            <w:r>
              <w:rPr/>
              <w:t>Name:</w:t>
            </w:r>
          </w:p>
        </w:tc>
        <w:tc>
          <w:tcPr>
            <w:tcW w:w="216"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283"/>
              <w:jc w:val="left"/>
              <w:rPr/>
            </w:pPr>
            <w:r>
              <w:rPr/>
              <w:t>Pauline Donohue</w:t>
            </w:r>
          </w:p>
        </w:tc>
      </w:tr>
      <w:tr>
        <w:trPr/>
        <w:tc>
          <w:tcPr>
            <w:tcW w:w="1098"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2125" w:type="dxa"/>
            <w:tcBorders/>
            <w:vAlign w:val="bottom"/>
          </w:tcPr>
          <w:p>
            <w:pPr>
              <w:pStyle w:val="TableContents"/>
              <w:bidi w:val="0"/>
              <w:spacing w:before="0" w:after="283"/>
              <w:jc w:val="left"/>
              <w:rPr/>
            </w:pPr>
            <w:r>
              <w:rPr/>
              <w:t>Title:</w:t>
            </w:r>
          </w:p>
        </w:tc>
        <w:tc>
          <w:tcPr>
            <w:tcW w:w="216"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283"/>
              <w:jc w:val="left"/>
              <w:rPr/>
            </w:pPr>
            <w:r>
              <w:rPr/>
              <w:t>MD, Head of Capital Markets, SIDAC</w:t>
            </w:r>
          </w:p>
        </w:tc>
      </w:tr>
      <w:tr>
        <w:trPr>
          <w:trHeight w:val="240" w:hRule="atLeast"/>
        </w:trPr>
        <w:tc>
          <w:tcPr>
            <w:tcW w:w="1098" w:type="dxa"/>
            <w:tcBorders/>
            <w:vAlign w:val="center"/>
          </w:tcPr>
          <w:p>
            <w:pPr>
              <w:pStyle w:val="TableContents"/>
              <w:bidi w:val="0"/>
              <w:spacing w:before="0" w:after="283"/>
              <w:jc w:val="left"/>
              <w:rPr>
                <w:sz w:val="4"/>
                <w:szCs w:val="4"/>
              </w:rPr>
            </w:pPr>
            <w:r>
              <w:rPr>
                <w:sz w:val="4"/>
                <w:szCs w:val="4"/>
              </w:rPr>
            </w:r>
          </w:p>
        </w:tc>
        <w:tc>
          <w:tcPr>
            <w:tcW w:w="5927" w:type="dxa"/>
            <w:gridSpan w:val="4"/>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283"/>
              <w:jc w:val="left"/>
              <w:rPr/>
            </w:pPr>
            <w:r>
              <w:rPr/>
              <w:t>By:</w:t>
            </w:r>
          </w:p>
        </w:tc>
        <w:tc>
          <w:tcPr>
            <w:tcW w:w="216" w:type="dxa"/>
            <w:tcBorders>
              <w:bottom w:val="single" w:sz="2" w:space="0" w:color="000000"/>
            </w:tcBorders>
            <w:tcMar>
              <w:bottom w:w="28" w:type="dxa"/>
            </w:tcMar>
            <w:vAlign w:val="bottom"/>
          </w:tcPr>
          <w:p>
            <w:pPr>
              <w:pStyle w:val="TableContents"/>
              <w:bidi w:val="0"/>
              <w:spacing w:before="0" w:after="283"/>
              <w:jc w:val="left"/>
              <w:rPr/>
            </w:pPr>
            <w:r>
              <w:rPr/>
              <w:t> </w:t>
            </w:r>
          </w:p>
        </w:tc>
        <w:tc>
          <w:tcPr>
            <w:tcW w:w="5711" w:type="dxa"/>
            <w:gridSpan w:val="3"/>
            <w:tcBorders>
              <w:bottom w:val="single" w:sz="2" w:space="0" w:color="000000"/>
            </w:tcBorders>
            <w:tcMar>
              <w:bottom w:w="28" w:type="dxa"/>
            </w:tcMar>
          </w:tcPr>
          <w:p>
            <w:pPr>
              <w:pStyle w:val="TableContents"/>
              <w:bidi w:val="0"/>
              <w:spacing w:before="0" w:after="283"/>
              <w:jc w:val="left"/>
              <w:rPr/>
            </w:pPr>
            <w:r>
              <w:rPr/>
              <w:t>/s/ Nicola Vavasour</w:t>
            </w:r>
          </w:p>
        </w:tc>
      </w:tr>
      <w:tr>
        <w:trPr/>
        <w:tc>
          <w:tcPr>
            <w:tcW w:w="1098"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2125" w:type="dxa"/>
            <w:tcBorders/>
            <w:vAlign w:val="bottom"/>
          </w:tcPr>
          <w:p>
            <w:pPr>
              <w:pStyle w:val="TableContents"/>
              <w:bidi w:val="0"/>
              <w:spacing w:before="0" w:after="283"/>
              <w:jc w:val="left"/>
              <w:rPr/>
            </w:pPr>
            <w:r>
              <w:rPr/>
              <w:t>Name:</w:t>
            </w:r>
          </w:p>
        </w:tc>
        <w:tc>
          <w:tcPr>
            <w:tcW w:w="216"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283"/>
              <w:jc w:val="left"/>
              <w:rPr/>
            </w:pPr>
            <w:r>
              <w:rPr/>
              <w:t>Nicola Vavasour</w:t>
            </w:r>
          </w:p>
        </w:tc>
      </w:tr>
      <w:tr>
        <w:trPr/>
        <w:tc>
          <w:tcPr>
            <w:tcW w:w="1098"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2125" w:type="dxa"/>
            <w:tcBorders/>
            <w:vAlign w:val="bottom"/>
          </w:tcPr>
          <w:p>
            <w:pPr>
              <w:pStyle w:val="TableContents"/>
              <w:bidi w:val="0"/>
              <w:spacing w:before="0" w:after="283"/>
              <w:jc w:val="left"/>
              <w:rPr/>
            </w:pPr>
            <w:r>
              <w:rPr/>
              <w:t>Title:</w:t>
            </w:r>
          </w:p>
        </w:tc>
        <w:tc>
          <w:tcPr>
            <w:tcW w:w="216"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283"/>
              <w:jc w:val="left"/>
              <w:rPr/>
            </w:pPr>
            <w:r>
              <w:rPr/>
              <w:t>CEO, SIDAC</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8"/>
        <w:gridCol w:w="60"/>
        <w:gridCol w:w="698"/>
        <w:gridCol w:w="60"/>
        <w:gridCol w:w="2896"/>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TD SECURITIES (USA) LLC</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gridSpan w:val="3"/>
            <w:tcBorders>
              <w:bottom w:val="single" w:sz="2" w:space="0" w:color="000000"/>
            </w:tcBorders>
            <w:tcMar>
              <w:bottom w:w="28" w:type="dxa"/>
            </w:tcMar>
          </w:tcPr>
          <w:p>
            <w:pPr>
              <w:pStyle w:val="TableContents"/>
              <w:bidi w:val="0"/>
              <w:spacing w:before="0" w:after="283"/>
              <w:jc w:val="left"/>
              <w:rPr/>
            </w:pPr>
            <w:r>
              <w:rPr/>
              <w:t>/s/ Luiz Lanfredi</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96" w:type="dxa"/>
            <w:tcBorders/>
            <w:vAlign w:val="bottom"/>
          </w:tcPr>
          <w:p>
            <w:pPr>
              <w:pStyle w:val="TableContents"/>
              <w:bidi w:val="0"/>
              <w:spacing w:before="0" w:after="283"/>
              <w:jc w:val="left"/>
              <w:rPr/>
            </w:pPr>
            <w:r>
              <w:rPr/>
              <w:t>Luiz Lanfredi</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96"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4"/>
        <w:gridCol w:w="60"/>
        <w:gridCol w:w="690"/>
        <w:gridCol w:w="60"/>
        <w:gridCol w:w="290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UNICREDIT BANK AG</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Paolo Frugis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Paolo Frugis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Managing Director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Matthew Hyotte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Matthew Hyotte</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8"/>
        <w:gridCol w:w="60"/>
        <w:gridCol w:w="696"/>
        <w:gridCol w:w="60"/>
        <w:gridCol w:w="2898"/>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WELLS FARGO SECURITIES EUROPE S.A.</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gridSpan w:val="3"/>
            <w:tcBorders>
              <w:bottom w:val="single" w:sz="2" w:space="0" w:color="000000"/>
            </w:tcBorders>
            <w:tcMar>
              <w:bottom w:w="28" w:type="dxa"/>
            </w:tcMar>
          </w:tcPr>
          <w:p>
            <w:pPr>
              <w:pStyle w:val="TableContents"/>
              <w:bidi w:val="0"/>
              <w:spacing w:before="0" w:after="283"/>
              <w:jc w:val="left"/>
              <w:rPr/>
            </w:pPr>
            <w:r>
              <w:rPr/>
              <w:t>/s/ Sarah Gibson</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98" w:type="dxa"/>
            <w:tcBorders/>
            <w:vAlign w:val="bottom"/>
          </w:tcPr>
          <w:p>
            <w:pPr>
              <w:pStyle w:val="TableContents"/>
              <w:bidi w:val="0"/>
              <w:spacing w:before="0" w:after="283"/>
              <w:jc w:val="left"/>
              <w:rPr/>
            </w:pPr>
            <w:r>
              <w:rPr/>
              <w:t>Sarah Gibson</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98" w:type="dxa"/>
            <w:tcBorders/>
            <w:vAlign w:val="bottom"/>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2"/>
        <w:gridCol w:w="60"/>
        <w:gridCol w:w="686"/>
        <w:gridCol w:w="60"/>
        <w:gridCol w:w="291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GOLDMAN SACHS &amp; CO. LLC</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gridSpan w:val="3"/>
            <w:tcBorders>
              <w:bottom w:val="single" w:sz="2" w:space="0" w:color="000000"/>
            </w:tcBorders>
            <w:tcMar>
              <w:bottom w:w="28" w:type="dxa"/>
            </w:tcMar>
          </w:tcPr>
          <w:p>
            <w:pPr>
              <w:pStyle w:val="TableContents"/>
              <w:bidi w:val="0"/>
              <w:spacing w:before="0" w:after="283"/>
              <w:jc w:val="left"/>
              <w:rPr/>
            </w:pPr>
            <w:r>
              <w:rPr/>
              <w:t xml:space="preserve">/s/ Shakhi Majumdar </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4" w:type="dxa"/>
            <w:tcBorders/>
            <w:vAlign w:val="bottom"/>
          </w:tcPr>
          <w:p>
            <w:pPr>
              <w:pStyle w:val="TableContents"/>
              <w:bidi w:val="0"/>
              <w:spacing w:before="0" w:after="283"/>
              <w:jc w:val="left"/>
              <w:rPr/>
            </w:pPr>
            <w:r>
              <w:rPr/>
              <w:t>Shakhi Majumdar</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4" w:type="dxa"/>
            <w:tcBorders/>
            <w:vAlign w:val="bottom"/>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4"/>
        <w:gridCol w:w="60"/>
        <w:gridCol w:w="690"/>
        <w:gridCol w:w="60"/>
        <w:gridCol w:w="290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HUNTINGTON SECURITIES, INC.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David Dwyer</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David Dwyer</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4"/>
        <w:gridCol w:w="60"/>
        <w:gridCol w:w="690"/>
        <w:gridCol w:w="60"/>
        <w:gridCol w:w="290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ING BANK N.V.</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Romke van der Weerdt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Romke van der Weerdt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Managing Director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Warren Lipschitz</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Warren Lipschitz</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2"/>
        <w:gridCol w:w="60"/>
        <w:gridCol w:w="719"/>
        <w:gridCol w:w="60"/>
        <w:gridCol w:w="2881"/>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 Kraus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81" w:type="dxa"/>
            <w:tcBorders/>
            <w:vAlign w:val="bottom"/>
          </w:tcPr>
          <w:p>
            <w:pPr>
              <w:pStyle w:val="TableContents"/>
              <w:bidi w:val="0"/>
              <w:spacing w:before="0" w:after="283"/>
              <w:jc w:val="left"/>
              <w:rPr/>
            </w:pPr>
            <w:r>
              <w:rPr/>
              <w:t>Greg Kraus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81" w:type="dxa"/>
            <w:tcBorders/>
            <w:vAlign w:val="bottom"/>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SMBC BANK EU AG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18"/>
        <w:gridCol w:w="60"/>
        <w:gridCol w:w="667"/>
        <w:gridCol w:w="60"/>
        <w:gridCol w:w="2977"/>
      </w:tblGrid>
      <w:tr>
        <w:trPr/>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r>
      <w:tr>
        <w:trPr/>
        <w:tc>
          <w:tcPr>
            <w:tcW w:w="3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04"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Anthony Saputo</w:t>
            </w:r>
          </w:p>
        </w:tc>
      </w:tr>
      <w:tr>
        <w:trPr/>
        <w:tc>
          <w:tcPr>
            <w:tcW w:w="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77" w:type="dxa"/>
            <w:tcBorders/>
            <w:vAlign w:val="bottom"/>
          </w:tcPr>
          <w:p>
            <w:pPr>
              <w:pStyle w:val="TableContents"/>
              <w:bidi w:val="0"/>
              <w:spacing w:before="0" w:after="283"/>
              <w:jc w:val="left"/>
              <w:rPr/>
            </w:pPr>
            <w:r>
              <w:rPr/>
              <w:t>Anthony Saputo</w:t>
            </w:r>
          </w:p>
        </w:tc>
      </w:tr>
      <w:tr>
        <w:trPr/>
        <w:tc>
          <w:tcPr>
            <w:tcW w:w="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77" w:type="dxa"/>
            <w:tcBorders/>
            <w:vAlign w:val="bottom"/>
          </w:tcPr>
          <w:p>
            <w:pPr>
              <w:pStyle w:val="TableContents"/>
              <w:bidi w:val="0"/>
              <w:spacing w:before="0" w:after="283"/>
              <w:jc w:val="left"/>
              <w:rPr/>
            </w:pPr>
            <w:r>
              <w:rPr/>
              <w:t>Head of Syndicate Frankfurt</w:t>
            </w:r>
          </w:p>
        </w:tc>
      </w:tr>
      <w:tr>
        <w:trPr>
          <w:trHeight w:val="240" w:hRule="atLeast"/>
        </w:trPr>
        <w:tc>
          <w:tcPr>
            <w:tcW w:w="318" w:type="dxa"/>
            <w:tcBorders/>
            <w:vAlign w:val="center"/>
          </w:tcPr>
          <w:p>
            <w:pPr>
              <w:pStyle w:val="TableContents"/>
              <w:bidi w:val="0"/>
              <w:spacing w:before="0" w:after="283"/>
              <w:jc w:val="left"/>
              <w:rPr>
                <w:sz w:val="4"/>
                <w:szCs w:val="4"/>
              </w:rPr>
            </w:pPr>
            <w:r>
              <w:rPr>
                <w:sz w:val="4"/>
                <w:szCs w:val="4"/>
              </w:rPr>
            </w:r>
          </w:p>
        </w:tc>
        <w:tc>
          <w:tcPr>
            <w:tcW w:w="3764" w:type="dxa"/>
            <w:gridSpan w:val="4"/>
            <w:tcBorders/>
            <w:vAlign w:val="center"/>
          </w:tcPr>
          <w:p>
            <w:pPr>
              <w:pStyle w:val="TableContents"/>
              <w:bidi w:val="0"/>
              <w:spacing w:before="0" w:after="283"/>
              <w:jc w:val="left"/>
              <w:rPr>
                <w:sz w:val="4"/>
                <w:szCs w:val="4"/>
              </w:rPr>
            </w:pPr>
            <w:r>
              <w:rPr>
                <w:sz w:val="4"/>
                <w:szCs w:val="4"/>
              </w:rPr>
            </w:r>
          </w:p>
        </w:tc>
      </w:tr>
      <w:tr>
        <w:trPr/>
        <w:tc>
          <w:tcPr>
            <w:tcW w:w="3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04"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Kammerlander</w:t>
            </w:r>
          </w:p>
        </w:tc>
      </w:tr>
      <w:tr>
        <w:trPr/>
        <w:tc>
          <w:tcPr>
            <w:tcW w:w="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77" w:type="dxa"/>
            <w:tcBorders/>
            <w:vAlign w:val="bottom"/>
          </w:tcPr>
          <w:p>
            <w:pPr>
              <w:pStyle w:val="TableContents"/>
              <w:bidi w:val="0"/>
              <w:spacing w:before="0" w:after="283"/>
              <w:jc w:val="left"/>
              <w:rPr/>
            </w:pPr>
            <w:r>
              <w:rPr/>
              <w:t>Michael Kammerlander</w:t>
            </w:r>
          </w:p>
        </w:tc>
      </w:tr>
      <w:tr>
        <w:trPr/>
        <w:tc>
          <w:tcPr>
            <w:tcW w:w="3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77" w:type="dxa"/>
            <w:tcBorders/>
            <w:vAlign w:val="bottom"/>
          </w:tcPr>
          <w:p>
            <w:pPr>
              <w:pStyle w:val="TableContents"/>
              <w:bidi w:val="0"/>
              <w:spacing w:before="0" w:after="283"/>
              <w:jc w:val="left"/>
              <w:rPr/>
            </w:pPr>
            <w:r>
              <w:rPr/>
              <w:t>Head of DCM Frankfurt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59"/>
        <w:gridCol w:w="314"/>
        <w:gridCol w:w="79"/>
        <w:gridCol w:w="1624"/>
        <w:gridCol w:w="63"/>
      </w:tblGrid>
      <w:tr>
        <w:trPr/>
        <w:tc>
          <w:tcPr>
            <w:tcW w:w="4859"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5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Initial Purchasers</w:t>
            </w:r>
          </w:p>
        </w:tc>
        <w:tc>
          <w:tcPr>
            <w:tcW w:w="314" w:type="dxa"/>
            <w:tcBorders/>
            <w:vAlign w:val="bottom"/>
          </w:tcPr>
          <w:p>
            <w:pPr>
              <w:pStyle w:val="TableContents"/>
              <w:bidi w:val="0"/>
              <w:spacing w:before="0" w:after="283"/>
              <w:jc w:val="left"/>
              <w:rPr/>
            </w:pPr>
            <w:r>
              <w:rPr/>
              <w:t>  </w:t>
            </w:r>
          </w:p>
        </w:tc>
        <w:tc>
          <w:tcPr>
            <w:tcW w:w="1703" w:type="dxa"/>
            <w:gridSpan w:val="2"/>
            <w:tcBorders>
              <w:bottom w:val="single" w:sz="8" w:space="0" w:color="000000"/>
            </w:tcBorders>
            <w:tcMar>
              <w:bottom w:w="28" w:type="dxa"/>
            </w:tcMar>
            <w:vAlign w:val="bottom"/>
          </w:tcPr>
          <w:p>
            <w:pPr>
              <w:pStyle w:val="TableContents"/>
              <w:bidi w:val="0"/>
              <w:spacing w:before="0" w:after="283"/>
              <w:jc w:val="center"/>
              <w:rPr/>
            </w:pPr>
            <w:r>
              <w:rPr/>
              <w:t>Principal Amount</w:t>
              <w:br/>
              <w:t>of Notes</w:t>
              <w:br/>
              <w:t>to be Purchased</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65,000,000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Europe AG</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61,250,000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Aktiengesellschaft</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61,250,000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Europe SA</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Crédit Agricole Corporate and Investment Bank</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Europe GmbH</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(Europe) N.V.</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Coöperatieve Rabobank U.A.</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Banco Santander, S.A.</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Scotiabank (Ireland) Designated Activity Company</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UniCredit Bank AG</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Europe S.A.</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25,000,000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12,500,000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Huntington Securities, Inc.</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12,500,000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ING Bank N.V.</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12,500,000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12,500,000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tcPr>
          <w:p>
            <w:pPr>
              <w:pStyle w:val="TableContents"/>
              <w:bidi w:val="0"/>
              <w:spacing w:before="0" w:after="0"/>
              <w:jc w:val="left"/>
              <w:rPr>
                <w:rFonts w:ascii="Times New Roman" w:hAnsi="Times New Roman"/>
                <w:sz w:val="20"/>
              </w:rPr>
            </w:pPr>
            <w:r>
              <w:rPr>
                <w:rFonts w:ascii="Times New Roman" w:hAnsi="Times New Roman"/>
                <w:sz w:val="20"/>
              </w:rPr>
              <w:t>SMBC Bank EU AG</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12,500,000</w:t>
            </w:r>
          </w:p>
        </w:tc>
        <w:tc>
          <w:tcPr>
            <w:tcW w:w="63" w:type="dxa"/>
            <w:tcBorders/>
            <w:vAlign w:val="bottom"/>
          </w:tcPr>
          <w:p>
            <w:pPr>
              <w:pStyle w:val="TableContents"/>
              <w:bidi w:val="0"/>
              <w:spacing w:before="0" w:after="283"/>
              <w:jc w:val="left"/>
              <w:rPr/>
            </w:pPr>
            <w:r>
              <w:rPr/>
              <w:t> </w:t>
            </w:r>
          </w:p>
        </w:tc>
      </w:tr>
      <w:tr>
        <w:trPr/>
        <w:tc>
          <w:tcPr>
            <w:tcW w:w="4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500,000,000</w:t>
            </w:r>
          </w:p>
        </w:tc>
        <w:tc>
          <w:tcPr>
            <w:tcW w:w="63" w:type="dxa"/>
            <w:tcBorders/>
            <w:shd w:fill="CCEEFF" w:val="clear"/>
            <w:vAlign w:val="bottom"/>
          </w:tcPr>
          <w:p>
            <w:pPr>
              <w:pStyle w:val="TableContents"/>
              <w:bidi w:val="0"/>
              <w:spacing w:before="0" w:after="283"/>
              <w:jc w:val="left"/>
              <w:rPr/>
            </w:pPr>
            <w:r>
              <w:rPr/>
              <w:t> </w:t>
            </w:r>
          </w:p>
        </w:tc>
      </w:tr>
      <w:tr>
        <w:trPr/>
        <w:tc>
          <w:tcPr>
            <w:tcW w:w="4859"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95"/>
        <w:gridCol w:w="247"/>
        <w:gridCol w:w="75"/>
        <w:gridCol w:w="2560"/>
        <w:gridCol w:w="62"/>
      </w:tblGrid>
      <w:tr>
        <w:trPr/>
        <w:tc>
          <w:tcPr>
            <w:tcW w:w="399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247" w:type="dxa"/>
            <w:tcBorders/>
            <w:vAlign w:val="bottom"/>
          </w:tcPr>
          <w:p>
            <w:pPr>
              <w:pStyle w:val="TableContents"/>
              <w:bidi w:val="0"/>
              <w:spacing w:before="0" w:after="283"/>
              <w:jc w:val="left"/>
              <w:rPr/>
            </w:pPr>
            <w:r>
              <w:rPr/>
              <w:t>  </w:t>
            </w:r>
          </w:p>
        </w:tc>
        <w:tc>
          <w:tcPr>
            <w:tcW w:w="2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Jurisdiction of Formation</w:t>
            </w:r>
          </w:p>
        </w:tc>
        <w:tc>
          <w:tcPr>
            <w:tcW w:w="62" w:type="dxa"/>
            <w:tcBorders/>
            <w:vAlign w:val="bottom"/>
          </w:tcPr>
          <w:p>
            <w:pPr>
              <w:pStyle w:val="TableContents"/>
              <w:bidi w:val="0"/>
              <w:spacing w:before="0" w:after="283"/>
              <w:jc w:val="left"/>
              <w:rPr/>
            </w:pPr>
            <w:r>
              <w:rPr/>
              <w:t> </w:t>
            </w:r>
          </w:p>
        </w:tc>
      </w:tr>
      <w:tr>
        <w:trPr/>
        <w:tc>
          <w:tcPr>
            <w:tcW w:w="6877" w:type="dxa"/>
            <w:gridSpan w:val="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United States:</w:t>
            </w:r>
          </w:p>
        </w:tc>
        <w:tc>
          <w:tcPr>
            <w:tcW w:w="62" w:type="dxa"/>
            <w:tcBorders/>
            <w:shd w:fill="CCEEFF" w:val="clear"/>
          </w:tcPr>
          <w:p>
            <w:pPr>
              <w:pStyle w:val="TableContents"/>
              <w:bidi w:val="0"/>
              <w:spacing w:before="0" w:after="0"/>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Americas LLC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PA</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 USA, Inc.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DE</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Beverage Holdings, Inc.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DE</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Beverage Packaging Puerto Rico, Inc.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DE</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Beverage Packaging, LLC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DE</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Consultants, Inc.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PA</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Cork &amp; Seal Company (DE), LLC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DE</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Cork &amp; Seal Company, Inc.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PA</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Cork &amp; Seal USA, Inc.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DE</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Financial Corporation</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PA</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Holdings, Inc.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PA</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International Holdings, Inc.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DE</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Packaging Technology, Inc.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DE</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Manufacturers Finance Corporation</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DE</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Signode Industrial Group US Inc.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DE</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Industrial Group LLC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DE</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Signode Pickling Holding LLC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DE</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US IP Holdings LLC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DE</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Signode Industrial Group Holdings US Inc.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DE</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International IP Holdings LLC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DE</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Simplimatic Engineering Holdings, LLC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OH</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Simplimatic Automation LLC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OH</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SEH Real Estate Holdings LLC</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VA</w:t>
            </w:r>
          </w:p>
        </w:tc>
        <w:tc>
          <w:tcPr>
            <w:tcW w:w="62" w:type="dxa"/>
            <w:tcBorders/>
            <w:vAlign w:val="bottom"/>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 International Holdings</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560" w:type="dxa"/>
            <w:tcBorders/>
            <w:shd w:fill="CCEEFF" w:val="clear"/>
            <w:vAlign w:val="bottom"/>
          </w:tcPr>
          <w:p>
            <w:pPr>
              <w:pStyle w:val="TableContents"/>
              <w:bidi w:val="0"/>
              <w:spacing w:before="0" w:after="283"/>
              <w:jc w:val="left"/>
              <w:rPr/>
            </w:pPr>
            <w:r>
              <w:rPr/>
              <w:t>OH</w:t>
            </w:r>
          </w:p>
        </w:tc>
        <w:tc>
          <w:tcPr>
            <w:tcW w:w="62" w:type="dxa"/>
            <w:tcBorders/>
            <w:shd w:fill="CCEEFF" w:val="clear"/>
            <w:vAlign w:val="bottom"/>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SE International Holdings II</w:t>
            </w:r>
          </w:p>
        </w:tc>
        <w:tc>
          <w:tcPr>
            <w:tcW w:w="247"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560" w:type="dxa"/>
            <w:tcBorders/>
            <w:vAlign w:val="bottom"/>
          </w:tcPr>
          <w:p>
            <w:pPr>
              <w:pStyle w:val="TableContents"/>
              <w:bidi w:val="0"/>
              <w:spacing w:before="0" w:after="283"/>
              <w:jc w:val="left"/>
              <w:rPr/>
            </w:pPr>
            <w:r>
              <w:rPr/>
              <w:t>OH</w:t>
            </w:r>
          </w:p>
        </w:tc>
        <w:tc>
          <w:tcPr>
            <w:tcW w:w="62" w:type="dxa"/>
            <w:tcBorders/>
            <w:vAlign w:val="bottom"/>
          </w:tcPr>
          <w:p>
            <w:pPr>
              <w:pStyle w:val="TableContents"/>
              <w:bidi w:val="0"/>
              <w:spacing w:before="0" w:after="283"/>
              <w:jc w:val="left"/>
              <w:rPr/>
            </w:pPr>
            <w:r>
              <w:rPr/>
              <w:t> </w:t>
            </w:r>
          </w:p>
        </w:tc>
      </w:tr>
      <w:tr>
        <w:trPr>
          <w:trHeight w:val="240" w:hRule="atLeast"/>
        </w:trPr>
        <w:tc>
          <w:tcPr>
            <w:tcW w:w="3995" w:type="dxa"/>
            <w:tcBorders/>
            <w:vAlign w:val="center"/>
          </w:tcPr>
          <w:p>
            <w:pPr>
              <w:pStyle w:val="TableContents"/>
              <w:bidi w:val="0"/>
              <w:spacing w:before="0" w:after="283"/>
              <w:jc w:val="left"/>
              <w:rPr>
                <w:sz w:val="4"/>
                <w:szCs w:val="4"/>
              </w:rPr>
            </w:pPr>
            <w:r>
              <w:rPr>
                <w:sz w:val="4"/>
                <w:szCs w:val="4"/>
              </w:rPr>
            </w:r>
          </w:p>
        </w:tc>
        <w:tc>
          <w:tcPr>
            <w:tcW w:w="2944" w:type="dxa"/>
            <w:gridSpan w:val="4"/>
            <w:tcBorders/>
            <w:vAlign w:val="center"/>
          </w:tcPr>
          <w:p>
            <w:pPr>
              <w:pStyle w:val="TableContents"/>
              <w:bidi w:val="0"/>
              <w:spacing w:before="0" w:after="283"/>
              <w:jc w:val="left"/>
              <w:rPr>
                <w:sz w:val="4"/>
                <w:szCs w:val="4"/>
              </w:rPr>
            </w:pPr>
            <w:r>
              <w:rPr>
                <w:sz w:val="4"/>
                <w:szCs w:val="4"/>
              </w:rPr>
            </w:r>
          </w:p>
        </w:tc>
      </w:tr>
      <w:tr>
        <w:trPr/>
        <w:tc>
          <w:tcPr>
            <w:tcW w:w="39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Canada:</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256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Metal Packaging Canada LP</w:t>
            </w:r>
          </w:p>
        </w:tc>
        <w:tc>
          <w:tcPr>
            <w:tcW w:w="247"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2560" w:type="dxa"/>
            <w:tcBorders/>
          </w:tcPr>
          <w:p>
            <w:pPr>
              <w:pStyle w:val="TableContents"/>
              <w:bidi w:val="0"/>
              <w:spacing w:before="0" w:after="283"/>
              <w:jc w:val="left"/>
              <w:rPr/>
            </w:pPr>
            <w:r>
              <w:rPr/>
              <w:t>Ontario, Canada</w:t>
            </w:r>
          </w:p>
        </w:tc>
        <w:tc>
          <w:tcPr>
            <w:tcW w:w="62" w:type="dxa"/>
            <w:tcBorders/>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3079939 Nova Scotia Company/3079939 Compagnie de la Nouvelle Ecosse</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2560" w:type="dxa"/>
            <w:tcBorders/>
            <w:shd w:fill="CCEEFF" w:val="clear"/>
          </w:tcPr>
          <w:p>
            <w:pPr>
              <w:pStyle w:val="TableContents"/>
              <w:bidi w:val="0"/>
              <w:spacing w:before="0" w:after="283"/>
              <w:jc w:val="left"/>
              <w:rPr/>
            </w:pPr>
            <w:r>
              <w:rPr/>
              <w:t>Nova Scotia, Canada</w:t>
            </w:r>
          </w:p>
        </w:tc>
        <w:tc>
          <w:tcPr>
            <w:tcW w:w="62" w:type="dxa"/>
            <w:tcBorders/>
            <w:shd w:fill="CCEEFF" w:val="clear"/>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889273 Ontario Inc.</w:t>
            </w:r>
          </w:p>
        </w:tc>
        <w:tc>
          <w:tcPr>
            <w:tcW w:w="247"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2560" w:type="dxa"/>
            <w:tcBorders/>
          </w:tcPr>
          <w:p>
            <w:pPr>
              <w:pStyle w:val="TableContents"/>
              <w:bidi w:val="0"/>
              <w:spacing w:before="0" w:after="283"/>
              <w:jc w:val="left"/>
              <w:rPr/>
            </w:pPr>
            <w:r>
              <w:rPr/>
              <w:t>Ontario, Canada</w:t>
            </w:r>
          </w:p>
        </w:tc>
        <w:tc>
          <w:tcPr>
            <w:tcW w:w="62" w:type="dxa"/>
            <w:tcBorders/>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Canadian Holdings ULC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2560" w:type="dxa"/>
            <w:tcBorders/>
            <w:shd w:fill="CCEEFF" w:val="clear"/>
          </w:tcPr>
          <w:p>
            <w:pPr>
              <w:pStyle w:val="TableContents"/>
              <w:bidi w:val="0"/>
              <w:spacing w:before="0" w:after="283"/>
              <w:jc w:val="left"/>
              <w:rPr/>
            </w:pPr>
            <w:r>
              <w:rPr/>
              <w:t>Nova Scotia, Canada</w:t>
            </w:r>
          </w:p>
        </w:tc>
        <w:tc>
          <w:tcPr>
            <w:tcW w:w="62" w:type="dxa"/>
            <w:tcBorders/>
            <w:shd w:fill="CCEEFF" w:val="clear"/>
          </w:tcPr>
          <w:p>
            <w:pPr>
              <w:pStyle w:val="TableContents"/>
              <w:bidi w:val="0"/>
              <w:spacing w:before="0" w:after="283"/>
              <w:jc w:val="left"/>
              <w:rPr/>
            </w:pPr>
            <w:r>
              <w:rPr/>
              <w:t> </w:t>
            </w:r>
          </w:p>
        </w:tc>
      </w:tr>
      <w:tr>
        <w:trPr/>
        <w:tc>
          <w:tcPr>
            <w:tcW w:w="3995" w:type="dxa"/>
            <w:tcBorders/>
          </w:tcPr>
          <w:p>
            <w:pPr>
              <w:pStyle w:val="TableContents"/>
              <w:bidi w:val="0"/>
              <w:spacing w:before="0" w:after="0"/>
              <w:jc w:val="left"/>
              <w:rPr>
                <w:rFonts w:ascii="Times New Roman" w:hAnsi="Times New Roman"/>
                <w:sz w:val="20"/>
              </w:rPr>
            </w:pPr>
            <w:r>
              <w:rPr>
                <w:rFonts w:ascii="Times New Roman" w:hAnsi="Times New Roman"/>
                <w:sz w:val="20"/>
              </w:rPr>
              <w:t>CROWN Metal Packaging Canada Inc.</w:t>
            </w:r>
          </w:p>
        </w:tc>
        <w:tc>
          <w:tcPr>
            <w:tcW w:w="247"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pPr>
            <w:r>
              <w:rPr/>
              <w:t> </w:t>
            </w:r>
          </w:p>
        </w:tc>
        <w:tc>
          <w:tcPr>
            <w:tcW w:w="2560" w:type="dxa"/>
            <w:tcBorders/>
          </w:tcPr>
          <w:p>
            <w:pPr>
              <w:pStyle w:val="TableContents"/>
              <w:bidi w:val="0"/>
              <w:spacing w:before="0" w:after="283"/>
              <w:jc w:val="left"/>
              <w:rPr/>
            </w:pPr>
            <w:r>
              <w:rPr/>
              <w:t>Ontario, Canada</w:t>
            </w:r>
          </w:p>
        </w:tc>
        <w:tc>
          <w:tcPr>
            <w:tcW w:w="62" w:type="dxa"/>
            <w:tcBorders/>
          </w:tcPr>
          <w:p>
            <w:pPr>
              <w:pStyle w:val="TableContents"/>
              <w:bidi w:val="0"/>
              <w:spacing w:before="0" w:after="283"/>
              <w:jc w:val="left"/>
              <w:rPr/>
            </w:pPr>
            <w:r>
              <w:rPr/>
              <w:t> </w:t>
            </w:r>
          </w:p>
        </w:tc>
      </w:tr>
      <w:tr>
        <w:trPr/>
        <w:tc>
          <w:tcPr>
            <w:tcW w:w="3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Canada ULC</w:t>
            </w:r>
          </w:p>
        </w:tc>
        <w:tc>
          <w:tcPr>
            <w:tcW w:w="247"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2560" w:type="dxa"/>
            <w:tcBorders/>
            <w:shd w:fill="CCEEFF" w:val="clear"/>
          </w:tcPr>
          <w:p>
            <w:pPr>
              <w:pStyle w:val="TableContents"/>
              <w:bidi w:val="0"/>
              <w:spacing w:before="0" w:after="283"/>
              <w:jc w:val="left"/>
              <w:rPr/>
            </w:pPr>
            <w:r>
              <w:rPr/>
              <w:t>Nova Scotia, Canada</w:t>
            </w:r>
          </w:p>
        </w:tc>
        <w:tc>
          <w:tcPr>
            <w:tcW w:w="62" w:type="dxa"/>
            <w:tcBorders/>
            <w:shd w:fill="CCEEFF" w:val="cle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3770"/>
        <w:gridCol w:w="536"/>
        <w:gridCol w:w="2633"/>
      </w:tblGrid>
      <w:tr>
        <w:trPr/>
        <w:tc>
          <w:tcPr>
            <w:tcW w:w="3770" w:type="dxa"/>
            <w:tcBorders/>
            <w:vAlign w:val="center"/>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536" w:type="dxa"/>
            <w:tcBorders/>
            <w:vAlign w:val="bottom"/>
          </w:tcPr>
          <w:p>
            <w:pPr>
              <w:pStyle w:val="TableContents"/>
              <w:bidi w:val="0"/>
              <w:spacing w:before="0" w:after="283"/>
              <w:jc w:val="left"/>
              <w:rPr/>
            </w:pPr>
            <w:r>
              <w:rPr/>
              <w:t>  </w:t>
            </w:r>
          </w:p>
        </w:tc>
        <w:tc>
          <w:tcPr>
            <w:tcW w:w="2633" w:type="dxa"/>
            <w:tcBorders>
              <w:bottom w:val="single" w:sz="8" w:space="0" w:color="000000"/>
            </w:tcBorders>
            <w:tcMar>
              <w:bottom w:w="28" w:type="dxa"/>
            </w:tcMar>
            <w:vAlign w:val="bottom"/>
          </w:tcPr>
          <w:p>
            <w:pPr>
              <w:pStyle w:val="TableContents"/>
              <w:bidi w:val="0"/>
              <w:spacing w:before="0" w:after="283"/>
              <w:jc w:val="center"/>
              <w:rPr>
                <w:b/>
              </w:rPr>
            </w:pPr>
            <w:r>
              <w:rPr>
                <w:b/>
              </w:rPr>
              <w:t>Jurisdiction of Formation</w:t>
            </w:r>
          </w:p>
        </w:tc>
      </w:tr>
      <w:tr>
        <w:trPr/>
        <w:tc>
          <w:tcPr>
            <w:tcW w:w="6939"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France:</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Crown Bevcan France SAS</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France</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Développement</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France</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Crown Europe SAS</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France</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Société Civile Immobiliére des Baquets</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France</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Société Civile Immobiliére Rousseau-Ivry</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France</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SPG France Holdings SAS</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France</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Signode France SAS</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France</w:t>
            </w:r>
          </w:p>
        </w:tc>
      </w:tr>
      <w:tr>
        <w:trPr>
          <w:trHeight w:val="240" w:hRule="atLeast"/>
        </w:trPr>
        <w:tc>
          <w:tcPr>
            <w:tcW w:w="3770"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37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Germany:</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Crown Cork &amp; Seal Deutschland Holdings GmbH</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Germany</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Packaging Systems GmbH</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Germany</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Mezger Heftsysteme GmbH</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Germany</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System GmbH</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Germany</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SPG Germany Service Management GmbH</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Germany</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SMP Schwede Maschinenbau Weischlitz GmbH</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Germany</w:t>
            </w:r>
          </w:p>
        </w:tc>
      </w:tr>
      <w:tr>
        <w:trPr>
          <w:trHeight w:val="240" w:hRule="atLeast"/>
        </w:trPr>
        <w:tc>
          <w:tcPr>
            <w:tcW w:w="3770"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0"/>
              <w:jc w:val="left"/>
              <w:rPr>
                <w:rFonts w:ascii="Times New Roman" w:hAnsi="Times New Roman"/>
                <w:b/>
                <w:sz w:val="20"/>
              </w:rPr>
            </w:pPr>
            <w:r>
              <w:rPr>
                <w:rFonts w:ascii="Times New Roman" w:hAnsi="Times New Roman"/>
                <w:b/>
                <w:sz w:val="20"/>
              </w:rPr>
              <w:t>Luxembourg:</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sz w:val="4"/>
                <w:szCs w:val="4"/>
              </w:rPr>
            </w:pPr>
            <w:r>
              <w:rPr>
                <w:sz w:val="4"/>
                <w:szCs w:val="4"/>
              </w:rPr>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Packaging Lux III, S.à r.l.</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Luxembourg</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Signode Industrial Group Lux S.A.</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Luxembourg</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Signode Luxembourg S.à r.l.</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Luxembourg</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SPG Industrial Packaging S.à r.l.</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Luxembourg</w:t>
            </w:r>
          </w:p>
        </w:tc>
      </w:tr>
      <w:tr>
        <w:trPr>
          <w:trHeight w:val="240" w:hRule="atLeast"/>
        </w:trPr>
        <w:tc>
          <w:tcPr>
            <w:tcW w:w="3770"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37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Mexico:</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Crown Envases Mexico, S.A. de C.V.</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Mexico</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Fábricas Monterrey, S.A. de C.V.</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Mexico</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CROWN Famosa, S.A. de C.V.</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Mexico</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Silices de Veracruz, S.A. de C.V.</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Mexico</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Silice del Istmo, S.A. de C.V.</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Mexico</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Vichisa, S.A. de C.V.</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Mexico</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Signode Mexico S. de R.L. de C.V.</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Mexico</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Simplimatic Automation S. de R.L. de C.V.</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Mexico</w:t>
            </w:r>
          </w:p>
        </w:tc>
      </w:tr>
      <w:tr>
        <w:trPr>
          <w:trHeight w:val="240" w:hRule="atLeast"/>
        </w:trPr>
        <w:tc>
          <w:tcPr>
            <w:tcW w:w="3770"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3770" w:type="dxa"/>
            <w:tcBorders/>
          </w:tcPr>
          <w:p>
            <w:pPr>
              <w:pStyle w:val="TableContents"/>
              <w:bidi w:val="0"/>
              <w:spacing w:before="0" w:after="0"/>
              <w:jc w:val="left"/>
              <w:rPr>
                <w:rFonts w:ascii="Times New Roman" w:hAnsi="Times New Roman"/>
                <w:b/>
                <w:sz w:val="20"/>
              </w:rPr>
            </w:pPr>
            <w:r>
              <w:rPr>
                <w:rFonts w:ascii="Times New Roman" w:hAnsi="Times New Roman"/>
                <w:b/>
                <w:sz w:val="20"/>
              </w:rPr>
              <w:t>Netherlands:</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sz w:val="4"/>
                <w:szCs w:val="4"/>
              </w:rPr>
            </w:pPr>
            <w:r>
              <w:rPr>
                <w:sz w:val="4"/>
                <w:szCs w:val="4"/>
              </w:rPr>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FAMOSA B.V.</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Netherlands</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SIVESA B.V.</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Netherlands</w:t>
            </w:r>
          </w:p>
        </w:tc>
      </w:tr>
      <w:tr>
        <w:trPr/>
        <w:tc>
          <w:tcPr>
            <w:tcW w:w="3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SISA Mexico B.V.</w:t>
            </w:r>
          </w:p>
        </w:tc>
        <w:tc>
          <w:tcPr>
            <w:tcW w:w="536" w:type="dxa"/>
            <w:tcBorders/>
            <w:shd w:fill="CCEEFF" w:val="clear"/>
            <w:vAlign w:val="bottom"/>
          </w:tcPr>
          <w:p>
            <w:pPr>
              <w:pStyle w:val="TableContents"/>
              <w:bidi w:val="0"/>
              <w:spacing w:before="0" w:after="283"/>
              <w:jc w:val="left"/>
              <w:rPr/>
            </w:pPr>
            <w:r>
              <w:rPr/>
              <w:t>  </w:t>
            </w:r>
          </w:p>
        </w:tc>
        <w:tc>
          <w:tcPr>
            <w:tcW w:w="2633" w:type="dxa"/>
            <w:tcBorders/>
            <w:shd w:fill="CCEEFF" w:val="clear"/>
            <w:vAlign w:val="bottom"/>
          </w:tcPr>
          <w:p>
            <w:pPr>
              <w:pStyle w:val="TableContents"/>
              <w:bidi w:val="0"/>
              <w:spacing w:before="0" w:after="283"/>
              <w:jc w:val="left"/>
              <w:rPr/>
            </w:pPr>
            <w:r>
              <w:rPr/>
              <w:t>Netherlands</w:t>
            </w:r>
          </w:p>
        </w:tc>
      </w:tr>
      <w:tr>
        <w:trPr/>
        <w:tc>
          <w:tcPr>
            <w:tcW w:w="3770" w:type="dxa"/>
            <w:tcBorders/>
          </w:tcPr>
          <w:p>
            <w:pPr>
              <w:pStyle w:val="TableContents"/>
              <w:bidi w:val="0"/>
              <w:spacing w:before="0" w:after="0"/>
              <w:jc w:val="left"/>
              <w:rPr>
                <w:rFonts w:ascii="Times New Roman" w:hAnsi="Times New Roman"/>
                <w:sz w:val="20"/>
              </w:rPr>
            </w:pPr>
            <w:r>
              <w:rPr>
                <w:rFonts w:ascii="Times New Roman" w:hAnsi="Times New Roman"/>
                <w:sz w:val="20"/>
              </w:rPr>
              <w:t>Signode Netherlands B.V.</w:t>
            </w:r>
          </w:p>
        </w:tc>
        <w:tc>
          <w:tcPr>
            <w:tcW w:w="536" w:type="dxa"/>
            <w:tcBorders/>
            <w:vAlign w:val="bottom"/>
          </w:tcPr>
          <w:p>
            <w:pPr>
              <w:pStyle w:val="TableContents"/>
              <w:bidi w:val="0"/>
              <w:spacing w:before="0" w:after="283"/>
              <w:jc w:val="left"/>
              <w:rPr/>
            </w:pPr>
            <w:r>
              <w:rPr/>
              <w:t>  </w:t>
            </w:r>
          </w:p>
        </w:tc>
        <w:tc>
          <w:tcPr>
            <w:tcW w:w="2633" w:type="dxa"/>
            <w:tcBorders/>
            <w:vAlign w:val="bottom"/>
          </w:tcPr>
          <w:p>
            <w:pPr>
              <w:pStyle w:val="TableContents"/>
              <w:bidi w:val="0"/>
              <w:spacing w:before="0" w:after="283"/>
              <w:jc w:val="left"/>
              <w:rPr/>
            </w:pPr>
            <w:r>
              <w:rPr/>
              <w:t>Netherlands</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3871"/>
        <w:gridCol w:w="385"/>
        <w:gridCol w:w="93"/>
        <w:gridCol w:w="2527"/>
        <w:gridCol w:w="63"/>
      </w:tblGrid>
      <w:tr>
        <w:trPr/>
        <w:tc>
          <w:tcPr>
            <w:tcW w:w="3871"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Guarantors</w:t>
            </w:r>
          </w:p>
        </w:tc>
        <w:tc>
          <w:tcPr>
            <w:tcW w:w="385" w:type="dxa"/>
            <w:tcBorders/>
            <w:vAlign w:val="bottom"/>
          </w:tcPr>
          <w:p>
            <w:pPr>
              <w:pStyle w:val="TableContents"/>
              <w:bidi w:val="0"/>
              <w:spacing w:before="0" w:after="283"/>
              <w:jc w:val="left"/>
              <w:rPr/>
            </w:pPr>
            <w:r>
              <w:rPr/>
              <w:t>  </w:t>
            </w:r>
          </w:p>
        </w:tc>
        <w:tc>
          <w:tcPr>
            <w:tcW w:w="2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Jurisdiction of Formation</w:t>
            </w:r>
          </w:p>
        </w:tc>
        <w:tc>
          <w:tcPr>
            <w:tcW w:w="63"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Switzerland:</w:t>
            </w:r>
          </w:p>
        </w:tc>
        <w:tc>
          <w:tcPr>
            <w:tcW w:w="38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252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Crown Packaging European Holdings GmbH</w:t>
            </w:r>
          </w:p>
        </w:tc>
        <w:tc>
          <w:tcPr>
            <w:tcW w:w="38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527" w:type="dxa"/>
            <w:tcBorders/>
            <w:vAlign w:val="bottom"/>
          </w:tcPr>
          <w:p>
            <w:pPr>
              <w:pStyle w:val="TableContents"/>
              <w:bidi w:val="0"/>
              <w:spacing w:before="0" w:after="283"/>
              <w:jc w:val="left"/>
              <w:rPr/>
            </w:pPr>
            <w:r>
              <w:rPr/>
              <w:t>Switzerland</w:t>
            </w:r>
          </w:p>
        </w:tc>
        <w:tc>
          <w:tcPr>
            <w:tcW w:w="63"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Packaging European Division GmbH</w:t>
            </w:r>
          </w:p>
        </w:tc>
        <w:tc>
          <w:tcPr>
            <w:tcW w:w="38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2527" w:type="dxa"/>
            <w:tcBorders/>
            <w:shd w:fill="CCEEFF" w:val="clear"/>
            <w:vAlign w:val="bottom"/>
          </w:tcPr>
          <w:p>
            <w:pPr>
              <w:pStyle w:val="TableContents"/>
              <w:bidi w:val="0"/>
              <w:spacing w:before="0" w:after="283"/>
              <w:jc w:val="left"/>
              <w:rPr/>
            </w:pPr>
            <w:r>
              <w:rPr/>
              <w:t>Switzerland</w:t>
            </w:r>
          </w:p>
        </w:tc>
        <w:tc>
          <w:tcPr>
            <w:tcW w:w="63"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Signode Switzerland GmbH</w:t>
            </w:r>
          </w:p>
        </w:tc>
        <w:tc>
          <w:tcPr>
            <w:tcW w:w="38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527" w:type="dxa"/>
            <w:tcBorders/>
            <w:vAlign w:val="bottom"/>
          </w:tcPr>
          <w:p>
            <w:pPr>
              <w:pStyle w:val="TableContents"/>
              <w:bidi w:val="0"/>
              <w:spacing w:before="0" w:after="283"/>
              <w:jc w:val="left"/>
              <w:rPr/>
            </w:pPr>
            <w:r>
              <w:rPr/>
              <w:t>Switzerland</w:t>
            </w:r>
          </w:p>
        </w:tc>
        <w:tc>
          <w:tcPr>
            <w:tcW w:w="63" w:type="dxa"/>
            <w:tcBorders/>
            <w:vAlign w:val="bottom"/>
          </w:tcPr>
          <w:p>
            <w:pPr>
              <w:pStyle w:val="TableContents"/>
              <w:bidi w:val="0"/>
              <w:spacing w:before="0" w:after="283"/>
              <w:jc w:val="left"/>
              <w:rPr/>
            </w:pPr>
            <w:r>
              <w:rPr/>
              <w:t> </w:t>
            </w:r>
          </w:p>
        </w:tc>
      </w:tr>
      <w:tr>
        <w:trPr>
          <w:trHeight w:val="240" w:hRule="atLeast"/>
        </w:trPr>
        <w:tc>
          <w:tcPr>
            <w:tcW w:w="3871" w:type="dxa"/>
            <w:tcBorders/>
            <w:vAlign w:val="center"/>
          </w:tcPr>
          <w:p>
            <w:pPr>
              <w:pStyle w:val="TableContents"/>
              <w:bidi w:val="0"/>
              <w:spacing w:before="0" w:after="283"/>
              <w:jc w:val="left"/>
              <w:rPr>
                <w:sz w:val="4"/>
                <w:szCs w:val="4"/>
              </w:rPr>
            </w:pPr>
            <w:r>
              <w:rPr>
                <w:sz w:val="4"/>
                <w:szCs w:val="4"/>
              </w:rPr>
            </w:r>
          </w:p>
        </w:tc>
        <w:tc>
          <w:tcPr>
            <w:tcW w:w="3068" w:type="dxa"/>
            <w:gridSpan w:val="4"/>
            <w:tcBorders/>
            <w:vAlign w:val="center"/>
          </w:tcPr>
          <w:p>
            <w:pPr>
              <w:pStyle w:val="TableContents"/>
              <w:bidi w:val="0"/>
              <w:spacing w:before="0" w:after="283"/>
              <w:jc w:val="left"/>
              <w:rPr>
                <w:sz w:val="4"/>
                <w:szCs w:val="4"/>
              </w:rPr>
            </w:pPr>
            <w:r>
              <w:rPr>
                <w:sz w:val="4"/>
                <w:szCs w:val="4"/>
              </w:rPr>
            </w:r>
          </w:p>
        </w:tc>
      </w:tr>
      <w:tr>
        <w:trPr/>
        <w:tc>
          <w:tcPr>
            <w:tcW w:w="38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United Kingdom:</w:t>
            </w:r>
          </w:p>
        </w:tc>
        <w:tc>
          <w:tcPr>
            <w:tcW w:w="38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252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Crown UK Holdings Limited</w:t>
            </w:r>
          </w:p>
        </w:tc>
        <w:tc>
          <w:tcPr>
            <w:tcW w:w="38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527" w:type="dxa"/>
            <w:tcBorders/>
            <w:vAlign w:val="bottom"/>
          </w:tcPr>
          <w:p>
            <w:pPr>
              <w:pStyle w:val="TableContents"/>
              <w:bidi w:val="0"/>
              <w:spacing w:before="0" w:after="283"/>
              <w:jc w:val="left"/>
              <w:rPr/>
            </w:pPr>
            <w:r>
              <w:rPr/>
              <w:t>United Kingdom</w:t>
            </w:r>
          </w:p>
        </w:tc>
        <w:tc>
          <w:tcPr>
            <w:tcW w:w="63"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CarnaudMetalbox Engineering Limited</w:t>
            </w:r>
          </w:p>
        </w:tc>
        <w:tc>
          <w:tcPr>
            <w:tcW w:w="38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2527" w:type="dxa"/>
            <w:tcBorders/>
            <w:shd w:fill="CCEEFF" w:val="clear"/>
            <w:vAlign w:val="bottom"/>
          </w:tcPr>
          <w:p>
            <w:pPr>
              <w:pStyle w:val="TableContents"/>
              <w:bidi w:val="0"/>
              <w:spacing w:before="0" w:after="283"/>
              <w:jc w:val="left"/>
              <w:rPr/>
            </w:pPr>
            <w:r>
              <w:rPr/>
              <w:t>United Kingdom</w:t>
            </w:r>
          </w:p>
        </w:tc>
        <w:tc>
          <w:tcPr>
            <w:tcW w:w="63"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CarnaudMetalbox Group UK Limited</w:t>
            </w:r>
          </w:p>
        </w:tc>
        <w:tc>
          <w:tcPr>
            <w:tcW w:w="38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527" w:type="dxa"/>
            <w:tcBorders/>
            <w:vAlign w:val="bottom"/>
          </w:tcPr>
          <w:p>
            <w:pPr>
              <w:pStyle w:val="TableContents"/>
              <w:bidi w:val="0"/>
              <w:spacing w:before="0" w:after="283"/>
              <w:jc w:val="left"/>
              <w:rPr/>
            </w:pPr>
            <w:r>
              <w:rPr/>
              <w:t>United Kingdom</w:t>
            </w:r>
          </w:p>
        </w:tc>
        <w:tc>
          <w:tcPr>
            <w:tcW w:w="63"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CarnaudMetalbox Overseas Limited</w:t>
            </w:r>
          </w:p>
        </w:tc>
        <w:tc>
          <w:tcPr>
            <w:tcW w:w="38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2527" w:type="dxa"/>
            <w:tcBorders/>
            <w:shd w:fill="CCEEFF" w:val="clear"/>
            <w:vAlign w:val="bottom"/>
          </w:tcPr>
          <w:p>
            <w:pPr>
              <w:pStyle w:val="TableContents"/>
              <w:bidi w:val="0"/>
              <w:spacing w:before="0" w:after="283"/>
              <w:jc w:val="left"/>
              <w:rPr/>
            </w:pPr>
            <w:r>
              <w:rPr/>
              <w:t>United Kingdom</w:t>
            </w:r>
          </w:p>
        </w:tc>
        <w:tc>
          <w:tcPr>
            <w:tcW w:w="63"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Crown Packaging Distribution UK Limited</w:t>
            </w:r>
          </w:p>
        </w:tc>
        <w:tc>
          <w:tcPr>
            <w:tcW w:w="38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527" w:type="dxa"/>
            <w:tcBorders/>
            <w:vAlign w:val="bottom"/>
          </w:tcPr>
          <w:p>
            <w:pPr>
              <w:pStyle w:val="TableContents"/>
              <w:bidi w:val="0"/>
              <w:spacing w:before="0" w:after="283"/>
              <w:jc w:val="left"/>
              <w:rPr/>
            </w:pPr>
            <w:r>
              <w:rPr/>
              <w:t>United Kingdom</w:t>
            </w:r>
          </w:p>
        </w:tc>
        <w:tc>
          <w:tcPr>
            <w:tcW w:w="63"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Crown Packaging Manufacturing UK Limited</w:t>
            </w:r>
          </w:p>
        </w:tc>
        <w:tc>
          <w:tcPr>
            <w:tcW w:w="38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2527" w:type="dxa"/>
            <w:tcBorders/>
            <w:shd w:fill="CCEEFF" w:val="clear"/>
            <w:vAlign w:val="bottom"/>
          </w:tcPr>
          <w:p>
            <w:pPr>
              <w:pStyle w:val="TableContents"/>
              <w:bidi w:val="0"/>
              <w:spacing w:before="0" w:after="283"/>
              <w:jc w:val="left"/>
              <w:rPr/>
            </w:pPr>
            <w:r>
              <w:rPr/>
              <w:t>United Kingdom</w:t>
            </w:r>
          </w:p>
        </w:tc>
        <w:tc>
          <w:tcPr>
            <w:tcW w:w="63" w:type="dxa"/>
            <w:tcBorders/>
            <w:shd w:fill="CCEEFF" w:val="clear"/>
            <w:vAlign w:val="bottom"/>
          </w:tcPr>
          <w:p>
            <w:pPr>
              <w:pStyle w:val="TableContents"/>
              <w:bidi w:val="0"/>
              <w:spacing w:before="0" w:after="283"/>
              <w:jc w:val="left"/>
              <w:rPr/>
            </w:pPr>
            <w:r>
              <w:rPr/>
              <w:t> </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Signode UK Ltd.</w:t>
            </w:r>
          </w:p>
        </w:tc>
        <w:tc>
          <w:tcPr>
            <w:tcW w:w="38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527" w:type="dxa"/>
            <w:tcBorders/>
            <w:vAlign w:val="bottom"/>
          </w:tcPr>
          <w:p>
            <w:pPr>
              <w:pStyle w:val="TableContents"/>
              <w:bidi w:val="0"/>
              <w:spacing w:before="0" w:after="283"/>
              <w:jc w:val="left"/>
              <w:rPr/>
            </w:pPr>
            <w:r>
              <w:rPr/>
              <w:t>United Kingdom</w:t>
            </w:r>
          </w:p>
        </w:tc>
        <w:tc>
          <w:tcPr>
            <w:tcW w:w="63" w:type="dxa"/>
            <w:tcBorders/>
            <w:vAlign w:val="bottom"/>
          </w:tcPr>
          <w:p>
            <w:pPr>
              <w:pStyle w:val="TableContents"/>
              <w:bidi w:val="0"/>
              <w:spacing w:before="0" w:after="283"/>
              <w:jc w:val="left"/>
              <w:rPr/>
            </w:pPr>
            <w:r>
              <w:rPr/>
              <w:t> </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Mec-a-Tec Services Limited</w:t>
            </w:r>
          </w:p>
        </w:tc>
        <w:tc>
          <w:tcPr>
            <w:tcW w:w="38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2527" w:type="dxa"/>
            <w:tcBorders/>
            <w:shd w:fill="CCEEFF" w:val="clear"/>
            <w:vAlign w:val="bottom"/>
          </w:tcPr>
          <w:p>
            <w:pPr>
              <w:pStyle w:val="TableContents"/>
              <w:bidi w:val="0"/>
              <w:spacing w:before="0" w:after="283"/>
              <w:jc w:val="left"/>
              <w:rPr/>
            </w:pPr>
            <w:r>
              <w:rPr/>
              <w:t>United Kingdom</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Selling Restrictions for Offers </w:t>
      </w:r>
    </w:p>
    <w:p>
      <w:pPr>
        <w:pStyle w:val="TextBody"/>
        <w:bidi w:val="0"/>
        <w:spacing w:before="0" w:after="0"/>
        <w:jc w:val="center"/>
        <w:rPr>
          <w:rFonts w:ascii="Times New Roman" w:hAnsi="Times New Roman"/>
          <w:b/>
          <w:sz w:val="20"/>
        </w:rPr>
      </w:pPr>
      <w:r>
        <w:rPr>
          <w:rFonts w:ascii="Times New Roman" w:hAnsi="Times New Roman"/>
          <w:b/>
          <w:sz w:val="20"/>
        </w:rPr>
        <w:t xml:space="preserve">and Sales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1.    (a) The Securities have not been and will not be registered under the Act and may not be offered or sold (x) within the United States or to, or for the account or benefit of, U.S. persons except pursuant to an exemption from the registration requirements of the Act and (y) outside the United States except in accordance with Regulation S under the Act. Each Initial Purchaser represents and agrees that, except as otherwise permitted by Section 4(a)(i) of the Agreement to which this is an exhibit, it has offered and sold the Securities, and will offer and sell the Securities, (i) as part of their distribution at any time; and (ii) otherwise until 40 days after the later of the commencement of the offering and the Closing Date (the distribution compliance period), only in accordance with Rule 903 of Regulation S under the Act. Accordingly, each Initial Purchaser represents and agrees that neither it, nor any of its Affiliates nor any person acting on its or their behalf has engaged or will engage in any directed selling efforts with respect to the Securities, and that it and they have complied and will comply with the offering restrictions requirement of Regulation S. Each Initial Purchaser agrees that, at or prior to the confirmation of sale of Securities (other than a sale of Securities pursuant to Section 4(a)(i) of the Agreement to which this is an exhibit), it shall have sent to each distributor, dealer or person receiving a selling concession, fee or other remuneration that purchases Securities from it during the distribution compliance period a confirmation or notice to substantially the following effect: </w:t>
      </w:r>
    </w:p>
    <w:p>
      <w:pPr>
        <w:pStyle w:val="TextBody"/>
        <w:bidi w:val="0"/>
        <w:spacing w:before="120" w:after="0"/>
        <w:jc w:val="left"/>
        <w:rPr>
          <w:rFonts w:ascii="Times New Roman" w:hAnsi="Times New Roman"/>
          <w:sz w:val="20"/>
        </w:rPr>
      </w:pPr>
      <w:r>
        <w:rPr>
          <w:rFonts w:ascii="Times New Roman" w:hAnsi="Times New Roman"/>
          <w:sz w:val="20"/>
        </w:rPr>
        <w:t>The Securities covered hereby have not been registered under the U.S. Securities Act of 1933 (the </w:t>
      </w:r>
      <w:r>
        <w:rPr>
          <w:rFonts w:ascii="Times New Roman" w:hAnsi="Times New Roman"/>
          <w:sz w:val="20"/>
          <w:u w:val="single"/>
        </w:rPr>
        <w:t>Act</w:t>
      </w:r>
      <w:r>
        <w:rPr>
          <w:rFonts w:ascii="Times New Roman" w:hAnsi="Times New Roman"/>
          <w:sz w:val="20"/>
        </w:rPr>
        <w:t xml:space="preserve">) and may not be offered or sold within the United States or to, or for the account or benefit of, U.S. persons (i) as part of their distribution at any time or (ii) otherwise until 40 days after the later of the commencement of the offering and the date of closing of the offering, except in either case in accordance with Regulation S or Rule 144A under the Act. Terms used above have the meanings given to them by Regulation S. </w:t>
      </w:r>
    </w:p>
    <w:p>
      <w:pPr>
        <w:pStyle w:val="TextBody"/>
        <w:bidi w:val="0"/>
        <w:spacing w:before="240" w:after="0"/>
        <w:jc w:val="left"/>
        <w:rPr>
          <w:rFonts w:ascii="Times New Roman" w:hAnsi="Times New Roman"/>
          <w:sz w:val="20"/>
        </w:rPr>
      </w:pPr>
      <w:r>
        <w:rPr>
          <w:rFonts w:ascii="Times New Roman" w:hAnsi="Times New Roman"/>
          <w:sz w:val="20"/>
        </w:rPr>
        <w:t xml:space="preserve">(b)    Each Initial Purchaser also represents and agrees that it has not entered and will not enter into any contractual arrangement with any distributor with respect to the distribution of the Securities, except with its Affiliates or with the prior written consent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(c)    Terms used in this section have the meanings given to them by Regulation 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Each Initial Purchaser, severally and not jointly represents and warrants and agrees with the Companies that: </w:t>
      </w:r>
    </w:p>
    <w:p>
      <w:pPr>
        <w:pStyle w:val="TextBody"/>
        <w:bidi w:val="0"/>
        <w:spacing w:before="120" w:after="0"/>
        <w:jc w:val="left"/>
        <w:rPr>
          <w:rFonts w:ascii="Times New Roman" w:hAnsi="Times New Roman"/>
          <w:sz w:val="20"/>
        </w:rPr>
      </w:pPr>
      <w:r>
        <w:rPr>
          <w:rFonts w:ascii="Times New Roman" w:hAnsi="Times New Roman"/>
          <w:sz w:val="20"/>
        </w:rPr>
        <w:t>(a)    it has not offered, sold or otherwise made available and will not offer, sell or otherwise make available any Notes to any retail investor in the European Economic Area. For the purposes of this provision: (a) the expression retail investor means a person who is one (or more) of: (i) a retail client as defined in point (11) of Article 4(1) of Directive 2014/65/EU (as amended, </w:t>
      </w:r>
      <w:r>
        <w:rPr>
          <w:rFonts w:ascii="Times New Roman" w:hAnsi="Times New Roman"/>
          <w:sz w:val="20"/>
          <w:u w:val="single"/>
        </w:rPr>
        <w:t>MiFID II</w:t>
      </w:r>
      <w:r>
        <w:rPr>
          <w:rFonts w:ascii="Times New Roman" w:hAnsi="Times New Roman"/>
          <w:sz w:val="20"/>
        </w:rPr>
        <w:t xml:space="preserve">); (ii) a customer within the meaning of Directive EU 2016/97 (as amended),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Notes so as to enable an investor to decide to purchase or subscribe for the Notes; </w:t>
      </w:r>
    </w:p>
    <w:p>
      <w:pPr>
        <w:pStyle w:val="TextBody"/>
        <w:bidi w:val="0"/>
        <w:spacing w:before="120" w:after="0"/>
        <w:jc w:val="left"/>
        <w:rPr>
          <w:rFonts w:ascii="Times New Roman" w:hAnsi="Times New Roman"/>
          <w:sz w:val="20"/>
        </w:rPr>
      </w:pPr>
      <w:r>
        <w:rPr>
          <w:rFonts w:ascii="Times New Roman" w:hAnsi="Times New Roman"/>
          <w:sz w:val="20"/>
        </w:rPr>
        <w:t xml:space="preserve">(b)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Companies; </w:t>
      </w:r>
    </w:p>
    <w:p>
      <w:pPr>
        <w:pStyle w:val="TextBody"/>
        <w:bidi w:val="0"/>
        <w:spacing w:before="120" w:after="0"/>
        <w:jc w:val="left"/>
        <w:rPr>
          <w:rFonts w:ascii="Times New Roman" w:hAnsi="Times New Roman"/>
          <w:sz w:val="20"/>
        </w:rPr>
      </w:pPr>
      <w:r>
        <w:rPr>
          <w:rFonts w:ascii="Times New Roman" w:hAnsi="Times New Roman"/>
          <w:sz w:val="20"/>
        </w:rPr>
        <w:t xml:space="preserve">(c)    it has not offered, sold or otherwise made available and will not offer, sell or otherwise make available any Notes to any retail investor in the United Kingdom. For the purposes of this provision: (a) the expression retail investor means a person who is one (or more) of: (i) a retail client as defined in point (8) of Article 2 of Regulation (EU) 2017/565 as it forms part of United Kingdom domestic law by virtue of the EUWA; or (ii) a customer within the meaning of the provisions of the FSMA and any rules or regulations made under the FSMA to implement Directive (EU) 2016/97, where that customer would not qualify as a professional client, as defined in point (8) of Article 2(1) of Regulation (EU) 600/2014 as it forms part of United Kingdom domestic law by virtue of the EUWA; or (iii) not a qualified investor as defined in Article 2 of Regulation (EU) 2017/1129 as it forms part of United Kingdom domestic law by virtue of the EUWA (the UK Prospectus Regulation); and (b) the expression offer includes the communication in any form and by any means of sufficient information on the terms of the offer and the Notes to be offered so as to enable an investor to decide to purchase or subscribe for the Notes; </w:t>
      </w:r>
    </w:p>
    <w:p>
      <w:pPr>
        <w:pStyle w:val="TextBody"/>
        <w:bidi w:val="0"/>
        <w:spacing w:before="120" w:after="0"/>
        <w:jc w:val="left"/>
        <w:rPr>
          <w:rFonts w:ascii="Times New Roman" w:hAnsi="Times New Roman"/>
          <w:sz w:val="20"/>
        </w:rPr>
      </w:pPr>
      <w:r>
        <w:rPr>
          <w:rFonts w:ascii="Times New Roman" w:hAnsi="Times New Roman"/>
          <w:sz w:val="20"/>
        </w:rPr>
        <w:t xml:space="preserve">(d)    it has complied and will comply with all applicable provisions of the FSMA with respect to anything done by it in relation to the Notes in, from or otherwise involving the United Kingdom; </w:t>
      </w:r>
    </w:p>
    <w:p>
      <w:pPr>
        <w:pStyle w:val="TextBody"/>
        <w:bidi w:val="0"/>
        <w:spacing w:before="120" w:after="0"/>
        <w:jc w:val="left"/>
        <w:rPr>
          <w:rFonts w:ascii="Times New Roman" w:hAnsi="Times New Roman"/>
          <w:sz w:val="20"/>
        </w:rPr>
      </w:pPr>
      <w:r>
        <w:rPr>
          <w:rFonts w:ascii="Times New Roman" w:hAnsi="Times New Roman"/>
          <w:sz w:val="20"/>
        </w:rPr>
        <w:t>(e)    with respect to offers and sales made in France, that it has not offered or sold, and will not offer or sell, directly or indirectly, Securities to the public in France (other than to qualified investors). It has only made and will only make offers, sales and distribution of the Notes in France to qualified investors (</w:t>
      </w:r>
      <w:r>
        <w:rPr>
          <w:rFonts w:ascii="Times New Roman" w:hAnsi="Times New Roman"/>
          <w:i/>
          <w:sz w:val="20"/>
        </w:rPr>
        <w:t>investisseurs qualifiés</w:t>
      </w:r>
      <w:r>
        <w:rPr>
          <w:rFonts w:ascii="Times New Roman" w:hAnsi="Times New Roman"/>
          <w:sz w:val="20"/>
        </w:rPr>
        <w:t xml:space="preserve">), as defined in the Regulation (EU) 2017/1129 of the European Parliament and of the Council of 14 June 2017 as amended from time to time and any applicable French law and regulation implementing the Prospectus Regulation and related regulations in France;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with respect to offers and sales made in Canada, it has only made and will only make offers, sales and distribution of the Notes in Canada to purchasers (i) purchasing, or deemed to be purchasing, as principal that are accredited investors, as defined in National Instrument 45-106 -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as applicable, and (ii) that are permitted clients, as defined in National Instrument 31-103 - </w:t>
      </w:r>
      <w:r>
        <w:rPr>
          <w:rFonts w:ascii="Times New Roman" w:hAnsi="Times New Roman"/>
          <w:i/>
          <w:sz w:val="20"/>
        </w:rPr>
        <w:t>Registration Requirements, Exemptions and Ongoing Registrant Obligations</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84</Pages>
  <Words>23013</Words>
  <Characters>121415</Characters>
  <CharactersWithSpaces>144475</CharactersWithSpaces>
  <Paragraphs>1884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