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32"/>
          <w:szCs w:val="32"/>
          <w:b w:val="1"/>
          <w:bCs w:val="1"/>
          <w:color w:val="auto"/>
        </w:rPr>
        <w:t>FORM 8-A/A</w:t>
      </w:r>
    </w:p>
    <w:p>
      <w:pPr>
        <w:spacing w:after="0" w:line="4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left="2020" w:right="138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360"/>
          </w:cols>
          <w:pgMar w:left="440" w:top="376" w:right="10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000-50189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75-3099507</w:t>
      </w:r>
    </w:p>
    <w:p>
      <w:pPr>
        <w:spacing w:after="0" w:line="43" w:lineRule="exact"/>
        <w:rPr>
          <w:sz w:val="24"/>
          <w:szCs w:val="24"/>
          <w:color w:val="auto"/>
        </w:rPr>
      </w:pPr>
    </w:p>
    <w:p>
      <w:pPr>
        <w:sectPr>
          <w:pgSz w:w="11900" w:h="16838" w:orient="portrait"/>
          <w:cols w:equalWidth="0" w:num="3">
            <w:col w:w="4520" w:space="720"/>
            <w:col w:w="2860" w:space="720"/>
            <w:col w:w="1540"/>
          </w:cols>
          <w:pgMar w:left="440" w:top="376"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81" w:lineRule="exact"/>
        <w:rPr>
          <w:sz w:val="24"/>
          <w:szCs w:val="24"/>
          <w:color w:val="auto"/>
        </w:rPr>
      </w:pPr>
    </w:p>
    <w:p>
      <w:pPr>
        <w:sectPr>
          <w:pgSz w:w="11900" w:h="16838" w:orient="portrait"/>
          <w:cols w:equalWidth="0" w:num="3">
            <w:col w:w="4080" w:space="720"/>
            <w:col w:w="2620" w:space="720"/>
            <w:col w:w="2220"/>
          </w:cols>
          <w:pgMar w:left="440" w:top="376" w:right="1099" w:bottom="1440" w:gutter="0" w:footer="0" w:header="0"/>
          <w:type w:val="continuous"/>
        </w:sect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770 Township Line Road</w:t>
      </w:r>
    </w:p>
    <w:p>
      <w:pPr>
        <w:spacing w:after="0" w:line="3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Yardley, Pennsylvania 19067</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2"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8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237" w:lineRule="exact"/>
        <w:rPr>
          <w:sz w:val="24"/>
          <w:szCs w:val="24"/>
          <w:color w:val="auto"/>
        </w:rPr>
      </w:pPr>
    </w:p>
    <w:tbl>
      <w:tblPr>
        <w:tblLayout w:type="fixed"/>
        <w:tblInd w:w="162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3"/>
          </w:tcPr>
          <w:p>
            <w:pPr>
              <w:ind w:left="1680"/>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600" w:type="dxa"/>
            <w:vAlign w:val="bottom"/>
          </w:tcPr>
          <w:p>
            <w:pPr>
              <w:spacing w:after="0"/>
              <w:rPr>
                <w:sz w:val="15"/>
                <w:szCs w:val="15"/>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2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160" w:type="dxa"/>
            <w:vAlign w:val="bottom"/>
          </w:tcPr>
          <w:p>
            <w:pPr>
              <w:spacing w:after="0"/>
              <w:rPr>
                <w:sz w:val="15"/>
                <w:szCs w:val="15"/>
                <w:color w:val="auto"/>
              </w:rPr>
            </w:pPr>
          </w:p>
        </w:tc>
      </w:tr>
      <w:tr>
        <w:trPr>
          <w:trHeight w:val="22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86"/>
              </w:rPr>
              <w:t>Common</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0"/>
              </w:rPr>
              <w:t>Share Purchase</w:t>
            </w:r>
          </w:p>
        </w:tc>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New York Stock Exchange</w:t>
            </w:r>
          </w:p>
        </w:tc>
        <w:tc>
          <w:tcPr>
            <w:tcW w:w="1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Act registration statement or Regulation A offering statement file number to which this form relates: Not Applicable</w:t>
      </w:r>
    </w:p>
    <w:p>
      <w:pPr>
        <w:spacing w:after="0" w:line="22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360"/>
          </w:cols>
          <w:pgMar w:left="440" w:top="376" w:right="10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This Amendment No. 1 amends the Registration Statement on Form 8-A filed by Crown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on November 7, 2022. This Amendment No. 1 is being filed to amend the description of common share purchase rights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of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13, 2022, the Company entered into the Amendment No. 1 to the Rights Agreement (the “</w:t>
      </w:r>
      <w:r>
        <w:rPr>
          <w:rFonts w:ascii="Times New Roman" w:cs="Times New Roman" w:eastAsia="Times New Roman" w:hAnsi="Times New Roman"/>
          <w:sz w:val="18"/>
          <w:szCs w:val="18"/>
          <w:u w:val="single" w:color="auto"/>
          <w:color w:val="auto"/>
        </w:rPr>
        <w:t>Rights Agreement Amendment</w:t>
      </w:r>
      <w:r>
        <w:rPr>
          <w:rFonts w:ascii="Times New Roman" w:cs="Times New Roman" w:eastAsia="Times New Roman" w:hAnsi="Times New Roman"/>
          <w:sz w:val="18"/>
          <w:szCs w:val="18"/>
          <w:color w:val="auto"/>
        </w:rPr>
        <w:t>”) with Equiniti Trust Company, as Rights Agent. The Rights Agreement Amendment amends the Rights Agreement, dated November 7, 2022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the Company and Equiniti Trust Company, as Rights Agent, solely to accelerate the expiration date of the Rights (as defined in the Rights Agreement) from the close of business on November 6, 2023 to the close of business on December 13, 2022. As a result of the Rights Agreement Amendment, effective as of the close of business on December 13, 2022, the Rights (as defined in the Rights Agreement) will expire and cease to be outstanding.</w:t>
      </w:r>
    </w:p>
    <w:p>
      <w:pPr>
        <w:spacing w:after="0" w:line="18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Rights are in all respects subject to and governed by the provisions of the Rights Agreement, as amended by the Rights Agreement Amendment, which is attached hereto as Exhibit 4.1 and incorporated herein by reference. The description of the Rights Agreement Amendment is qualified in its entirety by reference to the full text of the Rights Agreement Amendment, which is attached hereto as Exhibit 4.2 and incorporated herein by reference.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listed below are filed as an Exhibit to this Registration Statement: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500" w:type="dxa"/>
            <w:vAlign w:val="bottom"/>
            <w:gridSpan w:val="4"/>
          </w:tcPr>
          <w:p>
            <w:pPr>
              <w:spacing w:after="0"/>
              <w:rPr>
                <w:sz w:val="15"/>
                <w:szCs w:val="15"/>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20" w:type="dxa"/>
            <w:vAlign w:val="bottom"/>
          </w:tcPr>
          <w:p>
            <w:pPr>
              <w:spacing w:after="0"/>
              <w:rPr>
                <w:sz w:val="24"/>
                <w:szCs w:val="24"/>
                <w:color w:val="auto"/>
              </w:rPr>
            </w:pPr>
          </w:p>
        </w:tc>
        <w:tc>
          <w:tcPr>
            <w:tcW w:w="9880" w:type="dxa"/>
            <w:vAlign w:val="bottom"/>
            <w:gridSpan w:val="7"/>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Rights Agreement, dated as of November 7, 2022, by and between Crown Holdings, Inc. and Equiniti Trust Company, as Rights Agent</w:t>
              </w:r>
            </w:hyperlink>
          </w:p>
        </w:tc>
      </w:tr>
      <w:tr>
        <w:trPr>
          <w:trHeight w:val="196"/>
        </w:trPr>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(incorporated by reference to Exhibit 4.1 to the Company’s Current Report on Form 8-K dated November 7, 2022).</w:t>
              </w:r>
            </w:hyperlink>
          </w:p>
        </w:tc>
        <w:tc>
          <w:tcPr>
            <w:tcW w:w="12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8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20" w:type="dxa"/>
            <w:vAlign w:val="bottom"/>
          </w:tcPr>
          <w:p>
            <w:pPr>
              <w:spacing w:after="0"/>
              <w:rPr>
                <w:sz w:val="24"/>
                <w:szCs w:val="24"/>
                <w:color w:val="auto"/>
              </w:rPr>
            </w:pPr>
          </w:p>
        </w:tc>
        <w:tc>
          <w:tcPr>
            <w:tcW w:w="9880" w:type="dxa"/>
            <w:vAlign w:val="bottom"/>
            <w:gridSpan w:val="7"/>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Amendment No 1. to Rights Agreement, dated as of December 13, 2022, by and between Crown Holdings, Inc. and Equiniti Trust</w:t>
              </w:r>
            </w:hyperlink>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960" w:type="dxa"/>
            <w:vAlign w:val="bottom"/>
            <w:gridSpan w:val="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Company, as Rights Agent (incorporated by reference to Exhibit 4.1 to the Company’s Current Report on Form 8-K dated December 13,</w:t>
              </w:r>
            </w:hyperlink>
          </w:p>
        </w:tc>
      </w:tr>
      <w:tr>
        <w:trPr>
          <w:trHeight w:val="196"/>
        </w:trPr>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9">
              <w:r>
                <w:rPr>
                  <w:rFonts w:ascii="Times New Roman" w:cs="Times New Roman" w:eastAsia="Times New Roman" w:hAnsi="Times New Roman"/>
                  <w:sz w:val="18"/>
                  <w:szCs w:val="18"/>
                  <w:color w:val="0000EE"/>
                  <w:w w:val="94"/>
                </w:rPr>
                <w:t>2022).</w:t>
              </w:r>
            </w:hyperlink>
          </w:p>
        </w:tc>
        <w:tc>
          <w:tcPr>
            <w:tcW w:w="4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ectPr>
          <w:pgSz w:w="11900" w:h="16838" w:orient="portrait"/>
          <w:cols w:equalWidth="0" w:num="1">
            <w:col w:w="10900"/>
          </w:cols>
          <w:pgMar w:left="440" w:top="266" w:right="5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13,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Christy L. Kalaus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 and Corporate Controller</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8" Type="http://schemas.openxmlformats.org/officeDocument/2006/relationships/hyperlink" Target="http://www.sec.gov/Archives/edgar/data/1219601/000119312522278631/d400387dex41.htm" TargetMode="External"/><Relationship Id="rId19" Type="http://schemas.openxmlformats.org/officeDocument/2006/relationships/hyperlink" Target="http://www.sec.gov/Archives/edgar/data/1219601/000119312522303785/d41728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2022-12-13T15:44:53Z</dcterms:created>
  <dcterms:modified xsi:type="dcterms:W3CDTF">2022-12-13T15:44:53Z</dcterms:modified>
</cp:coreProperties>
</file>