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00"/>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100" w:space="720"/>
            <w:col w:w="719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820"/>
        <w:spacing w:after="0"/>
        <w:rPr>
          <w:sz w:val="20"/>
          <w:szCs w:val="20"/>
          <w:color w:val="auto"/>
        </w:rPr>
      </w:pPr>
      <w:r>
        <w:rPr>
          <w:rFonts w:ascii="Arial" w:cs="Arial" w:eastAsia="Arial" w:hAnsi="Arial"/>
          <w:sz w:val="19"/>
          <w:szCs w:val="19"/>
          <w:b w:val="1"/>
          <w:bCs w:val="1"/>
          <w:color w:val="auto"/>
        </w:rPr>
        <w:t>For the fiscal year ended December 31, 2019</w:t>
      </w:r>
    </w:p>
    <w:p>
      <w:pPr>
        <w:spacing w:after="0" w:line="200" w:lineRule="exact"/>
        <w:rPr>
          <w:sz w:val="24"/>
          <w:szCs w:val="24"/>
          <w:color w:val="auto"/>
        </w:rPr>
      </w:pPr>
    </w:p>
    <w:p>
      <w:pPr>
        <w:spacing w:after="0" w:line="203"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Commission File Number 000-50189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20" w:hanging="471"/>
        <w:spacing w:after="0"/>
        <w:tabs>
          <w:tab w:leader="none" w:pos="2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368" w:lineRule="exact"/>
        <w:rPr>
          <w:rFonts w:ascii="Arial" w:cs="Arial" w:eastAsia="Arial" w:hAnsi="Arial"/>
          <w:sz w:val="22"/>
          <w:szCs w:val="22"/>
          <w:b w:val="1"/>
          <w:bCs w:val="1"/>
          <w:color w:val="auto"/>
        </w:rPr>
      </w:pPr>
    </w:p>
    <w:p>
      <w:pPr>
        <w:ind w:left="2220" w:right="3539"/>
        <w:spacing w:after="0" w:line="394" w:lineRule="auto"/>
        <w:rPr>
          <w:rFonts w:ascii="Arial" w:cs="Arial" w:eastAsia="Arial" w:hAnsi="Arial"/>
          <w:sz w:val="22"/>
          <w:szCs w:val="22"/>
          <w:b w:val="1"/>
          <w:bCs w:val="1"/>
          <w:color w:val="auto"/>
        </w:rPr>
      </w:pPr>
      <w:r>
        <w:rPr>
          <w:rFonts w:ascii="Arial" w:cs="Arial" w:eastAsia="Arial" w:hAnsi="Arial"/>
          <w:sz w:val="19"/>
          <w:szCs w:val="19"/>
          <w:b w:val="1"/>
          <w:bCs w:val="1"/>
          <w:color w:val="auto"/>
        </w:rPr>
        <w:t>Crown Cork &amp; Seal Company, Inc. 401(k) Retirement Savings Plan</w:t>
      </w:r>
    </w:p>
    <w:p>
      <w:pPr>
        <w:spacing w:after="0" w:line="200" w:lineRule="exact"/>
        <w:rPr>
          <w:rFonts w:ascii="Arial" w:cs="Arial" w:eastAsia="Arial" w:hAnsi="Arial"/>
          <w:sz w:val="22"/>
          <w:szCs w:val="22"/>
          <w:b w:val="1"/>
          <w:bCs w:val="1"/>
          <w:color w:val="auto"/>
        </w:rPr>
      </w:pPr>
    </w:p>
    <w:p>
      <w:pPr>
        <w:ind w:left="2220" w:right="1519" w:hanging="459"/>
        <w:spacing w:after="0" w:line="394" w:lineRule="auto"/>
        <w:tabs>
          <w:tab w:leader="none" w:pos="222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CROWN HOLDINGS,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770 TOWNSHIP LINE ROAD</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YARDLEY, PA 19067-4232</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420" w:type="dxa"/>
            <w:vAlign w:val="bottom"/>
          </w:tcPr>
          <w:p>
            <w:pPr>
              <w:spacing w:after="0"/>
              <w:rPr>
                <w:sz w:val="21"/>
                <w:szCs w:val="21"/>
                <w:color w:val="auto"/>
              </w:rPr>
            </w:pPr>
          </w:p>
        </w:tc>
        <w:tc>
          <w:tcPr>
            <w:tcW w:w="2340" w:type="dxa"/>
            <w:vAlign w:val="bottom"/>
          </w:tcPr>
          <w:p>
            <w:pPr>
              <w:ind w:left="1740"/>
              <w:spacing w:after="0"/>
              <w:rPr>
                <w:sz w:val="20"/>
                <w:szCs w:val="20"/>
                <w:color w:val="auto"/>
              </w:rPr>
            </w:pPr>
            <w:r>
              <w:rPr>
                <w:rFonts w:ascii="Arial" w:cs="Arial" w:eastAsia="Arial" w:hAnsi="Arial"/>
                <w:sz w:val="20"/>
                <w:szCs w:val="20"/>
                <w:color w:val="auto"/>
                <w:w w:val="82"/>
              </w:rPr>
              <w:t>Page(s)</w:t>
            </w:r>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340" w:type="dxa"/>
            <w:vAlign w:val="bottom"/>
          </w:tcPr>
          <w:p>
            <w:pPr>
              <w:jc w:val="center"/>
              <w:ind w:left="1661"/>
              <w:spacing w:after="0"/>
              <w:rPr>
                <w:rFonts w:ascii="Arial" w:cs="Arial" w:eastAsia="Arial" w:hAnsi="Arial"/>
                <w:sz w:val="20"/>
                <w:szCs w:val="20"/>
                <w:u w:val="single" w:color="auto"/>
                <w:color w:val="0000EE"/>
                <w:w w:val="89"/>
              </w:rPr>
            </w:pPr>
            <w:hyperlink w:anchor="page3">
              <w:r>
                <w:rPr>
                  <w:rFonts w:ascii="Arial" w:cs="Arial" w:eastAsia="Arial" w:hAnsi="Arial"/>
                  <w:sz w:val="20"/>
                  <w:szCs w:val="20"/>
                  <w:u w:val="single" w:color="auto"/>
                  <w:color w:val="0000EE"/>
                  <w:w w:val="89"/>
                </w:rPr>
                <w:t>1</w:t>
              </w:r>
            </w:hyperlink>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Financial Statements</w:t>
            </w:r>
          </w:p>
        </w:tc>
        <w:tc>
          <w:tcPr>
            <w:tcW w:w="2340" w:type="dxa"/>
            <w:vAlign w:val="bottom"/>
          </w:tcPr>
          <w:p>
            <w:pPr>
              <w:spacing w:after="0"/>
              <w:rPr>
                <w:sz w:val="24"/>
                <w:szCs w:val="24"/>
                <w:color w:val="auto"/>
              </w:rPr>
            </w:pPr>
          </w:p>
        </w:tc>
      </w:tr>
      <w:tr>
        <w:trPr>
          <w:trHeight w:val="608"/>
        </w:trPr>
        <w:tc>
          <w:tcPr>
            <w:tcW w:w="8420" w:type="dxa"/>
            <w:vAlign w:val="bottom"/>
          </w:tcPr>
          <w:p>
            <w:pPr>
              <w:ind w:left="160"/>
              <w:spacing w:after="0"/>
              <w:rPr>
                <w:sz w:val="20"/>
                <w:szCs w:val="20"/>
                <w:color w:val="auto"/>
              </w:rPr>
            </w:pPr>
            <w:r>
              <w:rPr>
                <w:rFonts w:ascii="Arial" w:cs="Arial" w:eastAsia="Arial" w:hAnsi="Arial"/>
                <w:sz w:val="20"/>
                <w:szCs w:val="20"/>
                <w:color w:val="auto"/>
              </w:rPr>
              <w:t>Statement of Net Assets Available for Benefits as of December 31, 2019 and 2018</w:t>
            </w:r>
          </w:p>
        </w:tc>
        <w:tc>
          <w:tcPr>
            <w:tcW w:w="2340" w:type="dxa"/>
            <w:vAlign w:val="bottom"/>
          </w:tcPr>
          <w:p>
            <w:pPr>
              <w:jc w:val="center"/>
              <w:ind w:left="1661"/>
              <w:spacing w:after="0"/>
              <w:rPr>
                <w:rFonts w:ascii="Arial" w:cs="Arial" w:eastAsia="Arial" w:hAnsi="Arial"/>
                <w:sz w:val="20"/>
                <w:szCs w:val="20"/>
                <w:u w:val="single" w:color="auto"/>
                <w:color w:val="0000EE"/>
                <w:w w:val="89"/>
              </w:rPr>
            </w:pPr>
            <w:hyperlink w:anchor="page4">
              <w:r>
                <w:rPr>
                  <w:rFonts w:ascii="Arial" w:cs="Arial" w:eastAsia="Arial" w:hAnsi="Arial"/>
                  <w:sz w:val="20"/>
                  <w:szCs w:val="20"/>
                  <w:u w:val="single" w:color="auto"/>
                  <w:color w:val="0000EE"/>
                  <w:w w:val="89"/>
                </w:rPr>
                <w:t>2</w:t>
              </w:r>
            </w:hyperlink>
          </w:p>
        </w:tc>
      </w:tr>
      <w:tr>
        <w:trPr>
          <w:trHeight w:val="587"/>
        </w:trPr>
        <w:tc>
          <w:tcPr>
            <w:tcW w:w="8420" w:type="dxa"/>
            <w:vAlign w:val="bottom"/>
          </w:tcPr>
          <w:p>
            <w:pPr>
              <w:ind w:left="16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2340" w:type="dxa"/>
            <w:vAlign w:val="bottom"/>
          </w:tcPr>
          <w:p>
            <w:pPr>
              <w:spacing w:after="0"/>
              <w:rPr>
                <w:sz w:val="24"/>
                <w:szCs w:val="24"/>
                <w:color w:val="auto"/>
              </w:rPr>
            </w:pPr>
          </w:p>
        </w:tc>
      </w:tr>
      <w:tr>
        <w:trPr>
          <w:trHeight w:val="250"/>
        </w:trPr>
        <w:tc>
          <w:tcPr>
            <w:tcW w:w="8420" w:type="dxa"/>
            <w:vAlign w:val="bottom"/>
          </w:tcPr>
          <w:p>
            <w:pPr>
              <w:ind w:left="160"/>
              <w:spacing w:after="0"/>
              <w:rPr>
                <w:sz w:val="20"/>
                <w:szCs w:val="20"/>
                <w:color w:val="auto"/>
              </w:rPr>
            </w:pPr>
            <w:r>
              <w:rPr>
                <w:rFonts w:ascii="Arial" w:cs="Arial" w:eastAsia="Arial" w:hAnsi="Arial"/>
                <w:sz w:val="20"/>
                <w:szCs w:val="20"/>
                <w:color w:val="auto"/>
              </w:rPr>
              <w:t>December 31, 2019 and 2018</w:t>
            </w:r>
          </w:p>
        </w:tc>
        <w:tc>
          <w:tcPr>
            <w:tcW w:w="2340" w:type="dxa"/>
            <w:vAlign w:val="bottom"/>
          </w:tcPr>
          <w:p>
            <w:pPr>
              <w:jc w:val="center"/>
              <w:ind w:left="1661"/>
              <w:spacing w:after="0"/>
              <w:rPr>
                <w:rFonts w:ascii="Arial" w:cs="Arial" w:eastAsia="Arial" w:hAnsi="Arial"/>
                <w:sz w:val="20"/>
                <w:szCs w:val="20"/>
                <w:u w:val="single" w:color="auto"/>
                <w:color w:val="0000EE"/>
                <w:w w:val="89"/>
              </w:rPr>
            </w:pPr>
            <w:hyperlink w:anchor="page5">
              <w:r>
                <w:rPr>
                  <w:rFonts w:ascii="Arial" w:cs="Arial" w:eastAsia="Arial" w:hAnsi="Arial"/>
                  <w:sz w:val="20"/>
                  <w:szCs w:val="20"/>
                  <w:u w:val="single" w:color="auto"/>
                  <w:color w:val="0000EE"/>
                  <w:w w:val="89"/>
                </w:rPr>
                <w:t>3</w:t>
              </w:r>
            </w:hyperlink>
          </w:p>
        </w:tc>
      </w:tr>
      <w:tr>
        <w:trPr>
          <w:trHeight w:val="607"/>
        </w:trPr>
        <w:tc>
          <w:tcPr>
            <w:tcW w:w="8420" w:type="dxa"/>
            <w:vAlign w:val="bottom"/>
          </w:tcPr>
          <w:p>
            <w:pPr>
              <w:ind w:left="120"/>
              <w:spacing w:after="0"/>
              <w:rPr>
                <w:sz w:val="20"/>
                <w:szCs w:val="20"/>
                <w:color w:val="auto"/>
              </w:rPr>
            </w:pPr>
            <w:r>
              <w:rPr>
                <w:rFonts w:ascii="Arial" w:cs="Arial" w:eastAsia="Arial" w:hAnsi="Arial"/>
                <w:sz w:val="20"/>
                <w:szCs w:val="20"/>
                <w:color w:val="auto"/>
              </w:rPr>
              <w:t>Notes to Financial Statements</w:t>
            </w:r>
          </w:p>
        </w:tc>
        <w:tc>
          <w:tcPr>
            <w:tcW w:w="2340" w:type="dxa"/>
            <w:vAlign w:val="bottom"/>
          </w:tcPr>
          <w:p>
            <w:pPr>
              <w:jc w:val="center"/>
              <w:ind w:left="1641"/>
              <w:spacing w:after="0"/>
              <w:rPr>
                <w:rFonts w:ascii="Arial" w:cs="Arial" w:eastAsia="Arial" w:hAnsi="Arial"/>
                <w:sz w:val="20"/>
                <w:szCs w:val="20"/>
                <w:u w:val="single" w:color="auto"/>
                <w:color w:val="0000EE"/>
                <w:w w:val="89"/>
              </w:rPr>
            </w:pPr>
            <w:hyperlink w:anchor="page6">
              <w:r>
                <w:rPr>
                  <w:rFonts w:ascii="Arial" w:cs="Arial" w:eastAsia="Arial" w:hAnsi="Arial"/>
                  <w:sz w:val="20"/>
                  <w:szCs w:val="20"/>
                  <w:u w:val="single" w:color="auto"/>
                  <w:color w:val="0000EE"/>
                  <w:w w:val="89"/>
                </w:rPr>
                <w:t>4 - 9</w:t>
              </w:r>
            </w:hyperlink>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2340" w:type="dxa"/>
            <w:vAlign w:val="bottom"/>
          </w:tcPr>
          <w:p>
            <w:pPr>
              <w:spacing w:after="0"/>
              <w:rPr>
                <w:sz w:val="24"/>
                <w:szCs w:val="24"/>
                <w:color w:val="auto"/>
              </w:rPr>
            </w:pPr>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2340" w:type="dxa"/>
            <w:vAlign w:val="bottom"/>
          </w:tcPr>
          <w:p>
            <w:pPr>
              <w:jc w:val="center"/>
              <w:ind w:left="1641"/>
              <w:spacing w:after="0"/>
              <w:rPr>
                <w:rFonts w:ascii="Arial" w:cs="Arial" w:eastAsia="Arial" w:hAnsi="Arial"/>
                <w:sz w:val="20"/>
                <w:szCs w:val="20"/>
                <w:u w:val="single" w:color="auto"/>
                <w:color w:val="0000EE"/>
                <w:w w:val="89"/>
              </w:rPr>
            </w:pPr>
            <w:hyperlink w:anchor="page13">
              <w:r>
                <w:rPr>
                  <w:rFonts w:ascii="Arial" w:cs="Arial" w:eastAsia="Arial" w:hAnsi="Arial"/>
                  <w:sz w:val="20"/>
                  <w:szCs w:val="20"/>
                  <w:u w:val="single" w:color="auto"/>
                  <w:color w:val="0000EE"/>
                  <w:w w:val="89"/>
                </w:rPr>
                <w:t>10</w:t>
              </w:r>
            </w:hyperlink>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Exhibit Index</w:t>
            </w:r>
          </w:p>
        </w:tc>
        <w:tc>
          <w:tcPr>
            <w:tcW w:w="2340" w:type="dxa"/>
            <w:vAlign w:val="bottom"/>
          </w:tcPr>
          <w:p>
            <w:pPr>
              <w:jc w:val="center"/>
              <w:ind w:left="1641"/>
              <w:spacing w:after="0"/>
              <w:rPr>
                <w:rFonts w:ascii="Arial" w:cs="Arial" w:eastAsia="Arial" w:hAnsi="Arial"/>
                <w:sz w:val="20"/>
                <w:szCs w:val="20"/>
                <w:u w:val="single" w:color="auto"/>
                <w:color w:val="0000EE"/>
                <w:w w:val="89"/>
              </w:rPr>
            </w:pPr>
            <w:hyperlink w:anchor="page14">
              <w:r>
                <w:rPr>
                  <w:rFonts w:ascii="Arial" w:cs="Arial" w:eastAsia="Arial" w:hAnsi="Arial"/>
                  <w:sz w:val="20"/>
                  <w:szCs w:val="20"/>
                  <w:u w:val="single" w:color="auto"/>
                  <w:color w:val="0000EE"/>
                  <w:w w:val="89"/>
                </w:rPr>
                <w:t>11</w:t>
              </w:r>
            </w:hyperlink>
          </w:p>
        </w:tc>
      </w:tr>
      <w:tr>
        <w:trPr>
          <w:trHeight w:val="608"/>
        </w:trPr>
        <w:tc>
          <w:tcPr>
            <w:tcW w:w="8420" w:type="dxa"/>
            <w:vAlign w:val="bottom"/>
          </w:tcPr>
          <w:p>
            <w:pPr>
              <w:spacing w:after="0"/>
              <w:rPr>
                <w:sz w:val="20"/>
                <w:szCs w:val="20"/>
                <w:color w:val="auto"/>
              </w:rPr>
            </w:pPr>
            <w:r>
              <w:rPr>
                <w:rFonts w:ascii="Arial" w:cs="Arial" w:eastAsia="Arial" w:hAnsi="Arial"/>
                <w:sz w:val="20"/>
                <w:szCs w:val="20"/>
                <w:color w:val="auto"/>
              </w:rPr>
              <w:t>Signature</w:t>
            </w:r>
          </w:p>
        </w:tc>
        <w:tc>
          <w:tcPr>
            <w:tcW w:w="2340" w:type="dxa"/>
            <w:vAlign w:val="bottom"/>
          </w:tcPr>
          <w:p>
            <w:pPr>
              <w:jc w:val="center"/>
              <w:ind w:left="1641"/>
              <w:spacing w:after="0"/>
              <w:rPr>
                <w:rFonts w:ascii="Arial" w:cs="Arial" w:eastAsia="Arial" w:hAnsi="Arial"/>
                <w:sz w:val="20"/>
                <w:szCs w:val="20"/>
                <w:u w:val="single" w:color="auto"/>
                <w:color w:val="0000EE"/>
                <w:w w:val="89"/>
              </w:rPr>
            </w:pPr>
            <w:hyperlink w:anchor="page14">
              <w:r>
                <w:rPr>
                  <w:rFonts w:ascii="Arial" w:cs="Arial" w:eastAsia="Arial" w:hAnsi="Arial"/>
                  <w:sz w:val="20"/>
                  <w:szCs w:val="20"/>
                  <w:u w:val="single" w:color="auto"/>
                  <w:color w:val="0000EE"/>
                  <w:w w:val="89"/>
                </w:rPr>
                <w:t>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401(k)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have audited the accompanying statement of net assets available for benefits of the Crown Cork &amp; Seal Company, Inc. 401(k) Retirement Savings Plan (the "Plan") as of December 31, 2019 and 2018,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supplemental Schedule H, Line 4i - Schedule of Assets (Held at End of Year) as of December 31, 2019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June 18,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49" w:right="339" w:bottom="1440" w:gutter="0" w:footer="0" w:header="0"/>
        </w:sectPr>
      </w:pPr>
    </w:p>
    <w:bookmarkStart w:id="3" w:name="page4"/>
    <w:bookmarkEnd w:id="3"/>
    <w:p>
      <w:pPr>
        <w:ind w:left="24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27940</wp:posOffset>
            </wp:positionV>
            <wp:extent cx="6866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6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6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0"/>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1"/>
        </w:trPr>
        <w:tc>
          <w:tcPr>
            <w:tcW w:w="6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c>
          <w:tcPr>
            <w:tcW w:w="320" w:type="dxa"/>
            <w:vAlign w:val="bottom"/>
          </w:tcPr>
          <w:p>
            <w:pPr>
              <w:spacing w:after="0"/>
              <w:rPr>
                <w:sz w:val="22"/>
                <w:szCs w:val="22"/>
                <w:color w:val="auto"/>
              </w:rPr>
            </w:pPr>
          </w:p>
        </w:tc>
      </w:tr>
      <w:tr>
        <w:trPr>
          <w:trHeight w:val="30"/>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1"/>
        </w:trPr>
        <w:tc>
          <w:tcPr>
            <w:tcW w:w="612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Baird Core Plus Bond Fund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10,855,414</w:t>
            </w:r>
          </w:p>
        </w:tc>
        <w:tc>
          <w:tcPr>
            <w:tcW w:w="13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8,294,368</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DFA Emerging Markets Core Equity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353,344</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259,837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DFA US Targeted Value Portfolio</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456,500</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303,258</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HSBC Opportunity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12,223,739</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9,854,953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JPMorgan Intrepid Value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5,012,688</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4,336,778</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 Rowe Price International Discovery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306,848</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214,697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Developed Markets Index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2,135,039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1,251,613</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11,960,066</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9,921,274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Morgan Growth Fund</w:t>
            </w:r>
          </w:p>
        </w:tc>
        <w:tc>
          <w:tcPr>
            <w:tcW w:w="280" w:type="dxa"/>
            <w:vAlign w:val="bottom"/>
          </w:tcPr>
          <w:p>
            <w:pPr>
              <w:spacing w:after="0"/>
              <w:rPr>
                <w:sz w:val="22"/>
                <w:szCs w:val="22"/>
                <w:color w:val="auto"/>
              </w:rPr>
            </w:pPr>
          </w:p>
        </w:tc>
        <w:tc>
          <w:tcPr>
            <w:tcW w:w="256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4,556,427</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128,667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106,706</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2015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3,738,366</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3,639,772</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2020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7,190,537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5,737,387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2025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10,559,009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7,954,350</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2030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7,306,743</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5,876,604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2035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7,076,974</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4,771,259</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2040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4,454,330</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2,817,476</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2045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5,303,471</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3,749,339</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2050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2,938,565</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2,322,741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2055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2,149,065</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1,833,576</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2060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309,470</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181,258</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2065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42,067</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19,682</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Income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1,267,999</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1,299,190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Total Stock Market Index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51,631,043</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42,436,219</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U.S.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5,620,930</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Wellington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17,019,099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14,538,930</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170,039,973</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136,277,694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70"/>
        </w:trPr>
        <w:tc>
          <w:tcPr>
            <w:tcW w:w="6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41,391,667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39,678,273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20"/>
              <w:spacing w:after="0"/>
              <w:rPr>
                <w:sz w:val="20"/>
                <w:szCs w:val="20"/>
                <w:color w:val="auto"/>
              </w:rPr>
            </w:pPr>
            <w:r>
              <w:rPr>
                <w:rFonts w:ascii="Arial" w:cs="Arial" w:eastAsia="Arial" w:hAnsi="Arial"/>
                <w:sz w:val="20"/>
                <w:szCs w:val="20"/>
                <w:color w:val="auto"/>
              </w:rPr>
              <w:t>Crown Holdings, Inc. Stock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18,848,572</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14,164,309</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20"/>
                <w:szCs w:val="20"/>
                <w:b w:val="1"/>
                <w:bCs w:val="1"/>
                <w:color w:val="auto"/>
              </w:rPr>
              <w:t>Total investments, at fair value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230,280,212</w:t>
            </w:r>
          </w:p>
        </w:tc>
        <w:tc>
          <w:tcPr>
            <w:tcW w:w="1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190,120,276</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64"/>
        </w:trPr>
        <w:tc>
          <w:tcPr>
            <w:tcW w:w="6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3,320,619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3,197,741</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20"/>
                <w:szCs w:val="20"/>
                <w:b w:val="1"/>
                <w:bCs w:val="1"/>
                <w:color w:val="auto"/>
              </w:rPr>
              <w:t>Total receivables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3,320,619</w:t>
            </w:r>
          </w:p>
        </w:tc>
        <w:tc>
          <w:tcPr>
            <w:tcW w:w="1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3,197,741</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64"/>
        </w:trPr>
        <w:tc>
          <w:tcPr>
            <w:tcW w:w="6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3"/>
        </w:trPr>
        <w:tc>
          <w:tcPr>
            <w:tcW w:w="6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20"/>
                <w:szCs w:val="20"/>
                <w:b w:val="1"/>
                <w:bCs w:val="1"/>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233,600,831</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193,318,017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70"/>
        </w:trPr>
        <w:tc>
          <w:tcPr>
            <w:tcW w:w="6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jc w:val="center"/>
              <w:ind w:right="1600"/>
              <w:spacing w:after="0"/>
              <w:rPr>
                <w:sz w:val="20"/>
                <w:szCs w:val="20"/>
                <w:color w:val="auto"/>
              </w:rPr>
            </w:pPr>
            <w:r>
              <w:rPr>
                <w:rFonts w:ascii="Arial" w:cs="Arial" w:eastAsia="Arial" w:hAnsi="Arial"/>
                <w:sz w:val="20"/>
                <w:szCs w:val="20"/>
                <w:color w:val="auto"/>
                <w:w w:val="99"/>
              </w:rPr>
              <w:t>—</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99"/>
              </w:rPr>
              <w:t>—</w:t>
            </w:r>
          </w:p>
        </w:tc>
      </w:tr>
      <w:tr>
        <w:trPr>
          <w:trHeight w:val="270"/>
        </w:trPr>
        <w:tc>
          <w:tcPr>
            <w:tcW w:w="6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r>
      <w:tr>
        <w:trPr>
          <w:trHeight w:val="272"/>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233,600,831</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193,318,017</w:t>
            </w:r>
          </w:p>
        </w:tc>
        <w:tc>
          <w:tcPr>
            <w:tcW w:w="320" w:type="dxa"/>
            <w:vAlign w:val="bottom"/>
            <w:tcBorders>
              <w:bottom w:val="single" w:sz="8" w:color="CCEEFF"/>
            </w:tcBorders>
            <w:shd w:val="clear" w:color="auto" w:fill="CCEEFF"/>
          </w:tcPr>
          <w:p>
            <w:pPr>
              <w:spacing w:after="0"/>
              <w:rPr>
                <w:sz w:val="23"/>
                <w:szCs w:val="23"/>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040"/>
          </w:cols>
          <w:pgMar w:left="320" w:top="706" w:right="539" w:bottom="1014" w:gutter="0" w:footer="0" w:header="0"/>
        </w:sect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40"/>
          </w:cols>
          <w:pgMar w:left="320" w:top="706" w:right="539" w:bottom="1014" w:gutter="0" w:footer="0" w:header="0"/>
          <w:type w:val="continuous"/>
        </w:sectPr>
      </w:pPr>
    </w:p>
    <w:bookmarkStart w:id="4" w:name="page5"/>
    <w:bookmarkEnd w:id="4"/>
    <w:p>
      <w:pPr>
        <w:ind w:left="32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27940</wp:posOffset>
            </wp:positionV>
            <wp:extent cx="67805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0530" cy="17145"/>
                    </a:xfrm>
                    <a:prstGeom prst="rect">
                      <a:avLst/>
                    </a:prstGeom>
                    <a:noFill/>
                  </pic:spPr>
                </pic:pic>
              </a:graphicData>
            </a:graphic>
          </wp:anchor>
        </w:drawing>
      </w:r>
    </w:p>
    <w:p>
      <w:pPr>
        <w:spacing w:after="0" w:line="56"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6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60" w:type="dxa"/>
            <w:vAlign w:val="bottom"/>
            <w:gridSpan w:val="4"/>
          </w:tcPr>
          <w:p>
            <w:pPr>
              <w:jc w:val="right"/>
              <w:ind w:right="701"/>
              <w:spacing w:after="0"/>
              <w:rPr>
                <w:sz w:val="20"/>
                <w:szCs w:val="20"/>
                <w:color w:val="auto"/>
              </w:rPr>
            </w:pPr>
            <w:r>
              <w:rPr>
                <w:rFonts w:ascii="Arial" w:cs="Arial" w:eastAsia="Arial" w:hAnsi="Arial"/>
                <w:sz w:val="20"/>
                <w:szCs w:val="20"/>
                <w:b w:val="1"/>
                <w:bCs w:val="1"/>
                <w:color w:val="auto"/>
              </w:rPr>
              <w:t>For the Year Ended December 31,</w:t>
            </w:r>
          </w:p>
        </w:tc>
      </w:tr>
      <w:tr>
        <w:trPr>
          <w:trHeight w:val="30"/>
        </w:trPr>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1"/>
        </w:trPr>
        <w:tc>
          <w:tcPr>
            <w:tcW w:w="6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521"/>
              <w:spacing w:after="0"/>
              <w:rPr>
                <w:sz w:val="20"/>
                <w:szCs w:val="20"/>
                <w:color w:val="auto"/>
              </w:rPr>
            </w:pPr>
            <w:r>
              <w:rPr>
                <w:rFonts w:ascii="Arial" w:cs="Arial" w:eastAsia="Arial" w:hAnsi="Arial"/>
                <w:sz w:val="20"/>
                <w:szCs w:val="20"/>
                <w:b w:val="1"/>
                <w:bCs w:val="1"/>
                <w:color w:val="auto"/>
              </w:rPr>
              <w:t>2019</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501"/>
              <w:spacing w:after="0"/>
              <w:rPr>
                <w:sz w:val="20"/>
                <w:szCs w:val="20"/>
                <w:color w:val="auto"/>
              </w:rPr>
            </w:pPr>
            <w:r>
              <w:rPr>
                <w:rFonts w:ascii="Arial" w:cs="Arial" w:eastAsia="Arial" w:hAnsi="Arial"/>
                <w:sz w:val="20"/>
                <w:szCs w:val="20"/>
                <w:b w:val="1"/>
                <w:bCs w:val="1"/>
                <w:color w:val="auto"/>
              </w:rPr>
              <w:t>2018</w:t>
            </w:r>
          </w:p>
        </w:tc>
      </w:tr>
      <w:tr>
        <w:trPr>
          <w:trHeight w:val="30"/>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Additions/Changes: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1"/>
        </w:trPr>
        <w:tc>
          <w:tcPr>
            <w:tcW w:w="6180" w:type="dxa"/>
            <w:vAlign w:val="bottom"/>
          </w:tcPr>
          <w:p>
            <w:pPr>
              <w:ind w:left="20"/>
              <w:spacing w:after="0"/>
              <w:rPr>
                <w:sz w:val="20"/>
                <w:szCs w:val="20"/>
                <w:color w:val="auto"/>
              </w:rPr>
            </w:pPr>
            <w:r>
              <w:rPr>
                <w:rFonts w:ascii="Arial" w:cs="Arial" w:eastAsia="Arial" w:hAnsi="Arial"/>
                <w:sz w:val="20"/>
                <w:szCs w:val="20"/>
                <w:color w:val="auto"/>
              </w:rPr>
              <w:t>Investment income (loss):</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6,421,612</w:t>
            </w: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7,735,920</w:t>
            </w:r>
          </w:p>
        </w:tc>
      </w:tr>
      <w:tr>
        <w:trPr>
          <w:trHeight w:val="261"/>
        </w:trPr>
        <w:tc>
          <w:tcPr>
            <w:tcW w:w="6180" w:type="dxa"/>
            <w:vAlign w:val="bottom"/>
          </w:tcPr>
          <w:p>
            <w:pPr>
              <w:ind w:left="180"/>
              <w:spacing w:after="0"/>
              <w:rPr>
                <w:sz w:val="20"/>
                <w:szCs w:val="20"/>
                <w:color w:val="auto"/>
              </w:rPr>
            </w:pPr>
            <w:r>
              <w:rPr>
                <w:rFonts w:ascii="Arial" w:cs="Arial" w:eastAsia="Arial" w:hAnsi="Arial"/>
                <w:sz w:val="20"/>
                <w:szCs w:val="20"/>
                <w:color w:val="auto"/>
              </w:rPr>
              <w:t>Net appreciation (depreciation) in fair value of investments</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38,733,888</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(20,353,970)</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b w:val="1"/>
                <w:bCs w:val="1"/>
                <w:color w:val="auto"/>
              </w:rPr>
              <w:t>Total investment income (loss)</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45,155,500</w:t>
            </w:r>
          </w:p>
        </w:tc>
        <w:tc>
          <w:tcPr>
            <w:tcW w:w="1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(12,618,050)</w:t>
            </w:r>
          </w:p>
        </w:tc>
      </w:tr>
      <w:tr>
        <w:trPr>
          <w:trHeight w:val="318"/>
        </w:trPr>
        <w:tc>
          <w:tcPr>
            <w:tcW w:w="6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166,639</w:t>
            </w:r>
          </w:p>
        </w:tc>
        <w:tc>
          <w:tcPr>
            <w:tcW w:w="1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162,440</w:t>
            </w:r>
          </w:p>
        </w:tc>
      </w:tr>
      <w:tr>
        <w:trPr>
          <w:trHeight w:val="254"/>
        </w:trPr>
        <w:tc>
          <w:tcPr>
            <w:tcW w:w="6180" w:type="dxa"/>
            <w:vAlign w:val="bottom"/>
          </w:tcPr>
          <w:p>
            <w:pPr>
              <w:ind w:left="1000"/>
              <w:spacing w:after="0"/>
              <w:rPr>
                <w:sz w:val="20"/>
                <w:szCs w:val="20"/>
                <w:color w:val="auto"/>
              </w:rPr>
            </w:pPr>
            <w:r>
              <w:rPr>
                <w:rFonts w:ascii="Arial" w:cs="Arial" w:eastAsia="Arial" w:hAnsi="Arial"/>
                <w:sz w:val="20"/>
                <w:szCs w:val="20"/>
                <w:b w:val="1"/>
                <w:bCs w:val="1"/>
                <w:color w:val="auto"/>
              </w:rPr>
              <w:t>Total interest income, notes receivable</w:t>
            </w:r>
          </w:p>
        </w:tc>
        <w:tc>
          <w:tcPr>
            <w:tcW w:w="3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166,639</w:t>
            </w:r>
          </w:p>
        </w:tc>
        <w:tc>
          <w:tcPr>
            <w:tcW w:w="12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162,440</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1"/>
        </w:trPr>
        <w:tc>
          <w:tcPr>
            <w:tcW w:w="618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20"/>
                <w:szCs w:val="20"/>
                <w:color w:val="auto"/>
              </w:rPr>
              <w:t>Employer</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1,765,655</w:t>
            </w: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1,744,251</w:t>
            </w:r>
          </w:p>
        </w:tc>
      </w:tr>
      <w:tr>
        <w:trPr>
          <w:trHeight w:val="261"/>
        </w:trPr>
        <w:tc>
          <w:tcPr>
            <w:tcW w:w="6180" w:type="dxa"/>
            <w:vAlign w:val="bottom"/>
          </w:tcPr>
          <w:p>
            <w:pPr>
              <w:ind w:left="300"/>
              <w:spacing w:after="0"/>
              <w:rPr>
                <w:sz w:val="20"/>
                <w:szCs w:val="20"/>
                <w:color w:val="auto"/>
              </w:rPr>
            </w:pPr>
            <w:r>
              <w:rPr>
                <w:rFonts w:ascii="Arial" w:cs="Arial" w:eastAsia="Arial" w:hAnsi="Arial"/>
                <w:sz w:val="20"/>
                <w:szCs w:val="20"/>
                <w:color w:val="auto"/>
              </w:rPr>
              <w:t>Participant</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10,455,329</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9,698,825</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b w:val="1"/>
                <w:bCs w:val="1"/>
                <w:color w:val="auto"/>
              </w:rPr>
              <w:t>Total contributions</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12,220,984</w:t>
            </w:r>
          </w:p>
        </w:tc>
        <w:tc>
          <w:tcPr>
            <w:tcW w:w="1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11,443,076</w:t>
            </w:r>
          </w:p>
        </w:tc>
      </w:tr>
      <w:tr>
        <w:trPr>
          <w:trHeight w:val="318"/>
        </w:trPr>
        <w:tc>
          <w:tcPr>
            <w:tcW w:w="6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14,477</w:t>
            </w:r>
          </w:p>
        </w:tc>
        <w:tc>
          <w:tcPr>
            <w:tcW w:w="1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8,938</w:t>
            </w:r>
          </w:p>
        </w:tc>
      </w:tr>
      <w:tr>
        <w:trPr>
          <w:trHeight w:val="254"/>
        </w:trPr>
        <w:tc>
          <w:tcPr>
            <w:tcW w:w="6180" w:type="dxa"/>
            <w:vAlign w:val="bottom"/>
          </w:tcPr>
          <w:p>
            <w:pPr>
              <w:ind w:left="1000"/>
              <w:spacing w:after="0"/>
              <w:rPr>
                <w:sz w:val="20"/>
                <w:szCs w:val="20"/>
                <w:color w:val="auto"/>
              </w:rPr>
            </w:pPr>
            <w:r>
              <w:rPr>
                <w:rFonts w:ascii="Arial" w:cs="Arial" w:eastAsia="Arial" w:hAnsi="Arial"/>
                <w:sz w:val="20"/>
                <w:szCs w:val="20"/>
                <w:b w:val="1"/>
                <w:bCs w:val="1"/>
                <w:color w:val="auto"/>
              </w:rPr>
              <w:t>Total additions/changes</w:t>
            </w:r>
          </w:p>
        </w:tc>
        <w:tc>
          <w:tcPr>
            <w:tcW w:w="3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57,557,600</w:t>
            </w:r>
          </w:p>
        </w:tc>
        <w:tc>
          <w:tcPr>
            <w:tcW w:w="12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(1,003,596)</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0"/>
        </w:trPr>
        <w:tc>
          <w:tcPr>
            <w:tcW w:w="618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17,102,724</w:t>
            </w: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17,078,412</w:t>
            </w:r>
          </w:p>
        </w:tc>
      </w:tr>
      <w:tr>
        <w:trPr>
          <w:trHeight w:val="260"/>
        </w:trPr>
        <w:tc>
          <w:tcPr>
            <w:tcW w:w="6180" w:type="dxa"/>
            <w:vAlign w:val="bottom"/>
          </w:tcPr>
          <w:p>
            <w:pPr>
              <w:ind w:left="20"/>
              <w:spacing w:after="0"/>
              <w:rPr>
                <w:sz w:val="20"/>
                <w:szCs w:val="20"/>
                <w:color w:val="auto"/>
              </w:rPr>
            </w:pPr>
            <w:r>
              <w:rPr>
                <w:rFonts w:ascii="Arial" w:cs="Arial" w:eastAsia="Arial" w:hAnsi="Arial"/>
                <w:sz w:val="20"/>
                <w:szCs w:val="20"/>
                <w:color w:val="auto"/>
              </w:rPr>
              <w:t>Administrative expenses</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172,062</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164,293</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6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20"/>
                <w:szCs w:val="20"/>
                <w:b w:val="1"/>
                <w:bCs w:val="1"/>
                <w:color w:val="auto"/>
              </w:rPr>
              <w:t>Total deductions</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17,274,786</w:t>
            </w:r>
          </w:p>
        </w:tc>
        <w:tc>
          <w:tcPr>
            <w:tcW w:w="12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17,242,705</w:t>
            </w:r>
          </w:p>
        </w:tc>
      </w:tr>
      <w:tr>
        <w:trPr>
          <w:trHeight w:val="318"/>
        </w:trPr>
        <w:tc>
          <w:tcPr>
            <w:tcW w:w="6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6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(decrease)</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40,282,814</w:t>
            </w: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(18,246,301)</w:t>
            </w:r>
          </w:p>
        </w:tc>
      </w:tr>
      <w:tr>
        <w:trPr>
          <w:trHeight w:val="324"/>
        </w:trPr>
        <w:tc>
          <w:tcPr>
            <w:tcW w:w="6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6180" w:type="dxa"/>
            <w:vAlign w:val="bottom"/>
          </w:tcPr>
          <w:p>
            <w:pPr>
              <w:ind w:left="340"/>
              <w:spacing w:after="0"/>
              <w:rPr>
                <w:sz w:val="20"/>
                <w:szCs w:val="20"/>
                <w:color w:val="auto"/>
              </w:rPr>
            </w:pPr>
            <w:r>
              <w:rPr>
                <w:rFonts w:ascii="Arial" w:cs="Arial" w:eastAsia="Arial" w:hAnsi="Arial"/>
                <w:sz w:val="20"/>
                <w:szCs w:val="20"/>
                <w:color w:val="auto"/>
              </w:rPr>
              <w:t>Beginning of year</w:t>
            </w:r>
          </w:p>
        </w:tc>
        <w:tc>
          <w:tcPr>
            <w:tcW w:w="32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193,318,017</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211,564,318</w:t>
            </w:r>
          </w:p>
        </w:tc>
      </w:tr>
      <w:tr>
        <w:trPr>
          <w:trHeight w:val="23"/>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233,600,831</w:t>
            </w:r>
          </w:p>
        </w:tc>
        <w:tc>
          <w:tcPr>
            <w:tcW w:w="1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193,318,017</w:t>
            </w:r>
          </w:p>
        </w:tc>
      </w:tr>
      <w:tr>
        <w:trPr>
          <w:trHeight w:val="20"/>
        </w:trPr>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960"/>
          </w:cols>
          <w:pgMar w:left="320" w:top="706"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60"/>
          </w:cols>
          <w:pgMar w:left="320" w:top="706" w:right="6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plus actual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2019 and 2018 range from 4.25% to 6.50%. Principal and interest are paid ratably through monthly payroll deductions. A participant may not have more than two outstanding notes receivable at any one time.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$7,641 and $1,607 at December 31, 2019 and 2018, respectively. Forfeitures used to offset Company contributions in 2019 and 2018 totaled $79,382 and $71,513,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2"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appreciation (depreciation)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2019 and 2018.</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Recordkeeping expenses and fees related to the administration of notes receivable from participants are charged directly to the participant’s account and are included in administrative expenses. Investment related expenses are included in net appreciation (depreciation) in fair value of investments. Expenses paid by the Company are excluded from these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ASU No. 2018-13 modifies the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 amendments are based on the concepts in the FASB Concepts Statement, </w:t>
      </w:r>
      <w:r>
        <w:rPr>
          <w:rFonts w:ascii="Arial" w:cs="Arial" w:eastAsia="Arial" w:hAnsi="Arial"/>
          <w:sz w:val="18"/>
          <w:szCs w:val="18"/>
          <w:i w:val="1"/>
          <w:iCs w:val="1"/>
          <w:color w:val="auto"/>
        </w:rPr>
        <w:t>Conceptual Framework for Financial Reporting-Chapter 8: Notes to Financial Statements</w:t>
      </w:r>
      <w:r>
        <w:rPr>
          <w:rFonts w:ascii="Arial" w:cs="Arial" w:eastAsia="Arial" w:hAnsi="Arial"/>
          <w:sz w:val="18"/>
          <w:szCs w:val="18"/>
          <w:color w:val="auto"/>
        </w:rPr>
        <w:t>, which the FASB finalized on August 28, 2018. ASU No. 2018-13 is effective for fiscal years beginning after December 15, 2019. Early adoption is permitted. Management is currently assessing the impact that ASU No. 2018-13 will have on the Plan’s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0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90"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85"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20" w:type="dxa"/>
            <w:vAlign w:val="bottom"/>
            <w:gridSpan w:val="4"/>
          </w:tcPr>
          <w:p>
            <w:pPr>
              <w:ind w:left="260"/>
              <w:spacing w:after="0"/>
              <w:rPr>
                <w:sz w:val="20"/>
                <w:szCs w:val="20"/>
                <w:color w:val="auto"/>
              </w:rPr>
            </w:pPr>
            <w:r>
              <w:rPr>
                <w:rFonts w:ascii="Arial" w:cs="Arial" w:eastAsia="Arial" w:hAnsi="Arial"/>
                <w:sz w:val="20"/>
                <w:szCs w:val="20"/>
                <w:b w:val="1"/>
                <w:bCs w:val="1"/>
                <w:color w:val="auto"/>
              </w:rPr>
              <w:t>Assets at Fair Value as of December 31, 2019</w:t>
            </w:r>
          </w:p>
        </w:tc>
      </w:tr>
      <w:tr>
        <w:trPr>
          <w:trHeight w:val="23"/>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1"/>
        </w:trPr>
        <w:tc>
          <w:tcPr>
            <w:tcW w:w="490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170,039,973</w:t>
            </w:r>
          </w:p>
        </w:tc>
        <w:tc>
          <w:tcPr>
            <w:tcW w:w="136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170,039,973</w:t>
            </w:r>
          </w:p>
        </w:tc>
      </w:tr>
      <w:tr>
        <w:trPr>
          <w:trHeight w:val="23"/>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18,848,572</w:t>
            </w: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18,848,572</w:t>
            </w:r>
          </w:p>
        </w:tc>
      </w:tr>
      <w:tr>
        <w:trPr>
          <w:trHeight w:val="277"/>
        </w:trPr>
        <w:tc>
          <w:tcPr>
            <w:tcW w:w="49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9"/>
        </w:trPr>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188,888,545</w:t>
            </w: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188,888,545</w:t>
            </w: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9"/>
        </w:trPr>
        <w:tc>
          <w:tcPr>
            <w:tcW w:w="4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41,391,667</w:t>
            </w:r>
          </w:p>
        </w:tc>
      </w:tr>
      <w:tr>
        <w:trPr>
          <w:trHeight w:val="277"/>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230,280,212</w:t>
            </w: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20" w:type="dxa"/>
            <w:vAlign w:val="bottom"/>
            <w:gridSpan w:val="4"/>
          </w:tcPr>
          <w:p>
            <w:pPr>
              <w:ind w:left="260"/>
              <w:spacing w:after="0"/>
              <w:rPr>
                <w:sz w:val="20"/>
                <w:szCs w:val="20"/>
                <w:color w:val="auto"/>
              </w:rPr>
            </w:pPr>
            <w:r>
              <w:rPr>
                <w:rFonts w:ascii="Arial" w:cs="Arial" w:eastAsia="Arial" w:hAnsi="Arial"/>
                <w:sz w:val="20"/>
                <w:szCs w:val="20"/>
                <w:b w:val="1"/>
                <w:bCs w:val="1"/>
                <w:color w:val="auto"/>
              </w:rPr>
              <w:t>Assets at Fair Value as of December 31, 2018</w:t>
            </w:r>
          </w:p>
        </w:tc>
      </w:tr>
      <w:tr>
        <w:trPr>
          <w:trHeight w:val="23"/>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0"/>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0"/>
        </w:trPr>
        <w:tc>
          <w:tcPr>
            <w:tcW w:w="490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136,277,694</w:t>
            </w:r>
          </w:p>
        </w:tc>
        <w:tc>
          <w:tcPr>
            <w:tcW w:w="136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136,277,694</w:t>
            </w:r>
          </w:p>
        </w:tc>
      </w:tr>
      <w:tr>
        <w:trPr>
          <w:trHeight w:val="23"/>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14,164,309</w:t>
            </w: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14,164,309</w:t>
            </w:r>
          </w:p>
        </w:tc>
      </w:tr>
      <w:tr>
        <w:trPr>
          <w:trHeight w:val="277"/>
        </w:trPr>
        <w:tc>
          <w:tcPr>
            <w:tcW w:w="49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9"/>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150,442,003</w:t>
            </w: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150,442,003</w:t>
            </w: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9"/>
        </w:trPr>
        <w:tc>
          <w:tcPr>
            <w:tcW w:w="4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39,678,273</w:t>
            </w:r>
          </w:p>
        </w:tc>
      </w:tr>
      <w:tr>
        <w:trPr>
          <w:trHeight w:val="277"/>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190,120,276</w:t>
            </w: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98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2019 and 2018.</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ectPr>
          <w:pgSz w:w="11900" w:h="16838" w:orient="portrait"/>
          <w:cols w:equalWidth="0" w:num="1">
            <w:col w:w="11240"/>
          </w:cols>
          <w:pgMar w:left="320" w:top="333"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35"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2019 and 2018, respectively. There are no participant redemption restrictions for these investments; the redemption notice period is applicable only to the Plan.</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60" w:type="dxa"/>
            <w:vAlign w:val="bottom"/>
            <w:gridSpan w:val="4"/>
          </w:tcPr>
          <w:p>
            <w:pPr>
              <w:ind w:left="820"/>
              <w:spacing w:after="0"/>
              <w:rPr>
                <w:sz w:val="20"/>
                <w:szCs w:val="20"/>
                <w:color w:val="auto"/>
              </w:rPr>
            </w:pPr>
            <w:r>
              <w:rPr>
                <w:rFonts w:ascii="Arial" w:cs="Arial" w:eastAsia="Arial" w:hAnsi="Arial"/>
                <w:sz w:val="20"/>
                <w:szCs w:val="20"/>
                <w:b w:val="1"/>
                <w:bCs w:val="1"/>
                <w:color w:val="auto"/>
              </w:rPr>
              <w:t>December 31, 2019</w:t>
            </w:r>
          </w:p>
        </w:tc>
        <w:tc>
          <w:tcPr>
            <w:tcW w:w="1440" w:type="dxa"/>
            <w:vAlign w:val="bottom"/>
          </w:tcPr>
          <w:p>
            <w:pPr>
              <w:spacing w:after="0"/>
              <w:rPr>
                <w:sz w:val="22"/>
                <w:szCs w:val="22"/>
                <w:color w:val="auto"/>
              </w:rPr>
            </w:pP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92"/>
              </w:rPr>
              <w:t>Unfunded</w:t>
            </w:r>
          </w:p>
        </w:tc>
        <w:tc>
          <w:tcPr>
            <w:tcW w:w="172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88"/>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Commitments</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41,391,667</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20"/>
                <w:szCs w:val="20"/>
                <w:color w:val="auto"/>
              </w:rPr>
              <w:t>N/A</w:t>
            </w:r>
          </w:p>
        </w:tc>
        <w:tc>
          <w:tcPr>
            <w:tcW w:w="17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N/A</w:t>
            </w:r>
          </w:p>
        </w:tc>
      </w:tr>
      <w:tr>
        <w:trPr>
          <w:trHeight w:val="584"/>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4"/>
          </w:tcPr>
          <w:p>
            <w:pPr>
              <w:ind w:left="820"/>
              <w:spacing w:after="0"/>
              <w:rPr>
                <w:sz w:val="20"/>
                <w:szCs w:val="20"/>
                <w:color w:val="auto"/>
              </w:rPr>
            </w:pPr>
            <w:r>
              <w:rPr>
                <w:rFonts w:ascii="Arial" w:cs="Arial" w:eastAsia="Arial" w:hAnsi="Arial"/>
                <w:sz w:val="20"/>
                <w:szCs w:val="20"/>
                <w:b w:val="1"/>
                <w:bCs w:val="1"/>
                <w:color w:val="auto"/>
              </w:rPr>
              <w:t>December 31, 2018</w:t>
            </w:r>
          </w:p>
        </w:tc>
        <w:tc>
          <w:tcPr>
            <w:tcW w:w="1440" w:type="dxa"/>
            <w:vAlign w:val="bottom"/>
          </w:tcPr>
          <w:p>
            <w:pPr>
              <w:spacing w:after="0"/>
              <w:rPr>
                <w:sz w:val="24"/>
                <w:szCs w:val="24"/>
                <w:color w:val="auto"/>
              </w:rPr>
            </w:pP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92"/>
              </w:rPr>
              <w:t>Unfunded</w:t>
            </w:r>
          </w:p>
        </w:tc>
        <w:tc>
          <w:tcPr>
            <w:tcW w:w="172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88"/>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Commitments</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39,678,273</w:t>
            </w:r>
          </w:p>
        </w:tc>
        <w:tc>
          <w:tcPr>
            <w:tcW w:w="2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220"/>
              <w:spacing w:after="0"/>
              <w:rPr>
                <w:sz w:val="20"/>
                <w:szCs w:val="20"/>
                <w:color w:val="auto"/>
              </w:rPr>
            </w:pPr>
            <w:r>
              <w:rPr>
                <w:rFonts w:ascii="Arial" w:cs="Arial" w:eastAsia="Arial" w:hAnsi="Arial"/>
                <w:sz w:val="20"/>
                <w:szCs w:val="20"/>
                <w:color w:val="auto"/>
              </w:rPr>
              <w:t>N/A</w:t>
            </w:r>
          </w:p>
        </w:tc>
        <w:tc>
          <w:tcPr>
            <w:tcW w:w="1720" w:type="dxa"/>
            <w:vAlign w:val="bottom"/>
            <w:gridSpan w:val="2"/>
            <w:shd w:val="clear" w:color="auto" w:fill="CCEEFF"/>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r>
      <w:tr>
        <w:trPr>
          <w:trHeight w:val="23"/>
        </w:trPr>
        <w:tc>
          <w:tcPr>
            <w:tcW w:w="3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259,800 and 341,000 shares of Crown Holdings, Inc. common stock representing 8.1% and 7.3% of Plan assets as of December 31, 2019 and 2018, respectively. For the years 2019 and 2018, the Company common stock fund had purchases of $551,738 and $2,994,206, respectively, and sales of $5,547,748 and $3,375,438, respectively. There were no dividends on the Company's common stock in 2019 or 2018.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believes it is no longer subject to income tax examination for years prior to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0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As of December 31, 2019 and 2018, the Plan had investments of $93,022,710 and $82,114,492,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3"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CROWN CORK &amp; SEAL COMPANY, INC. 401(k) RETIREMENT SAVINGS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6866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401(k) Retirement Savings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 23-1526444 Plan No. 100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Current</w:t>
            </w:r>
          </w:p>
        </w:tc>
      </w:tr>
      <w:tr>
        <w:trPr>
          <w:trHeight w:val="256"/>
        </w:trPr>
        <w:tc>
          <w:tcPr>
            <w:tcW w:w="4740" w:type="dxa"/>
            <w:vAlign w:val="bottom"/>
          </w:tcPr>
          <w:p>
            <w:pPr>
              <w:ind w:left="180"/>
              <w:spacing w:after="0"/>
              <w:rPr>
                <w:sz w:val="20"/>
                <w:szCs w:val="20"/>
                <w:color w:val="auto"/>
              </w:rPr>
            </w:pPr>
            <w:r>
              <w:rPr>
                <w:rFonts w:ascii="Arial" w:cs="Arial" w:eastAsia="Arial" w:hAnsi="Arial"/>
                <w:sz w:val="20"/>
                <w:szCs w:val="20"/>
                <w:b w:val="1"/>
                <w:bCs w:val="1"/>
                <w:color w:val="auto"/>
              </w:rPr>
              <w:t>Identity of Participant-Directed Issues</w:t>
            </w:r>
          </w:p>
        </w:tc>
        <w:tc>
          <w:tcPr>
            <w:tcW w:w="4760" w:type="dxa"/>
            <w:vAlign w:val="bottom"/>
          </w:tcPr>
          <w:p>
            <w:pPr>
              <w:ind w:left="1620"/>
              <w:spacing w:after="0"/>
              <w:rPr>
                <w:sz w:val="20"/>
                <w:szCs w:val="20"/>
                <w:color w:val="auto"/>
              </w:rPr>
            </w:pPr>
            <w:r>
              <w:rPr>
                <w:rFonts w:ascii="Arial" w:cs="Arial" w:eastAsia="Arial" w:hAnsi="Arial"/>
                <w:sz w:val="20"/>
                <w:szCs w:val="20"/>
                <w:b w:val="1"/>
                <w:bCs w:val="1"/>
                <w:color w:val="auto"/>
              </w:rPr>
              <w:t>Investment Type</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Value</w:t>
            </w:r>
          </w:p>
        </w:tc>
      </w:tr>
      <w:tr>
        <w:trPr>
          <w:trHeight w:val="30"/>
        </w:trPr>
        <w:tc>
          <w:tcPr>
            <w:tcW w:w="474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Baird Core Plus Bond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10,855,414</w:t>
            </w:r>
          </w:p>
        </w:tc>
      </w:tr>
      <w:tr>
        <w:trPr>
          <w:trHeight w:val="261"/>
        </w:trPr>
        <w:tc>
          <w:tcPr>
            <w:tcW w:w="4740" w:type="dxa"/>
            <w:vAlign w:val="bottom"/>
          </w:tcPr>
          <w:p>
            <w:pPr>
              <w:ind w:left="180"/>
              <w:spacing w:after="0"/>
              <w:rPr>
                <w:sz w:val="20"/>
                <w:szCs w:val="20"/>
                <w:color w:val="auto"/>
              </w:rPr>
            </w:pPr>
            <w:r>
              <w:rPr>
                <w:rFonts w:ascii="Arial" w:cs="Arial" w:eastAsia="Arial" w:hAnsi="Arial"/>
                <w:sz w:val="20"/>
                <w:szCs w:val="20"/>
                <w:color w:val="auto"/>
              </w:rPr>
              <w:t>DFA Emerging Markets Core Equity Portfolio</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353,344</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DFA US Targeted Value Portfolio</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456,500</w:t>
            </w:r>
          </w:p>
        </w:tc>
      </w:tr>
      <w:tr>
        <w:trPr>
          <w:trHeight w:val="260"/>
        </w:trPr>
        <w:tc>
          <w:tcPr>
            <w:tcW w:w="4740" w:type="dxa"/>
            <w:vAlign w:val="bottom"/>
          </w:tcPr>
          <w:p>
            <w:pPr>
              <w:ind w:left="180"/>
              <w:spacing w:after="0"/>
              <w:rPr>
                <w:sz w:val="20"/>
                <w:szCs w:val="20"/>
                <w:color w:val="auto"/>
              </w:rPr>
            </w:pPr>
            <w:r>
              <w:rPr>
                <w:rFonts w:ascii="Arial" w:cs="Arial" w:eastAsia="Arial" w:hAnsi="Arial"/>
                <w:sz w:val="20"/>
                <w:szCs w:val="20"/>
                <w:color w:val="auto"/>
              </w:rPr>
              <w:t>HSBC Opportunity Fund</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12,223,739</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JPMorgan Intrepid Value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5,012,688</w:t>
            </w:r>
          </w:p>
        </w:tc>
      </w:tr>
      <w:tr>
        <w:trPr>
          <w:trHeight w:val="261"/>
        </w:trPr>
        <w:tc>
          <w:tcPr>
            <w:tcW w:w="4740" w:type="dxa"/>
            <w:vAlign w:val="bottom"/>
          </w:tcPr>
          <w:p>
            <w:pPr>
              <w:ind w:left="180"/>
              <w:spacing w:after="0"/>
              <w:rPr>
                <w:sz w:val="20"/>
                <w:szCs w:val="20"/>
                <w:color w:val="auto"/>
              </w:rPr>
            </w:pPr>
            <w:r>
              <w:rPr>
                <w:rFonts w:ascii="Arial" w:cs="Arial" w:eastAsia="Arial" w:hAnsi="Arial"/>
                <w:sz w:val="20"/>
                <w:szCs w:val="20"/>
                <w:color w:val="auto"/>
              </w:rPr>
              <w:t>T. Rowe Price International Discovery Fund</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306,848</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Developed Markets Growth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2,135,039</w:t>
            </w:r>
          </w:p>
        </w:tc>
      </w:tr>
      <w:tr>
        <w:trPr>
          <w:trHeight w:val="261"/>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International Growth Fund</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11,960,066</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Prime Money Market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128,667</w:t>
            </w:r>
          </w:p>
        </w:tc>
      </w:tr>
      <w:tr>
        <w:trPr>
          <w:trHeight w:val="261"/>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2015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3,738,366</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2020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7,190,537</w:t>
            </w:r>
          </w:p>
        </w:tc>
      </w:tr>
      <w:tr>
        <w:trPr>
          <w:trHeight w:val="261"/>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10,559,009</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2030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7,306,743</w:t>
            </w:r>
          </w:p>
        </w:tc>
      </w:tr>
      <w:tr>
        <w:trPr>
          <w:trHeight w:val="261"/>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7,076,974</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2040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4,454,330</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5,303,471</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2050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2,938,565</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2,149,065</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2060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309,470</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2065 Trust</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42,067</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Income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1,267,999</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Total Stock Market Index Fund</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51,631,043</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U.S. Growth Fund</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5,620,930</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Wellington Fund</w:t>
            </w:r>
          </w:p>
        </w:tc>
        <w:tc>
          <w:tcPr>
            <w:tcW w:w="476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17,019,099</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Retirement Savings Trust</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Collective Trust Fund</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41,391,667</w:t>
            </w:r>
          </w:p>
        </w:tc>
      </w:tr>
      <w:tr>
        <w:trPr>
          <w:trHeight w:val="260"/>
        </w:trPr>
        <w:tc>
          <w:tcPr>
            <w:tcW w:w="474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Crown Holdings, Inc. Stock Fund</w:t>
            </w:r>
          </w:p>
        </w:tc>
        <w:tc>
          <w:tcPr>
            <w:tcW w:w="4760" w:type="dxa"/>
            <w:vAlign w:val="bottom"/>
          </w:tcPr>
          <w:p>
            <w:pPr>
              <w:ind w:left="900"/>
              <w:spacing w:after="0"/>
              <w:rPr>
                <w:sz w:val="20"/>
                <w:szCs w:val="20"/>
                <w:color w:val="auto"/>
              </w:rPr>
            </w:pPr>
            <w:r>
              <w:rPr>
                <w:rFonts w:ascii="Arial" w:cs="Arial" w:eastAsia="Arial" w:hAnsi="Arial"/>
                <w:sz w:val="20"/>
                <w:szCs w:val="20"/>
                <w:color w:val="auto"/>
              </w:rPr>
              <w:t>Common Stock Fund</w:t>
            </w:r>
          </w:p>
        </w:tc>
        <w:tc>
          <w:tcPr>
            <w:tcW w:w="16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18,848,572</w:t>
            </w:r>
          </w:p>
        </w:tc>
      </w:tr>
      <w:tr>
        <w:trPr>
          <w:trHeight w:val="23"/>
        </w:trPr>
        <w:tc>
          <w:tcPr>
            <w:tcW w:w="47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Notes receivable from participants</w:t>
            </w:r>
          </w:p>
        </w:tc>
        <w:tc>
          <w:tcPr>
            <w:tcW w:w="4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color w:val="auto"/>
              </w:rPr>
              <w:t>Interest rates: 4.25% - 6.50%</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3,320,619</w:t>
            </w:r>
          </w:p>
        </w:tc>
      </w:tr>
      <w:tr>
        <w:trPr>
          <w:trHeight w:val="272"/>
        </w:trPr>
        <w:tc>
          <w:tcPr>
            <w:tcW w:w="4740" w:type="dxa"/>
            <w:vAlign w:val="bottom"/>
          </w:tcPr>
          <w:p>
            <w:pPr>
              <w:ind w:left="180"/>
              <w:spacing w:after="0"/>
              <w:rPr>
                <w:sz w:val="20"/>
                <w:szCs w:val="20"/>
                <w:color w:val="auto"/>
              </w:rPr>
            </w:pPr>
            <w:r>
              <w:rPr>
                <w:rFonts w:ascii="Arial" w:cs="Arial" w:eastAsia="Arial" w:hAnsi="Arial"/>
                <w:sz w:val="20"/>
                <w:szCs w:val="20"/>
                <w:b w:val="1"/>
                <w:bCs w:val="1"/>
                <w:color w:val="auto"/>
              </w:rPr>
              <w:t>Total Assets (Held at End of Year)</w:t>
            </w:r>
          </w:p>
        </w:tc>
        <w:tc>
          <w:tcPr>
            <w:tcW w:w="476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91"/>
              </w:rPr>
              <w:t>233,600,831</w:t>
            </w:r>
          </w:p>
        </w:tc>
      </w:tr>
      <w:tr>
        <w:trPr>
          <w:trHeight w:val="20"/>
        </w:trPr>
        <w:tc>
          <w:tcPr>
            <w:tcW w:w="4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Party-in-Interest as defined by ERISA</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540" w:top="706"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186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611"/>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2"/>
                <w:szCs w:val="22"/>
                <w:color w:val="auto"/>
                <w:w w:val="91"/>
              </w:rPr>
              <w:t>Exhibit Number</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28"/>
        </w:trPr>
        <w:tc>
          <w:tcPr>
            <w:tcW w:w="1440" w:type="dxa"/>
            <w:vAlign w:val="bottom"/>
            <w:gridSpan w:val="2"/>
          </w:tcPr>
          <w:p>
            <w:pPr>
              <w:ind w:left="40"/>
              <w:spacing w:after="0"/>
              <w:rPr>
                <w:sz w:val="20"/>
                <w:szCs w:val="20"/>
                <w:color w:val="auto"/>
              </w:rPr>
            </w:pPr>
            <w:r>
              <w:rPr>
                <w:rFonts w:ascii="Arial" w:cs="Arial" w:eastAsia="Arial" w:hAnsi="Arial"/>
                <w:sz w:val="22"/>
                <w:szCs w:val="22"/>
                <w:color w:val="auto"/>
              </w:rPr>
              <w:t>23</w:t>
            </w:r>
          </w:p>
        </w:tc>
        <w:tc>
          <w:tcPr>
            <w:tcW w:w="420" w:type="dxa"/>
            <w:vAlign w:val="bottom"/>
          </w:tcPr>
          <w:p>
            <w:pPr>
              <w:spacing w:after="0"/>
              <w:rPr>
                <w:sz w:val="24"/>
                <w:szCs w:val="24"/>
                <w:color w:val="auto"/>
              </w:rPr>
            </w:pPr>
          </w:p>
        </w:tc>
        <w:tc>
          <w:tcPr>
            <w:tcW w:w="5620" w:type="dxa"/>
            <w:vAlign w:val="bottom"/>
            <w:gridSpan w:val="3"/>
          </w:tcPr>
          <w:p>
            <w:pPr>
              <w:ind w:left="420"/>
              <w:spacing w:after="0"/>
              <w:rPr>
                <w:rFonts w:ascii="Arial" w:cs="Arial" w:eastAsia="Arial" w:hAnsi="Arial"/>
                <w:sz w:val="22"/>
                <w:szCs w:val="22"/>
                <w:u w:val="single" w:color="auto"/>
                <w:color w:val="0000EE"/>
                <w:w w:val="89"/>
              </w:rPr>
            </w:pPr>
            <w:hyperlink w:anchor="page15">
              <w:r>
                <w:rPr>
                  <w:rFonts w:ascii="Arial" w:cs="Arial" w:eastAsia="Arial" w:hAnsi="Arial"/>
                  <w:sz w:val="22"/>
                  <w:szCs w:val="22"/>
                  <w:u w:val="single" w:color="auto"/>
                  <w:color w:val="0000EE"/>
                  <w:w w:val="89"/>
                </w:rPr>
                <w:t>Consent of Independent Registered Public Accounting Firm</w:t>
              </w:r>
            </w:hyperlink>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Crown Cork &amp; Seal Company, Inc.</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401(k) Retirement Savings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320" w:top="558" w:right="619" w:bottom="1440" w:gutter="0" w:footer="0" w:header="0"/>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 (No. 333-140991) on Form S-8 of our report dated June 18, 2020, which appears in this annual report on Form 11-K of the Crown Cork &amp; Seal Company, Inc. 401(k) Retirement Savings Plan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18, 2020</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2020-06-18T14:12:34Z</dcterms:created>
  <dcterms:modified xsi:type="dcterms:W3CDTF">2020-06-18T14:12:34Z</dcterms:modified>
</cp:coreProperties>
</file>