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20"/>
        <w:spacing w:after="0"/>
        <w:rPr>
          <w:sz w:val="20"/>
          <w:szCs w:val="20"/>
          <w:color w:val="auto"/>
        </w:rPr>
      </w:pPr>
      <w:r>
        <w:rPr>
          <w:rFonts w:ascii="Arial" w:cs="Arial" w:eastAsia="Arial" w:hAnsi="Arial"/>
          <w:sz w:val="18"/>
          <w:szCs w:val="18"/>
          <w:b w:val="1"/>
          <w:bCs w:val="1"/>
          <w:color w:val="auto"/>
        </w:rPr>
        <w:t>As filed with the Securities and Exchange Commission on November 14,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333-188568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-586105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4" w:lineRule="exact"/>
        <w:rPr>
          <w:sz w:val="24"/>
          <w:szCs w:val="24"/>
          <w:color w:val="auto"/>
        </w:rPr>
      </w:pPr>
    </w:p>
    <w:p>
      <w:pPr>
        <w:jc w:val="center"/>
        <w:ind w:right="94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40"/>
        <w:spacing w:after="0"/>
        <w:rPr>
          <w:sz w:val="20"/>
          <w:szCs w:val="20"/>
          <w:color w:val="auto"/>
        </w:rPr>
      </w:pPr>
      <w:r>
        <w:rPr>
          <w:rFonts w:ascii="Arial" w:cs="Arial" w:eastAsia="Arial" w:hAnsi="Arial"/>
          <w:sz w:val="32"/>
          <w:szCs w:val="32"/>
          <w:b w:val="1"/>
          <w:bCs w:val="1"/>
          <w:color w:val="auto"/>
        </w:rPr>
        <w:t>SECURITIES AND EXCHANGE COMMISSION</w:t>
      </w:r>
    </w:p>
    <w:p>
      <w:pPr>
        <w:ind w:left="3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40"/>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ind w:right="940"/>
        <w:spacing w:after="0"/>
        <w:rPr>
          <w:sz w:val="20"/>
          <w:szCs w:val="20"/>
          <w:color w:val="auto"/>
        </w:rPr>
      </w:pPr>
      <w:r>
        <w:rPr>
          <w:rFonts w:ascii="Arial" w:cs="Arial" w:eastAsia="Arial" w:hAnsi="Arial"/>
          <w:sz w:val="32"/>
          <w:szCs w:val="32"/>
          <w:b w:val="1"/>
          <w:bCs w:val="1"/>
          <w:color w:val="auto"/>
        </w:rPr>
        <w:t>to</w:t>
      </w:r>
    </w:p>
    <w:p>
      <w:pPr>
        <w:jc w:val="center"/>
        <w:ind w:right="940"/>
        <w:spacing w:after="0" w:line="237" w:lineRule="auto"/>
        <w:rPr>
          <w:sz w:val="20"/>
          <w:szCs w:val="20"/>
          <w:color w:val="auto"/>
        </w:rPr>
      </w:pPr>
      <w:r>
        <w:rPr>
          <w:rFonts w:ascii="Arial" w:cs="Arial" w:eastAsia="Arial" w:hAnsi="Arial"/>
          <w:sz w:val="32"/>
          <w:szCs w:val="32"/>
          <w:b w:val="1"/>
          <w:bCs w:val="1"/>
          <w:color w:val="auto"/>
        </w:rPr>
        <w:t>FORM S–8</w:t>
      </w:r>
    </w:p>
    <w:p>
      <w:pPr>
        <w:jc w:val="center"/>
        <w:ind w:right="940"/>
        <w:spacing w:after="0"/>
        <w:rPr>
          <w:sz w:val="20"/>
          <w:szCs w:val="20"/>
          <w:color w:val="auto"/>
        </w:rPr>
      </w:pPr>
      <w:r>
        <w:rPr>
          <w:rFonts w:ascii="Arial" w:cs="Arial" w:eastAsia="Arial" w:hAnsi="Arial"/>
          <w:sz w:val="32"/>
          <w:szCs w:val="32"/>
          <w:b w:val="1"/>
          <w:bCs w:val="1"/>
          <w:color w:val="auto"/>
        </w:rPr>
        <w:t>REGISTRATION STATEMENT</w:t>
      </w:r>
    </w:p>
    <w:p>
      <w:pPr>
        <w:jc w:val="center"/>
        <w:ind w:right="94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94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940"/>
        <w:spacing w:after="0"/>
        <w:rPr>
          <w:sz w:val="20"/>
          <w:szCs w:val="20"/>
          <w:color w:val="auto"/>
        </w:rPr>
      </w:pPr>
      <w:r>
        <w:rPr>
          <w:rFonts w:ascii="Arial" w:cs="Arial" w:eastAsia="Arial" w:hAnsi="Arial"/>
          <w:sz w:val="43"/>
          <w:szCs w:val="43"/>
          <w:b w:val="1"/>
          <w:bCs w:val="1"/>
          <w:color w:val="auto"/>
        </w:rPr>
        <w:t>CROWN HOLDINGS, INC.</w:t>
      </w:r>
    </w:p>
    <w:p>
      <w:pPr>
        <w:spacing w:after="0" w:line="50"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6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90"/>
              </w:rPr>
              <w:t>770 Township Line Road</w:t>
            </w:r>
          </w:p>
        </w:tc>
        <w:tc>
          <w:tcPr>
            <w:tcW w:w="1520" w:type="dxa"/>
            <w:vAlign w:val="bottom"/>
          </w:tcPr>
          <w:p>
            <w:pPr>
              <w:spacing w:after="0"/>
              <w:rPr>
                <w:sz w:val="18"/>
                <w:szCs w:val="18"/>
                <w:color w:val="auto"/>
              </w:rPr>
            </w:pPr>
          </w:p>
        </w:tc>
      </w:tr>
      <w:tr>
        <w:trPr>
          <w:trHeight w:val="225"/>
        </w:trPr>
        <w:tc>
          <w:tcPr>
            <w:tcW w:w="2040" w:type="dxa"/>
            <w:vAlign w:val="bottom"/>
          </w:tcPr>
          <w:p>
            <w:pPr>
              <w:jc w:val="center"/>
              <w:ind w:right="62"/>
              <w:spacing w:after="0"/>
              <w:rPr>
                <w:sz w:val="20"/>
                <w:szCs w:val="20"/>
                <w:color w:val="auto"/>
              </w:rPr>
            </w:pPr>
            <w:r>
              <w:rPr>
                <w:rFonts w:ascii="Arial" w:cs="Arial" w:eastAsia="Arial" w:hAnsi="Arial"/>
                <w:sz w:val="18"/>
                <w:szCs w:val="18"/>
                <w:b w:val="1"/>
                <w:bCs w:val="1"/>
                <w:color w:val="auto"/>
                <w:w w:val="88"/>
              </w:rPr>
              <w:t>Pennsylvania</w:t>
            </w:r>
          </w:p>
        </w:tc>
        <w:tc>
          <w:tcPr>
            <w:tcW w:w="1380" w:type="dxa"/>
            <w:vAlign w:val="bottom"/>
          </w:tcPr>
          <w:p>
            <w:pPr>
              <w:spacing w:after="0"/>
              <w:rPr>
                <w:sz w:val="19"/>
                <w:szCs w:val="19"/>
                <w:color w:val="auto"/>
              </w:rPr>
            </w:pPr>
          </w:p>
        </w:tc>
        <w:tc>
          <w:tcPr>
            <w:tcW w:w="396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89"/>
              </w:rPr>
              <w:t>Yardley, Pennsylvania 19067</w:t>
            </w:r>
          </w:p>
        </w:tc>
        <w:tc>
          <w:tcPr>
            <w:tcW w:w="1520" w:type="dxa"/>
            <w:vAlign w:val="bottom"/>
          </w:tcPr>
          <w:p>
            <w:pPr>
              <w:jc w:val="center"/>
              <w:ind w:left="302"/>
              <w:spacing w:after="0"/>
              <w:rPr>
                <w:sz w:val="20"/>
                <w:szCs w:val="20"/>
                <w:color w:val="auto"/>
              </w:rPr>
            </w:pPr>
            <w:r>
              <w:rPr>
                <w:rFonts w:ascii="Arial" w:cs="Arial" w:eastAsia="Arial" w:hAnsi="Arial"/>
                <w:sz w:val="18"/>
                <w:szCs w:val="18"/>
                <w:b w:val="1"/>
                <w:bCs w:val="1"/>
                <w:color w:val="auto"/>
                <w:w w:val="89"/>
              </w:rPr>
              <w:t>75-3099507</w:t>
            </w:r>
          </w:p>
        </w:tc>
      </w:tr>
      <w:tr>
        <w:trPr>
          <w:trHeight w:val="148"/>
        </w:trPr>
        <w:tc>
          <w:tcPr>
            <w:tcW w:w="204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3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(Address of principal executive offices) (Zip Code)</w:t>
            </w:r>
          </w:p>
        </w:tc>
        <w:tc>
          <w:tcPr>
            <w:tcW w:w="1520" w:type="dxa"/>
            <w:vAlign w:val="bottom"/>
          </w:tcPr>
          <w:p>
            <w:pPr>
              <w:jc w:val="center"/>
              <w:ind w:left="30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04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incorporation or organization)</w:t>
            </w:r>
          </w:p>
        </w:tc>
        <w:tc>
          <w:tcPr>
            <w:tcW w:w="1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20" w:type="dxa"/>
            <w:vAlign w:val="bottom"/>
          </w:tcPr>
          <w:p>
            <w:pPr>
              <w:jc w:val="center"/>
              <w:ind w:left="302"/>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2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96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rPr>
              <w:t>CROWN HOLDINGS, INC.</w:t>
            </w:r>
          </w:p>
        </w:tc>
        <w:tc>
          <w:tcPr>
            <w:tcW w:w="1520" w:type="dxa"/>
            <w:vAlign w:val="bottom"/>
          </w:tcPr>
          <w:p>
            <w:pPr>
              <w:spacing w:after="0"/>
              <w:rPr>
                <w:sz w:val="24"/>
                <w:szCs w:val="24"/>
                <w:color w:val="auto"/>
              </w:rPr>
            </w:pPr>
          </w:p>
        </w:tc>
      </w:tr>
      <w:tr>
        <w:trPr>
          <w:trHeight w:val="234"/>
        </w:trPr>
        <w:tc>
          <w:tcPr>
            <w:tcW w:w="2040" w:type="dxa"/>
            <w:vAlign w:val="bottom"/>
          </w:tcPr>
          <w:p>
            <w:pPr>
              <w:spacing w:after="0"/>
              <w:rPr>
                <w:sz w:val="20"/>
                <w:szCs w:val="20"/>
                <w:color w:val="auto"/>
              </w:rPr>
            </w:pPr>
          </w:p>
        </w:tc>
        <w:tc>
          <w:tcPr>
            <w:tcW w:w="5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9"/>
              </w:rPr>
              <w:t>2013 STOCK-BASED INCENTIVE COMPENSATION PLAN</w:t>
            </w:r>
          </w:p>
        </w:tc>
        <w:tc>
          <w:tcPr>
            <w:tcW w:w="1520" w:type="dxa"/>
            <w:vAlign w:val="bottom"/>
          </w:tcPr>
          <w:p>
            <w:pPr>
              <w:spacing w:after="0"/>
              <w:rPr>
                <w:sz w:val="20"/>
                <w:szCs w:val="20"/>
                <w:color w:val="auto"/>
              </w:rPr>
            </w:pPr>
          </w:p>
        </w:tc>
      </w:tr>
      <w:tr>
        <w:trPr>
          <w:trHeight w:val="414"/>
        </w:trPr>
        <w:tc>
          <w:tcPr>
            <w:tcW w:w="2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96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rPr>
              <w:t>CROWN HOLDINGS, INC.</w:t>
            </w:r>
          </w:p>
        </w:tc>
        <w:tc>
          <w:tcPr>
            <w:tcW w:w="1520" w:type="dxa"/>
            <w:vAlign w:val="bottom"/>
          </w:tcPr>
          <w:p>
            <w:pPr>
              <w:spacing w:after="0"/>
              <w:rPr>
                <w:sz w:val="24"/>
                <w:szCs w:val="24"/>
                <w:color w:val="auto"/>
              </w:rPr>
            </w:pPr>
          </w:p>
        </w:tc>
      </w:tr>
      <w:tr>
        <w:trPr>
          <w:trHeight w:val="212"/>
        </w:trPr>
        <w:tc>
          <w:tcPr>
            <w:tcW w:w="2040" w:type="dxa"/>
            <w:vAlign w:val="bottom"/>
          </w:tcPr>
          <w:p>
            <w:pPr>
              <w:spacing w:after="0"/>
              <w:rPr>
                <w:sz w:val="18"/>
                <w:szCs w:val="18"/>
                <w:color w:val="auto"/>
              </w:rPr>
            </w:pPr>
          </w:p>
        </w:tc>
        <w:tc>
          <w:tcPr>
            <w:tcW w:w="5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9"/>
              </w:rPr>
              <w:t>2022 STOCK-BASED INCENTIVE COMPENSATION PLAN</w:t>
            </w:r>
          </w:p>
        </w:tc>
        <w:tc>
          <w:tcPr>
            <w:tcW w:w="1520" w:type="dxa"/>
            <w:vAlign w:val="bottom"/>
          </w:tcPr>
          <w:p>
            <w:pPr>
              <w:spacing w:after="0"/>
              <w:rPr>
                <w:sz w:val="18"/>
                <w:szCs w:val="18"/>
                <w:color w:val="auto"/>
              </w:rPr>
            </w:pPr>
          </w:p>
        </w:tc>
      </w:tr>
      <w:tr>
        <w:trPr>
          <w:trHeight w:val="186"/>
        </w:trPr>
        <w:tc>
          <w:tcPr>
            <w:tcW w:w="20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960" w:type="dxa"/>
            <w:vAlign w:val="bottom"/>
            <w:gridSpan w:val="2"/>
          </w:tcPr>
          <w:p>
            <w:pPr>
              <w:jc w:val="center"/>
              <w:ind w:right="1640"/>
              <w:spacing w:after="0"/>
              <w:rPr>
                <w:sz w:val="20"/>
                <w:szCs w:val="20"/>
                <w:color w:val="auto"/>
              </w:rPr>
            </w:pPr>
            <w:r>
              <w:rPr>
                <w:rFonts w:ascii="Arial" w:cs="Arial" w:eastAsia="Arial" w:hAnsi="Arial"/>
                <w:sz w:val="14"/>
                <w:szCs w:val="14"/>
                <w:b w:val="1"/>
                <w:bCs w:val="1"/>
                <w:color w:val="auto"/>
                <w:w w:val="95"/>
              </w:rPr>
              <w:t>(Full title of the plan)</w:t>
            </w:r>
          </w:p>
        </w:tc>
        <w:tc>
          <w:tcPr>
            <w:tcW w:w="1520" w:type="dxa"/>
            <w:vAlign w:val="bottom"/>
          </w:tcPr>
          <w:p>
            <w:pPr>
              <w:spacing w:after="0"/>
              <w:rPr>
                <w:sz w:val="16"/>
                <w:szCs w:val="16"/>
                <w:color w:val="auto"/>
              </w:rPr>
            </w:pPr>
          </w:p>
        </w:tc>
      </w:tr>
      <w:tr>
        <w:trPr>
          <w:trHeight w:val="399"/>
        </w:trPr>
        <w:tc>
          <w:tcPr>
            <w:tcW w:w="2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96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90"/>
              </w:rPr>
              <w:t>Adam J. Dickstein, Esquire</w:t>
            </w:r>
          </w:p>
        </w:tc>
        <w:tc>
          <w:tcPr>
            <w:tcW w:w="1520" w:type="dxa"/>
            <w:vAlign w:val="bottom"/>
          </w:tcPr>
          <w:p>
            <w:pPr>
              <w:spacing w:after="0"/>
              <w:rPr>
                <w:sz w:val="24"/>
                <w:szCs w:val="24"/>
                <w:color w:val="auto"/>
              </w:rPr>
            </w:pPr>
          </w:p>
        </w:tc>
      </w:tr>
      <w:tr>
        <w:trPr>
          <w:trHeight w:val="216"/>
        </w:trPr>
        <w:tc>
          <w:tcPr>
            <w:tcW w:w="2040" w:type="dxa"/>
            <w:vAlign w:val="bottom"/>
          </w:tcPr>
          <w:p>
            <w:pPr>
              <w:spacing w:after="0"/>
              <w:rPr>
                <w:sz w:val="18"/>
                <w:szCs w:val="18"/>
                <w:color w:val="auto"/>
              </w:rPr>
            </w:pPr>
          </w:p>
        </w:tc>
        <w:tc>
          <w:tcPr>
            <w:tcW w:w="5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Senior Vice President, General Counsel and Secretary</w:t>
            </w:r>
          </w:p>
        </w:tc>
        <w:tc>
          <w:tcPr>
            <w:tcW w:w="152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6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91"/>
              </w:rPr>
              <w:t>Crown Holdings, Inc.</w:t>
            </w:r>
          </w:p>
        </w:tc>
        <w:tc>
          <w:tcPr>
            <w:tcW w:w="152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6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90"/>
              </w:rPr>
              <w:t>770 Township Line Road</w:t>
            </w:r>
          </w:p>
        </w:tc>
        <w:tc>
          <w:tcPr>
            <w:tcW w:w="152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6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89"/>
              </w:rPr>
              <w:t>Yardley, Pennsylvania 19067</w:t>
            </w:r>
          </w:p>
        </w:tc>
        <w:tc>
          <w:tcPr>
            <w:tcW w:w="152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5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(Name and address of agent for service)</w:t>
            </w:r>
          </w:p>
        </w:tc>
        <w:tc>
          <w:tcPr>
            <w:tcW w:w="1520" w:type="dxa"/>
            <w:vAlign w:val="bottom"/>
          </w:tcPr>
          <w:p>
            <w:pPr>
              <w:spacing w:after="0"/>
              <w:rPr>
                <w:sz w:val="18"/>
                <w:szCs w:val="18"/>
                <w:color w:val="auto"/>
              </w:rPr>
            </w:pPr>
          </w:p>
        </w:tc>
      </w:tr>
      <w:tr>
        <w:trPr>
          <w:trHeight w:val="212"/>
        </w:trPr>
        <w:tc>
          <w:tcPr>
            <w:tcW w:w="2040" w:type="dxa"/>
            <w:vAlign w:val="bottom"/>
          </w:tcPr>
          <w:p>
            <w:pPr>
              <w:spacing w:after="0"/>
              <w:rPr>
                <w:sz w:val="18"/>
                <w:szCs w:val="18"/>
                <w:color w:val="auto"/>
              </w:rPr>
            </w:pPr>
          </w:p>
        </w:tc>
        <w:tc>
          <w:tcPr>
            <w:tcW w:w="3700" w:type="dxa"/>
            <w:vAlign w:val="bottom"/>
            <w:gridSpan w:val="2"/>
          </w:tcPr>
          <w:p>
            <w:pPr>
              <w:jc w:val="center"/>
              <w:ind w:left="1294"/>
              <w:spacing w:after="0"/>
              <w:rPr>
                <w:sz w:val="20"/>
                <w:szCs w:val="20"/>
                <w:color w:val="auto"/>
              </w:rPr>
            </w:pPr>
            <w:r>
              <w:rPr>
                <w:rFonts w:ascii="Arial" w:cs="Arial" w:eastAsia="Arial" w:hAnsi="Arial"/>
                <w:sz w:val="18"/>
                <w:szCs w:val="18"/>
                <w:b w:val="1"/>
                <w:bCs w:val="1"/>
                <w:color w:val="auto"/>
                <w:w w:val="90"/>
              </w:rPr>
              <w:t>(215) 698-5100</w:t>
            </w:r>
          </w:p>
        </w:tc>
        <w:tc>
          <w:tcPr>
            <w:tcW w:w="16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86"/>
        </w:trPr>
        <w:tc>
          <w:tcPr>
            <w:tcW w:w="2040" w:type="dxa"/>
            <w:vAlign w:val="bottom"/>
          </w:tcPr>
          <w:p>
            <w:pPr>
              <w:spacing w:after="0"/>
              <w:rPr>
                <w:sz w:val="16"/>
                <w:szCs w:val="16"/>
                <w:color w:val="auto"/>
              </w:rPr>
            </w:pPr>
          </w:p>
        </w:tc>
        <w:tc>
          <w:tcPr>
            <w:tcW w:w="5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(Telephone number, including area code, of agent for service)</w:t>
            </w:r>
          </w:p>
        </w:tc>
        <w:tc>
          <w:tcPr>
            <w:tcW w:w="1520" w:type="dxa"/>
            <w:vAlign w:val="bottom"/>
          </w:tcPr>
          <w:p>
            <w:pPr>
              <w:spacing w:after="0"/>
              <w:rPr>
                <w:sz w:val="16"/>
                <w:szCs w:val="16"/>
                <w:color w:val="auto"/>
              </w:rPr>
            </w:pPr>
          </w:p>
        </w:tc>
      </w:tr>
      <w:tr>
        <w:trPr>
          <w:trHeight w:val="417"/>
        </w:trPr>
        <w:tc>
          <w:tcPr>
            <w:tcW w:w="2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960" w:type="dxa"/>
            <w:vAlign w:val="bottom"/>
            <w:gridSpan w:val="2"/>
          </w:tcPr>
          <w:p>
            <w:pPr>
              <w:jc w:val="center"/>
              <w:ind w:right="1640"/>
              <w:spacing w:after="0"/>
              <w:rPr>
                <w:sz w:val="20"/>
                <w:szCs w:val="20"/>
                <w:color w:val="auto"/>
              </w:rPr>
            </w:pPr>
            <w:r>
              <w:rPr>
                <w:rFonts w:ascii="Arial" w:cs="Arial" w:eastAsia="Arial" w:hAnsi="Arial"/>
                <w:sz w:val="18"/>
                <w:szCs w:val="18"/>
                <w:b w:val="1"/>
                <w:bCs w:val="1"/>
                <w:i w:val="1"/>
                <w:iCs w:val="1"/>
                <w:color w:val="auto"/>
                <w:w w:val="87"/>
              </w:rPr>
              <w:t>With a Copy to:</w:t>
            </w:r>
          </w:p>
        </w:tc>
        <w:tc>
          <w:tcPr>
            <w:tcW w:w="1520" w:type="dxa"/>
            <w:vAlign w:val="bottom"/>
          </w:tcPr>
          <w:p>
            <w:pPr>
              <w:spacing w:after="0"/>
              <w:rPr>
                <w:sz w:val="24"/>
                <w:szCs w:val="24"/>
                <w:color w:val="auto"/>
              </w:rPr>
            </w:pPr>
          </w:p>
        </w:tc>
      </w:tr>
      <w:tr>
        <w:trPr>
          <w:trHeight w:val="306"/>
        </w:trPr>
        <w:tc>
          <w:tcPr>
            <w:tcW w:w="2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96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94"/>
              </w:rPr>
              <w:t>Ian A. Hartman, Esquire</w:t>
            </w:r>
          </w:p>
        </w:tc>
        <w:tc>
          <w:tcPr>
            <w:tcW w:w="1520" w:type="dxa"/>
            <w:vAlign w:val="bottom"/>
          </w:tcPr>
          <w:p>
            <w:pPr>
              <w:spacing w:after="0"/>
              <w:rPr>
                <w:sz w:val="24"/>
                <w:szCs w:val="24"/>
                <w:color w:val="auto"/>
              </w:rPr>
            </w:pPr>
          </w:p>
        </w:tc>
      </w:tr>
      <w:tr>
        <w:trPr>
          <w:trHeight w:val="216"/>
        </w:trPr>
        <w:tc>
          <w:tcPr>
            <w:tcW w:w="2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6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94"/>
              </w:rPr>
              <w:t>Dechert LLP</w:t>
            </w:r>
          </w:p>
        </w:tc>
        <w:tc>
          <w:tcPr>
            <w:tcW w:w="152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6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94"/>
              </w:rPr>
              <w:t>Cira Centre</w:t>
            </w:r>
          </w:p>
        </w:tc>
        <w:tc>
          <w:tcPr>
            <w:tcW w:w="152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6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91"/>
              </w:rPr>
              <w:t>2929 Arch Street</w:t>
            </w:r>
          </w:p>
        </w:tc>
        <w:tc>
          <w:tcPr>
            <w:tcW w:w="152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5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Philadelphia, Pennsylvania 19104</w:t>
            </w:r>
          </w:p>
        </w:tc>
        <w:tc>
          <w:tcPr>
            <w:tcW w:w="1520" w:type="dxa"/>
            <w:vAlign w:val="bottom"/>
          </w:tcPr>
          <w:p>
            <w:pPr>
              <w:spacing w:after="0"/>
              <w:rPr>
                <w:sz w:val="18"/>
                <w:szCs w:val="18"/>
                <w:color w:val="auto"/>
              </w:rPr>
            </w:pPr>
          </w:p>
        </w:tc>
      </w:tr>
      <w:tr>
        <w:trPr>
          <w:trHeight w:val="234"/>
        </w:trPr>
        <w:tc>
          <w:tcPr>
            <w:tcW w:w="2040" w:type="dxa"/>
            <w:vAlign w:val="bottom"/>
          </w:tcPr>
          <w:p>
            <w:pPr>
              <w:spacing w:after="0"/>
              <w:rPr>
                <w:sz w:val="20"/>
                <w:szCs w:val="20"/>
                <w:color w:val="auto"/>
              </w:rPr>
            </w:pPr>
          </w:p>
        </w:tc>
        <w:tc>
          <w:tcPr>
            <w:tcW w:w="3700" w:type="dxa"/>
            <w:vAlign w:val="bottom"/>
            <w:gridSpan w:val="2"/>
          </w:tcPr>
          <w:p>
            <w:pPr>
              <w:jc w:val="center"/>
              <w:ind w:left="1294"/>
              <w:spacing w:after="0"/>
              <w:rPr>
                <w:sz w:val="20"/>
                <w:szCs w:val="20"/>
                <w:color w:val="auto"/>
              </w:rPr>
            </w:pPr>
            <w:r>
              <w:rPr>
                <w:rFonts w:ascii="Arial" w:cs="Arial" w:eastAsia="Arial" w:hAnsi="Arial"/>
                <w:sz w:val="18"/>
                <w:szCs w:val="18"/>
                <w:b w:val="1"/>
                <w:bCs w:val="1"/>
                <w:color w:val="auto"/>
                <w:w w:val="90"/>
              </w:rPr>
              <w:t>(215) 994-4000</w:t>
            </w:r>
          </w:p>
        </w:tc>
        <w:tc>
          <w:tcPr>
            <w:tcW w:w="16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64"/>
        </w:trPr>
        <w:tc>
          <w:tcPr>
            <w:tcW w:w="2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0100"/>
          </w:cols>
          <w:pgMar w:left="1360" w:top="229" w:right="439" w:bottom="1440" w:gutter="0" w:footer="0" w:header="0"/>
        </w:sectPr>
      </w:pPr>
    </w:p>
    <w:bookmarkStart w:id="1" w:name="page2"/>
    <w:bookmarkEnd w:id="1"/>
    <w:p>
      <w:pPr>
        <w:ind w:right="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4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of 1933.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175895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5" w:right="499" w:bottom="1440" w:gutter="0" w:footer="0" w:header="0"/>
        </w:sectPr>
      </w:pPr>
    </w:p>
    <w:bookmarkStart w:id="2" w:name="page3"/>
    <w:bookmarkEnd w:id="2"/>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left="4" w:right="280"/>
        <w:spacing w:after="0" w:line="287" w:lineRule="auto"/>
        <w:rPr>
          <w:sz w:val="20"/>
          <w:szCs w:val="20"/>
          <w:color w:val="auto"/>
        </w:rPr>
      </w:pPr>
      <w:r>
        <w:rPr>
          <w:rFonts w:ascii="Arial" w:cs="Arial" w:eastAsia="Arial" w:hAnsi="Arial"/>
          <w:sz w:val="16"/>
          <w:szCs w:val="16"/>
          <w:color w:val="auto"/>
        </w:rPr>
        <w:t>On April 28, 2022, the shareholders of Crown Holdings, Inc. (the “</w:t>
      </w:r>
      <w:r>
        <w:rPr>
          <w:rFonts w:ascii="Arial" w:cs="Arial" w:eastAsia="Arial" w:hAnsi="Arial"/>
          <w:sz w:val="16"/>
          <w:szCs w:val="16"/>
          <w:u w:val="single" w:color="auto"/>
          <w:color w:val="auto"/>
        </w:rPr>
        <w:t>Registrant</w:t>
      </w:r>
      <w:r>
        <w:rPr>
          <w:rFonts w:ascii="Arial" w:cs="Arial" w:eastAsia="Arial" w:hAnsi="Arial"/>
          <w:sz w:val="16"/>
          <w:szCs w:val="16"/>
          <w:color w:val="auto"/>
        </w:rPr>
        <w:t>”) approved the Company’s 2022 Stock-Based Incentive Compensation Plan (the “</w:t>
      </w:r>
      <w:r>
        <w:rPr>
          <w:rFonts w:ascii="Arial" w:cs="Arial" w:eastAsia="Arial" w:hAnsi="Arial"/>
          <w:sz w:val="16"/>
          <w:szCs w:val="16"/>
          <w:u w:val="single" w:color="auto"/>
          <w:color w:val="auto"/>
        </w:rPr>
        <w:t>Plan</w:t>
      </w:r>
      <w:r>
        <w:rPr>
          <w:rFonts w:ascii="Arial" w:cs="Arial" w:eastAsia="Arial" w:hAnsi="Arial"/>
          <w:sz w:val="16"/>
          <w:szCs w:val="16"/>
          <w:color w:val="auto"/>
        </w:rPr>
        <w:t>”). The total number of shares of the Registrant’s common stock, par value $5.00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authorized for issuance under the Plan includes, in addition to 2,750,000 new shares (registered concurrently on a new registration statement on Form S-8):</w:t>
      </w:r>
    </w:p>
    <w:p>
      <w:pPr>
        <w:spacing w:after="0" w:line="2" w:lineRule="exact"/>
        <w:rPr>
          <w:sz w:val="20"/>
          <w:szCs w:val="20"/>
          <w:color w:val="auto"/>
        </w:rPr>
      </w:pPr>
    </w:p>
    <w:p>
      <w:pPr>
        <w:ind w:left="4" w:hanging="4"/>
        <w:spacing w:after="0" w:line="302" w:lineRule="auto"/>
        <w:tabs>
          <w:tab w:leader="none" w:pos="219" w:val="left"/>
        </w:tabs>
        <w:numPr>
          <w:ilvl w:val="0"/>
          <w:numId w:val="1"/>
        </w:numPr>
        <w:rPr>
          <w:rFonts w:ascii="Arial" w:cs="Arial" w:eastAsia="Arial" w:hAnsi="Arial"/>
          <w:sz w:val="16"/>
          <w:szCs w:val="16"/>
          <w:color w:val="auto"/>
        </w:rPr>
      </w:pPr>
      <w:r>
        <w:rPr>
          <w:rFonts w:ascii="Arial" w:cs="Arial" w:eastAsia="Arial" w:hAnsi="Arial"/>
          <w:sz w:val="16"/>
          <w:szCs w:val="16"/>
          <w:color w:val="auto"/>
        </w:rPr>
        <w:t>1,837,375 of the shares available for issuance but not issued or subject to outstanding awards under the Company’s 2013 Stock-Based Incentive Compensation Plan (the “</w:t>
      </w:r>
      <w:r>
        <w:rPr>
          <w:rFonts w:ascii="Arial" w:cs="Arial" w:eastAsia="Arial" w:hAnsi="Arial"/>
          <w:sz w:val="16"/>
          <w:szCs w:val="16"/>
          <w:u w:val="single" w:color="auto"/>
          <w:color w:val="auto"/>
        </w:rPr>
        <w:t>Prior Plan</w:t>
      </w:r>
      <w:r>
        <w:rPr>
          <w:rFonts w:ascii="Arial" w:cs="Arial" w:eastAsia="Arial" w:hAnsi="Arial"/>
          <w:sz w:val="16"/>
          <w:szCs w:val="16"/>
          <w:color w:val="auto"/>
        </w:rPr>
        <w:t>”) , and (ii) an aggregate of up to 670,104 shares subject to awards under the Prior Plan that subsequently cease to be subject to such awards, such as by expiration, cancellation or forfeiture of the awards (together, the “</w:t>
      </w:r>
      <w:r>
        <w:rPr>
          <w:rFonts w:ascii="Arial" w:cs="Arial" w:eastAsia="Arial" w:hAnsi="Arial"/>
          <w:sz w:val="16"/>
          <w:szCs w:val="16"/>
          <w:u w:val="single" w:color="auto"/>
          <w:color w:val="auto"/>
        </w:rPr>
        <w:t>Prior Plan Shares</w:t>
      </w:r>
      <w:r>
        <w:rPr>
          <w:rFonts w:ascii="Arial" w:cs="Arial" w:eastAsia="Arial" w:hAnsi="Arial"/>
          <w:sz w:val="16"/>
          <w:szCs w:val="16"/>
          <w:color w:val="auto"/>
        </w:rPr>
        <w:t>”).</w:t>
      </w:r>
    </w:p>
    <w:p>
      <w:pPr>
        <w:spacing w:after="0" w:line="155"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In accordance with Item 512(a)(1)(iii) of Regulation S-K and Compliance and Disclosure Interpretation 126.43, this Post-Effective Amendment No. 1 to Registration Statement No. 333-188568 (with respect to the Prior Plan) and Post-Effective Amendment No. 1 to Registration Statement No. 333-</w:t>
      </w:r>
    </w:p>
    <w:p>
      <w:pPr>
        <w:ind w:left="544"/>
        <w:spacing w:after="0"/>
        <w:rPr>
          <w:sz w:val="20"/>
          <w:szCs w:val="20"/>
          <w:color w:val="auto"/>
        </w:rPr>
      </w:pPr>
      <w:r>
        <w:rPr>
          <w:rFonts w:ascii="Arial" w:cs="Arial" w:eastAsia="Arial" w:hAnsi="Arial"/>
          <w:sz w:val="18"/>
          <w:szCs w:val="18"/>
          <w:color w:val="auto"/>
        </w:rPr>
        <w:t>(with respect to the Plan) are hereby filed to cover the issuance of the Prior Plan Shares pursuant to the Plan.</w:t>
      </w:r>
    </w:p>
    <w:p>
      <w:pPr>
        <w:spacing w:after="0" w:line="200" w:lineRule="exact"/>
        <w:rPr>
          <w:sz w:val="20"/>
          <w:szCs w:val="20"/>
          <w:color w:val="auto"/>
        </w:rPr>
      </w:pPr>
    </w:p>
    <w:p>
      <w:pPr>
        <w:spacing w:after="0" w:line="223"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704"/>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left="4" w:right="800"/>
        <w:spacing w:after="0" w:line="277" w:lineRule="auto"/>
        <w:rPr>
          <w:sz w:val="20"/>
          <w:szCs w:val="20"/>
          <w:color w:val="auto"/>
        </w:rPr>
      </w:pPr>
      <w:r>
        <w:rPr>
          <w:rFonts w:ascii="Arial" w:cs="Arial" w:eastAsia="Arial" w:hAnsi="Arial"/>
          <w:sz w:val="18"/>
          <w:szCs w:val="18"/>
          <w:color w:val="auto"/>
        </w:rPr>
        <w:t>The following documents, as originally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by the Registrant are hereby incorporated herein by reference:</w:t>
      </w:r>
    </w:p>
    <w:p>
      <w:pPr>
        <w:spacing w:after="0" w:line="170" w:lineRule="exact"/>
        <w:rPr>
          <w:sz w:val="20"/>
          <w:szCs w:val="20"/>
          <w:color w:val="auto"/>
        </w:rPr>
      </w:pPr>
    </w:p>
    <w:p>
      <w:pPr>
        <w:ind w:left="1804" w:hanging="372"/>
        <w:spacing w:after="0"/>
        <w:tabs>
          <w:tab w:leader="none" w:pos="1804"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Registrant’s annual report for the fiscal year ended December 31, 2021, filed on </w:t>
      </w:r>
      <w:hyperlink r:id="rId16">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on February 28, 2022.</w:t>
      </w:r>
    </w:p>
    <w:p>
      <w:pPr>
        <w:spacing w:after="0" w:line="236" w:lineRule="exact"/>
        <w:rPr>
          <w:rFonts w:ascii="Arial" w:cs="Arial" w:eastAsia="Arial" w:hAnsi="Arial"/>
          <w:sz w:val="17"/>
          <w:szCs w:val="17"/>
          <w:color w:val="auto"/>
        </w:rPr>
      </w:pPr>
    </w:p>
    <w:p>
      <w:pPr>
        <w:ind w:left="4" w:right="900" w:firstLine="1428"/>
        <w:spacing w:after="0" w:line="277" w:lineRule="auto"/>
        <w:tabs>
          <w:tab w:leader="none" w:pos="1816"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by the Registrant pursuant to Sections 13(a) or 15(d) of the Securities Exchange Act of 1934 (the “</w:t>
      </w:r>
      <w:r>
        <w:rPr>
          <w:rFonts w:ascii="Arial" w:cs="Arial" w:eastAsia="Arial" w:hAnsi="Arial"/>
          <w:sz w:val="18"/>
          <w:szCs w:val="18"/>
          <w:u w:val="single" w:color="auto"/>
          <w:color w:val="auto"/>
        </w:rPr>
        <w:t>Exchange Act</w:t>
      </w:r>
      <w:r>
        <w:rPr>
          <w:rFonts w:ascii="Arial" w:cs="Arial" w:eastAsia="Arial" w:hAnsi="Arial"/>
          <w:sz w:val="18"/>
          <w:szCs w:val="18"/>
          <w:color w:val="auto"/>
        </w:rPr>
        <w:t>”) since December 31, 2021.</w:t>
      </w:r>
    </w:p>
    <w:p>
      <w:pPr>
        <w:spacing w:after="0" w:line="170" w:lineRule="exact"/>
        <w:rPr>
          <w:rFonts w:ascii="Arial" w:cs="Arial" w:eastAsia="Arial" w:hAnsi="Arial"/>
          <w:sz w:val="18"/>
          <w:szCs w:val="18"/>
          <w:color w:val="auto"/>
        </w:rPr>
      </w:pPr>
    </w:p>
    <w:p>
      <w:pPr>
        <w:ind w:left="4" w:right="140" w:firstLine="1428"/>
        <w:spacing w:after="0" w:line="257" w:lineRule="auto"/>
        <w:tabs>
          <w:tab w:leader="none" w:pos="1812"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Common Stock of the Registrant contained in Form 8-B filed with the Commission on May 2, 1989 (Registration No. 1-2227) by Crown Cork &amp; Seal Company, Inc., a Pennsylvania corporation, including any amendment or report filed for the purpose of updating such descriptions, specifically including the report filed by the Registrant on </w:t>
      </w:r>
      <w:hyperlink r:id="rId17">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with the Commission on February 26, 2003, and the description of the Common Stock of the Registrant contained in </w:t>
      </w:r>
      <w:hyperlink r:id="rId18">
        <w:r>
          <w:rPr>
            <w:rFonts w:ascii="Arial" w:cs="Arial" w:eastAsia="Arial" w:hAnsi="Arial"/>
            <w:sz w:val="18"/>
            <w:szCs w:val="18"/>
            <w:u w:val="single" w:color="auto"/>
            <w:color w:val="0000EE"/>
          </w:rPr>
          <w:t>Exhibit 4.w</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Registrant’s annual report for the fiscal year ended December 31, 2021, filed on Form 10-K on February 28, 2022.</w:t>
      </w:r>
    </w:p>
    <w:p>
      <w:pPr>
        <w:spacing w:after="0" w:line="188" w:lineRule="exact"/>
        <w:rPr>
          <w:rFonts w:ascii="Arial" w:cs="Arial" w:eastAsia="Arial" w:hAnsi="Arial"/>
          <w:sz w:val="18"/>
          <w:szCs w:val="18"/>
          <w:color w:val="auto"/>
        </w:rPr>
      </w:pPr>
    </w:p>
    <w:p>
      <w:pPr>
        <w:ind w:left="4"/>
        <w:spacing w:after="0" w:line="257" w:lineRule="auto"/>
        <w:rPr>
          <w:sz w:val="20"/>
          <w:szCs w:val="20"/>
          <w:color w:val="auto"/>
        </w:rPr>
      </w:pPr>
      <w:r>
        <w:rPr>
          <w:rFonts w:ascii="Arial" w:cs="Arial" w:eastAsia="Arial" w:hAnsi="Arial"/>
          <w:sz w:val="18"/>
          <w:szCs w:val="18"/>
          <w:color w:val="auto"/>
        </w:rPr>
        <w:t>All documents filed by the Registrant with the Commission pursuant to Sections 13(a), 13(c), 14 and 15(d) of the Exchange Act, other than any information the Registrant furnishes, rather than files, with the Commission, subsequent to the date of this Registration Statement and prior to the filing of a post-effective amendment that indicates that all the securities offered have been sold or that deregisters all securities then remaining unsold, shall be deemed to be incorporated by reference into this Registration Statement and to be a part hereof from the date of the filing of such documents with the Commission.</w:t>
      </w:r>
    </w:p>
    <w:p>
      <w:pPr>
        <w:spacing w:after="0" w:line="188" w:lineRule="exact"/>
        <w:rPr>
          <w:rFonts w:ascii="Arial" w:cs="Arial" w:eastAsia="Arial" w:hAnsi="Arial"/>
          <w:sz w:val="18"/>
          <w:szCs w:val="18"/>
          <w:color w:val="auto"/>
        </w:rPr>
      </w:pPr>
    </w:p>
    <w:p>
      <w:pPr>
        <w:ind w:left="4" w:right="300"/>
        <w:spacing w:after="0" w:line="301" w:lineRule="auto"/>
        <w:rPr>
          <w:sz w:val="20"/>
          <w:szCs w:val="20"/>
          <w:color w:val="auto"/>
        </w:rPr>
      </w:pPr>
      <w:r>
        <w:rPr>
          <w:rFonts w:ascii="Arial" w:cs="Arial" w:eastAsia="Arial" w:hAnsi="Arial"/>
          <w:sz w:val="16"/>
          <w:szCs w:val="16"/>
          <w:color w:val="auto"/>
        </w:rPr>
        <w:t>Any statement contained in this Registration Statement or in a document incorporated or deemed to be incorporated by reference in this Registration Statement will be deemed to be modified or superseded to the extent that a statement contained herein or in any other subsequently filed document which also is or is deemed to be incorporated by reference in this Registration Statement modifies or supersedes that statement. Any statement so modified or superseded will not be deemed, except as so modified or superseded, to constitute a part of this Registration Statement.</w:t>
      </w:r>
    </w:p>
    <w:p>
      <w:pPr>
        <w:spacing w:after="0" w:line="261" w:lineRule="exact"/>
        <w:rPr>
          <w:rFonts w:ascii="Arial" w:cs="Arial" w:eastAsia="Arial" w:hAnsi="Arial"/>
          <w:sz w:val="18"/>
          <w:szCs w:val="18"/>
          <w:color w:val="auto"/>
        </w:rPr>
      </w:pPr>
    </w:p>
    <w:p>
      <w:pPr>
        <w:ind w:left="4"/>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rFonts w:ascii="Arial" w:cs="Arial" w:eastAsia="Arial" w:hAnsi="Arial"/>
          <w:sz w:val="18"/>
          <w:szCs w:val="18"/>
          <w:color w:val="auto"/>
        </w:rPr>
      </w:pPr>
    </w:p>
    <w:p>
      <w:pPr>
        <w:ind w:left="4"/>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84"/>
          </w:cols>
          <w:pgMar w:left="436" w:top="270" w:right="47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 Interests of Named Experts and Counsel.</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left="4"/>
        <w:spacing w:after="0" w:line="290" w:lineRule="auto"/>
        <w:rPr>
          <w:sz w:val="20"/>
          <w:szCs w:val="20"/>
          <w:color w:val="auto"/>
        </w:rPr>
      </w:pPr>
      <w:r>
        <w:rPr>
          <w:rFonts w:ascii="Arial" w:cs="Arial" w:eastAsia="Arial" w:hAnsi="Arial"/>
          <w:sz w:val="16"/>
          <w:szCs w:val="16"/>
          <w:color w:val="auto"/>
        </w:rPr>
        <w:t>Sections 1741 and 1742 of the Pennsylvania Business Corporation Law (the “</w:t>
      </w:r>
      <w:r>
        <w:rPr>
          <w:rFonts w:ascii="Arial" w:cs="Arial" w:eastAsia="Arial" w:hAnsi="Arial"/>
          <w:sz w:val="16"/>
          <w:szCs w:val="16"/>
          <w:u w:val="single" w:color="auto"/>
          <w:color w:val="auto"/>
        </w:rPr>
        <w:t>BCL</w:t>
      </w:r>
      <w:r>
        <w:rPr>
          <w:rFonts w:ascii="Arial" w:cs="Arial" w:eastAsia="Arial" w:hAnsi="Arial"/>
          <w:sz w:val="16"/>
          <w:szCs w:val="16"/>
          <w:color w:val="auto"/>
        </w:rPr>
        <w:t>”) provide that a corporation may indemnify its representatives (including directors and officers) against expenses (including attorneys’ fees), judgments, fines and amounts paid in settlement actually and reasonably incurred in such capacities, provided certain standards are met, including good faith and the reasonable belief that the particular action is in, or not opposed to, the best interests of the corporation or, in a criminal proceeding, that such representatives had no reasonable cause to believe their conduct was unlawful. In the case of actions against a director or officer by or in the right of the corporation, the power to indemnify extends only to expenses actually and reasonably incurred in connection with the defense or settlement, and such power generally does not exist if the person otherwise entitled to indemnification shall have been adjudged to be liable to the corporation, unless it is judicially determined that, despite the adjudication of liability but in view of all the circumstances of the case, the person is fairly and reasonably entitled to indemnification for specified expenses.</w:t>
      </w:r>
    </w:p>
    <w:p>
      <w:pPr>
        <w:spacing w:after="0" w:line="165"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In addition, Section 1744 of the BCL provides that, unless ordered by a court, any indemnification referred to above shall be made by the corporation only as authorized in the specific case upon a determination that indemnification is proper in the circumstances because the indemnitee has met the applicable standard of conduct. Such determination shall be made:</w:t>
      </w:r>
    </w:p>
    <w:p>
      <w:pPr>
        <w:spacing w:after="0" w:line="184" w:lineRule="exact"/>
        <w:rPr>
          <w:sz w:val="20"/>
          <w:szCs w:val="20"/>
          <w:color w:val="auto"/>
        </w:rPr>
      </w:pPr>
    </w:p>
    <w:p>
      <w:pPr>
        <w:ind w:left="264" w:hanging="264"/>
        <w:spacing w:after="0"/>
        <w:tabs>
          <w:tab w:leader="none" w:pos="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by the board of directors by a majority vote of a quorum consisting of directors who were not parties to the proceeding;</w:t>
      </w:r>
    </w:p>
    <w:p>
      <w:pPr>
        <w:spacing w:after="0" w:line="225" w:lineRule="exact"/>
        <w:rPr>
          <w:rFonts w:ascii="Arial" w:cs="Arial" w:eastAsia="Arial" w:hAnsi="Arial"/>
          <w:sz w:val="18"/>
          <w:szCs w:val="18"/>
          <w:color w:val="auto"/>
        </w:rPr>
      </w:pPr>
    </w:p>
    <w:p>
      <w:pPr>
        <w:ind w:left="4" w:hanging="4"/>
        <w:spacing w:after="0" w:line="277" w:lineRule="auto"/>
        <w:tabs>
          <w:tab w:leader="none" w:pos="259"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such a quorum is not obtainable, or if obtainable and a majority vote of a quorum of disinterested directors so directs, by independent legal counsel in a written opinion; or</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25" w:lineRule="exact"/>
        <w:rPr>
          <w:sz w:val="20"/>
          <w:szCs w:val="20"/>
          <w:color w:val="auto"/>
        </w:rPr>
      </w:pPr>
    </w:p>
    <w:p>
      <w:pPr>
        <w:ind w:left="4" w:right="340"/>
        <w:spacing w:after="0" w:line="263" w:lineRule="auto"/>
        <w:rPr>
          <w:sz w:val="20"/>
          <w:szCs w:val="20"/>
          <w:color w:val="auto"/>
        </w:rPr>
      </w:pPr>
      <w:r>
        <w:rPr>
          <w:rFonts w:ascii="Arial" w:cs="Arial" w:eastAsia="Arial" w:hAnsi="Arial"/>
          <w:sz w:val="18"/>
          <w:szCs w:val="18"/>
          <w:color w:val="auto"/>
        </w:rPr>
        <w:t>Notwithstanding the above, under Section 1743 of the BCL, a corporation is required to indemnify directors and officers against expenses they may incur in defending actions to which they are made a party by reason of their status as such if they are successful on the merits, or otherwise, in the defense of such actions.</w:t>
      </w:r>
    </w:p>
    <w:p>
      <w:pPr>
        <w:spacing w:after="0" w:line="184" w:lineRule="exact"/>
        <w:rPr>
          <w:sz w:val="20"/>
          <w:szCs w:val="20"/>
          <w:color w:val="auto"/>
        </w:rPr>
      </w:pPr>
    </w:p>
    <w:p>
      <w:pPr>
        <w:jc w:val="both"/>
        <w:ind w:left="4" w:right="40"/>
        <w:spacing w:after="0" w:line="263" w:lineRule="auto"/>
        <w:rPr>
          <w:sz w:val="20"/>
          <w:szCs w:val="20"/>
          <w:color w:val="auto"/>
        </w:rPr>
      </w:pPr>
      <w:r>
        <w:rPr>
          <w:rFonts w:ascii="Arial" w:cs="Arial" w:eastAsia="Arial" w:hAnsi="Arial"/>
          <w:sz w:val="18"/>
          <w:szCs w:val="18"/>
          <w:color w:val="auto"/>
        </w:rPr>
        <w:t>Under Section 1745 of the BCL, a corporation may pay the expenses of a director or officer incurred in defending an action or proceeding in advance of the final disposition thereof upon receipt of an undertaking by or on behalf of such person to repay the amounts advanced, if it is ultimately determined that such person is not entitled to indemnification from the corporation.</w:t>
      </w:r>
    </w:p>
    <w:p>
      <w:pPr>
        <w:spacing w:after="0" w:line="184" w:lineRule="exact"/>
        <w:rPr>
          <w:sz w:val="20"/>
          <w:szCs w:val="20"/>
          <w:color w:val="auto"/>
        </w:rPr>
      </w:pPr>
    </w:p>
    <w:p>
      <w:pPr>
        <w:ind w:left="4" w:right="340"/>
        <w:spacing w:after="0" w:line="259" w:lineRule="auto"/>
        <w:rPr>
          <w:sz w:val="20"/>
          <w:szCs w:val="20"/>
          <w:color w:val="auto"/>
        </w:rPr>
      </w:pPr>
      <w:r>
        <w:rPr>
          <w:rFonts w:ascii="Arial" w:cs="Arial" w:eastAsia="Arial" w:hAnsi="Arial"/>
          <w:sz w:val="18"/>
          <w:szCs w:val="18"/>
          <w:color w:val="auto"/>
        </w:rPr>
        <w:t>Section 1746 of the BCL provides that the foregoing provisions shall not be deemed exclusive of any other rights to which a person seeking indemnification may be entitled under, among other things, any provision in the corporation’s articles of incorporation or bylaws, provided that no indemnification may be made in any case where the act or failure to act giving rise to the claim for indemnification is determined by a court to have constituted willful misconduct or recklessness.</w:t>
      </w:r>
    </w:p>
    <w:p>
      <w:pPr>
        <w:spacing w:after="0" w:line="187" w:lineRule="exact"/>
        <w:rPr>
          <w:sz w:val="20"/>
          <w:szCs w:val="20"/>
          <w:color w:val="auto"/>
        </w:rPr>
      </w:pPr>
    </w:p>
    <w:p>
      <w:pPr>
        <w:ind w:left="4" w:right="20"/>
        <w:spacing w:after="0" w:line="311" w:lineRule="auto"/>
        <w:rPr>
          <w:sz w:val="20"/>
          <w:szCs w:val="20"/>
          <w:color w:val="auto"/>
        </w:rPr>
      </w:pPr>
      <w:r>
        <w:rPr>
          <w:rFonts w:ascii="Arial" w:cs="Arial" w:eastAsia="Arial" w:hAnsi="Arial"/>
          <w:sz w:val="16"/>
          <w:szCs w:val="16"/>
          <w:color w:val="auto"/>
        </w:rPr>
        <w:t>Section 1747 of the BCL permits a Pennsylvania business corporation to purchase and maintain insurance on behalf of any person who is or was a director or officer against any liability asserted against such person and incurred by such person in any such capacity, or arising out of such person’s status as such, whether or not the corporation would have the power to indemnify the person against such liability under the provisions described above.</w:t>
      </w:r>
    </w:p>
    <w:p>
      <w:pPr>
        <w:spacing w:after="0" w:line="149" w:lineRule="exact"/>
        <w:rPr>
          <w:sz w:val="20"/>
          <w:szCs w:val="20"/>
          <w:color w:val="auto"/>
        </w:rPr>
      </w:pPr>
    </w:p>
    <w:p>
      <w:pPr>
        <w:ind w:left="4" w:right="100"/>
        <w:spacing w:after="0" w:line="257" w:lineRule="auto"/>
        <w:rPr>
          <w:sz w:val="20"/>
          <w:szCs w:val="20"/>
          <w:color w:val="auto"/>
        </w:rPr>
      </w:pPr>
      <w:r>
        <w:rPr>
          <w:rFonts w:ascii="Arial" w:cs="Arial" w:eastAsia="Arial" w:hAnsi="Arial"/>
          <w:sz w:val="18"/>
          <w:szCs w:val="18"/>
          <w:color w:val="auto"/>
        </w:rPr>
        <w:t>Sections 1748 and 1749 of the BCL extend the indemnification and advancement of expenses provisions to successor corporations in consolidations, mergers or divisions and to representatives serving as fiduciaries of employee benefit plans. Section 1750 of the BCL provides that the indemnification and advancement of expenses provided by, or granted pursuant to, Subchapter D of Chapter 17 of Title 15 of the BCL, shall, unless otherwise provided when authorized or ratified, continue as to a person who has ceased to be a representative of the corporation and shall inure to the benefit of the heirs and personal representative of such person.</w:t>
      </w:r>
    </w:p>
    <w:p>
      <w:pPr>
        <w:sectPr>
          <w:pgSz w:w="11900" w:h="16838" w:orient="portrait"/>
          <w:cols w:equalWidth="0" w:num="1">
            <w:col w:w="10984"/>
          </w:cols>
          <w:pgMar w:left="436" w:top="270" w:right="479" w:bottom="1440" w:gutter="0" w:footer="0" w:header="0"/>
        </w:sectPr>
      </w:pPr>
    </w:p>
    <w:bookmarkStart w:id="4" w:name="page5"/>
    <w:bookmarkEnd w:id="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Registrant’s By-Laws provide that the Registrant shall indemnify to the fullest extent permitted by applicable law any person who was or is a party or is threatened to be made a party to or is otherwise involved in any threatened, pending or completed action, suit or proceeding by reason of the fact that such person is or was a director or officer of the Registrant, or is or was serving at the request of the Registrant as a director or officer of another business entity, against all liability, loss and expense (including attorney’s fees and amounts paid in settlement) actually and reasonably incurred by such person in connection with such proceeding, whether or not the indemnified liability arises or arose from any proceeding by or in the right of the Registrant.</w:t>
      </w:r>
    </w:p>
    <w:p>
      <w:pPr>
        <w:spacing w:after="0" w:line="19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Registrant’s By-Laws also provide that expenses incurred by a person who is or was a director or officer in defending (or acting as a witness in) a proceeding shall be paid by the Registrant in advance of the final disposition of such proceeding, subject to the provisions of applicable law, upon receipt of an undertaking by or on behalf of the person who is or was a director or officer to repay such amount if it shall ultimately be determined that such person is not entitled to be indemnified by the Registrant under the Registrant’s By-Laws or applicable law.</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Additionally, the Registrant’s By-Laws limit directors’ personal liability for monetary damages for any action taken, or any failure to take any action, unless (a) the director has breached or failed to perform the duties of his or her office under Subchapter B of Chapter 17 of the BCL (relating to standard of care and justifiable reliance) and (b) the breach or failure to perform constitutes self-dealing, willful misconduct or recklessness. However, these provisions do not apply to (a) the responsibility or liability of a director pursuant to any criminal statute or (b) the liability of a director for the payment of taxes pursuant to local, state or federal law. Any amendment to this liability limitation provision in the Registrant’s By-Laws shall be prospective only, and shall not adversely affect any then-existing limitation on the personal liability of any director.</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Registrant has purchased directors’ and officers’ liability insurance covering certain liabilities which may be incurred by the officers and directors of the Registrant in connection with the performance of their duties.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 or incorporated by reference as part of this Registration Statement:</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0" w:type="dxa"/>
            <w:vAlign w:val="bottom"/>
            <w:gridSpan w:val="3"/>
          </w:tcPr>
          <w:p>
            <w:pPr>
              <w:jc w:val="center"/>
              <w:ind w:right="360"/>
              <w:spacing w:after="0"/>
              <w:rPr>
                <w:sz w:val="20"/>
                <w:szCs w:val="20"/>
                <w:color w:val="auto"/>
              </w:rPr>
            </w:pPr>
            <w:r>
              <w:rPr>
                <w:rFonts w:ascii="Arial" w:cs="Arial" w:eastAsia="Arial" w:hAnsi="Arial"/>
                <w:sz w:val="14"/>
                <w:szCs w:val="14"/>
                <w:color w:val="auto"/>
              </w:rPr>
              <w:t>Exhibit</w:t>
            </w:r>
          </w:p>
        </w:tc>
        <w:tc>
          <w:tcPr>
            <w:tcW w:w="7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80" w:type="dxa"/>
            <w:vAlign w:val="bottom"/>
            <w:gridSpan w:val="2"/>
          </w:tcPr>
          <w:p>
            <w:pPr>
              <w:jc w:val="center"/>
              <w:spacing w:after="0"/>
              <w:rPr>
                <w:sz w:val="20"/>
                <w:szCs w:val="20"/>
                <w:color w:val="auto"/>
              </w:rPr>
            </w:pPr>
            <w:r>
              <w:rPr>
                <w:rFonts w:ascii="Arial" w:cs="Arial" w:eastAsia="Arial" w:hAnsi="Arial"/>
                <w:sz w:val="14"/>
                <w:szCs w:val="14"/>
                <w:color w:val="auto"/>
                <w:w w:val="96"/>
              </w:rPr>
              <w:t>Number</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40" w:type="dxa"/>
            <w:vAlign w:val="bottom"/>
            <w:gridSpan w:val="7"/>
          </w:tcPr>
          <w:p>
            <w:pPr>
              <w:spacing w:after="0"/>
              <w:rPr>
                <w:sz w:val="20"/>
                <w:szCs w:val="20"/>
                <w:color w:val="auto"/>
              </w:rPr>
            </w:pPr>
            <w:r>
              <w:rPr>
                <w:rFonts w:ascii="Arial" w:cs="Arial" w:eastAsia="Arial" w:hAnsi="Arial"/>
                <w:sz w:val="14"/>
                <w:szCs w:val="14"/>
                <w:color w:val="auto"/>
              </w:rPr>
              <w:t>Description</w:t>
            </w:r>
          </w:p>
        </w:tc>
      </w:tr>
      <w:tr>
        <w:trPr>
          <w:trHeight w:val="20"/>
        </w:trPr>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3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980" w:type="dxa"/>
            <w:vAlign w:val="bottom"/>
            <w:tcBorders>
              <w:bottom w:val="single" w:sz="8" w:color="0000EE"/>
            </w:tcBorders>
            <w:gridSpan w:val="15"/>
          </w:tcPr>
          <w:p>
            <w:pPr>
              <w:spacing w:after="0"/>
              <w:rPr>
                <w:rFonts w:ascii="Arial" w:cs="Arial" w:eastAsia="Arial" w:hAnsi="Arial"/>
                <w:sz w:val="18"/>
                <w:szCs w:val="18"/>
                <w:color w:val="0000EE"/>
                <w:w w:val="91"/>
              </w:rPr>
            </w:pPr>
            <w:hyperlink r:id="rId21">
              <w:r>
                <w:rPr>
                  <w:rFonts w:ascii="Arial" w:cs="Arial" w:eastAsia="Arial" w:hAnsi="Arial"/>
                  <w:sz w:val="18"/>
                  <w:szCs w:val="18"/>
                  <w:color w:val="0000EE"/>
                  <w:w w:val="91"/>
                </w:rPr>
                <w:t>Articles of Incorporation of Crown Holdings, Inc., as amended (incorporated by reference to Exhibit 3.a of the Registrant’s Annual Report</w:t>
              </w:r>
            </w:hyperlink>
          </w:p>
        </w:tc>
      </w:tr>
      <w:tr>
        <w:trPr>
          <w:trHeight w:val="196"/>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80" w:type="dxa"/>
            <w:vAlign w:val="bottom"/>
            <w:gridSpan w:val="15"/>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on Form 10-K for the year ended December 31, 2004 (File No. 000-50189)).</w:t>
              </w:r>
            </w:hyperlink>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900" w:type="dxa"/>
            <w:vAlign w:val="bottom"/>
            <w:tcBorders>
              <w:bottom w:val="single" w:sz="8" w:color="0000EE"/>
            </w:tcBorders>
            <w:gridSpan w:val="14"/>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Amended and Restated By-Laws of Crown Holdings, Inc. (incorporated by reference to Exhibit 3.ii of the Registrant’s Current Report on</w:t>
              </w:r>
            </w:hyperlink>
          </w:p>
        </w:tc>
        <w:tc>
          <w:tcPr>
            <w:tcW w:w="80" w:type="dxa"/>
            <w:vAlign w:val="bottom"/>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80" w:type="dxa"/>
            <w:vAlign w:val="bottom"/>
            <w:gridSpan w:val="15"/>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Form 8-K, dated March 23, 2020 (File No.000-50189)).</w:t>
              </w:r>
            </w:hyperlink>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304"/>
        </w:trPr>
        <w:tc>
          <w:tcPr>
            <w:tcW w:w="3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tcBorders>
              <w:bottom w:val="single" w:sz="8" w:color="0000EE"/>
            </w:tcBorders>
            <w:gridSpan w:val="12"/>
          </w:tcPr>
          <w:p>
            <w:pPr>
              <w:spacing w:after="0"/>
              <w:rPr>
                <w:rFonts w:ascii="Arial" w:cs="Arial" w:eastAsia="Arial" w:hAnsi="Arial"/>
                <w:sz w:val="18"/>
                <w:szCs w:val="18"/>
                <w:color w:val="0000EE"/>
                <w:w w:val="91"/>
              </w:rPr>
            </w:pPr>
            <w:hyperlink r:id="rId23">
              <w:r>
                <w:rPr>
                  <w:rFonts w:ascii="Arial" w:cs="Arial" w:eastAsia="Arial" w:hAnsi="Arial"/>
                  <w:sz w:val="18"/>
                  <w:szCs w:val="18"/>
                  <w:color w:val="0000EE"/>
                  <w:w w:val="91"/>
                </w:rPr>
                <w:t>Opinion of Dechert LLP (counsel to the Registrant) as to the legality of the securities being registered with respect to the Prior Plan</w:t>
              </w:r>
            </w:hyperlink>
          </w:p>
        </w:tc>
        <w:tc>
          <w:tcPr>
            <w:tcW w:w="500" w:type="dxa"/>
            <w:vAlign w:val="bottom"/>
            <w:gridSpan w:val="3"/>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80" w:type="dxa"/>
            <w:vAlign w:val="bottom"/>
            <w:gridSpan w:val="15"/>
          </w:tcPr>
          <w:p>
            <w:pPr>
              <w:spacing w:after="0" w:line="196" w:lineRule="exact"/>
              <w:rPr>
                <w:rFonts w:ascii="Arial" w:cs="Arial" w:eastAsia="Arial" w:hAnsi="Arial"/>
                <w:sz w:val="18"/>
                <w:szCs w:val="18"/>
                <w:color w:val="0000EE"/>
                <w:w w:val="95"/>
              </w:rPr>
            </w:pPr>
            <w:hyperlink r:id="rId23">
              <w:r>
                <w:rPr>
                  <w:rFonts w:ascii="Arial" w:cs="Arial" w:eastAsia="Arial" w:hAnsi="Arial"/>
                  <w:sz w:val="18"/>
                  <w:szCs w:val="18"/>
                  <w:color w:val="0000EE"/>
                  <w:w w:val="95"/>
                </w:rPr>
                <w:t>(incorporated by reference to Exhibit 5.1 of the Registrant’s Registration Statement on Form S-8, dated May 13, 2013 (File No. 333-</w:t>
              </w:r>
            </w:hyperlink>
          </w:p>
        </w:tc>
      </w:tr>
      <w:tr>
        <w:trPr>
          <w:trHeight w:val="196"/>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23">
              <w:r>
                <w:rPr>
                  <w:rFonts w:ascii="Arial" w:cs="Arial" w:eastAsia="Arial" w:hAnsi="Arial"/>
                  <w:sz w:val="18"/>
                  <w:szCs w:val="18"/>
                  <w:color w:val="0000EE"/>
                  <w:w w:val="90"/>
                </w:rPr>
                <w:t>188568)</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w:t>
              </w:r>
            </w:hyperlink>
          </w:p>
        </w:tc>
        <w:tc>
          <w:tcPr>
            <w:tcW w:w="23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04"/>
        </w:trPr>
        <w:tc>
          <w:tcPr>
            <w:tcW w:w="380" w:type="dxa"/>
            <w:vAlign w:val="bottom"/>
          </w:tcPr>
          <w:p>
            <w:pPr>
              <w:jc w:val="right"/>
              <w:spacing w:after="0"/>
              <w:rPr>
                <w:sz w:val="20"/>
                <w:szCs w:val="20"/>
                <w:color w:val="auto"/>
              </w:rPr>
            </w:pPr>
            <w:r>
              <w:rPr>
                <w:rFonts w:ascii="Arial" w:cs="Arial" w:eastAsia="Arial" w:hAnsi="Arial"/>
                <w:sz w:val="18"/>
                <w:szCs w:val="18"/>
                <w:color w:val="auto"/>
              </w:rPr>
              <w:t>5.2</w:t>
            </w: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3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1"/>
              </w:rPr>
              <w:t>Opinion of Dechert LLP (counsel to the Registrant) as to the legality of the securities being registered.</w:t>
            </w:r>
          </w:p>
        </w:tc>
        <w:tc>
          <w:tcPr>
            <w:tcW w:w="2600" w:type="dxa"/>
            <w:vAlign w:val="bottom"/>
            <w:gridSpan w:val="4"/>
          </w:tcPr>
          <w:p>
            <w:pPr>
              <w:spacing w:after="0"/>
              <w:rPr>
                <w:sz w:val="24"/>
                <w:szCs w:val="24"/>
                <w:color w:val="auto"/>
              </w:rPr>
            </w:pPr>
          </w:p>
        </w:tc>
      </w:tr>
      <w:tr>
        <w:trPr>
          <w:trHeight w:val="304"/>
        </w:trPr>
        <w:tc>
          <w:tcPr>
            <w:tcW w:w="380" w:type="dxa"/>
            <w:vAlign w:val="bottom"/>
          </w:tcPr>
          <w:p>
            <w:pPr>
              <w:jc w:val="right"/>
              <w:spacing w:after="0"/>
              <w:rPr>
                <w:sz w:val="20"/>
                <w:szCs w:val="20"/>
                <w:color w:val="auto"/>
              </w:rPr>
            </w:pPr>
            <w:r>
              <w:rPr>
                <w:rFonts w:ascii="Arial" w:cs="Arial" w:eastAsia="Arial" w:hAnsi="Arial"/>
                <w:sz w:val="18"/>
                <w:szCs w:val="18"/>
                <w:color w:val="auto"/>
                <w:w w:val="96"/>
              </w:rPr>
              <w:t>23.1</w:t>
            </w: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9"/>
              </w:rPr>
              <w:t>Consent of PricewaterhouseCoopers LLP.</w:t>
            </w:r>
          </w:p>
        </w:tc>
        <w:tc>
          <w:tcPr>
            <w:tcW w:w="6960" w:type="dxa"/>
            <w:vAlign w:val="bottom"/>
            <w:gridSpan w:val="13"/>
          </w:tcPr>
          <w:p>
            <w:pPr>
              <w:spacing w:after="0"/>
              <w:rPr>
                <w:sz w:val="24"/>
                <w:szCs w:val="24"/>
                <w:color w:val="auto"/>
              </w:rPr>
            </w:pPr>
          </w:p>
        </w:tc>
      </w:tr>
      <w:tr>
        <w:trPr>
          <w:trHeight w:val="304"/>
        </w:trPr>
        <w:tc>
          <w:tcPr>
            <w:tcW w:w="380" w:type="dxa"/>
            <w:vAlign w:val="bottom"/>
          </w:tcPr>
          <w:p>
            <w:pPr>
              <w:jc w:val="right"/>
              <w:spacing w:after="0"/>
              <w:rPr>
                <w:sz w:val="20"/>
                <w:szCs w:val="20"/>
                <w:color w:val="auto"/>
              </w:rPr>
            </w:pPr>
            <w:r>
              <w:rPr>
                <w:rFonts w:ascii="Arial" w:cs="Arial" w:eastAsia="Arial" w:hAnsi="Arial"/>
                <w:sz w:val="18"/>
                <w:szCs w:val="18"/>
                <w:color w:val="auto"/>
                <w:w w:val="96"/>
              </w:rPr>
              <w:t>23.2</w:t>
            </w: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98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Consent of Dechert LLP (included in Exhibits </w:t>
            </w:r>
            <w:hyperlink r:id="rId24">
              <w:r>
                <w:rPr>
                  <w:rFonts w:ascii="Arial" w:cs="Arial" w:eastAsia="Arial" w:hAnsi="Arial"/>
                  <w:sz w:val="18"/>
                  <w:szCs w:val="18"/>
                  <w:color w:val="0000EE"/>
                </w:rPr>
                <w:t>5.1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r>
              <w:rPr>
                <w:rFonts w:ascii="Arial" w:cs="Arial" w:eastAsia="Arial" w:hAnsi="Arial"/>
                <w:sz w:val="18"/>
                <w:szCs w:val="18"/>
                <w:color w:val="0000EE"/>
              </w:rPr>
              <w:t>5.2</w:t>
            </w:r>
            <w:r>
              <w:rPr>
                <w:rFonts w:ascii="Arial" w:cs="Arial" w:eastAsia="Arial" w:hAnsi="Arial"/>
                <w:sz w:val="18"/>
                <w:szCs w:val="18"/>
                <w:color w:val="auto"/>
              </w:rPr>
              <w:t>).</w:t>
            </w: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0980"/>
          </w:cols>
          <w:pgMar w:left="440" w:top="274" w:right="479" w:bottom="1440" w:gutter="0" w:footer="0" w:header="0"/>
        </w:sectPr>
      </w:pPr>
    </w:p>
    <w:bookmarkStart w:id="5" w:name="page6"/>
    <w:bookmarkEnd w:id="5"/>
    <w:p>
      <w:pPr>
        <w:ind w:left="80"/>
        <w:spacing w:after="0"/>
        <w:tabs>
          <w:tab w:leader="none" w:pos="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24.1 *</w:t>
      </w:r>
      <w:r>
        <w:rPr>
          <w:sz w:val="20"/>
          <w:szCs w:val="20"/>
          <w:color w:val="auto"/>
        </w:rPr>
        <w:tab/>
      </w:r>
      <w:r>
        <w:rPr>
          <w:rFonts w:ascii="Arial" w:cs="Arial" w:eastAsia="Arial" w:hAnsi="Arial"/>
          <w:sz w:val="16"/>
          <w:szCs w:val="16"/>
          <w:u w:val="single" w:color="auto"/>
          <w:color w:val="0000EE"/>
        </w:rPr>
        <w:t>Power of Attorney (contained on signature page hereto).</w:t>
      </w:r>
    </w:p>
    <w:p>
      <w:pPr>
        <w:spacing w:after="0" w:line="117" w:lineRule="exact"/>
        <w:rPr>
          <w:sz w:val="20"/>
          <w:szCs w:val="20"/>
          <w:color w:val="auto"/>
        </w:rPr>
      </w:pPr>
    </w:p>
    <w:p>
      <w:pPr>
        <w:ind w:left="780" w:right="580" w:hanging="692"/>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r:id="rId26">
        <w:r>
          <w:rPr>
            <w:rFonts w:ascii="Arial" w:cs="Arial" w:eastAsia="Arial" w:hAnsi="Arial"/>
            <w:sz w:val="18"/>
            <w:szCs w:val="18"/>
            <w:u w:val="single" w:color="auto"/>
            <w:color w:val="0000EE"/>
          </w:rPr>
          <w:t>Crown Holdings, Inc. 2013 Stock-Based Incentive Compensation Plan (incorporated by reference to the Registrant’s Definitive Proxy</w:t>
        </w:r>
      </w:hyperlink>
      <w:r>
        <w:rPr>
          <w:rFonts w:ascii="Arial" w:cs="Arial" w:eastAsia="Arial" w:hAnsi="Arial"/>
          <w:sz w:val="18"/>
          <w:szCs w:val="18"/>
          <w:u w:val="single" w:color="auto"/>
          <w:color w:val="0000EE"/>
        </w:rPr>
        <w:t xml:space="preserve"> </w:t>
      </w:r>
      <w:hyperlink r:id="rId26">
        <w:r>
          <w:rPr>
            <w:rFonts w:ascii="Arial" w:cs="Arial" w:eastAsia="Arial" w:hAnsi="Arial"/>
            <w:sz w:val="18"/>
            <w:szCs w:val="18"/>
            <w:u w:val="single" w:color="auto"/>
            <w:color w:val="0000EE"/>
          </w:rPr>
          <w:t>Statement on Schedule 14A dated March 18, 2013 (File No. 000-50189)).</w:t>
        </w:r>
      </w:hyperlink>
    </w:p>
    <w:p>
      <w:pPr>
        <w:spacing w:after="0" w:line="62" w:lineRule="exact"/>
        <w:rPr>
          <w:sz w:val="20"/>
          <w:szCs w:val="20"/>
          <w:color w:val="auto"/>
        </w:rPr>
      </w:pPr>
    </w:p>
    <w:p>
      <w:pPr>
        <w:ind w:left="780" w:right="580" w:hanging="692"/>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99.2</w:t>
      </w:r>
      <w:r>
        <w:rPr>
          <w:sz w:val="20"/>
          <w:szCs w:val="20"/>
          <w:color w:val="auto"/>
        </w:rPr>
        <w:tab/>
      </w:r>
      <w:hyperlink r:id="rId27">
        <w:r>
          <w:rPr>
            <w:rFonts w:ascii="Arial" w:cs="Arial" w:eastAsia="Arial" w:hAnsi="Arial"/>
            <w:sz w:val="18"/>
            <w:szCs w:val="18"/>
            <w:u w:val="single" w:color="auto"/>
            <w:color w:val="0000EE"/>
          </w:rPr>
          <w:t>Crown Holdings, Inc. 2022 Stock-Based Incentive Compensation Plan (incorporated by reference to the Registrant’s Definitive Proxy</w:t>
        </w:r>
      </w:hyperlink>
      <w:r>
        <w:rPr>
          <w:rFonts w:ascii="Arial" w:cs="Arial" w:eastAsia="Arial" w:hAnsi="Arial"/>
          <w:sz w:val="18"/>
          <w:szCs w:val="18"/>
          <w:u w:val="single" w:color="auto"/>
          <w:color w:val="0000EE"/>
        </w:rPr>
        <w:t xml:space="preserve"> </w:t>
      </w:r>
      <w:hyperlink r:id="rId27">
        <w:r>
          <w:rPr>
            <w:rFonts w:ascii="Arial" w:cs="Arial" w:eastAsia="Arial" w:hAnsi="Arial"/>
            <w:sz w:val="18"/>
            <w:szCs w:val="18"/>
            <w:u w:val="single" w:color="auto"/>
            <w:color w:val="0000EE"/>
          </w:rPr>
          <w:t>Statement on Schedule 14A dated March 21, 2022 (File No. 000-50189)).</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820" w:hanging="38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1780" w:hanging="352"/>
        <w:spacing w:after="0"/>
        <w:tabs>
          <w:tab w:leader="none" w:pos="1780" w:val="left"/>
        </w:tabs>
        <w:numPr>
          <w:ilvl w:val="2"/>
          <w:numId w:val="4"/>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right="100" w:firstLine="1428"/>
        <w:spacing w:after="0" w:line="263" w:lineRule="auto"/>
        <w:tabs>
          <w:tab w:leader="none" w:pos="1832"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83" w:lineRule="exact"/>
        <w:rPr>
          <w:rFonts w:ascii="Arial" w:cs="Arial" w:eastAsia="Arial" w:hAnsi="Arial"/>
          <w:sz w:val="18"/>
          <w:szCs w:val="18"/>
          <w:color w:val="auto"/>
        </w:rPr>
      </w:pPr>
    </w:p>
    <w:p>
      <w:pPr>
        <w:ind w:right="580" w:firstLine="1428"/>
        <w:spacing w:after="0" w:line="277" w:lineRule="auto"/>
        <w:tabs>
          <w:tab w:leader="none" w:pos="1882"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undertakings set forth in paragraphs (a)(1)(i) and (a)(1)(ii) above do not apply if the information required to be included in a</w:t>
      </w:r>
      <w:r>
        <w:rPr>
          <w:rFonts w:ascii="Arial" w:cs="Arial" w:eastAsia="Arial" w:hAnsi="Arial"/>
          <w:sz w:val="18"/>
          <w:szCs w:val="18"/>
          <w:i w:val="1"/>
          <w:iCs w:val="1"/>
          <w:color w:val="auto"/>
        </w:rPr>
        <w:t xml:space="preserve"> </w:t>
      </w:r>
      <w:r>
        <w:rPr>
          <w:rFonts w:ascii="Arial" w:cs="Arial" w:eastAsia="Arial" w:hAnsi="Arial"/>
          <w:sz w:val="18"/>
          <w:szCs w:val="18"/>
          <w:color w:val="auto"/>
        </w:rPr>
        <w:t>post-effective amendment by those paragraphs is contained in reports filed with or furnished to the Commission by the Registrant pursuant to Section 13 or 15(d) of the Exchange Act that are incorporated by reference in this Registration Statement;</w:t>
      </w:r>
    </w:p>
    <w:p>
      <w:pPr>
        <w:spacing w:after="0" w:line="184" w:lineRule="exact"/>
        <w:rPr>
          <w:sz w:val="20"/>
          <w:szCs w:val="20"/>
          <w:color w:val="auto"/>
        </w:rPr>
      </w:pPr>
    </w:p>
    <w:p>
      <w:pPr>
        <w:jc w:val="both"/>
        <w:ind w:firstLine="987"/>
        <w:spacing w:after="0" w:line="263" w:lineRule="auto"/>
        <w:tabs>
          <w:tab w:leader="none" w:pos="1378"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83" w:lineRule="exact"/>
        <w:rPr>
          <w:rFonts w:ascii="Arial" w:cs="Arial" w:eastAsia="Arial" w:hAnsi="Arial"/>
          <w:sz w:val="18"/>
          <w:szCs w:val="18"/>
          <w:color w:val="auto"/>
        </w:rPr>
      </w:pPr>
    </w:p>
    <w:p>
      <w:pPr>
        <w:ind w:right="220" w:firstLine="987"/>
        <w:spacing w:after="0" w:line="277" w:lineRule="auto"/>
        <w:tabs>
          <w:tab w:leader="none" w:pos="1378"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120" w:firstLine="436"/>
        <w:spacing w:after="0" w:line="257" w:lineRule="auto"/>
        <w:tabs>
          <w:tab w:leader="none" w:pos="82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right="20" w:firstLine="436"/>
        <w:spacing w:after="0" w:line="275"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w:t>
      </w:r>
    </w:p>
    <w:p>
      <w:pPr>
        <w:sectPr>
          <w:pgSz w:w="11900" w:h="16838" w:orient="portrait"/>
          <w:cols w:equalWidth="0" w:num="1">
            <w:col w:w="11000"/>
          </w:cols>
          <w:pgMar w:left="440" w:top="274" w:right="459" w:bottom="1440" w:gutter="0" w:footer="0" w:header="0"/>
        </w:sectPr>
      </w:pPr>
    </w:p>
    <w:bookmarkStart w:id="6" w:name="page7"/>
    <w:bookmarkEnd w:id="6"/>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840"/>
          </w:cols>
          <w:pgMar w:left="440" w:top="274" w:right="61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i w:val="1"/>
          <w:iCs w:val="1"/>
          <w:color w:val="auto"/>
        </w:rPr>
        <w:t xml:space="preserve">The Registrant. </w:t>
      </w:r>
      <w:r>
        <w:rPr>
          <w:rFonts w:ascii="Arial" w:cs="Arial" w:eastAsia="Arial" w:hAnsi="Arial"/>
          <w:sz w:val="16"/>
          <w:szCs w:val="16"/>
          <w:color w:val="auto"/>
        </w:rPr>
        <w:t>Pursuant to the requirements of the Securities Act of 1933, the Registrant certifies that it has reasonable grounds to believe that it</w:t>
      </w:r>
      <w:r>
        <w:rPr>
          <w:rFonts w:ascii="Arial" w:cs="Arial" w:eastAsia="Arial" w:hAnsi="Arial"/>
          <w:sz w:val="16"/>
          <w:szCs w:val="16"/>
          <w:i w:val="1"/>
          <w:iCs w:val="1"/>
          <w:color w:val="auto"/>
        </w:rPr>
        <w:t xml:space="preserve"> </w:t>
      </w:r>
      <w:r>
        <w:rPr>
          <w:rFonts w:ascii="Arial" w:cs="Arial" w:eastAsia="Arial" w:hAnsi="Arial"/>
          <w:sz w:val="16"/>
          <w:szCs w:val="16"/>
          <w:color w:val="auto"/>
        </w:rPr>
        <w:t>meets all of the requirements for filing on Form S-8 and has duly caused this Post-Effective Amendment No. 1 to the Registration Statement to be signed on its behalf by the undersigned, thereunto duly authorized, in Yardley, Commonwealth of Pennsylvania, on November 14, 2022.</w:t>
      </w:r>
    </w:p>
    <w:p>
      <w:pPr>
        <w:spacing w:after="0" w:line="17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Christy L. Kalaus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Vice President and Corporate Controller</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KNOW TO ALL PERSONS BY THESE PRESENTS, that each person whose signature appears below constitutes and appoints Timothy J. Donahue, Kevin C. Clothier and Adam J. Dickstein, each and individually, his or her attorneys-in-fact, with full power of substitution and resubstitution, for him or her in any and all capacities, to sign any or all amendments or post-effective amendments to this Registration Statement and to file the same with the Securities and Exchange Commission, granting unto each of such attorneys-in-fact and agents full power and authority to do and perform each and every act and thing requisite and necessary in connection with such matters and hereby ratifying and confirming all that each such attorney-in-fact, or his agent or substitutes, may do or cause to be done by virtue hereof.</w:t>
      </w:r>
    </w:p>
    <w:p>
      <w:pPr>
        <w:spacing w:after="0" w:line="178"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on Form S-8 has been signed by the following persons in the capacities indicated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80" w:type="dxa"/>
            <w:vAlign w:val="bottom"/>
            <w:gridSpan w:val="2"/>
          </w:tcPr>
          <w:p>
            <w:pPr>
              <w:spacing w:after="0"/>
              <w:rPr>
                <w:sz w:val="20"/>
                <w:szCs w:val="20"/>
                <w:color w:val="auto"/>
              </w:rPr>
            </w:pPr>
            <w:r>
              <w:rPr>
                <w:rFonts w:ascii="Arial" w:cs="Arial" w:eastAsia="Arial" w:hAnsi="Arial"/>
                <w:sz w:val="14"/>
                <w:szCs w:val="14"/>
                <w:color w:val="auto"/>
              </w:rPr>
              <w:t>Signature</w:t>
            </w:r>
          </w:p>
        </w:tc>
        <w:tc>
          <w:tcPr>
            <w:tcW w:w="4620" w:type="dxa"/>
            <w:vAlign w:val="bottom"/>
            <w:gridSpan w:val="3"/>
          </w:tcPr>
          <w:p>
            <w:pPr>
              <w:ind w:left="120"/>
              <w:spacing w:after="0"/>
              <w:rPr>
                <w:sz w:val="20"/>
                <w:szCs w:val="20"/>
                <w:color w:val="auto"/>
              </w:rPr>
            </w:pPr>
            <w:r>
              <w:rPr>
                <w:rFonts w:ascii="Arial" w:cs="Arial" w:eastAsia="Arial" w:hAnsi="Arial"/>
                <w:sz w:val="14"/>
                <w:szCs w:val="14"/>
                <w:color w:val="auto"/>
              </w:rPr>
              <w:t>Title</w:t>
            </w:r>
          </w:p>
        </w:tc>
      </w:tr>
      <w:tr>
        <w:trPr>
          <w:trHeight w:val="20"/>
        </w:trPr>
        <w:tc>
          <w:tcPr>
            <w:tcW w:w="54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425"/>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Timothy J. Donahue</w:t>
            </w:r>
          </w:p>
        </w:tc>
        <w:tc>
          <w:tcPr>
            <w:tcW w:w="4620" w:type="dxa"/>
            <w:vAlign w:val="bottom"/>
            <w:gridSpan w:val="3"/>
          </w:tcPr>
          <w:p>
            <w:pPr>
              <w:ind w:left="120"/>
              <w:spacing w:after="0"/>
              <w:rPr>
                <w:sz w:val="20"/>
                <w:szCs w:val="20"/>
                <w:color w:val="auto"/>
              </w:rPr>
            </w:pPr>
            <w:r>
              <w:rPr>
                <w:rFonts w:ascii="Arial" w:cs="Arial" w:eastAsia="Arial" w:hAnsi="Arial"/>
                <w:sz w:val="18"/>
                <w:szCs w:val="18"/>
                <w:color w:val="auto"/>
                <w:w w:val="91"/>
              </w:rPr>
              <w:t>Chairman of the Board, President and Chief Executive Officer</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Timothy J. Donahue</w:t>
            </w:r>
          </w:p>
        </w:tc>
        <w:tc>
          <w:tcPr>
            <w:tcW w:w="462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Kevin C. Clothier</w:t>
            </w:r>
          </w:p>
        </w:tc>
        <w:tc>
          <w:tcPr>
            <w:tcW w:w="4620" w:type="dxa"/>
            <w:vAlign w:val="bottom"/>
            <w:gridSpan w:val="3"/>
          </w:tcPr>
          <w:p>
            <w:pPr>
              <w:ind w:left="120"/>
              <w:spacing w:after="0"/>
              <w:rPr>
                <w:sz w:val="20"/>
                <w:szCs w:val="20"/>
                <w:color w:val="auto"/>
              </w:rPr>
            </w:pPr>
            <w:r>
              <w:rPr>
                <w:rFonts w:ascii="Arial" w:cs="Arial" w:eastAsia="Arial" w:hAnsi="Arial"/>
                <w:sz w:val="18"/>
                <w:szCs w:val="18"/>
                <w:color w:val="auto"/>
              </w:rPr>
              <w:t>Senior Vice President and Chief Financial Officer</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Kevin C. Clothier</w:t>
            </w:r>
          </w:p>
        </w:tc>
        <w:tc>
          <w:tcPr>
            <w:tcW w:w="462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w:t>
            </w:r>
          </w:p>
        </w:tc>
      </w:tr>
      <w:tr>
        <w:trPr>
          <w:trHeight w:val="431"/>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Christy L. Kalaus</w:t>
            </w:r>
          </w:p>
        </w:tc>
        <w:tc>
          <w:tcPr>
            <w:tcW w:w="4620" w:type="dxa"/>
            <w:vAlign w:val="bottom"/>
            <w:gridSpan w:val="3"/>
          </w:tcPr>
          <w:p>
            <w:pPr>
              <w:ind w:left="120"/>
              <w:spacing w:after="0"/>
              <w:rPr>
                <w:sz w:val="20"/>
                <w:szCs w:val="20"/>
                <w:color w:val="auto"/>
              </w:rPr>
            </w:pPr>
            <w:r>
              <w:rPr>
                <w:rFonts w:ascii="Arial" w:cs="Arial" w:eastAsia="Arial" w:hAnsi="Arial"/>
                <w:sz w:val="18"/>
                <w:szCs w:val="18"/>
                <w:color w:val="auto"/>
              </w:rPr>
              <w:t>Vice President and Corporate Controller</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Christy L. Kalaus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2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H. Fearon</w:t>
            </w:r>
          </w:p>
        </w:tc>
        <w:tc>
          <w:tcPr>
            <w:tcW w:w="4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Richard H. Fearon</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2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 J. Funk</w:t>
            </w:r>
          </w:p>
        </w:tc>
        <w:tc>
          <w:tcPr>
            <w:tcW w:w="4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Andrea J. Funk</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20" w:type="dxa"/>
            <w:vAlign w:val="bottom"/>
          </w:tcPr>
          <w:p>
            <w:pPr>
              <w:spacing w:after="0"/>
              <w:rPr>
                <w:sz w:val="19"/>
                <w:szCs w:val="19"/>
                <w:color w:val="auto"/>
              </w:rPr>
            </w:pPr>
          </w:p>
        </w:tc>
      </w:tr>
    </w:tbl>
    <w:p>
      <w:pPr>
        <w:sectPr>
          <w:pgSz w:w="11900" w:h="16838" w:orient="portrait"/>
          <w:cols w:equalWidth="0" w:num="1">
            <w:col w:w="10940"/>
          </w:cols>
          <w:pgMar w:left="440" w:top="270" w:right="51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J. Hagge</w:t>
            </w:r>
          </w:p>
        </w:tc>
        <w:tc>
          <w:tcPr>
            <w:tcW w:w="720" w:type="dxa"/>
            <w:vAlign w:val="bottom"/>
          </w:tcPr>
          <w:p>
            <w:pPr>
              <w:ind w:left="120"/>
              <w:spacing w:after="0"/>
              <w:rPr>
                <w:sz w:val="20"/>
                <w:szCs w:val="20"/>
                <w:color w:val="auto"/>
              </w:rPr>
            </w:pPr>
            <w:r>
              <w:rPr>
                <w:rFonts w:ascii="Arial" w:cs="Arial" w:eastAsia="Arial" w:hAnsi="Arial"/>
                <w:sz w:val="18"/>
                <w:szCs w:val="18"/>
                <w:color w:val="auto"/>
                <w:w w:val="91"/>
              </w:rPr>
              <w:t>Director</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Stephen J. Hagge</w:t>
            </w:r>
          </w:p>
        </w:tc>
        <w:tc>
          <w:tcPr>
            <w:tcW w:w="72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 Miller</w:t>
            </w:r>
          </w:p>
        </w:tc>
        <w:tc>
          <w:tcPr>
            <w:tcW w:w="720" w:type="dxa"/>
            <w:vAlign w:val="bottom"/>
          </w:tcPr>
          <w:p>
            <w:pPr>
              <w:ind w:left="120"/>
              <w:spacing w:after="0"/>
              <w:rPr>
                <w:sz w:val="20"/>
                <w:szCs w:val="20"/>
                <w:color w:val="auto"/>
              </w:rPr>
            </w:pPr>
            <w:r>
              <w:rPr>
                <w:rFonts w:ascii="Arial" w:cs="Arial" w:eastAsia="Arial" w:hAnsi="Arial"/>
                <w:sz w:val="18"/>
                <w:szCs w:val="18"/>
                <w:color w:val="auto"/>
                <w:w w:val="91"/>
              </w:rPr>
              <w:t>Director</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James H. Miller</w:t>
            </w:r>
          </w:p>
        </w:tc>
        <w:tc>
          <w:tcPr>
            <w:tcW w:w="72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Josef M. Müller</w:t>
            </w:r>
          </w:p>
        </w:tc>
        <w:tc>
          <w:tcPr>
            <w:tcW w:w="720" w:type="dxa"/>
            <w:vAlign w:val="bottom"/>
          </w:tcPr>
          <w:p>
            <w:pPr>
              <w:ind w:left="120"/>
              <w:spacing w:after="0"/>
              <w:rPr>
                <w:sz w:val="20"/>
                <w:szCs w:val="20"/>
                <w:color w:val="auto"/>
              </w:rPr>
            </w:pPr>
            <w:r>
              <w:rPr>
                <w:rFonts w:ascii="Arial" w:cs="Arial" w:eastAsia="Arial" w:hAnsi="Arial"/>
                <w:sz w:val="18"/>
                <w:szCs w:val="18"/>
                <w:color w:val="auto"/>
                <w:w w:val="91"/>
              </w:rPr>
              <w:t>Director</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Josef M. Müller</w:t>
            </w:r>
          </w:p>
        </w:tc>
        <w:tc>
          <w:tcPr>
            <w:tcW w:w="72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 Craig Owens</w:t>
            </w:r>
          </w:p>
        </w:tc>
        <w:tc>
          <w:tcPr>
            <w:tcW w:w="720" w:type="dxa"/>
            <w:vAlign w:val="bottom"/>
          </w:tcPr>
          <w:p>
            <w:pPr>
              <w:ind w:left="120"/>
              <w:spacing w:after="0"/>
              <w:rPr>
                <w:sz w:val="20"/>
                <w:szCs w:val="20"/>
                <w:color w:val="auto"/>
              </w:rPr>
            </w:pPr>
            <w:r>
              <w:rPr>
                <w:rFonts w:ascii="Arial" w:cs="Arial" w:eastAsia="Arial" w:hAnsi="Arial"/>
                <w:sz w:val="18"/>
                <w:szCs w:val="18"/>
                <w:color w:val="auto"/>
                <w:w w:val="91"/>
              </w:rPr>
              <w:t>Director</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B. Craig Owens</w:t>
            </w:r>
          </w:p>
        </w:tc>
        <w:tc>
          <w:tcPr>
            <w:tcW w:w="72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Angela M. Snyder</w:t>
            </w:r>
          </w:p>
        </w:tc>
        <w:tc>
          <w:tcPr>
            <w:tcW w:w="720" w:type="dxa"/>
            <w:vAlign w:val="bottom"/>
          </w:tcPr>
          <w:p>
            <w:pPr>
              <w:ind w:left="120"/>
              <w:spacing w:after="0"/>
              <w:rPr>
                <w:sz w:val="20"/>
                <w:szCs w:val="20"/>
                <w:color w:val="auto"/>
              </w:rPr>
            </w:pPr>
            <w:r>
              <w:rPr>
                <w:rFonts w:ascii="Arial" w:cs="Arial" w:eastAsia="Arial" w:hAnsi="Arial"/>
                <w:sz w:val="18"/>
                <w:szCs w:val="18"/>
                <w:color w:val="auto"/>
                <w:w w:val="91"/>
              </w:rPr>
              <w:t>Director</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Angela M. Snyder</w:t>
            </w:r>
          </w:p>
        </w:tc>
        <w:tc>
          <w:tcPr>
            <w:tcW w:w="72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Caesar F. Sweitzer</w:t>
            </w:r>
          </w:p>
        </w:tc>
        <w:tc>
          <w:tcPr>
            <w:tcW w:w="720" w:type="dxa"/>
            <w:vAlign w:val="bottom"/>
          </w:tcPr>
          <w:p>
            <w:pPr>
              <w:ind w:left="120"/>
              <w:spacing w:after="0"/>
              <w:rPr>
                <w:sz w:val="20"/>
                <w:szCs w:val="20"/>
                <w:color w:val="auto"/>
              </w:rPr>
            </w:pPr>
            <w:r>
              <w:rPr>
                <w:rFonts w:ascii="Arial" w:cs="Arial" w:eastAsia="Arial" w:hAnsi="Arial"/>
                <w:sz w:val="18"/>
                <w:szCs w:val="18"/>
                <w:color w:val="auto"/>
                <w:w w:val="91"/>
              </w:rPr>
              <w:t>Director</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Caesar F. Sweitzer</w:t>
            </w:r>
          </w:p>
        </w:tc>
        <w:tc>
          <w:tcPr>
            <w:tcW w:w="72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Marsha C. Williams</w:t>
            </w:r>
          </w:p>
        </w:tc>
        <w:tc>
          <w:tcPr>
            <w:tcW w:w="720" w:type="dxa"/>
            <w:vAlign w:val="bottom"/>
          </w:tcPr>
          <w:p>
            <w:pPr>
              <w:ind w:left="120"/>
              <w:spacing w:after="0"/>
              <w:rPr>
                <w:sz w:val="20"/>
                <w:szCs w:val="20"/>
                <w:color w:val="auto"/>
              </w:rPr>
            </w:pPr>
            <w:r>
              <w:rPr>
                <w:rFonts w:ascii="Arial" w:cs="Arial" w:eastAsia="Arial" w:hAnsi="Arial"/>
                <w:sz w:val="18"/>
                <w:szCs w:val="18"/>
                <w:color w:val="auto"/>
                <w:w w:val="91"/>
              </w:rPr>
              <w:t>Director</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Marsha C. Williams</w:t>
            </w:r>
          </w:p>
        </w:tc>
        <w:tc>
          <w:tcPr>
            <w:tcW w:w="72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Dwayne A. Wilson</w:t>
            </w:r>
          </w:p>
        </w:tc>
        <w:tc>
          <w:tcPr>
            <w:tcW w:w="720" w:type="dxa"/>
            <w:vAlign w:val="bottom"/>
          </w:tcPr>
          <w:p>
            <w:pPr>
              <w:ind w:left="120"/>
              <w:spacing w:after="0"/>
              <w:rPr>
                <w:sz w:val="20"/>
                <w:szCs w:val="20"/>
                <w:color w:val="auto"/>
              </w:rPr>
            </w:pPr>
            <w:r>
              <w:rPr>
                <w:rFonts w:ascii="Arial" w:cs="Arial" w:eastAsia="Arial" w:hAnsi="Arial"/>
                <w:sz w:val="18"/>
                <w:szCs w:val="18"/>
                <w:color w:val="auto"/>
                <w:w w:val="91"/>
              </w:rPr>
              <w:t>Director</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Dwayne A. Wilson</w:t>
            </w:r>
          </w:p>
        </w:tc>
        <w:tc>
          <w:tcPr>
            <w:tcW w:w="720" w:type="dxa"/>
            <w:vAlign w:val="bottom"/>
          </w:tcPr>
          <w:p>
            <w:pPr>
              <w:spacing w:after="0"/>
              <w:rPr>
                <w:sz w:val="19"/>
                <w:szCs w:val="19"/>
                <w:color w:val="auto"/>
              </w:rPr>
            </w:pPr>
          </w:p>
        </w:tc>
      </w:tr>
    </w:tbl>
    <w:p>
      <w:pPr>
        <w:sectPr>
          <w:pgSz w:w="11900" w:h="16838" w:orient="portrait"/>
          <w:cols w:equalWidth="0" w:num="1">
            <w:col w:w="10019"/>
          </w:cols>
          <w:pgMar w:left="440" w:top="490"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Crown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Yardley, Pennsylvania 19067</w:t>
      </w:r>
    </w:p>
    <w:p>
      <w:pPr>
        <w:spacing w:after="0" w:line="35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7"/>
          <w:szCs w:val="17"/>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acted as counsel to Crown Holdings, Inc., a Pennsylvania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filing with the U.S.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of a Post-Effective Amendment No. 1 (the “</w:t>
      </w:r>
      <w:r>
        <w:rPr>
          <w:rFonts w:ascii="Arial" w:cs="Arial" w:eastAsia="Arial" w:hAnsi="Arial"/>
          <w:sz w:val="18"/>
          <w:szCs w:val="18"/>
          <w:u w:val="single" w:color="auto"/>
          <w:color w:val="auto"/>
        </w:rPr>
        <w:t>Post-Effective Amendment</w:t>
      </w:r>
      <w:r>
        <w:rPr>
          <w:rFonts w:ascii="Arial" w:cs="Arial" w:eastAsia="Arial" w:hAnsi="Arial"/>
          <w:sz w:val="18"/>
          <w:szCs w:val="18"/>
          <w:color w:val="auto"/>
        </w:rPr>
        <w:t>”) to a registration statement on Form S-8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with respect to the Prior Plan Shares (as defined below) authorized for issuance under the Company’s 2022 Stock-Based Incentive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8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This opinion is being furnished to the Company in connection with the requirements of Item 601(b)(5) of Regulation S-K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no opinion is expressed herein as to any matter pertaining to the contents of the Registration Statement other than as expressly stated herein with respect to the Prior Plan Shares.</w:t>
      </w:r>
    </w:p>
    <w:p>
      <w:pPr>
        <w:spacing w:after="0" w:line="1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April 28, 2022, the shareholders of the Company approved the Plan. The total number of shares of the Company’s common stock, par value $5.00 per share, authorized for issuance under the Plan includes, in addition to 2,750,000 new shares (registered concurrently on a new registration statement on Form S-8): (i) 1,837,375 of the shares available for issuance but not issued or subject to outstanding awards under the Company’s 2013 Stock-Based Incentive Compensation Plan (the “</w:t>
      </w:r>
      <w:r>
        <w:rPr>
          <w:rFonts w:ascii="Arial" w:cs="Arial" w:eastAsia="Arial" w:hAnsi="Arial"/>
          <w:sz w:val="18"/>
          <w:szCs w:val="18"/>
          <w:u w:val="single" w:color="auto"/>
          <w:color w:val="auto"/>
        </w:rPr>
        <w:t>Prior Plan</w:t>
      </w:r>
      <w:r>
        <w:rPr>
          <w:rFonts w:ascii="Arial" w:cs="Arial" w:eastAsia="Arial" w:hAnsi="Arial"/>
          <w:sz w:val="18"/>
          <w:szCs w:val="18"/>
          <w:color w:val="auto"/>
        </w:rPr>
        <w:t>”) as of November 14, 2022, and (ii) an aggregate of up to 670,104 shares subject to awards under the Prior Plan as of November 14, 2022 that subsequently cease to be subject to such awards, such as by expiration, cancellation or forfeiture of the awards (together, the “</w:t>
      </w:r>
      <w:r>
        <w:rPr>
          <w:rFonts w:ascii="Arial" w:cs="Arial" w:eastAsia="Arial" w:hAnsi="Arial"/>
          <w:sz w:val="18"/>
          <w:szCs w:val="18"/>
          <w:u w:val="single" w:color="auto"/>
          <w:color w:val="auto"/>
        </w:rPr>
        <w:t>Prior Plan Shares</w:t>
      </w:r>
      <w:r>
        <w:rPr>
          <w:rFonts w:ascii="Arial" w:cs="Arial" w:eastAsia="Arial" w:hAnsi="Arial"/>
          <w:sz w:val="18"/>
          <w:szCs w:val="18"/>
          <w:color w:val="auto"/>
        </w:rPr>
        <w:t>”).</w:t>
      </w:r>
    </w:p>
    <w:p>
      <w:pPr>
        <w:spacing w:after="0" w:line="19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the Company’s counsel, we have examined such documents and such matters of fact and law that we have deemed necessary for the purpose of rendering the opinion expressed herein. In our examination, we have assumed the genuineness of all signatures, the authenticity of all documents submitted to us as original documents, and the conformity to original documents of all documents submitted to us as copies, the legal capacity of natural persons who are signatories to the documents examined by us, and the legal power and authority of all persons signing on behalf of parties to all documents. We have further assumed, without independent investigation or verification, the accuracy and completeness of all corporate records made available to us by the Company and that there has been no oral modification of, or amendment or supplement (including any express or implied waiver, however arising) to, any of the documents used by us to form the basis of our opinion expressed herein.</w:t>
      </w:r>
    </w:p>
    <w:p>
      <w:pPr>
        <w:sectPr>
          <w:pgSz w:w="11900" w:h="16838" w:orient="portrait"/>
          <w:cols w:equalWidth="0" w:num="1">
            <w:col w:w="11020"/>
          </w:cols>
          <w:pgMar w:left="440" w:top="121" w:right="439" w:bottom="1440" w:gutter="0" w:footer="0" w:header="0"/>
        </w:sectPr>
      </w:pPr>
    </w:p>
    <w:bookmarkStart w:id="10" w:name="page11"/>
    <w:bookmarkEnd w:id="1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rendering our opinion expressed herein, we have assumed that (i) prior to the issuance of any of the Prior Plan Shares under the Plan, there will exist under the Company’s Articles of Incorporation the requisite number of authorized but unissued shares of common stock; (ii) the resolutions authorizing the Company to issue the Prior Plan Shares under the Plan in accordance with the terms and conditions of the Plan will remain in effect and unchanged at all times during which the Prior Plan Shares are issued by the Company under the Plan; and (iii) the Registration Statement, and any amendments thereto (including this Post-Effective Amendment), at the time of issuance of the Prior Plan Shares under the Plan, will continue to be effective under the Securities Act.</w:t>
      </w:r>
    </w:p>
    <w:p>
      <w:pPr>
        <w:spacing w:after="0" w:line="19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Subject to the foregoing and the other matters set forth herein, it is our opinion that, as of the date hereof, with respect to any Prior Plan Shares issued by the Company pursuant to the Plan, when the Prior Plan Shares shall have been duly registered on the books of the transfer agent and registrar therefor in the name or on behalf of the holders and have been issued by the Company against payment therefor (not less than par value) in the circumstances contemplated by the Plan, assuming in each case that the individual issuances, grants or awards under the Plan are duly authorized by all necessary corporate action and duly issued, granted or awarded and exercised in accordance with the requirements of law and the Plan (and the agreements and awards duly adopted thereunder and in accordance therewith), the issue and sale of such Prior Plan Shares will have been duly authorized by all necessary corporate action of the Company, and the Prior Plan Shares will be validly issued, fully paid and non-assessable.</w:t>
      </w:r>
    </w:p>
    <w:p>
      <w:pPr>
        <w:spacing w:after="0" w:line="16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This opinion has been prepared, and should be interpreted, in accordance with customary practice followed in the preparation of opinion letters by lawyers who regularly give, and such customary practice followed by lawyers who on behalf of their clients regularly advise opinion recipients regarding, opinion letters of this kind. The opinion expressed herein is based upon the law as in effect and the documentation and facts known to us on the date hereof. We have not undertaken to advise the Company or any other person of any subsequent changes in the law or of any facts that hereafter may come to our attention.</w:t>
      </w:r>
    </w:p>
    <w:p>
      <w:pPr>
        <w:spacing w:after="0" w:line="18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are members of the Bar of the Commonwealth of Pennsylvania and the foregoing opinion is limited to the Business Corporation Law of the Commonwealth of Pennsylvania.</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hereby consent to the filing of this opinion as an exhibit to the Post-Effective Amendment. In giving this consent, we do not admit that we are in the category of persons whose consent is required under Section 7 of the Securities Act or the rules and regulations of the Commission thereunder.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Dechert LLP</w:t>
      </w:r>
    </w:p>
    <w:p>
      <w:pPr>
        <w:sectPr>
          <w:pgSz w:w="11900" w:h="16838" w:orient="portrait"/>
          <w:cols w:equalWidth="0" w:num="1">
            <w:col w:w="11020"/>
          </w:cols>
          <w:pgMar w:left="440" w:top="274"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S-8 of Crown Holdings, Inc. of our report dated February 28, 2022, relating to the financial statements, financial statement schedule, and the effectiveness of internal control over financial reporting, which appears in Crown Holdings, Inc.’s Annual Report on Form 10-K for the year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2022</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3D1B58BA"/>
    <w:multiLevelType w:val="hybridMultilevel"/>
    <w:lvl w:ilvl="0">
      <w:lvlJc w:val="left"/>
      <w:lvlText w:val="%1"/>
      <w:numFmt w:val="lowerLetter"/>
      <w:start w:val="1"/>
    </w:lvl>
    <w:lvl w:ilvl="1">
      <w:lvlJc w:val="left"/>
      <w:lvlText w:val="(%2)"/>
      <w:numFmt w:val="decimal"/>
      <w:start w:val="2"/>
    </w:lvl>
  </w:abstractNum>
  <w:abstractNum w:abstractNumId="5">
    <w:nsid w:val="507ED7A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5"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16" Type="http://schemas.openxmlformats.org/officeDocument/2006/relationships/hyperlink" Target="http://www.sec.gov/ix?doc=/Archives/edgar/data/1219601/000121960122000011/cck-20211231.htm" TargetMode="External"/><Relationship Id="rId17" Type="http://schemas.openxmlformats.org/officeDocument/2006/relationships/hyperlink" Target="http://www.sec.gov/Archives/edgar/data/1219601/000095016803000549/d8k12g3.htm" TargetMode="External"/><Relationship Id="rId18" Type="http://schemas.openxmlformats.org/officeDocument/2006/relationships/hyperlink" Target="http://www.sec.gov/Archives/edgar/data/1219601/000121960120000006/ex4ffdec2019.htm" TargetMode="External"/><Relationship Id="rId21" Type="http://schemas.openxmlformats.org/officeDocument/2006/relationships/hyperlink" Target="http://www.sec.gov/Archives/edgar/data/1219601/000095016803000549/dex31.htm" TargetMode="External"/><Relationship Id="rId22" Type="http://schemas.openxmlformats.org/officeDocument/2006/relationships/hyperlink" Target="http://www.sec.gov/Archives/edgar/data/1219601/000121960120000011/ex3mar2020.htm" TargetMode="External"/><Relationship Id="rId23" Type="http://schemas.openxmlformats.org/officeDocument/2006/relationships/hyperlink" Target="http://www.sec.gov/Archives/edgar/data/1219601/000121960113000015/ex51may2013.htm" TargetMode="External"/><Relationship Id="rId24" Type="http://schemas.openxmlformats.org/officeDocument/2006/relationships/hyperlink" Target="http://www.sec.gov/Archives/edgar/data/1219601/000119312518343804/d651519dex5.htm" TargetMode="External"/><Relationship Id="rId26" Type="http://schemas.openxmlformats.org/officeDocument/2006/relationships/hyperlink" Target="http://www.sec.gov/Archives/edgar/data/1219601/000095015913000173/crownproxy.htm" TargetMode="External"/><Relationship Id="rId27" Type="http://schemas.openxmlformats.org/officeDocument/2006/relationships/hyperlink" Target="http://www.sec.gov/Archives/edgar/data/1219601/000095015922000090/crown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2022-11-14T19:39:33Z</dcterms:created>
  <dcterms:modified xsi:type="dcterms:W3CDTF">2022-11-14T19:39:33Z</dcterms:modified>
</cp:coreProperties>
</file>