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42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422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DONAHUE TIMOTHY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CROWN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CCK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8"/>
            <w:vMerge w:val="restart"/>
          </w:tcPr>
          <w:p>
            <w:pPr>
              <w:jc w:val="center"/>
              <w:ind w:right="69"/>
              <w:spacing w:after="0"/>
              <w:rPr>
                <w:sz w:val="20"/>
                <w:szCs w:val="20"/>
                <w:color w:val="auto"/>
              </w:rPr>
            </w:pPr>
            <w:r>
              <w:rPr>
                <w:rFonts w:ascii="Arial" w:cs="Arial" w:eastAsia="Arial" w:hAnsi="Arial"/>
                <w:sz w:val="14"/>
                <w:szCs w:val="14"/>
                <w:color w:val="auto"/>
                <w:w w:val="95"/>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Line)</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YARDLEY</w:t>
            </w:r>
          </w:p>
        </w:tc>
        <w:tc>
          <w:tcPr>
            <w:tcW w:w="280" w:type="dxa"/>
            <w:vAlign w:val="bottom"/>
          </w:tcPr>
          <w:p>
            <w:pPr>
              <w:ind w:left="40"/>
              <w:spacing w:after="0"/>
              <w:rPr>
                <w:sz w:val="20"/>
                <w:szCs w:val="20"/>
                <w:color w:val="auto"/>
              </w:rPr>
            </w:pPr>
            <w:r>
              <w:rPr>
                <w:rFonts w:ascii="Arial" w:cs="Arial" w:eastAsia="Arial" w:hAnsi="Arial"/>
                <w:sz w:val="18"/>
                <w:szCs w:val="18"/>
                <w:color w:val="0000FF"/>
                <w:w w:val="91"/>
              </w:rPr>
              <w:t>PA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19067</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0000FF"/>
                <w:w w:val="95"/>
              </w:rPr>
              <w:t>Common</w:t>
            </w: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7"/>
              <w:spacing w:after="0"/>
              <w:rPr>
                <w:sz w:val="20"/>
                <w:szCs w:val="20"/>
                <w:color w:val="auto"/>
              </w:rPr>
            </w:pPr>
            <w:r>
              <w:rPr>
                <w:rFonts w:ascii="Arial" w:cs="Arial" w:eastAsia="Arial" w:hAnsi="Arial"/>
                <w:sz w:val="18"/>
                <w:szCs w:val="18"/>
                <w:color w:val="0000FF"/>
                <w:w w:val="88"/>
              </w:rPr>
              <w:t>1,423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5"/>
              </w:rPr>
              <w:t>Common</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01/07/2019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133,376</w:t>
            </w:r>
            <w:r>
              <w:rPr>
                <w:rFonts w:ascii="Arial" w:cs="Arial" w:eastAsia="Arial" w:hAnsi="Arial"/>
                <w:sz w:val="22"/>
                <w:szCs w:val="22"/>
                <w:color w:val="008000"/>
                <w:w w:val="84"/>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621,433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0000FF"/>
                <w:w w:val="95"/>
              </w:rPr>
              <w:t>Common</w:t>
            </w: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20" w:type="dxa"/>
            <w:vAlign w:val="bottom"/>
            <w:gridSpan w:val="2"/>
          </w:tcPr>
          <w:p>
            <w:pPr>
              <w:ind w:left="820"/>
              <w:spacing w:after="0"/>
              <w:rPr>
                <w:sz w:val="20"/>
                <w:szCs w:val="20"/>
                <w:color w:val="auto"/>
              </w:rPr>
            </w:pPr>
            <w:r>
              <w:rPr>
                <w:rFonts w:ascii="Arial" w:cs="Arial" w:eastAsia="Arial" w:hAnsi="Arial"/>
                <w:sz w:val="18"/>
                <w:szCs w:val="18"/>
                <w:color w:val="0000FF"/>
              </w:rPr>
              <w:t>01/08/2019</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center"/>
              <w:ind w:right="256"/>
              <w:spacing w:after="0"/>
              <w:rPr>
                <w:sz w:val="20"/>
                <w:szCs w:val="20"/>
                <w:color w:val="auto"/>
              </w:rPr>
            </w:pPr>
            <w:r>
              <w:rPr>
                <w:rFonts w:ascii="Arial" w:cs="Arial" w:eastAsia="Arial" w:hAnsi="Arial"/>
                <w:sz w:val="14"/>
                <w:szCs w:val="14"/>
                <w:color w:val="0000FF"/>
                <w:w w:val="98"/>
              </w:rPr>
              <w:t>D</w:t>
            </w:r>
          </w:p>
        </w:tc>
        <w:tc>
          <w:tcPr>
            <w:tcW w:w="740" w:type="dxa"/>
            <w:vAlign w:val="bottom"/>
          </w:tcPr>
          <w:p>
            <w:pPr>
              <w:jc w:val="center"/>
              <w:ind w:left="109"/>
              <w:spacing w:after="0"/>
              <w:rPr>
                <w:sz w:val="20"/>
                <w:szCs w:val="20"/>
                <w:color w:val="auto"/>
              </w:rPr>
            </w:pPr>
            <w:r>
              <w:rPr>
                <w:rFonts w:ascii="Arial" w:cs="Arial" w:eastAsia="Arial" w:hAnsi="Arial"/>
                <w:sz w:val="18"/>
                <w:szCs w:val="18"/>
                <w:color w:val="0000FF"/>
                <w:w w:val="87"/>
              </w:rPr>
              <w:t>65,963</w:t>
            </w:r>
          </w:p>
        </w:tc>
        <w:tc>
          <w:tcPr>
            <w:tcW w:w="32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555,470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5"/>
              </w:rPr>
              <w:t>Common</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01/08/2019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92"/>
              </w:rPr>
              <w:t>F</w:t>
            </w:r>
          </w:p>
        </w:tc>
        <w:tc>
          <w:tcPr>
            <w:tcW w:w="740" w:type="dxa"/>
            <w:vAlign w:val="bottom"/>
            <w:tcBorders>
              <w:bottom w:val="single" w:sz="8" w:color="2C2C2C"/>
            </w:tcBorders>
          </w:tcPr>
          <w:p>
            <w:pPr>
              <w:jc w:val="center"/>
              <w:ind w:left="129"/>
              <w:spacing w:after="0"/>
              <w:rPr>
                <w:sz w:val="20"/>
                <w:szCs w:val="20"/>
                <w:color w:val="auto"/>
              </w:rPr>
            </w:pPr>
            <w:r>
              <w:rPr>
                <w:rFonts w:ascii="Arial" w:cs="Arial" w:eastAsia="Arial" w:hAnsi="Arial"/>
                <w:sz w:val="18"/>
                <w:szCs w:val="18"/>
                <w:color w:val="0000FF"/>
                <w:w w:val="85"/>
              </w:rPr>
              <w:t>3,317</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45.45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552,153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133,376 shares of Restricted Common Stock under the 2013 Stock-Based Compensation Plan. 46,482 time-vested restricted shares vest over a three year period as follows: 15,494 time-vested restricted shares on January 7, 2020, 2021 and 2022, respectively. 40,412 performance-based restricted shares are targeted to vest on January 7, 2022 based on the Company's Total Shareholder Return versus a defined peer group of companies, with the final number of performance-based vested shares varying from 0 to 200% of 40,412. 46,482 performance-based restricted shares are targeted to vest on January 7, 2022 based on the Return on Invested Capital achieved by the Company compared to the ROIC target, with the final number of performance-based vested shares varying from 0 to 200% of 46,482.</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transferred to the Company for tax withholding in connection with vesting of restricted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Rosemary M. Haselroth, by</w:t>
            </w:r>
          </w:p>
        </w:tc>
        <w:tc>
          <w:tcPr>
            <w:tcW w:w="16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01/09/2019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199"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2019-12-24T06:37:30Z</dcterms:created>
  <dcterms:modified xsi:type="dcterms:W3CDTF">2019-12-24T06:37:30Z</dcterms:modified>
</cp:coreProperties>
</file>