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July 22, 2024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CROWN HOLDINGS,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1020" w:type="dxa"/>
        <w:tblCellMar>
          <w:top w:w="0" w:type="dxa"/>
          <w:left w:w="0" w:type="dxa"/>
          <w:bottom w:w="0" w:type="dxa"/>
          <w:right w:w="0" w:type="dxa"/>
        </w:tblCellMar>
      </w:tblPr>
      <w:tr>
        <w:trPr>
          <w:trHeight w:val="233"/>
        </w:trPr>
        <w:tc>
          <w:tcPr>
            <w:tcW w:w="31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001-41550</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189"/>
        </w:trPr>
        <w:tc>
          <w:tcPr>
            <w:tcW w:w="3160" w:type="dxa"/>
            <w:vAlign w:val="bottom"/>
          </w:tcPr>
          <w:p>
            <w:pPr>
              <w:jc w:val="center"/>
              <w:ind w:right="87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10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rPr>
              <w:t>(Commission</w:t>
            </w:r>
          </w:p>
        </w:tc>
        <w:tc>
          <w:tcPr>
            <w:tcW w:w="2500" w:type="dxa"/>
            <w:vAlign w:val="bottom"/>
          </w:tcPr>
          <w:p>
            <w:pPr>
              <w:jc w:val="center"/>
              <w:ind w:left="1070"/>
              <w:spacing w:after="0" w:line="189"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1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File Number)</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14025 Riveredge Drive, Suite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Tampa, Florida 33637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Trading Symbols</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2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7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CCK</w:t>
            </w:r>
          </w:p>
        </w:tc>
        <w:tc>
          <w:tcPr>
            <w:tcW w:w="54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400" w:type="dxa"/>
            <w:vAlign w:val="bottom"/>
          </w:tcPr>
          <w:p>
            <w:pPr>
              <w:spacing w:after="0"/>
              <w:rPr>
                <w:sz w:val="17"/>
                <w:szCs w:val="17"/>
                <w:color w:val="auto"/>
              </w:rPr>
            </w:pP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3/8% Debentures Due 2026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CCK26</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CCK96</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2"/>
        </w:trPr>
        <w:tc>
          <w:tcPr>
            <w:tcW w:w="25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54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979"/>
        </w:trPr>
        <w:tc>
          <w:tcPr>
            <w:tcW w:w="2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798" w:gutter="0" w:footer="0" w:header="0"/>
        </w:sectPr>
      </w:pPr>
    </w:p>
    <w:bookmarkStart w:id="1" w:name="page2"/>
    <w:bookmarkEnd w:id="1"/>
    <w:p>
      <w:pPr>
        <w:spacing w:after="0" w:line="36"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2.02. RESULTS OF OPERATIONS AND FINANCIAL CONDITION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9.01. FINANCIAL STATEMENTS AND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INDEX TO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EX-99 PRESS RELEASE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1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On July 22, 2024 Crown Holdings, Inc. issued a press release announcing its earnings for the second quarter ended June 30, 2024. A copy of the press release is attached hereto as Exhibit 99 and incorporated herein by reference.</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furnished as an exhibit to this report.</w:t>
      </w:r>
    </w:p>
    <w:p>
      <w:pPr>
        <w:spacing w:after="0" w:line="85"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Press release, dated July 22, 2024, issued by Crown Holdings, Inc.</w:t>
      </w:r>
    </w:p>
    <w:p>
      <w:pPr>
        <w:spacing w:after="0" w:line="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/s/ Christy L. Kalaus</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-160020</wp:posOffset>
            </wp:positionV>
            <wp:extent cx="3257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July 22,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14" w:right="339" w:bottom="1440" w:gutter="0" w:footer="0" w:header="0"/>
        </w:sectPr>
      </w:pPr>
    </w:p>
    <w:bookmarkStart w:id="4" w:name="page5"/>
    <w:bookmarkEnd w:id="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314960</wp:posOffset>
            </wp:positionV>
            <wp:extent cx="685800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CROWN HOLDINGS, INC. REPORTS SECOND QUARTER 2024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90805</wp:posOffset>
            </wp:positionV>
            <wp:extent cx="685800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Tampa, FL - July 22, 2024. </w:t>
      </w:r>
      <w:r>
        <w:rPr>
          <w:rFonts w:ascii="Times New Roman" w:cs="Times New Roman" w:eastAsia="Times New Roman" w:hAnsi="Times New Roman"/>
          <w:sz w:val="18"/>
          <w:szCs w:val="18"/>
          <w:color w:val="auto"/>
        </w:rPr>
        <w:t>Crown Holdings, Inc. (NYSE: CCK) today announced its financial results for the second quarter ended June 30, 2024.</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in the second quarter were $3,040 million compared to $3,109 million in the second quarter of 2023 reflecting higher global beverage can shipments offset primarily by the pass through of $94 million in lower material costs and unfavorable foreign currency of $13 million.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from operations was $379 million in the second quarter compared to $367 million in the second quarter of 2023. Segment income in the second quarter of 2024 was $437 million compared to $414 million in the prior year second quarter driven by improved results in global beverage operations.</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Commenting on the quarter, Timothy J. Donahue, Chairman, President and Chief Executive Officer, stated, “The Company performed well during the quarter, led by strong results in each of the global beverage businesses. Benefitting from our broad geographic presence and strategic customer alliances, beverage segment income improved by 21% in the second quarter on a combined global basis. Beverage can shipments improved 6% globally in the second quarter, including 9% in North America. Beverage can shipments in Europe and Latin America were also strong and exceeded longer-term expectations of low-to mid-single digit volume growth.</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“Cash generated in our non-beverage businesses combined with tightly managed working capital and lower capital expenditures resulted in the Company delivering cash from operating activities of $343 million and record first half year free cash flow of $178 million. Net leverage ended the quarter at 3.2 times down from 4.0 times a year earlier.</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KPS Capital Partners announced the sale of European metal packaging supplier Eviosys. Crown’s 20% stake in Eviosys is included as part of the agreement with closing of the transaction anticipated later this year.</w:t>
      </w:r>
    </w:p>
    <w:p>
      <w:pPr>
        <w:spacing w:after="0" w:line="18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“With improved earnings, strong free cash flow, and the expected proceeds from the Eviosys sale, we now expect year-end 2024 net leverage to be below 3.0 times. Cash flow is expected to remain strong, allowing us to resume share repurchases while also continuing to delever towards our new long-term net leverage target of 2.5 times.”</w:t>
      </w:r>
    </w:p>
    <w:p>
      <w:pPr>
        <w:spacing w:after="0" w:line="204"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Net income attributable to Crown Holdings in the second quarter was $174 million compared to $157 million in the second quarter of 2023. Reported diluted earnings per share were $1.45 in the second quarter of 2024 compared to $1.31 in 2023 and adjusted diluted earnings per share were $1.81 compared to $1.68 in 2023 reflecting higher global beverage can results.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 Results</w:t>
      </w:r>
    </w:p>
    <w:p>
      <w:pPr>
        <w:spacing w:after="0" w:line="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Net sales for the first six months of 2024 were $5,824 million compared to $6,083 million in the first six months of 2023, reflecting higher global beverage can shipments, offset by the pass through of $224 million in lower material costs and lower volumes in most other businesses.</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Income from operations was $624 million in the first half of 2024 compared to $636 million in the first half of 2023. Segment income in the first half of 2024 was $745 million versus $734 million in the prior year period as improved results in global beverage operations offset lower volumes in most other businesses and higher corporate costs.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Crown Holdings in the first six months of 2024 was $241 million compared to $259 million in the first six months of 2023.</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diluted earnings per share were $2.01 compared to $2.16 in 2023 and adjusted diluted earnings per share were $2.83 compared to $2.88 in 2023.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light of first half operating results, the Company now projects full-year diluted EPS in the range of $6.00 to $6.25 compared to previous guidance of $5.80 to $6.20. Free cash flow for the year is now expected to be at least $750 million.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adjusted earnings per share are expected to be in the range of $1.75 to $1.85.</w:t>
      </w:r>
    </w:p>
    <w:p>
      <w:pPr>
        <w:sectPr>
          <w:pgSz w:w="11900" w:h="16838" w:orient="portrait"/>
          <w:cols w:equalWidth="0" w:num="1">
            <w:col w:w="11240"/>
          </w:cols>
          <w:pgMar w:left="320" w:top="4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1 of 10</w:t>
      </w:r>
    </w:p>
    <w:p>
      <w:pPr>
        <w:sectPr>
          <w:pgSz w:w="11900" w:h="16838" w:orient="portrait"/>
          <w:cols w:equalWidth="0" w:num="1">
            <w:col w:w="11240"/>
          </w:cols>
          <w:pgMar w:left="320" w:top="493" w:right="339" w:bottom="1440" w:gutter="0" w:footer="0" w:header="0"/>
          <w:type w:val="continuous"/>
        </w:sectPr>
      </w:pPr>
    </w:p>
    <w:bookmarkStart w:id="5" w:name="page6"/>
    <w:bookmarkEnd w:id="5"/>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Segment income, adjusted free cash flow, adjusted net leverage ratio, adjusted net income, the adjusted effective tax rate, adjusted diluted earnings per share, net interest expense, EBITDA and adjusted EBITDA are not defined terms under U.S. generally accepted accounting principles (non-GAAP</w:t>
      </w:r>
    </w:p>
    <w:p>
      <w:pPr>
        <w:spacing w:after="0" w:line="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measures). Non-GAAP measures should not be considered in isolation or as a substitute for income from operations, cash flow, leverage ratio, net income, effective tax rates, diluted earnings per share or interest expense and interest income prepared in accordance with U.S. GAAP and may not be comparable to calculations of similarly titled measures by other companies.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views segment income as the principal measure of the performance of its operations and adjusted free cash flow and adjusted net leverage</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ratio as the principal measures of its liquidity. The Company considers all of these measures in the allocation of resources. Adjusted free cash flow has certain limitations, however, including that it does not represent the residual cash flow available for discretionary expenditures since other non-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discretionary expenditures, such as mandatory debt service requirements, are not deducted from the measure. The amount of mandatory versus</w:t>
      </w:r>
    </w:p>
    <w:p>
      <w:pPr>
        <w:spacing w:after="0" w:line="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discretionary expenditures can vary significantly between periods. The Company believes that adjusted free cash flow and adjusted net leverage ratio provide meaningful measures of liquidity and a useful basis for assessing the Company’s ability to fund its activities, including the financing of</w:t>
      </w:r>
    </w:p>
    <w:p>
      <w:pPr>
        <w:jc w:val="both"/>
        <w:spacing w:after="0" w:line="258" w:lineRule="auto"/>
        <w:rPr>
          <w:sz w:val="20"/>
          <w:szCs w:val="20"/>
          <w:color w:val="auto"/>
        </w:rPr>
      </w:pPr>
      <w:r>
        <w:rPr>
          <w:rFonts w:ascii="Times New Roman" w:cs="Times New Roman" w:eastAsia="Times New Roman" w:hAnsi="Times New Roman"/>
          <w:sz w:val="18"/>
          <w:szCs w:val="18"/>
          <w:color w:val="auto"/>
        </w:rPr>
        <w:t>acquisitions, debt repayments, share repurchases or dividends. The Company believes that adjusted net income, segment income, the adjusted effective tax rate and adjusted diluted earnings per share are useful in evaluating the Company’s operations as these measures are adjusted for items that affect</w:t>
      </w:r>
    </w:p>
    <w:p>
      <w:pPr>
        <w:jc w:val="both"/>
        <w:spacing w:after="0" w:line="245" w:lineRule="auto"/>
        <w:rPr>
          <w:sz w:val="20"/>
          <w:szCs w:val="20"/>
          <w:color w:val="auto"/>
        </w:rPr>
      </w:pPr>
      <w:r>
        <w:rPr>
          <w:rFonts w:ascii="Times New Roman" w:cs="Times New Roman" w:eastAsia="Times New Roman" w:hAnsi="Times New Roman"/>
          <w:sz w:val="18"/>
          <w:szCs w:val="18"/>
          <w:color w:val="auto"/>
        </w:rPr>
        <w:t>comparability between periods. Segment income, adjusted free cash flow, adjusted net leverage ratio, adjusted net income, the adjusted effective tax rate, adjusted diluted earnings per share, net interest expense, EBITDA and adjusted EBITDA are derived from the Company’s Consolidated Statements of Operations, Cash Flows and Consolidated Balance Sheets, as applicable, and reconciliations to segment income, adjusted free cash flow, adjusted net leverage ratio, adjusted net income, the adjusted effective tax rate, adjusted diluted earnings per share and adjusted EBITDA can be found within this</w:t>
      </w:r>
    </w:p>
    <w:p>
      <w:pPr>
        <w:spacing w:after="0" w:line="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release. Reconciliations of estimated adjusted diluted earnings per share, adjusted effective tax rate and adjusted net leverage ratio for the third quarter and full year of 2024 to estimated diluted earnings per share, the effective tax rate and income from operations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and could have a significant impact on earnings per share, adjusted effective tax rates and adjusted net leverage ratios on a GAAP basis: gains or losses on the sale of businesses or other assets, restructuring and other costs, asset charges, asbestos-related charges, losses from early extinguishment of debt, pension settlement and curtailment charges, the tax and noncontrolling interest impact of the items above, and the impact of tax law changes or other tax matters.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 xml:space="preserve">The Company will hold a conference call tomorrow, July 23, 2024 at 9:00 a.m. (EDT)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the public on the internet at the Company’s website, </w:t>
      </w:r>
      <w:r>
        <w:rPr>
          <w:rFonts w:ascii="Times New Roman" w:cs="Times New Roman" w:eastAsia="Times New Roman" w:hAnsi="Times New Roman"/>
          <w:sz w:val="18"/>
          <w:szCs w:val="18"/>
          <w:u w:val="single" w:color="auto"/>
          <w:color w:val="0000FF"/>
        </w:rPr>
        <w:t>www.crowncork.com</w:t>
      </w:r>
      <w:r>
        <w:rPr>
          <w:rFonts w:ascii="Times New Roman" w:cs="Times New Roman" w:eastAsia="Times New Roman" w:hAnsi="Times New Roman"/>
          <w:sz w:val="18"/>
          <w:szCs w:val="18"/>
          <w:color w:val="000000"/>
        </w:rPr>
        <w:t>. A replay of the conference call will be available for a one-week period ending at midnight on July 30, 2024. The telephone numbers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the replay are 203-369-3998 or toll free 800-876-5258.</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Except for historical information, all other information in this press release consists of forward-looking statements. These forward-looking statements involve a number of risks, uncertainties and other factors, including the Company’s ability to continue to operate its plants, distribute its products, and maintain its supply chain; the future impact of currency translation; the continuation of performance and market trends in 2024, including consumer preference for beverage cans and global beverage can demand; the future impact of inflation, including the potential for higher interest rates and energy prices and the Company’s ability to recover raw material and other inflationary costs; future demand for food cans; the Company’s ability to deliver continuous operational improvement; future demand in the Transit Packaging segment; the timing and ultimate completion of the Eviosys sale and the Company’s ability to decrease capital expenditures and increase cash flow and to further reduce net leverage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2023 and in subsequent filings made prior to or after the date hereof. The Company does not intend to review or revise any particular forward-looking statement in light of future events.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Crown Holdings, Inc., through its subsidiaries, is a worldwide leader in the design, manufacture and sale of packaging products for consumer goods and industrial products. World headquarters are located in Tampa, Florida.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10</w:t>
      </w:r>
    </w:p>
    <w:p>
      <w:pPr>
        <w:sectPr>
          <w:pgSz w:w="11900" w:h="16838" w:orient="portrait"/>
          <w:cols w:equalWidth="0" w:num="1">
            <w:col w:w="11240"/>
          </w:cols>
          <w:pgMar w:left="320" w:top="601" w:right="339" w:bottom="1440" w:gutter="0" w:footer="0" w:header="0"/>
        </w:sectPr>
      </w:pPr>
    </w:p>
    <w:bookmarkStart w:id="6" w:name="page7"/>
    <w:bookmarkEnd w:id="6"/>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contact:</w:t>
      </w:r>
    </w:p>
    <w:p>
      <w:pPr>
        <w:spacing w:after="0" w:line="16" w:lineRule="exact"/>
        <w:rPr>
          <w:sz w:val="20"/>
          <w:szCs w:val="20"/>
          <w:color w:val="auto"/>
        </w:rPr>
      </w:pPr>
    </w:p>
    <w:p>
      <w:pPr>
        <w:ind w:right="4040"/>
        <w:spacing w:after="0" w:line="271" w:lineRule="auto"/>
        <w:rPr>
          <w:sz w:val="20"/>
          <w:szCs w:val="20"/>
          <w:color w:val="auto"/>
        </w:rPr>
      </w:pPr>
      <w:r>
        <w:rPr>
          <w:rFonts w:ascii="Times New Roman" w:cs="Times New Roman" w:eastAsia="Times New Roman" w:hAnsi="Times New Roman"/>
          <w:sz w:val="17"/>
          <w:szCs w:val="17"/>
          <w:color w:val="auto"/>
        </w:rPr>
        <w:t>Kevin C. Clothier, Senior Vice President and Chief Financial Officer, (215) 698-5281 Thomas T. Fischer, Vice President, Investor Relations and Corporate Affairs, (215) 552-3720</w:t>
      </w:r>
    </w:p>
    <w:p>
      <w:pPr>
        <w:spacing w:after="0" w:line="18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Unaudited Consolidated Statements of Operations, Balance Sheets, Statements of Cash Flows, Segment Information and Supplemental Data follow.</w:t>
      </w:r>
    </w:p>
    <w:p>
      <w:pPr>
        <w:spacing w:after="0" w:line="200" w:lineRule="exact"/>
        <w:rPr>
          <w:sz w:val="20"/>
          <w:szCs w:val="20"/>
          <w:color w:val="auto"/>
        </w:rPr>
      </w:pPr>
    </w:p>
    <w:p>
      <w:pPr>
        <w:spacing w:after="0" w:line="34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Page 3 of 10</w:t>
      </w:r>
    </w:p>
    <w:p>
      <w:pPr>
        <w:sectPr>
          <w:pgSz w:w="11900" w:h="16838" w:orient="portrait"/>
          <w:cols w:equalWidth="0" w:num="1">
            <w:col w:w="10760"/>
          </w:cols>
          <w:pgMar w:left="320" w:top="601" w:right="81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-132080</wp:posOffset>
            </wp:positionV>
            <wp:extent cx="155130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21" w:lineRule="auto"/>
        <w:rPr>
          <w:sz w:val="20"/>
          <w:szCs w:val="20"/>
          <w:color w:val="auto"/>
        </w:rPr>
      </w:pPr>
      <w:r>
        <w:rPr>
          <w:rFonts w:ascii="Arial" w:cs="Arial" w:eastAsia="Arial" w:hAnsi="Arial"/>
          <w:sz w:val="14"/>
          <w:szCs w:val="14"/>
          <w:color w:val="auto"/>
        </w:rPr>
        <w:t>14025 Riveredge Drive, Suite 300</w:t>
      </w:r>
    </w:p>
    <w:p>
      <w:pPr>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Statements of Operations (Unaudited)</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share and per share data)</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60" w:type="dxa"/>
            <w:vAlign w:val="bottom"/>
            <w:gridSpan w:val="5"/>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16"/>
                <w:szCs w:val="16"/>
                <w:color w:val="auto"/>
              </w:rPr>
            </w:pPr>
          </w:p>
        </w:tc>
        <w:tc>
          <w:tcPr>
            <w:tcW w:w="2620" w:type="dxa"/>
            <w:vAlign w:val="bottom"/>
            <w:gridSpan w:val="4"/>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gridSpan w:val="5"/>
            <w:vMerge w:val="continue"/>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5060" w:type="dxa"/>
            <w:vAlign w:val="bottom"/>
          </w:tcPr>
          <w:p>
            <w:pPr>
              <w:spacing w:after="0"/>
              <w:rPr>
                <w:sz w:val="23"/>
                <w:szCs w:val="23"/>
                <w:color w:val="auto"/>
              </w:rPr>
            </w:pPr>
          </w:p>
        </w:tc>
        <w:tc>
          <w:tcPr>
            <w:tcW w:w="24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3"/>
                <w:szCs w:val="23"/>
                <w:color w:val="auto"/>
              </w:rPr>
            </w:pPr>
          </w:p>
        </w:tc>
        <w:tc>
          <w:tcPr>
            <w:tcW w:w="220" w:type="dxa"/>
            <w:vAlign w:val="bottom"/>
            <w:tcBorders>
              <w:top w:val="single" w:sz="8" w:color="auto"/>
              <w:bottom w:val="single" w:sz="8" w:color="auto"/>
            </w:tcBorders>
          </w:tcPr>
          <w:p>
            <w:pPr>
              <w:spacing w:after="0"/>
              <w:rPr>
                <w:sz w:val="23"/>
                <w:szCs w:val="23"/>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3"/>
                <w:szCs w:val="23"/>
                <w:color w:val="auto"/>
              </w:rPr>
            </w:pPr>
          </w:p>
        </w:tc>
        <w:tc>
          <w:tcPr>
            <w:tcW w:w="260" w:type="dxa"/>
            <w:vAlign w:val="bottom"/>
            <w:tcBorders>
              <w:top w:val="single" w:sz="8" w:color="auto"/>
              <w:bottom w:val="single" w:sz="8" w:color="auto"/>
            </w:tcBorders>
          </w:tcPr>
          <w:p>
            <w:pPr>
              <w:spacing w:after="0"/>
              <w:rPr>
                <w:sz w:val="23"/>
                <w:szCs w:val="23"/>
                <w:color w:val="auto"/>
              </w:rPr>
            </w:pPr>
          </w:p>
        </w:tc>
        <w:tc>
          <w:tcPr>
            <w:tcW w:w="10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3"/>
                <w:szCs w:val="23"/>
                <w:color w:val="auto"/>
              </w:rPr>
            </w:pPr>
          </w:p>
        </w:tc>
        <w:tc>
          <w:tcPr>
            <w:tcW w:w="30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3,040</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3,109</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5,824</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6,083</w:t>
            </w:r>
          </w:p>
        </w:tc>
        <w:tc>
          <w:tcPr>
            <w:tcW w:w="0" w:type="dxa"/>
            <w:vAlign w:val="bottom"/>
          </w:tcPr>
          <w:p>
            <w:pPr>
              <w:spacing w:after="0"/>
              <w:rPr>
                <w:sz w:val="1"/>
                <w:szCs w:val="1"/>
                <w:color w:val="auto"/>
              </w:rPr>
            </w:pPr>
          </w:p>
        </w:tc>
      </w:tr>
      <w:tr>
        <w:trPr>
          <w:trHeight w:val="29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products sold</w:t>
            </w:r>
          </w:p>
        </w:tc>
        <w:tc>
          <w:tcPr>
            <w:tcW w:w="240" w:type="dxa"/>
            <w:vAlign w:val="bottom"/>
          </w:tcPr>
          <w:p>
            <w:pPr>
              <w:spacing w:after="0"/>
              <w:rPr>
                <w:sz w:val="24"/>
                <w:szCs w:val="24"/>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2,379</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2,463</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4,626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4,874</w:t>
            </w: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4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and other</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8"/>
        </w:trPr>
        <w:tc>
          <w:tcPr>
            <w:tcW w:w="506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23"/>
                <w:szCs w:val="23"/>
                <w:b w:val="1"/>
                <w:bCs w:val="1"/>
                <w:color w:val="auto"/>
                <w:vertAlign w:val="superscript"/>
              </w:rPr>
              <w:t>(1)</w:t>
            </w:r>
          </w:p>
        </w:tc>
        <w:tc>
          <w:tcPr>
            <w:tcW w:w="24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379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367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624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636</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4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24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361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337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588</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591</w:t>
            </w: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 before income taxes</w:t>
            </w:r>
          </w:p>
        </w:tc>
        <w:tc>
          <w:tcPr>
            <w:tcW w:w="24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239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399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400</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earnings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187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300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309</w:t>
            </w:r>
          </w:p>
        </w:tc>
        <w:tc>
          <w:tcPr>
            <w:tcW w:w="0" w:type="dxa"/>
            <w:vAlign w:val="bottom"/>
          </w:tcPr>
          <w:p>
            <w:pPr>
              <w:spacing w:after="0"/>
              <w:rPr>
                <w:sz w:val="1"/>
                <w:szCs w:val="1"/>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174</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157</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241</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259</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attributable to Crown Holdings common</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119,652,273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119,385,138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119,613,319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119,312,034</w:t>
            </w:r>
          </w:p>
        </w:tc>
        <w:tc>
          <w:tcPr>
            <w:tcW w:w="0" w:type="dxa"/>
            <w:vAlign w:val="bottom"/>
          </w:tcPr>
          <w:p>
            <w:pPr>
              <w:spacing w:after="0"/>
              <w:rPr>
                <w:sz w:val="1"/>
                <w:szCs w:val="1"/>
                <w:color w:val="auto"/>
              </w:rPr>
            </w:pPr>
          </w:p>
        </w:tc>
      </w:tr>
      <w:tr>
        <w:trPr>
          <w:trHeight w:val="230"/>
        </w:trPr>
        <w:tc>
          <w:tcPr>
            <w:tcW w:w="5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119,846,707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119,641,646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119,811,187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119,620,100</w:t>
            </w:r>
          </w:p>
        </w:tc>
        <w:tc>
          <w:tcPr>
            <w:tcW w:w="0" w:type="dxa"/>
            <w:vAlign w:val="bottom"/>
          </w:tcPr>
          <w:p>
            <w:pPr>
              <w:spacing w:after="0"/>
              <w:rPr>
                <w:sz w:val="1"/>
                <w:szCs w:val="1"/>
                <w:color w:val="auto"/>
              </w:rPr>
            </w:pPr>
          </w:p>
        </w:tc>
      </w:tr>
      <w:tr>
        <w:trPr>
          <w:trHeight w:val="234"/>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Actual common shares outstanding at quarter end</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120,867,675</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120,102,654</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120,867,675</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120,102,654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5100" w:right="5060" w:hanging="4929"/>
        <w:spacing w:after="0" w:line="971" w:lineRule="auto"/>
        <w:tabs>
          <w:tab w:leader="none" w:pos="36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Reconciliation from income from operations to segment income follows. Page 4 of 10</w:t>
      </w:r>
    </w:p>
    <w:p>
      <w:pPr>
        <w:sectPr>
          <w:pgSz w:w="11900" w:h="16838" w:orient="portrait"/>
          <w:cols w:equalWidth="0" w:num="1">
            <w:col w:w="11060"/>
          </w:cols>
          <w:pgMar w:left="400" w:top="601" w:right="439" w:bottom="1440" w:gutter="0" w:footer="0" w:header="0"/>
        </w:sectPr>
      </w:pPr>
    </w:p>
    <w:bookmarkStart w:id="8" w:name="page9"/>
    <w:bookmarkEnd w:id="8"/>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3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Financial Data (Unaudited)</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Income from Operations to Segment Income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restructuring and other.</w:t>
      </w:r>
    </w:p>
    <w:p>
      <w:pPr>
        <w:spacing w:after="0" w:line="312" w:lineRule="exact"/>
        <w:rPr>
          <w:sz w:val="20"/>
          <w:szCs w:val="20"/>
          <w:color w:val="auto"/>
        </w:rPr>
      </w:pPr>
    </w:p>
    <w:tbl>
      <w:tblPr>
        <w:tblLayout w:type="fixed"/>
        <w:tblInd w:w="140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276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8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r>
      <w:tr>
        <w:trPr>
          <w:trHeight w:val="237"/>
        </w:trPr>
        <w:tc>
          <w:tcPr>
            <w:tcW w:w="27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tcPr>
          <w:p>
            <w:pPr>
              <w:spacing w:after="0"/>
              <w:rPr>
                <w:sz w:val="20"/>
                <w:szCs w:val="20"/>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367</w:t>
            </w:r>
          </w:p>
        </w:tc>
        <w:tc>
          <w:tcPr>
            <w:tcW w:w="5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624</w:t>
            </w: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w:t>
            </w:r>
          </w:p>
        </w:tc>
      </w:tr>
      <w:tr>
        <w:trPr>
          <w:trHeight w:val="25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amortization</w:t>
            </w:r>
          </w:p>
        </w:tc>
        <w:tc>
          <w:tcPr>
            <w:tcW w:w="7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r>
      <w:tr>
        <w:trPr>
          <w:trHeight w:val="257"/>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w:t>
            </w: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w:t>
            </w: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414</w:t>
            </w:r>
          </w:p>
        </w:tc>
        <w:tc>
          <w:tcPr>
            <w:tcW w:w="5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745</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734</w:t>
            </w:r>
          </w:p>
        </w:tc>
      </w:tr>
      <w:tr>
        <w:trPr>
          <w:trHeight w:val="21"/>
        </w:trPr>
        <w:tc>
          <w:tcPr>
            <w:tcW w:w="2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Segment Information</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80" w:type="dxa"/>
            <w:vAlign w:val="bottom"/>
            <w:gridSpan w:val="8"/>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8"/>
        </w:trPr>
        <w:tc>
          <w:tcPr>
            <w:tcW w:w="286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5"/>
          </w:tcPr>
          <w:p>
            <w:pPr>
              <w:jc w:val="right"/>
              <w:ind w:right="30"/>
              <w:spacing w:after="0" w:line="19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4"/>
          </w:tcPr>
          <w:p>
            <w:pPr>
              <w:jc w:val="right"/>
              <w:ind w:right="30"/>
              <w:spacing w:after="0" w:line="19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8"/>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Americas Beverage</w:t>
            </w:r>
          </w:p>
        </w:tc>
        <w:tc>
          <w:tcPr>
            <w:tcW w:w="3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2,547</w:t>
            </w:r>
          </w:p>
        </w:tc>
        <w:tc>
          <w:tcPr>
            <w:tcW w:w="220" w:type="dxa"/>
            <w:vAlign w:val="bottom"/>
          </w:tcPr>
          <w:p>
            <w:pPr>
              <w:spacing w:after="0"/>
              <w:rPr>
                <w:sz w:val="18"/>
                <w:szCs w:val="18"/>
                <w:color w:val="auto"/>
              </w:rPr>
            </w:pP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2,553</w:t>
            </w:r>
          </w:p>
        </w:tc>
        <w:tc>
          <w:tcPr>
            <w:tcW w:w="0" w:type="dxa"/>
            <w:vAlign w:val="bottom"/>
          </w:tcPr>
          <w:p>
            <w:pPr>
              <w:spacing w:after="0"/>
              <w:rPr>
                <w:sz w:val="1"/>
                <w:szCs w:val="1"/>
                <w:color w:val="auto"/>
              </w:rPr>
            </w:pPr>
          </w:p>
        </w:tc>
      </w:tr>
      <w:tr>
        <w:trPr>
          <w:trHeight w:val="229"/>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European Beverage</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Transit Packaging</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1,161</w:t>
            </w:r>
          </w:p>
        </w:tc>
        <w:tc>
          <w:tcPr>
            <w:tcW w:w="0" w:type="dxa"/>
            <w:vAlign w:val="bottom"/>
          </w:tcPr>
          <w:p>
            <w:pPr>
              <w:spacing w:after="0"/>
              <w:rPr>
                <w:sz w:val="1"/>
                <w:szCs w:val="1"/>
                <w:color w:val="auto"/>
              </w:rPr>
            </w:pPr>
          </w:p>
        </w:tc>
      </w:tr>
      <w:tr>
        <w:trPr>
          <w:trHeight w:val="234"/>
        </w:trPr>
        <w:tc>
          <w:tcPr>
            <w:tcW w:w="2860" w:type="dxa"/>
            <w:vAlign w:val="bottom"/>
            <w:gridSpan w:val="3"/>
          </w:tcPr>
          <w:p>
            <w:pPr>
              <w:spacing w:after="0" w:line="234"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596</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23"/>
        </w:trPr>
        <w:tc>
          <w:tcPr>
            <w:tcW w:w="28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3,040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3,109</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5,824</w:t>
            </w:r>
          </w:p>
        </w:tc>
        <w:tc>
          <w:tcPr>
            <w:tcW w:w="22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6,083</w:t>
            </w:r>
          </w:p>
        </w:tc>
        <w:tc>
          <w:tcPr>
            <w:tcW w:w="0" w:type="dxa"/>
            <w:vAlign w:val="bottom"/>
          </w:tcPr>
          <w:p>
            <w:pPr>
              <w:spacing w:after="0"/>
              <w:rPr>
                <w:sz w:val="1"/>
                <w:szCs w:val="1"/>
                <w:color w:val="auto"/>
              </w:rPr>
            </w:pPr>
          </w:p>
        </w:tc>
      </w:tr>
      <w:tr>
        <w:trPr>
          <w:trHeight w:val="21"/>
        </w:trPr>
        <w:tc>
          <w:tcPr>
            <w:tcW w:w="2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286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Americas Beverage</w:t>
            </w:r>
          </w:p>
        </w:tc>
        <w:tc>
          <w:tcPr>
            <w:tcW w:w="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20" w:type="dxa"/>
            <w:vAlign w:val="bottom"/>
          </w:tcPr>
          <w:p>
            <w:pPr>
              <w:spacing w:after="0"/>
              <w:rPr>
                <w:sz w:val="24"/>
                <w:szCs w:val="24"/>
                <w:color w:val="auto"/>
              </w:rPr>
            </w:pPr>
          </w:p>
        </w:tc>
        <w:tc>
          <w:tcPr>
            <w:tcW w:w="3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3"/>
        </w:trPr>
        <w:tc>
          <w:tcPr>
            <w:tcW w:w="2860" w:type="dxa"/>
            <w:vAlign w:val="bottom"/>
            <w:gridSpan w:val="3"/>
          </w:tcPr>
          <w:p>
            <w:pPr>
              <w:spacing w:after="0" w:line="233" w:lineRule="exact"/>
              <w:rPr>
                <w:sz w:val="20"/>
                <w:szCs w:val="20"/>
                <w:color w:val="auto"/>
              </w:rPr>
            </w:pPr>
            <w:r>
              <w:rPr>
                <w:rFonts w:ascii="Times New Roman" w:cs="Times New Roman" w:eastAsia="Times New Roman" w:hAnsi="Times New Roman"/>
                <w:sz w:val="18"/>
                <w:szCs w:val="18"/>
                <w:color w:val="auto"/>
              </w:rPr>
              <w:t xml:space="preserve">European Beverage </w:t>
            </w:r>
            <w:r>
              <w:rPr>
                <w:rFonts w:ascii="Times New Roman" w:cs="Times New Roman" w:eastAsia="Times New Roman" w:hAnsi="Times New Roman"/>
                <w:sz w:val="23"/>
                <w:szCs w:val="23"/>
                <w:color w:val="auto"/>
                <w:vertAlign w:val="superscript"/>
              </w:rPr>
              <w:t>(2)</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6"/>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Transit Packaging</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33"/>
        </w:trPr>
        <w:tc>
          <w:tcPr>
            <w:tcW w:w="2860" w:type="dxa"/>
            <w:vAlign w:val="bottom"/>
            <w:gridSpan w:val="3"/>
          </w:tcPr>
          <w:p>
            <w:pPr>
              <w:spacing w:after="0" w:line="233"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80"/>
        </w:trPr>
        <w:tc>
          <w:tcPr>
            <w:tcW w:w="286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Corporate and other unallocated items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7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(2)</w:t>
            </w:r>
          </w:p>
        </w:tc>
        <w:tc>
          <w:tcPr>
            <w:tcW w:w="5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vMerge w:val="restart"/>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vMerge w:val="restart"/>
          </w:tcPr>
          <w:p>
            <w:pPr>
              <w:jc w:val="right"/>
              <w:spacing w:after="0" w:line="17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54"/>
        </w:trPr>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8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437</w:t>
            </w:r>
          </w:p>
        </w:tc>
        <w:tc>
          <w:tcPr>
            <w:tcW w:w="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c>
          <w:tcPr>
            <w:tcW w:w="4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734</w:t>
            </w: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00" w:right="20" w:hanging="249"/>
        <w:spacing w:after="0" w:line="222" w:lineRule="auto"/>
        <w:tabs>
          <w:tab w:leader="none" w:pos="443"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Company’s food can, aerosol can and closures businesses in North America, and beverage tooling and equipment operations in the U.S. and United Kingdom.</w:t>
      </w:r>
    </w:p>
    <w:p>
      <w:pPr>
        <w:spacing w:after="0" w:line="181" w:lineRule="exact"/>
        <w:rPr>
          <w:rFonts w:ascii="Times New Roman" w:cs="Times New Roman" w:eastAsia="Times New Roman" w:hAnsi="Times New Roman"/>
          <w:sz w:val="23"/>
          <w:szCs w:val="23"/>
          <w:color w:val="auto"/>
          <w:vertAlign w:val="superscript"/>
        </w:rPr>
      </w:pPr>
    </w:p>
    <w:p>
      <w:pPr>
        <w:ind w:left="440" w:hanging="189"/>
        <w:spacing w:after="0"/>
        <w:tabs>
          <w:tab w:leader="none" w:pos="44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fourth quarter of 2023, the Company recast its segment reporting to reclassify European corporate costs that were previously included in</w:t>
      </w:r>
    </w:p>
    <w:p>
      <w:pPr>
        <w:spacing w:after="0" w:line="29" w:lineRule="exact"/>
        <w:rPr>
          <w:sz w:val="20"/>
          <w:szCs w:val="20"/>
          <w:color w:val="auto"/>
        </w:rPr>
      </w:pPr>
    </w:p>
    <w:p>
      <w:pPr>
        <w:ind w:left="500"/>
        <w:spacing w:after="0" w:line="243" w:lineRule="auto"/>
        <w:rPr>
          <w:sz w:val="20"/>
          <w:szCs w:val="20"/>
          <w:color w:val="auto"/>
        </w:rPr>
      </w:pPr>
      <w:r>
        <w:rPr>
          <w:rFonts w:ascii="Times New Roman" w:cs="Times New Roman" w:eastAsia="Times New Roman" w:hAnsi="Times New Roman"/>
          <w:sz w:val="18"/>
          <w:szCs w:val="18"/>
          <w:color w:val="auto"/>
        </w:rPr>
        <w:t>Corporate and other unallocated items into the European Beverage segment. The change was effective December 31, 2023, and segment results for prior periods were recast to conform to the new presentation.</w:t>
      </w:r>
    </w:p>
    <w:p>
      <w:pPr>
        <w:sectPr>
          <w:pgSz w:w="11900" w:h="16838" w:orient="portrait"/>
          <w:cols w:equalWidth="0" w:num="1">
            <w:col w:w="11240"/>
          </w:cols>
          <w:pgMar w:left="320" w:top="601" w:right="339" w:bottom="7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5 of 10</w:t>
      </w:r>
    </w:p>
    <w:p>
      <w:pPr>
        <w:sectPr>
          <w:pgSz w:w="11900" w:h="16838" w:orient="portrait"/>
          <w:cols w:equalWidth="0" w:num="1">
            <w:col w:w="11240"/>
          </w:cols>
          <w:pgMar w:left="320" w:top="601" w:right="339" w:bottom="742" w:gutter="0" w:footer="0" w:header="0"/>
          <w:type w:val="continuous"/>
        </w:sectPr>
      </w:pPr>
    </w:p>
    <w:bookmarkStart w:id="9" w:name="page10"/>
    <w:bookmarkEnd w:id="9"/>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3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Data (Unaudited)</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Net Income and Diluted Earnings Per Share to Adjusted Net Income and Adjusted Diluted Earnings Per Share</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reconciles reported net income and diluted earnings per share attributable to the Company to adjusted net income and adjusted diluted earnings per share, as used elsewhere in this release.</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4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40" w:type="dxa"/>
            <w:vAlign w:val="bottom"/>
            <w:gridSpan w:val="7"/>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income/diluted earnings per share</w:t>
            </w:r>
          </w:p>
        </w:tc>
        <w:tc>
          <w:tcPr>
            <w:tcW w:w="138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attributable to Crown Holdings, as</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$174</w:t>
            </w:r>
          </w:p>
        </w:tc>
        <w:tc>
          <w:tcPr>
            <w:tcW w:w="76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$1.45</w:t>
            </w:r>
          </w:p>
        </w:tc>
        <w:tc>
          <w:tcPr>
            <w:tcW w:w="14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$157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$1.31</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620" w:type="dxa"/>
            <w:vAlign w:val="bottom"/>
            <w:vMerge w:val="continue"/>
          </w:tcPr>
          <w:p>
            <w:pPr>
              <w:spacing w:after="0"/>
              <w:rPr>
                <w:sz w:val="21"/>
                <w:szCs w:val="21"/>
                <w:color w:val="auto"/>
              </w:rPr>
            </w:pPr>
          </w:p>
        </w:tc>
        <w:tc>
          <w:tcPr>
            <w:tcW w:w="7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$241</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$2.01</w:t>
            </w:r>
          </w:p>
        </w:tc>
        <w:tc>
          <w:tcPr>
            <w:tcW w:w="16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$259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9"/>
              </w:rPr>
              <w:t>$2.16</w:t>
            </w:r>
          </w:p>
        </w:tc>
        <w:tc>
          <w:tcPr>
            <w:tcW w:w="0" w:type="dxa"/>
            <w:vAlign w:val="bottom"/>
          </w:tcPr>
          <w:p>
            <w:pPr>
              <w:spacing w:after="0"/>
              <w:rPr>
                <w:sz w:val="1"/>
                <w:szCs w:val="1"/>
                <w:color w:val="auto"/>
              </w:rPr>
            </w:pPr>
          </w:p>
        </w:tc>
      </w:tr>
      <w:tr>
        <w:trPr>
          <w:trHeight w:val="302"/>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Intangibles amortization </w:t>
            </w:r>
            <w:r>
              <w:rPr>
                <w:rFonts w:ascii="Times New Roman" w:cs="Times New Roman" w:eastAsia="Times New Roman" w:hAnsi="Times New Roman"/>
                <w:sz w:val="23"/>
                <w:szCs w:val="23"/>
                <w:color w:val="auto"/>
                <w:vertAlign w:val="superscript"/>
              </w:rPr>
              <w:t>(1)</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0.34</w:t>
            </w:r>
          </w:p>
        </w:tc>
        <w:tc>
          <w:tcPr>
            <w:tcW w:w="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0.34</w:t>
            </w:r>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0.68</w:t>
            </w: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0.68</w:t>
            </w:r>
          </w:p>
        </w:tc>
        <w:tc>
          <w:tcPr>
            <w:tcW w:w="0" w:type="dxa"/>
            <w:vAlign w:val="bottom"/>
          </w:tcPr>
          <w:p>
            <w:pPr>
              <w:spacing w:after="0"/>
              <w:rPr>
                <w:sz w:val="1"/>
                <w:szCs w:val="1"/>
                <w:color w:val="auto"/>
              </w:rPr>
            </w:pPr>
          </w:p>
        </w:tc>
      </w:tr>
      <w:tr>
        <w:trPr>
          <w:trHeight w:val="270"/>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Restructuring and other </w:t>
            </w:r>
            <w:r>
              <w:rPr>
                <w:rFonts w:ascii="Times New Roman" w:cs="Times New Roman" w:eastAsia="Times New Roman" w:hAnsi="Times New Roman"/>
                <w:sz w:val="23"/>
                <w:szCs w:val="23"/>
                <w:color w:val="auto"/>
                <w:vertAlign w:val="superscript"/>
              </w:rPr>
              <w:t>(2)</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40</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0.33</w:t>
            </w:r>
          </w:p>
        </w:tc>
        <w:tc>
          <w:tcPr>
            <w:tcW w:w="1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0.14</w:t>
            </w:r>
          </w:p>
        </w:tc>
        <w:tc>
          <w:tcPr>
            <w:tcW w:w="0" w:type="dxa"/>
            <w:vAlign w:val="bottom"/>
          </w:tcPr>
          <w:p>
            <w:pPr>
              <w:spacing w:after="0"/>
              <w:rPr>
                <w:sz w:val="1"/>
                <w:szCs w:val="1"/>
                <w:color w:val="auto"/>
              </w:rPr>
            </w:pPr>
          </w:p>
        </w:tc>
      </w:tr>
      <w:tr>
        <w:trPr>
          <w:trHeight w:val="270"/>
        </w:trPr>
        <w:tc>
          <w:tcPr>
            <w:tcW w:w="3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Other pension and postretirement </w:t>
            </w:r>
            <w:r>
              <w:rPr>
                <w:rFonts w:ascii="Times New Roman" w:cs="Times New Roman" w:eastAsia="Times New Roman" w:hAnsi="Times New Roman"/>
                <w:sz w:val="23"/>
                <w:szCs w:val="23"/>
                <w:color w:val="auto"/>
                <w:vertAlign w:val="superscript"/>
              </w:rPr>
              <w:t>(3)</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0.02</w:t>
            </w:r>
          </w:p>
        </w:tc>
        <w:tc>
          <w:tcPr>
            <w:tcW w:w="16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0.05</w:t>
            </w:r>
          </w:p>
        </w:tc>
        <w:tc>
          <w:tcPr>
            <w:tcW w:w="0" w:type="dxa"/>
            <w:vAlign w:val="bottom"/>
          </w:tcPr>
          <w:p>
            <w:pPr>
              <w:spacing w:after="0"/>
              <w:rPr>
                <w:sz w:val="1"/>
                <w:szCs w:val="1"/>
                <w:color w:val="auto"/>
              </w:rPr>
            </w:pPr>
          </w:p>
        </w:tc>
      </w:tr>
      <w:tr>
        <w:trPr>
          <w:trHeight w:val="257"/>
        </w:trPr>
        <w:tc>
          <w:tcPr>
            <w:tcW w:w="326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 xml:space="preserve">Income taxes </w:t>
            </w:r>
            <w:r>
              <w:rPr>
                <w:rFonts w:ascii="Times New Roman" w:cs="Times New Roman" w:eastAsia="Times New Roman" w:hAnsi="Times New Roman"/>
                <w:sz w:val="23"/>
                <w:szCs w:val="23"/>
                <w:color w:val="auto"/>
                <w:vertAlign w:val="superscript"/>
              </w:rPr>
              <w:t>(4)</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(0.22)</w:t>
            </w:r>
          </w:p>
        </w:tc>
        <w:tc>
          <w:tcPr>
            <w:tcW w:w="14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(0.09)</w:t>
            </w:r>
          </w:p>
        </w:tc>
        <w:tc>
          <w:tcPr>
            <w:tcW w:w="18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(37)</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(0.31)</w:t>
            </w:r>
          </w:p>
        </w:tc>
        <w:tc>
          <w:tcPr>
            <w:tcW w:w="16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center"/>
              <w:ind w:right="14"/>
              <w:spacing w:after="0"/>
              <w:rPr>
                <w:sz w:val="20"/>
                <w:szCs w:val="20"/>
                <w:color w:val="auto"/>
              </w:rPr>
            </w:pPr>
            <w:r>
              <w:rPr>
                <w:rFonts w:ascii="Times New Roman" w:cs="Times New Roman" w:eastAsia="Times New Roman" w:hAnsi="Times New Roman"/>
                <w:sz w:val="17"/>
                <w:szCs w:val="17"/>
                <w:color w:val="auto"/>
              </w:rPr>
              <w:t>(0.19)</w:t>
            </w:r>
          </w:p>
        </w:tc>
        <w:tc>
          <w:tcPr>
            <w:tcW w:w="0" w:type="dxa"/>
            <w:vAlign w:val="bottom"/>
          </w:tcPr>
          <w:p>
            <w:pPr>
              <w:spacing w:after="0"/>
              <w:rPr>
                <w:sz w:val="1"/>
                <w:szCs w:val="1"/>
                <w:color w:val="auto"/>
              </w:rPr>
            </w:pPr>
          </w:p>
        </w:tc>
      </w:tr>
      <w:tr>
        <w:trPr>
          <w:trHeight w:val="238"/>
        </w:trPr>
        <w:tc>
          <w:tcPr>
            <w:tcW w:w="3260" w:type="dxa"/>
            <w:vAlign w:val="bottom"/>
          </w:tcPr>
          <w:p>
            <w:pPr>
              <w:ind w:left="220"/>
              <w:spacing w:after="0" w:line="237" w:lineRule="exact"/>
              <w:rPr>
                <w:sz w:val="20"/>
                <w:szCs w:val="20"/>
                <w:color w:val="auto"/>
              </w:rPr>
            </w:pPr>
            <w:r>
              <w:rPr>
                <w:rFonts w:ascii="Times New Roman" w:cs="Times New Roman" w:eastAsia="Times New Roman" w:hAnsi="Times New Roman"/>
                <w:sz w:val="18"/>
                <w:szCs w:val="18"/>
                <w:color w:val="auto"/>
              </w:rPr>
              <w:t xml:space="preserve">Equity earnings </w:t>
            </w:r>
            <w:r>
              <w:rPr>
                <w:rFonts w:ascii="Times New Roman" w:cs="Times New Roman" w:eastAsia="Times New Roman" w:hAnsi="Times New Roman"/>
                <w:sz w:val="23"/>
                <w:szCs w:val="23"/>
                <w:color w:val="auto"/>
                <w:vertAlign w:val="superscript"/>
              </w:rPr>
              <w:t>(5)</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0.08</w:t>
            </w:r>
          </w:p>
        </w:tc>
        <w:tc>
          <w:tcPr>
            <w:tcW w:w="14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7"/>
                <w:szCs w:val="17"/>
                <w:color w:val="auto"/>
              </w:rPr>
              <w:t>0.10</w:t>
            </w:r>
          </w:p>
        </w:tc>
        <w:tc>
          <w:tcPr>
            <w:tcW w:w="16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color w:val="auto"/>
              </w:rPr>
              <w:t>0.04</w:t>
            </w:r>
          </w:p>
        </w:tc>
        <w:tc>
          <w:tcPr>
            <w:tcW w:w="0" w:type="dxa"/>
            <w:vAlign w:val="bottom"/>
          </w:tcPr>
          <w:p>
            <w:pPr>
              <w:spacing w:after="0"/>
              <w:rPr>
                <w:sz w:val="1"/>
                <w:szCs w:val="1"/>
                <w:color w:val="auto"/>
              </w:rPr>
            </w:pPr>
          </w:p>
        </w:tc>
      </w:tr>
      <w:tr>
        <w:trPr>
          <w:trHeight w:val="155"/>
        </w:trPr>
        <w:tc>
          <w:tcPr>
            <w:tcW w:w="326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Adjusted net income/diluted earnings per</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$217</w:t>
            </w:r>
          </w:p>
        </w:tc>
        <w:tc>
          <w:tcPr>
            <w:tcW w:w="76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$1.81</w:t>
            </w:r>
          </w:p>
        </w:tc>
        <w:tc>
          <w:tcPr>
            <w:tcW w:w="14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$1.68</w:t>
            </w:r>
          </w:p>
        </w:tc>
        <w:tc>
          <w:tcPr>
            <w:tcW w:w="180" w:type="dxa"/>
            <w:vAlign w:val="bottom"/>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$339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$2.83</w:t>
            </w:r>
          </w:p>
        </w:tc>
        <w:tc>
          <w:tcPr>
            <w:tcW w:w="160" w:type="dxa"/>
            <w:vAlign w:val="bottom"/>
          </w:tcPr>
          <w:p>
            <w:pPr>
              <w:spacing w:after="0"/>
              <w:rPr>
                <w:sz w:val="13"/>
                <w:szCs w:val="13"/>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$345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restart"/>
          </w:tcPr>
          <w:p>
            <w:pPr>
              <w:jc w:val="center"/>
              <w:ind w:right="14"/>
              <w:spacing w:after="0"/>
              <w:rPr>
                <w:sz w:val="20"/>
                <w:szCs w:val="20"/>
                <w:color w:val="auto"/>
              </w:rPr>
            </w:pPr>
            <w:r>
              <w:rPr>
                <w:rFonts w:ascii="Times New Roman" w:cs="Times New Roman" w:eastAsia="Times New Roman" w:hAnsi="Times New Roman"/>
                <w:sz w:val="18"/>
                <w:szCs w:val="18"/>
                <w:b w:val="1"/>
                <w:bCs w:val="1"/>
                <w:color w:val="auto"/>
              </w:rPr>
              <w:t>$2.88</w:t>
            </w:r>
          </w:p>
        </w:tc>
        <w:tc>
          <w:tcPr>
            <w:tcW w:w="0" w:type="dxa"/>
            <w:vAlign w:val="bottom"/>
          </w:tcPr>
          <w:p>
            <w:pPr>
              <w:spacing w:after="0"/>
              <w:rPr>
                <w:sz w:val="1"/>
                <w:szCs w:val="1"/>
                <w:color w:val="auto"/>
              </w:rPr>
            </w:pPr>
          </w:p>
        </w:tc>
      </w:tr>
      <w:tr>
        <w:trPr>
          <w:trHeight w:val="203"/>
        </w:trPr>
        <w:tc>
          <w:tcPr>
            <w:tcW w:w="32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share</w:t>
            </w:r>
          </w:p>
        </w:tc>
        <w:tc>
          <w:tcPr>
            <w:tcW w:w="62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 as reported</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20.4%</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24.7%</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Adjusted effective tax rate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24.6%</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208" w:lineRule="exact"/>
        <w:rPr>
          <w:sz w:val="20"/>
          <w:szCs w:val="20"/>
          <w:color w:val="auto"/>
        </w:rPr>
      </w:pPr>
    </w:p>
    <w:p>
      <w:pPr>
        <w:jc w:val="both"/>
        <w:ind w:left="420" w:hanging="331"/>
        <w:spacing w:after="0" w:line="238" w:lineRule="auto"/>
        <w:tabs>
          <w:tab w:leader="none" w:pos="40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the second quarter and first six months of 2024, the Company recorded charges of $41 million ($31 million net of tax) and $81 million ($61 million net of tax) for intangibles amortization arising from prior acquisitions. In the second quarter and first six months of 2023, the Company recorded charges of $41 million ($31 million net of tax) and $81 million ($61 million net of tax) for intangibles amortization arising from prior acquisitions.</w:t>
      </w:r>
    </w:p>
    <w:p>
      <w:pPr>
        <w:spacing w:after="0" w:line="211" w:lineRule="exact"/>
        <w:rPr>
          <w:rFonts w:ascii="Times New Roman" w:cs="Times New Roman" w:eastAsia="Times New Roman" w:hAnsi="Times New Roman"/>
          <w:sz w:val="22"/>
          <w:szCs w:val="22"/>
          <w:color w:val="auto"/>
          <w:vertAlign w:val="superscript"/>
        </w:rPr>
      </w:pPr>
    </w:p>
    <w:p>
      <w:pPr>
        <w:jc w:val="both"/>
        <w:ind w:left="420" w:hanging="331"/>
        <w:spacing w:after="0" w:line="221" w:lineRule="auto"/>
        <w:tabs>
          <w:tab w:leader="none" w:pos="40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second quarter and first six months of 2024, the Company recorded net restructuring and other charges of $17 million ($14 million net of tax) and $40 million ($36 million net of tax) primarily related to severance and other exit costs in the Company's European Beverage and Other segments. In the second quarter and first six months of 2023, the Company recorded net restructuring and other charges of $6 million ($6 million net of tax) and $17 million ($15 million net of tax) primarily related to business reorganization activities in Europe.</w:t>
      </w:r>
    </w:p>
    <w:p>
      <w:pPr>
        <w:spacing w:after="0" w:line="1" w:lineRule="exact"/>
        <w:rPr>
          <w:rFonts w:ascii="Times New Roman" w:cs="Times New Roman" w:eastAsia="Times New Roman" w:hAnsi="Times New Roman"/>
          <w:sz w:val="23"/>
          <w:szCs w:val="23"/>
          <w:color w:val="auto"/>
          <w:vertAlign w:val="superscript"/>
        </w:rPr>
      </w:pPr>
    </w:p>
    <w:p>
      <w:pPr>
        <w:jc w:val="both"/>
        <w:ind w:left="420" w:hanging="331"/>
        <w:spacing w:after="0" w:line="219" w:lineRule="auto"/>
        <w:tabs>
          <w:tab w:leader="none" w:pos="40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second quarter of 2024, the Company recorded a one-time termination charge of $2 million ($1 million net of tax) related to business reorganization activities in the Other segment. In the second quarter of 2023, the Company recorded a one-time termination charge of $6 million ($5 million net of tax) related to business reorganization activities in Europe.</w:t>
      </w:r>
    </w:p>
    <w:p>
      <w:pPr>
        <w:spacing w:after="0" w:line="211" w:lineRule="exact"/>
        <w:rPr>
          <w:rFonts w:ascii="Times New Roman" w:cs="Times New Roman" w:eastAsia="Times New Roman" w:hAnsi="Times New Roman"/>
          <w:sz w:val="23"/>
          <w:szCs w:val="23"/>
          <w:color w:val="auto"/>
          <w:vertAlign w:val="superscript"/>
        </w:rPr>
      </w:pPr>
    </w:p>
    <w:p>
      <w:pPr>
        <w:jc w:val="both"/>
        <w:ind w:left="420" w:hanging="331"/>
        <w:spacing w:after="0" w:line="226" w:lineRule="auto"/>
        <w:tabs>
          <w:tab w:leader="none" w:pos="40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Company recorded income tax benefits of $26 million and $37 million in the second quarter and first six months of 2024 and $11 million and $23 million in the second quarter and first six months of 2023, primarily related to the items described above. In the second quarter of 2024, the Company also recorded an income tax benefit related to a valuation allowance release.</w:t>
      </w:r>
    </w:p>
    <w:p>
      <w:pPr>
        <w:spacing w:after="0" w:line="211" w:lineRule="exact"/>
        <w:rPr>
          <w:rFonts w:ascii="Times New Roman" w:cs="Times New Roman" w:eastAsia="Times New Roman" w:hAnsi="Times New Roman"/>
          <w:sz w:val="23"/>
          <w:szCs w:val="23"/>
          <w:color w:val="auto"/>
          <w:vertAlign w:val="superscript"/>
        </w:rPr>
      </w:pPr>
    </w:p>
    <w:p>
      <w:pPr>
        <w:ind w:left="420" w:right="20" w:hanging="331"/>
        <w:spacing w:after="0" w:line="222" w:lineRule="auto"/>
        <w:tabs>
          <w:tab w:leader="none" w:pos="40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second quarters and first six months of 2024 and 2023, the Company recorded its proportional share of intangible amortization and restructuring charges, net of tax, recorded by its European tinplate equity method investment, in the line Equity earnings.</w:t>
      </w:r>
    </w:p>
    <w:p>
      <w:pPr>
        <w:sectPr>
          <w:pgSz w:w="11900" w:h="16838" w:orient="portrait"/>
          <w:cols w:equalWidth="0" w:num="1">
            <w:col w:w="11240"/>
          </w:cols>
          <w:pgMar w:left="320" w:top="6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6 of 10</w:t>
      </w:r>
    </w:p>
    <w:p>
      <w:pPr>
        <w:sectPr>
          <w:pgSz w:w="11900" w:h="16838" w:orient="portrait"/>
          <w:cols w:equalWidth="0" w:num="1">
            <w:col w:w="11240"/>
          </w:cols>
          <w:pgMar w:left="320" w:top="601" w:right="339" w:bottom="1440" w:gutter="0" w:footer="0" w:header="0"/>
          <w:type w:val="continuous"/>
        </w:sectPr>
      </w:pPr>
    </w:p>
    <w:bookmarkStart w:id="10" w:name="page11"/>
    <w:bookmarkEnd w:id="10"/>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6900" w:type="dxa"/>
            <w:vAlign w:val="bottom"/>
            <w:gridSpan w:val="7"/>
          </w:tcPr>
          <w:p>
            <w:pPr>
              <w:ind w:left="2000"/>
              <w:spacing w:after="0"/>
              <w:rPr>
                <w:sz w:val="20"/>
                <w:szCs w:val="20"/>
                <w:color w:val="auto"/>
              </w:rPr>
            </w:pPr>
            <w:r>
              <w:rPr>
                <w:rFonts w:ascii="Times New Roman" w:cs="Times New Roman" w:eastAsia="Times New Roman" w:hAnsi="Times New Roman"/>
                <w:sz w:val="18"/>
                <w:szCs w:val="18"/>
                <w:b w:val="1"/>
                <w:bCs w:val="1"/>
                <w:color w:val="auto"/>
              </w:rPr>
              <w:t>Consolidated Balance Sheets (Condensed &amp; Unaudited)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(in millions)</w:t>
            </w: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3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1,897</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1,908</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4,932</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4,612</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150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4,360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4,890</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707</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3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14,858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14,569</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500" w:type="dxa"/>
            <w:vAlign w:val="bottom"/>
          </w:tcPr>
          <w:p>
            <w:pPr>
              <w:spacing w:after="0"/>
              <w:rPr>
                <w:sz w:val="24"/>
                <w:szCs w:val="24"/>
                <w:color w:val="auto"/>
              </w:rPr>
            </w:pPr>
          </w:p>
        </w:tc>
        <w:tc>
          <w:tcPr>
            <w:tcW w:w="34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Short-term debt</w:t>
            </w:r>
          </w:p>
        </w:tc>
        <w:tc>
          <w:tcPr>
            <w:tcW w:w="1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3,308</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4,688</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3,554</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150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6,986</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150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2,235</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2,715</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34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3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14,858</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14,569</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15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 of 10</w:t>
      </w:r>
    </w:p>
    <w:p>
      <w:pPr>
        <w:sectPr>
          <w:pgSz w:w="11900" w:h="16838" w:orient="portrait"/>
          <w:cols w:equalWidth="0" w:num="1">
            <w:col w:w="11240"/>
          </w:cols>
          <w:pgMar w:left="320" w:top="601" w:right="339" w:bottom="1440" w:gutter="0" w:footer="0" w:header="0"/>
        </w:sectPr>
      </w:pPr>
    </w:p>
    <w:bookmarkStart w:id="11" w:name="page12"/>
    <w:bookmarkEnd w:id="11"/>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327"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 (Condensed &amp; Unaudited)</w:t>
      </w:r>
    </w:p>
    <w:p>
      <w:pPr>
        <w:spacing w:after="0" w:line="3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color w:val="auto"/>
        </w:rPr>
        <w:t>(in millions)</w:t>
      </w:r>
    </w:p>
    <w:p>
      <w:pPr>
        <w:spacing w:after="0" w:line="149" w:lineRule="exact"/>
        <w:rPr>
          <w:sz w:val="20"/>
          <w:szCs w:val="20"/>
          <w:color w:val="auto"/>
        </w:rPr>
      </w:pPr>
    </w:p>
    <w:tbl>
      <w:tblPr>
        <w:tblLayout w:type="fixed"/>
        <w:tblInd w:w="194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31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other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postretirement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contributions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Working capital changes and other</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4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c>
          <w:tcPr>
            <w:tcW w:w="1160" w:type="dxa"/>
            <w:vAlign w:val="bottom"/>
          </w:tcPr>
          <w:p>
            <w:pPr>
              <w:spacing w:after="0"/>
              <w:rPr>
                <w:sz w:val="20"/>
                <w:szCs w:val="20"/>
                <w:color w:val="auto"/>
              </w:rPr>
            </w:pPr>
          </w:p>
        </w:tc>
      </w:tr>
      <w:tr>
        <w:trPr>
          <w:trHeight w:val="313"/>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9"/>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Capital expenditures</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160" w:type="dxa"/>
            <w:vAlign w:val="bottom"/>
          </w:tcPr>
          <w:p>
            <w:pPr>
              <w:spacing w:after="0"/>
              <w:rPr>
                <w:sz w:val="19"/>
                <w:szCs w:val="19"/>
                <w:color w:val="auto"/>
              </w:rPr>
            </w:pPr>
          </w:p>
        </w:tc>
      </w:tr>
      <w:tr>
        <w:trPr>
          <w:trHeight w:val="230"/>
        </w:trPr>
        <w:tc>
          <w:tcPr>
            <w:tcW w:w="65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Equity method investment distribution</w:t>
            </w: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160" w:type="dxa"/>
            <w:vAlign w:val="bottom"/>
          </w:tcPr>
          <w:p>
            <w:pPr>
              <w:spacing w:after="0"/>
              <w:rPr>
                <w:sz w:val="19"/>
                <w:szCs w:val="19"/>
                <w:color w:val="auto"/>
              </w:rPr>
            </w:pPr>
          </w:p>
        </w:tc>
      </w:tr>
      <w:tr>
        <w:trPr>
          <w:trHeight w:val="234"/>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160" w:type="dxa"/>
            <w:vAlign w:val="bottom"/>
          </w:tcPr>
          <w:p>
            <w:pPr>
              <w:spacing w:after="0"/>
              <w:rPr>
                <w:sz w:val="20"/>
                <w:szCs w:val="20"/>
                <w:color w:val="auto"/>
              </w:rPr>
            </w:pPr>
          </w:p>
        </w:tc>
      </w:tr>
      <w:tr>
        <w:trPr>
          <w:trHeight w:val="344"/>
        </w:trPr>
        <w:tc>
          <w:tcPr>
            <w:tcW w:w="656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Net cash used for investing activities</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4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w:t>
            </w:r>
          </w:p>
        </w:tc>
        <w:tc>
          <w:tcPr>
            <w:tcW w:w="1160" w:type="dxa"/>
            <w:vAlign w:val="bottom"/>
          </w:tcPr>
          <w:p>
            <w:pPr>
              <w:spacing w:after="0"/>
              <w:rPr>
                <w:sz w:val="24"/>
                <w:szCs w:val="24"/>
                <w:color w:val="auto"/>
              </w:rPr>
            </w:pPr>
          </w:p>
        </w:tc>
      </w:tr>
      <w:tr>
        <w:trPr>
          <w:trHeight w:val="340"/>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Net change in debt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160" w:type="dxa"/>
            <w:vAlign w:val="bottom"/>
          </w:tcPr>
          <w:p>
            <w:pPr>
              <w:spacing w:after="0"/>
              <w:rPr>
                <w:sz w:val="19"/>
                <w:szCs w:val="19"/>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160" w:type="dxa"/>
            <w:vAlign w:val="bottom"/>
          </w:tcPr>
          <w:p>
            <w:pPr>
              <w:spacing w:after="0"/>
              <w:rPr>
                <w:sz w:val="19"/>
                <w:szCs w:val="19"/>
                <w:color w:val="auto"/>
              </w:rPr>
            </w:pPr>
          </w:p>
        </w:tc>
      </w:tr>
      <w:tr>
        <w:trPr>
          <w:trHeight w:val="230"/>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tcPr>
          <w:p>
            <w:pPr>
              <w:spacing w:after="0"/>
              <w:rPr>
                <w:sz w:val="19"/>
                <w:szCs w:val="19"/>
                <w:color w:val="auto"/>
              </w:rPr>
            </w:pPr>
          </w:p>
        </w:tc>
      </w:tr>
      <w:tr>
        <w:trPr>
          <w:trHeight w:val="229"/>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Dividends paid to noncontrolling interests</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tcPr>
          <w:p>
            <w:pPr>
              <w:spacing w:after="0"/>
              <w:rPr>
                <w:sz w:val="19"/>
                <w:szCs w:val="19"/>
                <w:color w:val="auto"/>
              </w:rPr>
            </w:pPr>
          </w:p>
        </w:tc>
      </w:tr>
      <w:tr>
        <w:trPr>
          <w:trHeight w:val="234"/>
        </w:trPr>
        <w:tc>
          <w:tcPr>
            <w:tcW w:w="65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160" w:type="dxa"/>
            <w:vAlign w:val="bottom"/>
          </w:tcPr>
          <w:p>
            <w:pPr>
              <w:spacing w:after="0"/>
              <w:rPr>
                <w:sz w:val="20"/>
                <w:szCs w:val="20"/>
                <w:color w:val="auto"/>
              </w:rPr>
            </w:pPr>
          </w:p>
        </w:tc>
      </w:tr>
      <w:tr>
        <w:trPr>
          <w:trHeight w:val="345"/>
        </w:trPr>
        <w:tc>
          <w:tcPr>
            <w:tcW w:w="6560" w:type="dxa"/>
            <w:vAlign w:val="bottom"/>
          </w:tcPr>
          <w:p>
            <w:pPr>
              <w:ind w:left="2400"/>
              <w:spacing w:after="0"/>
              <w:rPr>
                <w:sz w:val="20"/>
                <w:szCs w:val="20"/>
                <w:color w:val="auto"/>
              </w:rPr>
            </w:pPr>
            <w:r>
              <w:rPr>
                <w:rFonts w:ascii="Times New Roman" w:cs="Times New Roman" w:eastAsia="Times New Roman" w:hAnsi="Times New Roman"/>
                <w:sz w:val="18"/>
                <w:szCs w:val="18"/>
                <w:b w:val="1"/>
                <w:bCs w:val="1"/>
                <w:color w:val="auto"/>
              </w:rPr>
              <w:t>Net cash provided by\(used for) financing activities</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4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160" w:type="dxa"/>
            <w:vAlign w:val="bottom"/>
          </w:tcPr>
          <w:p>
            <w:pPr>
              <w:spacing w:after="0"/>
              <w:rPr>
                <w:sz w:val="24"/>
                <w:szCs w:val="24"/>
                <w:color w:val="auto"/>
              </w:rPr>
            </w:pPr>
          </w:p>
        </w:tc>
      </w:tr>
      <w:tr>
        <w:trPr>
          <w:trHeight w:val="344"/>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tcPr>
          <w:p>
            <w:pPr>
              <w:spacing w:after="0"/>
              <w:rPr>
                <w:sz w:val="24"/>
                <w:szCs w:val="24"/>
                <w:color w:val="auto"/>
              </w:rPr>
            </w:pPr>
          </w:p>
        </w:tc>
      </w:tr>
      <w:tr>
        <w:trPr>
          <w:trHeight w:val="345"/>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tcPr>
          <w:p>
            <w:pPr>
              <w:spacing w:after="0"/>
              <w:rPr>
                <w:sz w:val="24"/>
                <w:szCs w:val="24"/>
                <w:color w:val="auto"/>
              </w:rPr>
            </w:pPr>
          </w:p>
        </w:tc>
      </w:tr>
      <w:tr>
        <w:trPr>
          <w:trHeight w:val="256"/>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4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160" w:type="dxa"/>
            <w:vAlign w:val="bottom"/>
          </w:tcPr>
          <w:p>
            <w:pPr>
              <w:spacing w:after="0"/>
              <w:rPr>
                <w:sz w:val="22"/>
                <w:szCs w:val="22"/>
                <w:color w:val="auto"/>
              </w:rPr>
            </w:pPr>
          </w:p>
        </w:tc>
      </w:tr>
      <w:tr>
        <w:trPr>
          <w:trHeight w:val="318"/>
        </w:trPr>
        <w:tc>
          <w:tcPr>
            <w:tcW w:w="656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at June 30 </w:t>
            </w:r>
            <w:r>
              <w:rPr>
                <w:rFonts w:ascii="Times New Roman" w:cs="Times New Roman" w:eastAsia="Times New Roman" w:hAnsi="Times New Roman"/>
                <w:sz w:val="23"/>
                <w:szCs w:val="23"/>
                <w:b w:val="1"/>
                <w:bCs w:val="1"/>
                <w:color w:val="auto"/>
                <w:vertAlign w:val="superscript"/>
              </w:rPr>
              <w:t>(1)</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1,511</w:t>
            </w:r>
          </w:p>
        </w:tc>
        <w:tc>
          <w:tcPr>
            <w:tcW w:w="420" w:type="dxa"/>
            <w:vAlign w:val="bottom"/>
          </w:tcPr>
          <w:p>
            <w:pPr>
              <w:spacing w:after="0"/>
              <w:rPr>
                <w:sz w:val="24"/>
                <w:szCs w:val="24"/>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643</w:t>
            </w:r>
          </w:p>
        </w:tc>
        <w:tc>
          <w:tcPr>
            <w:tcW w:w="1160" w:type="dxa"/>
            <w:vAlign w:val="bottom"/>
          </w:tcPr>
          <w:p>
            <w:pPr>
              <w:spacing w:after="0"/>
              <w:rPr>
                <w:sz w:val="24"/>
                <w:szCs w:val="24"/>
                <w:color w:val="auto"/>
              </w:rPr>
            </w:pPr>
          </w:p>
        </w:tc>
      </w:tr>
      <w:tr>
        <w:trPr>
          <w:trHeight w:val="20"/>
        </w:trPr>
        <w:tc>
          <w:tcPr>
            <w:tcW w:w="6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0"/>
        </w:trPr>
        <w:tc>
          <w:tcPr>
            <w:tcW w:w="6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bl>
    <w:p>
      <w:pPr>
        <w:spacing w:after="0" w:line="276" w:lineRule="exact"/>
        <w:rPr>
          <w:sz w:val="20"/>
          <w:szCs w:val="20"/>
          <w:color w:val="auto"/>
        </w:rPr>
      </w:pPr>
    </w:p>
    <w:p>
      <w:pPr>
        <w:ind w:left="400" w:hanging="311"/>
        <w:spacing w:after="0"/>
        <w:tabs>
          <w:tab w:leader="none" w:pos="4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and cash equivalents include $97 million and $96 million of restricted cash at June 30, 2024 and 2023.</w:t>
      </w:r>
    </w:p>
    <w:p>
      <w:pPr>
        <w:sectPr>
          <w:pgSz w:w="11900" w:h="16838" w:orient="portrait"/>
          <w:cols w:equalWidth="0" w:num="1">
            <w:col w:w="10480"/>
          </w:cols>
          <w:pgMar w:left="320" w:top="601"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color w:val="auto"/>
        </w:rPr>
        <w:t>Page 8 of 10</w:t>
      </w:r>
    </w:p>
    <w:p>
      <w:pPr>
        <w:sectPr>
          <w:pgSz w:w="11900" w:h="16838" w:orient="portrait"/>
          <w:cols w:equalWidth="0" w:num="1">
            <w:col w:w="10480"/>
          </w:cols>
          <w:pgMar w:left="320" w:top="601" w:right="10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-132080</wp:posOffset>
            </wp:positionV>
            <wp:extent cx="1551305"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21" w:lineRule="auto"/>
        <w:rPr>
          <w:sz w:val="20"/>
          <w:szCs w:val="20"/>
          <w:color w:val="auto"/>
        </w:rPr>
      </w:pPr>
      <w:r>
        <w:rPr>
          <w:rFonts w:ascii="Arial" w:cs="Arial" w:eastAsia="Arial" w:hAnsi="Arial"/>
          <w:sz w:val="14"/>
          <w:szCs w:val="14"/>
          <w:color w:val="auto"/>
        </w:rPr>
        <w:t>14025 Riveredge Drive, Suite 300</w:t>
      </w:r>
    </w:p>
    <w:p>
      <w:pPr>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318" w:lineRule="exact"/>
        <w:rPr>
          <w:sz w:val="20"/>
          <w:szCs w:val="20"/>
          <w:color w:val="auto"/>
        </w:rPr>
      </w:pPr>
    </w:p>
    <w:p>
      <w:pPr>
        <w:ind w:left="340"/>
        <w:spacing w:after="0" w:line="266" w:lineRule="auto"/>
        <w:rPr>
          <w:sz w:val="20"/>
          <w:szCs w:val="20"/>
          <w:color w:val="auto"/>
        </w:rPr>
      </w:pPr>
      <w:r>
        <w:rPr>
          <w:rFonts w:ascii="Times New Roman" w:cs="Times New Roman" w:eastAsia="Times New Roman" w:hAnsi="Times New Roman"/>
          <w:sz w:val="18"/>
          <w:szCs w:val="18"/>
          <w:color w:val="auto"/>
        </w:rPr>
        <w:t>Adjusted free cash flow is defined by the Company as net cash from operating activities less capital expenditures and certain other items. A reconciliation of net cash from operating activities to adjusted free cash flow for the three and six months ended June 30, 2024 and 2023 follows.</w:t>
      </w:r>
    </w:p>
    <w:p>
      <w:pPr>
        <w:spacing w:after="0" w:line="200" w:lineRule="exact"/>
        <w:rPr>
          <w:sz w:val="20"/>
          <w:szCs w:val="20"/>
          <w:color w:val="auto"/>
        </w:rPr>
      </w:pPr>
    </w:p>
    <w:p>
      <w:pPr>
        <w:spacing w:after="0" w:line="260"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60" w:type="dxa"/>
            <w:vAlign w:val="bottom"/>
          </w:tcPr>
          <w:p>
            <w:pPr>
              <w:spacing w:after="0"/>
              <w:rPr>
                <w:sz w:val="17"/>
                <w:szCs w:val="17"/>
                <w:color w:val="auto"/>
              </w:rPr>
            </w:pPr>
          </w:p>
        </w:tc>
        <w:tc>
          <w:tcPr>
            <w:tcW w:w="186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1"/>
        </w:trPr>
        <w:tc>
          <w:tcPr>
            <w:tcW w:w="3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64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r>
      <w:tr>
        <w:trPr>
          <w:trHeight w:val="252"/>
        </w:trPr>
        <w:tc>
          <w:tcPr>
            <w:tcW w:w="37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445</w:t>
            </w:r>
          </w:p>
        </w:tc>
        <w:tc>
          <w:tcPr>
            <w:tcW w:w="3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528</w:t>
            </w:r>
          </w:p>
        </w:tc>
        <w:tc>
          <w:tcPr>
            <w:tcW w:w="3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3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293</w:t>
            </w:r>
          </w:p>
        </w:tc>
      </w:tr>
      <w:tr>
        <w:trPr>
          <w:trHeight w:val="30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included in investing activities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20"/>
                <w:szCs w:val="20"/>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(84)</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(221)</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56"/>
        </w:trPr>
        <w:tc>
          <w:tcPr>
            <w:tcW w:w="37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361</w:t>
            </w:r>
          </w:p>
        </w:tc>
        <w:tc>
          <w:tcPr>
            <w:tcW w:w="3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307</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w:t>
            </w:r>
          </w:p>
        </w:tc>
        <w:tc>
          <w:tcPr>
            <w:tcW w:w="3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r>
      <w:tr>
        <w:trPr>
          <w:trHeight w:val="20"/>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320" w:hanging="311"/>
        <w:spacing w:after="0"/>
        <w:tabs>
          <w:tab w:leader="none" w:pos="3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benefit of cross currency swaps included in investing activities.</w:t>
      </w:r>
    </w:p>
    <w:p>
      <w:pPr>
        <w:spacing w:after="0" w:line="211" w:lineRule="exact"/>
        <w:rPr>
          <w:rFonts w:ascii="Times New Roman" w:cs="Times New Roman" w:eastAsia="Times New Roman" w:hAnsi="Times New Roman"/>
          <w:sz w:val="23"/>
          <w:szCs w:val="23"/>
          <w:color w:val="auto"/>
          <w:vertAlign w:val="superscript"/>
        </w:rPr>
      </w:pPr>
    </w:p>
    <w:p>
      <w:pPr>
        <w:ind w:left="340" w:hanging="331"/>
        <w:spacing w:after="0" w:line="222" w:lineRule="auto"/>
        <w:tabs>
          <w:tab w:leader="none" w:pos="32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$23 million of insurance proceeds received in the first quarter of 2023 related to a tornado at the Bowling Green plant and $1 million repayment of the contribution the Company made in 2021 to settle the U.K. defined pension plan.</w:t>
      </w:r>
    </w:p>
    <w:p>
      <w:pPr>
        <w:sectPr>
          <w:pgSz w:w="11900" w:h="16838" w:orient="portrait"/>
          <w:cols w:equalWidth="0" w:num="1">
            <w:col w:w="11160"/>
          </w:cols>
          <w:pgMar w:left="400" w:top="601" w:right="339" w:bottom="2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Page 9 of 10</w:t>
      </w:r>
    </w:p>
    <w:p>
      <w:pPr>
        <w:sectPr>
          <w:pgSz w:w="11900" w:h="16838" w:orient="portrait"/>
          <w:cols w:equalWidth="0" w:num="1">
            <w:col w:w="11160"/>
          </w:cols>
          <w:pgMar w:left="400" w:top="601" w:right="339" w:bottom="229" w:gutter="0" w:footer="0" w:header="0"/>
          <w:type w:val="continuous"/>
        </w:sectPr>
      </w:pPr>
    </w:p>
    <w:bookmarkStart w:id="13" w:name="page14"/>
    <w:bookmarkEnd w:id="13"/>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740" w:type="dxa"/>
            <w:vAlign w:val="bottom"/>
            <w:gridSpan w:val="11"/>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Consolidated Supplemental Data (Unaudited)</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(in millions)</w:t>
            </w:r>
          </w:p>
        </w:tc>
        <w:tc>
          <w:tcPr>
            <w:tcW w:w="9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60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 xml:space="preserve">Impact of Foreign Currency Translation – Favorable/(Unfavorable) </w:t>
            </w:r>
            <w:r>
              <w:rPr>
                <w:rFonts w:ascii="Times New Roman" w:cs="Times New Roman" w:eastAsia="Times New Roman" w:hAnsi="Times New Roman"/>
                <w:sz w:val="23"/>
                <w:szCs w:val="23"/>
                <w:b w:val="1"/>
                <w:bCs w:val="1"/>
                <w:color w:val="auto"/>
                <w:vertAlign w:val="superscript"/>
              </w:rPr>
              <w:t>(1)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gridSpan w:val="5"/>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200" w:type="dxa"/>
            <w:vAlign w:val="bottom"/>
          </w:tcPr>
          <w:p>
            <w:pPr>
              <w:spacing w:after="0"/>
              <w:rPr>
                <w:sz w:val="24"/>
                <w:szCs w:val="24"/>
                <w:color w:val="auto"/>
              </w:rPr>
            </w:pPr>
          </w:p>
        </w:tc>
        <w:tc>
          <w:tcPr>
            <w:tcW w:w="2820" w:type="dxa"/>
            <w:vAlign w:val="bottom"/>
            <w:gridSpan w:val="8"/>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60" w:type="dxa"/>
            <w:vAlign w:val="bottom"/>
          </w:tcPr>
          <w:p>
            <w:pPr>
              <w:spacing w:after="0"/>
              <w:rPr>
                <w:sz w:val="24"/>
                <w:szCs w:val="24"/>
                <w:color w:val="auto"/>
              </w:rPr>
            </w:pPr>
          </w:p>
        </w:tc>
        <w:tc>
          <w:tcPr>
            <w:tcW w:w="238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2820" w:type="dxa"/>
            <w:vAlign w:val="bottom"/>
            <w:gridSpan w:val="8"/>
            <w:vMerge w:val="continue"/>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gridSpan w:val="4"/>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Segment</w:t>
            </w:r>
          </w:p>
        </w:tc>
        <w:tc>
          <w:tcPr>
            <w:tcW w:w="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6"/>
              </w:rPr>
              <w:t>Segment</w:t>
            </w:r>
          </w:p>
        </w:tc>
        <w:tc>
          <w:tcPr>
            <w:tcW w:w="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Pr>
          <w:p>
            <w:pPr>
              <w:spacing w:after="0"/>
              <w:rPr>
                <w:sz w:val="20"/>
                <w:szCs w:val="20"/>
                <w:color w:val="auto"/>
              </w:rPr>
            </w:pPr>
          </w:p>
        </w:tc>
        <w:tc>
          <w:tcPr>
            <w:tcW w:w="12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60" w:type="dxa"/>
            <w:vAlign w:val="bottom"/>
          </w:tcPr>
          <w:p>
            <w:pPr>
              <w:spacing w:after="0"/>
              <w:rPr>
                <w:sz w:val="20"/>
                <w:szCs w:val="20"/>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00" w:type="dxa"/>
            <w:vAlign w:val="bottom"/>
            <w:vMerge w:val="continue"/>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gridSpan w:val="2"/>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88"/>
              </w:rPr>
              <w:t>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14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5"/>
              </w:rPr>
              <w:t>(1)</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5"/>
              </w:rPr>
              <w:t>(2)</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1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5"/>
              </w:rPr>
              <w:t>(1)</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3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w:t>
            </w:r>
          </w:p>
        </w:tc>
        <w:tc>
          <w:tcPr>
            <w:tcW w:w="3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20" w:type="dxa"/>
            <w:vAlign w:val="bottom"/>
            <w:gridSpan w:val="2"/>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660" w:hanging="328"/>
        <w:spacing w:after="0" w:line="228" w:lineRule="auto"/>
        <w:tabs>
          <w:tab w:leader="none" w:pos="64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dividing the current U.S. dollar results by current year average foreign exchange rates and then multiplying those amounts by the applicable prior year average 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w w:val="99"/>
              </w:rPr>
              <w:t>Reconciliation of Adjusted EBITDA and Adjusted Net Leverage Ratio</w:t>
            </w:r>
          </w:p>
        </w:tc>
        <w:tc>
          <w:tcPr>
            <w:tcW w:w="10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3"/>
        </w:trPr>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June YTD</w:t>
            </w:r>
          </w:p>
        </w:tc>
        <w:tc>
          <w:tcPr>
            <w:tcW w:w="120" w:type="dxa"/>
            <w:vAlign w:val="bottom"/>
          </w:tcPr>
          <w:p>
            <w:pPr>
              <w:spacing w:after="0"/>
              <w:rPr>
                <w:sz w:val="24"/>
                <w:szCs w:val="24"/>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June YTD</w:t>
            </w:r>
          </w:p>
        </w:tc>
        <w:tc>
          <w:tcPr>
            <w:tcW w:w="140" w:type="dxa"/>
            <w:vAlign w:val="bottom"/>
          </w:tcPr>
          <w:p>
            <w:pPr>
              <w:spacing w:after="0"/>
              <w:rPr>
                <w:sz w:val="24"/>
                <w:szCs w:val="24"/>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Full Year</w:t>
            </w:r>
          </w:p>
        </w:tc>
        <w:tc>
          <w:tcPr>
            <w:tcW w:w="180" w:type="dxa"/>
            <w:vAlign w:val="bottom"/>
          </w:tcPr>
          <w:p>
            <w:pPr>
              <w:spacing w:after="0"/>
              <w:rPr>
                <w:sz w:val="24"/>
                <w:szCs w:val="24"/>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Twelve Months</w:t>
            </w:r>
          </w:p>
        </w:tc>
        <w:tc>
          <w:tcPr>
            <w:tcW w:w="160" w:type="dxa"/>
            <w:vAlign w:val="bottom"/>
          </w:tcPr>
          <w:p>
            <w:pPr>
              <w:spacing w:after="0"/>
              <w:rPr>
                <w:sz w:val="24"/>
                <w:szCs w:val="24"/>
                <w:color w:val="auto"/>
              </w:rPr>
            </w:pPr>
          </w:p>
        </w:tc>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Twelve Months</w:t>
            </w: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5"/>
                <w:szCs w:val="15"/>
                <w:color w:val="auto"/>
              </w:rPr>
            </w:pPr>
          </w:p>
        </w:tc>
        <w:tc>
          <w:tcPr>
            <w:tcW w:w="15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60" w:type="dxa"/>
            <w:vAlign w:val="bottom"/>
          </w:tcPr>
          <w:p>
            <w:pPr>
              <w:spacing w:after="0"/>
              <w:rPr>
                <w:sz w:val="20"/>
                <w:szCs w:val="20"/>
                <w:color w:val="auto"/>
              </w:rPr>
            </w:pPr>
          </w:p>
        </w:tc>
        <w:tc>
          <w:tcPr>
            <w:tcW w:w="1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624</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636</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1,269</w:t>
            </w:r>
          </w:p>
        </w:tc>
        <w:tc>
          <w:tcPr>
            <w:tcW w:w="2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1,162</w:t>
            </w:r>
          </w:p>
        </w:tc>
        <w:tc>
          <w:tcPr>
            <w:tcW w:w="0" w:type="dxa"/>
            <w:vAlign w:val="bottom"/>
          </w:tcPr>
          <w:p>
            <w:pPr>
              <w:spacing w:after="0"/>
              <w:rPr>
                <w:sz w:val="1"/>
                <w:szCs w:val="1"/>
                <w:color w:val="auto"/>
              </w:rPr>
            </w:pPr>
          </w:p>
        </w:tc>
      </w:tr>
      <w:tr>
        <w:trPr>
          <w:trHeight w:val="22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 amortization</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4"/>
        </w:trPr>
        <w:tc>
          <w:tcPr>
            <w:tcW w:w="2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other</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8"/>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0" w:type="dxa"/>
            <w:vAlign w:val="bottom"/>
          </w:tcPr>
          <w:p>
            <w:pPr>
              <w:spacing w:after="0"/>
              <w:rPr>
                <w:sz w:val="1"/>
                <w:szCs w:val="1"/>
                <w:color w:val="auto"/>
              </w:rPr>
            </w:pPr>
          </w:p>
        </w:tc>
      </w:tr>
      <w:tr>
        <w:trPr>
          <w:trHeight w:val="234"/>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901</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1,882</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1,875</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1,678</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2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7,410</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0" w:type="dxa"/>
            <w:vAlign w:val="bottom"/>
          </w:tcPr>
          <w:p>
            <w:pPr>
              <w:spacing w:after="0"/>
              <w:rPr>
                <w:sz w:val="1"/>
                <w:szCs w:val="1"/>
                <w:color w:val="auto"/>
              </w:rPr>
            </w:pPr>
          </w:p>
        </w:tc>
      </w:tr>
      <w:tr>
        <w:trPr>
          <w:trHeight w:val="234"/>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2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6,164</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5,996</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6,685</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leverage ratio</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3.3x</w:t>
            </w:r>
          </w:p>
        </w:tc>
        <w:tc>
          <w:tcPr>
            <w:tcW w:w="180" w:type="dxa"/>
            <w:vAlign w:val="bottom"/>
          </w:tcPr>
          <w:p>
            <w:pPr>
              <w:spacing w:after="0"/>
              <w:rPr>
                <w:sz w:val="24"/>
                <w:szCs w:val="24"/>
                <w:color w:val="auto"/>
              </w:rPr>
            </w:pPr>
          </w:p>
        </w:tc>
        <w:tc>
          <w:tcPr>
            <w:tcW w:w="174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3.2x</w:t>
            </w:r>
          </w:p>
        </w:tc>
        <w:tc>
          <w:tcPr>
            <w:tcW w:w="1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4.0x</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10 of 10</w:t>
      </w:r>
    </w:p>
    <w:sectPr>
      <w:pgSz w:w="11900" w:h="16838" w:orient="portrait"/>
      <w:cols w:equalWidth="0" w:num="1">
        <w:col w:w="11240"/>
      </w:cols>
      <w:pgMar w:left="320" w:top="6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99"/>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2024-07-22T15:46:11Z</dcterms:created>
  <dcterms:modified xsi:type="dcterms:W3CDTF">2024-07-22T15:46:11Z</dcterms:modified>
</cp:coreProperties>
</file>