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February 24,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CROWN HOLDINGS,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4" w:type="dxa"/>
        <w:tblCellMar>
          <w:top w:w="0" w:type="dxa"/>
          <w:left w:w="0" w:type="dxa"/>
          <w:bottom w:w="0" w:type="dxa"/>
          <w:right w:w="0" w:type="dxa"/>
        </w:tblCellMar>
      </w:tblPr>
      <w:tr>
        <w:trPr>
          <w:trHeight w:val="212"/>
        </w:trPr>
        <w:tc>
          <w:tcPr>
            <w:tcW w:w="3340" w:type="dxa"/>
            <w:vAlign w:val="bottom"/>
          </w:tcPr>
          <w:p>
            <w:pPr>
              <w:jc w:val="center"/>
              <w:ind w:left="318"/>
              <w:spacing w:after="0"/>
              <w:rPr>
                <w:sz w:val="20"/>
                <w:szCs w:val="20"/>
                <w:color w:val="auto"/>
              </w:rPr>
            </w:pPr>
            <w:r>
              <w:rPr>
                <w:rFonts w:ascii="Arial" w:cs="Arial" w:eastAsia="Arial" w:hAnsi="Arial"/>
                <w:sz w:val="18"/>
                <w:szCs w:val="18"/>
                <w:b w:val="1"/>
                <w:bCs w:val="1"/>
                <w:color w:val="auto"/>
                <w:w w:val="88"/>
              </w:rPr>
              <w:t>Pennsylvania</w:t>
            </w:r>
          </w:p>
        </w:tc>
        <w:tc>
          <w:tcPr>
            <w:tcW w:w="3320" w:type="dxa"/>
            <w:vAlign w:val="bottom"/>
            <w:gridSpan w:val="4"/>
          </w:tcPr>
          <w:p>
            <w:pPr>
              <w:jc w:val="center"/>
              <w:ind w:left="1136"/>
              <w:spacing w:after="0"/>
              <w:rPr>
                <w:sz w:val="20"/>
                <w:szCs w:val="20"/>
                <w:color w:val="auto"/>
              </w:rPr>
            </w:pPr>
            <w:r>
              <w:rPr>
                <w:rFonts w:ascii="Arial" w:cs="Arial" w:eastAsia="Arial" w:hAnsi="Arial"/>
                <w:sz w:val="18"/>
                <w:szCs w:val="18"/>
                <w:b w:val="1"/>
                <w:bCs w:val="1"/>
                <w:color w:val="auto"/>
                <w:w w:val="90"/>
              </w:rPr>
              <w:t>000-50189</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75-3099507</w:t>
            </w:r>
          </w:p>
        </w:tc>
        <w:tc>
          <w:tcPr>
            <w:tcW w:w="0" w:type="dxa"/>
            <w:vAlign w:val="bottom"/>
          </w:tcPr>
          <w:p>
            <w:pPr>
              <w:spacing w:after="0"/>
              <w:rPr>
                <w:sz w:val="1"/>
                <w:szCs w:val="1"/>
                <w:color w:val="auto"/>
              </w:rPr>
            </w:pPr>
          </w:p>
        </w:tc>
      </w:tr>
      <w:tr>
        <w:trPr>
          <w:trHeight w:val="148"/>
        </w:trPr>
        <w:tc>
          <w:tcPr>
            <w:tcW w:w="3340" w:type="dxa"/>
            <w:vAlign w:val="bottom"/>
          </w:tcPr>
          <w:p>
            <w:pPr>
              <w:jc w:val="center"/>
              <w:ind w:left="31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14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(Commission</w:t>
            </w:r>
          </w:p>
        </w:tc>
        <w:tc>
          <w:tcPr>
            <w:tcW w:w="3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(I.R.S. Employer</w:t>
            </w:r>
          </w:p>
        </w:tc>
        <w:tc>
          <w:tcPr>
            <w:tcW w:w="0" w:type="dxa"/>
            <w:vAlign w:val="bottom"/>
          </w:tcPr>
          <w:p>
            <w:pPr>
              <w:spacing w:after="0"/>
              <w:rPr>
                <w:sz w:val="1"/>
                <w:szCs w:val="1"/>
                <w:color w:val="auto"/>
              </w:rPr>
            </w:pPr>
          </w:p>
        </w:tc>
      </w:tr>
      <w:tr>
        <w:trPr>
          <w:trHeight w:val="186"/>
        </w:trPr>
        <w:tc>
          <w:tcPr>
            <w:tcW w:w="3340" w:type="dxa"/>
            <w:vAlign w:val="bottom"/>
          </w:tcPr>
          <w:p>
            <w:pPr>
              <w:jc w:val="center"/>
              <w:ind w:left="318"/>
              <w:spacing w:after="0"/>
              <w:rPr>
                <w:sz w:val="20"/>
                <w:szCs w:val="20"/>
                <w:color w:val="auto"/>
              </w:rPr>
            </w:pPr>
            <w:r>
              <w:rPr>
                <w:rFonts w:ascii="Arial" w:cs="Arial" w:eastAsia="Arial" w:hAnsi="Arial"/>
                <w:sz w:val="14"/>
                <w:szCs w:val="14"/>
                <w:b w:val="1"/>
                <w:bCs w:val="1"/>
                <w:color w:val="auto"/>
                <w:w w:val="95"/>
              </w:rPr>
              <w:t>Incorporation or Organization)</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14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8"/>
              </w:rPr>
              <w:t>File Number)</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358"/>
        </w:trPr>
        <w:tc>
          <w:tcPr>
            <w:tcW w:w="3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14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90"/>
              </w:rPr>
              <w:t>770 Township Line Road</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140" w:type="dxa"/>
            <w:vAlign w:val="bottom"/>
            <w:gridSpan w:val="3"/>
          </w:tcPr>
          <w:p>
            <w:pPr>
              <w:jc w:val="center"/>
              <w:ind w:right="820"/>
              <w:spacing w:after="0"/>
              <w:rPr>
                <w:sz w:val="20"/>
                <w:szCs w:val="20"/>
                <w:color w:val="auto"/>
              </w:rPr>
            </w:pPr>
            <w:r>
              <w:rPr>
                <w:rFonts w:ascii="Arial" w:cs="Arial" w:eastAsia="Arial" w:hAnsi="Arial"/>
                <w:sz w:val="18"/>
                <w:szCs w:val="18"/>
                <w:b w:val="1"/>
                <w:bCs w:val="1"/>
                <w:color w:val="auto"/>
                <w:w w:val="89"/>
              </w:rPr>
              <w:t>Yardley, Pennsylvania 19067</w:t>
            </w: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340" w:type="dxa"/>
            <w:vAlign w:val="bottom"/>
          </w:tcPr>
          <w:p>
            <w:pPr>
              <w:spacing w:after="0"/>
              <w:rPr>
                <w:sz w:val="18"/>
                <w:szCs w:val="18"/>
                <w:color w:val="auto"/>
              </w:rPr>
            </w:pPr>
          </w:p>
        </w:tc>
        <w:tc>
          <w:tcPr>
            <w:tcW w:w="3320" w:type="dxa"/>
            <w:vAlign w:val="bottom"/>
            <w:gridSpan w:val="4"/>
          </w:tcPr>
          <w:p>
            <w:pPr>
              <w:jc w:val="center"/>
              <w:ind w:left="916"/>
              <w:spacing w:after="0"/>
              <w:rPr>
                <w:sz w:val="20"/>
                <w:szCs w:val="20"/>
                <w:color w:val="auto"/>
              </w:rPr>
            </w:pPr>
            <w:r>
              <w:rPr>
                <w:rFonts w:ascii="Arial" w:cs="Arial" w:eastAsia="Arial" w:hAnsi="Arial"/>
                <w:sz w:val="18"/>
                <w:szCs w:val="18"/>
                <w:b w:val="1"/>
                <w:bCs w:val="1"/>
                <w:color w:val="auto"/>
                <w:w w:val="90"/>
              </w:rPr>
              <w:t>(215) 698-5100</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11020" w:type="dxa"/>
            <w:vAlign w:val="bottom"/>
            <w:gridSpan w:val="8"/>
          </w:tcPr>
          <w:p>
            <w:pPr>
              <w:jc w:val="center"/>
              <w:spacing w:after="0"/>
              <w:rPr>
                <w:sz w:val="20"/>
                <w:szCs w:val="20"/>
                <w:color w:val="auto"/>
              </w:rPr>
            </w:pPr>
            <w:r>
              <w:rPr>
                <w:rFonts w:ascii="Arial" w:cs="Arial" w:eastAsia="Arial" w:hAnsi="Arial"/>
                <w:sz w:val="14"/>
                <w:szCs w:val="14"/>
                <w:b w:val="1"/>
                <w:bCs w:val="1"/>
                <w:color w:val="auto"/>
                <w:w w:val="92"/>
              </w:rPr>
              <w:t>(Address, Including Zip Code, and Telephone Number, Including Area Code, of Registrant’s Principal Executive Offices)</w:t>
            </w:r>
          </w:p>
        </w:tc>
        <w:tc>
          <w:tcPr>
            <w:tcW w:w="0" w:type="dxa"/>
            <w:vAlign w:val="bottom"/>
          </w:tcPr>
          <w:p>
            <w:pPr>
              <w:spacing w:after="0"/>
              <w:rPr>
                <w:sz w:val="1"/>
                <w:szCs w:val="1"/>
                <w:color w:val="auto"/>
              </w:rPr>
            </w:pPr>
          </w:p>
        </w:tc>
      </w:tr>
      <w:tr>
        <w:trPr>
          <w:trHeight w:val="354"/>
        </w:trPr>
        <w:tc>
          <w:tcPr>
            <w:tcW w:w="3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140" w:type="dxa"/>
            <w:vAlign w:val="bottom"/>
            <w:gridSpan w:val="3"/>
          </w:tcPr>
          <w:p>
            <w:pPr>
              <w:jc w:val="center"/>
              <w:ind w:right="820"/>
              <w:spacing w:after="0"/>
              <w:rPr>
                <w:sz w:val="20"/>
                <w:szCs w:val="20"/>
                <w:color w:val="auto"/>
              </w:rPr>
            </w:pPr>
            <w:r>
              <w:rPr>
                <w:rFonts w:ascii="Arial" w:cs="Arial" w:eastAsia="Arial" w:hAnsi="Arial"/>
                <w:sz w:val="18"/>
                <w:szCs w:val="18"/>
                <w:b w:val="1"/>
                <w:bCs w:val="1"/>
                <w:color w:val="auto"/>
                <w:w w:val="92"/>
              </w:rPr>
              <w:t>Not Applicable</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340" w:type="dxa"/>
            <w:vAlign w:val="bottom"/>
          </w:tcPr>
          <w:p>
            <w:pPr>
              <w:spacing w:after="0"/>
              <w:rPr>
                <w:sz w:val="16"/>
                <w:szCs w:val="16"/>
                <w:color w:val="auto"/>
              </w:rPr>
            </w:pPr>
          </w:p>
        </w:tc>
        <w:tc>
          <w:tcPr>
            <w:tcW w:w="4140" w:type="dxa"/>
            <w:vAlign w:val="bottom"/>
            <w:gridSpan w:val="6"/>
          </w:tcPr>
          <w:p>
            <w:pPr>
              <w:jc w:val="center"/>
              <w:ind w:left="96"/>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3"/>
        </w:trPr>
        <w:tc>
          <w:tcPr>
            <w:tcW w:w="37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7480" w:type="dxa"/>
            <w:vAlign w:val="bottom"/>
            <w:gridSpan w:val="7"/>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3340" w:type="dxa"/>
            <w:vAlign w:val="bottom"/>
            <w:vMerge w:val="restart"/>
          </w:tcPr>
          <w:p>
            <w:pPr>
              <w:jc w:val="center"/>
              <w:ind w:left="298"/>
              <w:spacing w:after="0"/>
              <w:rPr>
                <w:sz w:val="20"/>
                <w:szCs w:val="20"/>
                <w:color w:val="auto"/>
              </w:rPr>
            </w:pPr>
            <w:r>
              <w:rPr>
                <w:rFonts w:ascii="Arial" w:cs="Arial" w:eastAsia="Arial" w:hAnsi="Arial"/>
                <w:sz w:val="14"/>
                <w:szCs w:val="14"/>
                <w:b w:val="1"/>
                <w:bCs w:val="1"/>
                <w:color w:val="auto"/>
                <w:w w:val="89"/>
              </w:rPr>
              <w:t>Title of each class</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14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34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14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9"/>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340" w:type="dxa"/>
            <w:vAlign w:val="bottom"/>
            <w:tcBorders>
              <w:top w:val="single" w:sz="8" w:color="auto"/>
            </w:tcBorders>
          </w:tcPr>
          <w:p>
            <w:pPr>
              <w:jc w:val="center"/>
              <w:ind w:left="298"/>
              <w:spacing w:after="0" w:line="191" w:lineRule="exact"/>
              <w:rPr>
                <w:sz w:val="20"/>
                <w:szCs w:val="20"/>
                <w:color w:val="auto"/>
              </w:rPr>
            </w:pPr>
            <w:r>
              <w:rPr>
                <w:rFonts w:ascii="Arial" w:cs="Arial" w:eastAsia="Arial" w:hAnsi="Arial"/>
                <w:sz w:val="18"/>
                <w:szCs w:val="18"/>
                <w:b w:val="1"/>
                <w:bCs w:val="1"/>
                <w:color w:val="auto"/>
                <w:w w:val="90"/>
              </w:rPr>
              <w:t>Common Stock $5.00 Par Value</w:t>
            </w:r>
          </w:p>
        </w:tc>
        <w:tc>
          <w:tcPr>
            <w:tcW w:w="4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3040" w:type="dxa"/>
            <w:vAlign w:val="bottom"/>
            <w:tcBorders>
              <w:top w:val="single" w:sz="8" w:color="auto"/>
            </w:tcBorders>
            <w:gridSpan w:val="2"/>
          </w:tcPr>
          <w:p>
            <w:pPr>
              <w:jc w:val="center"/>
              <w:ind w:right="480"/>
              <w:spacing w:after="0" w:line="191" w:lineRule="exact"/>
              <w:rPr>
                <w:sz w:val="20"/>
                <w:szCs w:val="20"/>
                <w:color w:val="auto"/>
              </w:rPr>
            </w:pPr>
            <w:r>
              <w:rPr>
                <w:rFonts w:ascii="Arial" w:cs="Arial" w:eastAsia="Arial" w:hAnsi="Arial"/>
                <w:sz w:val="18"/>
                <w:szCs w:val="18"/>
                <w:b w:val="1"/>
                <w:bCs w:val="1"/>
                <w:color w:val="auto"/>
              </w:rPr>
              <w:t>CCK</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16"/>
        </w:trPr>
        <w:tc>
          <w:tcPr>
            <w:tcW w:w="3340" w:type="dxa"/>
            <w:vAlign w:val="bottom"/>
          </w:tcPr>
          <w:p>
            <w:pPr>
              <w:jc w:val="center"/>
              <w:ind w:left="318"/>
              <w:spacing w:after="0"/>
              <w:rPr>
                <w:sz w:val="20"/>
                <w:szCs w:val="20"/>
                <w:color w:val="auto"/>
              </w:rPr>
            </w:pPr>
            <w:r>
              <w:rPr>
                <w:rFonts w:ascii="Arial" w:cs="Arial" w:eastAsia="Arial" w:hAnsi="Arial"/>
                <w:sz w:val="18"/>
                <w:szCs w:val="18"/>
                <w:b w:val="1"/>
                <w:bCs w:val="1"/>
                <w:color w:val="auto"/>
                <w:w w:val="90"/>
              </w:rPr>
              <w:t>7 3/8% Debentures Due 2026</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140" w:type="dxa"/>
            <w:vAlign w:val="bottom"/>
            <w:gridSpan w:val="3"/>
          </w:tcPr>
          <w:p>
            <w:pPr>
              <w:jc w:val="center"/>
              <w:ind w:right="600"/>
              <w:spacing w:after="0"/>
              <w:rPr>
                <w:sz w:val="20"/>
                <w:szCs w:val="20"/>
                <w:color w:val="auto"/>
              </w:rPr>
            </w:pPr>
            <w:r>
              <w:rPr>
                <w:rFonts w:ascii="Arial" w:cs="Arial" w:eastAsia="Arial" w:hAnsi="Arial"/>
                <w:sz w:val="18"/>
                <w:szCs w:val="18"/>
                <w:b w:val="1"/>
                <w:bCs w:val="1"/>
                <w:color w:val="auto"/>
                <w:w w:val="98"/>
              </w:rPr>
              <w:t>CCK26</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34"/>
        </w:trPr>
        <w:tc>
          <w:tcPr>
            <w:tcW w:w="3340" w:type="dxa"/>
            <w:vAlign w:val="bottom"/>
          </w:tcPr>
          <w:p>
            <w:pPr>
              <w:jc w:val="center"/>
              <w:ind w:left="318"/>
              <w:spacing w:after="0"/>
              <w:rPr>
                <w:sz w:val="20"/>
                <w:szCs w:val="20"/>
                <w:color w:val="auto"/>
              </w:rPr>
            </w:pPr>
            <w:r>
              <w:rPr>
                <w:rFonts w:ascii="Arial" w:cs="Arial" w:eastAsia="Arial" w:hAnsi="Arial"/>
                <w:sz w:val="18"/>
                <w:szCs w:val="18"/>
                <w:b w:val="1"/>
                <w:bCs w:val="1"/>
                <w:color w:val="auto"/>
                <w:w w:val="90"/>
              </w:rPr>
              <w:t>7 1/2% Debentures Due 2096</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140" w:type="dxa"/>
            <w:vAlign w:val="bottom"/>
            <w:gridSpan w:val="3"/>
          </w:tcPr>
          <w:p>
            <w:pPr>
              <w:jc w:val="center"/>
              <w:ind w:right="600"/>
              <w:spacing w:after="0"/>
              <w:rPr>
                <w:sz w:val="20"/>
                <w:szCs w:val="20"/>
                <w:color w:val="auto"/>
              </w:rPr>
            </w:pPr>
            <w:r>
              <w:rPr>
                <w:rFonts w:ascii="Arial" w:cs="Arial" w:eastAsia="Arial" w:hAnsi="Arial"/>
                <w:sz w:val="18"/>
                <w:szCs w:val="18"/>
                <w:b w:val="1"/>
                <w:bCs w:val="1"/>
                <w:color w:val="auto"/>
                <w:w w:val="98"/>
              </w:rPr>
              <w:t>CCK96</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61" w:lineRule="exact"/>
        <w:rPr>
          <w:sz w:val="24"/>
          <w:szCs w:val="24"/>
          <w:color w:val="auto"/>
        </w:rPr>
      </w:pPr>
    </w:p>
    <w:p>
      <w:pPr>
        <w:ind w:left="984" w:right="2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98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ind w:left="4" w:right="2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On February 24, 2022, Crown Holdings, Inc. (the “</w:t>
      </w:r>
      <w:r>
        <w:rPr>
          <w:rFonts w:ascii="Arial" w:cs="Arial" w:eastAsia="Arial" w:hAnsi="Arial"/>
          <w:sz w:val="18"/>
          <w:szCs w:val="18"/>
          <w:u w:val="single" w:color="auto"/>
          <w:color w:val="auto"/>
        </w:rPr>
        <w:t>Company</w:t>
      </w:r>
      <w:r>
        <w:rPr>
          <w:rFonts w:ascii="Arial" w:cs="Arial" w:eastAsia="Arial" w:hAnsi="Arial"/>
          <w:sz w:val="18"/>
          <w:szCs w:val="18"/>
          <w:color w:val="auto"/>
        </w:rPr>
        <w:t>”) announced that Marsha C. Williams was elected to serve on the Board of Directors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 effective on March 1, 2022.</w:t>
      </w:r>
    </w:p>
    <w:p>
      <w:pPr>
        <w:spacing w:after="0" w:line="170" w:lineRule="exact"/>
        <w:rPr>
          <w:sz w:val="20"/>
          <w:szCs w:val="20"/>
          <w:color w:val="auto"/>
        </w:rPr>
      </w:pPr>
    </w:p>
    <w:p>
      <w:pPr>
        <w:ind w:left="4" w:right="380"/>
        <w:spacing w:after="0" w:line="277" w:lineRule="auto"/>
        <w:rPr>
          <w:sz w:val="20"/>
          <w:szCs w:val="20"/>
          <w:color w:val="auto"/>
        </w:rPr>
      </w:pPr>
      <w:r>
        <w:rPr>
          <w:rFonts w:ascii="Arial" w:cs="Arial" w:eastAsia="Arial" w:hAnsi="Arial"/>
          <w:sz w:val="18"/>
          <w:szCs w:val="18"/>
          <w:color w:val="auto"/>
        </w:rPr>
        <w:t>Ms. Williams has served as Senior Vice President and Chief Financial Officer of Orbitz Worldwide, Inc. and as Executive Vice President and Chief Financial Officer of Equity Office Properties Trust.</w:t>
      </w:r>
    </w:p>
    <w:p>
      <w:pPr>
        <w:spacing w:after="0" w:line="170" w:lineRule="exact"/>
        <w:rPr>
          <w:sz w:val="20"/>
          <w:szCs w:val="20"/>
          <w:color w:val="auto"/>
        </w:rPr>
      </w:pPr>
    </w:p>
    <w:p>
      <w:pPr>
        <w:jc w:val="both"/>
        <w:ind w:left="4" w:right="120"/>
        <w:spacing w:after="0" w:line="263" w:lineRule="auto"/>
        <w:rPr>
          <w:sz w:val="20"/>
          <w:szCs w:val="20"/>
          <w:color w:val="auto"/>
        </w:rPr>
      </w:pPr>
      <w:r>
        <w:rPr>
          <w:rFonts w:ascii="Arial" w:cs="Arial" w:eastAsia="Arial" w:hAnsi="Arial"/>
          <w:sz w:val="18"/>
          <w:szCs w:val="18"/>
          <w:color w:val="auto"/>
        </w:rPr>
        <w:t>It is expected that Ms. Williams will be appointed to the Board’s Compensation Committee. Ms. Williams will receive the same compensation that the other directors who are not employees of the Company receive for Board and committee membership, as described in the Company’s proxy statements filed with the U.S. Securities and Exchange Commission.</w:t>
      </w:r>
    </w:p>
    <w:p>
      <w:pPr>
        <w:spacing w:after="0" w:line="184" w:lineRule="exact"/>
        <w:rPr>
          <w:sz w:val="20"/>
          <w:szCs w:val="20"/>
          <w:color w:val="auto"/>
        </w:rPr>
      </w:pPr>
    </w:p>
    <w:p>
      <w:pPr>
        <w:ind w:left="4" w:right="440"/>
        <w:spacing w:after="0" w:line="342" w:lineRule="auto"/>
        <w:rPr>
          <w:sz w:val="20"/>
          <w:szCs w:val="20"/>
          <w:color w:val="auto"/>
        </w:rPr>
      </w:pPr>
      <w:r>
        <w:rPr>
          <w:rFonts w:ascii="Arial" w:cs="Arial" w:eastAsia="Arial" w:hAnsi="Arial"/>
          <w:sz w:val="16"/>
          <w:szCs w:val="16"/>
          <w:color w:val="auto"/>
        </w:rPr>
        <w:t>There are no arrangements between Ms. Williams and any other person pursuant to which Ms. Williams was appointed to serve as a director of the Company, nor are there any transactions in which the Company is a participant in which Ms. Williams has a direct or indirect material interest.</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(c) Exhibits.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is furnished as an exhibit to this report.</w:t>
      </w:r>
    </w:p>
    <w:p>
      <w:pPr>
        <w:spacing w:after="0" w:line="252" w:lineRule="exact"/>
        <w:rPr>
          <w:sz w:val="20"/>
          <w:szCs w:val="20"/>
          <w:color w:val="auto"/>
        </w:rPr>
      </w:pPr>
    </w:p>
    <w:p>
      <w:pPr>
        <w:ind w:left="264" w:hanging="264"/>
        <w:spacing w:after="0"/>
        <w:tabs>
          <w:tab w:leader="none" w:pos="264" w:val="left"/>
        </w:tabs>
        <w:numPr>
          <w:ilvl w:val="0"/>
          <w:numId w:val="2"/>
        </w:numPr>
        <w:rPr>
          <w:rFonts w:ascii="Arial" w:cs="Arial" w:eastAsia="Arial" w:hAnsi="Arial"/>
          <w:sz w:val="16"/>
          <w:szCs w:val="16"/>
          <w:u w:val="single" w:color="auto"/>
          <w:color w:val="0000EE"/>
        </w:rPr>
      </w:pPr>
      <w:r>
        <w:rPr>
          <w:rFonts w:ascii="Arial" w:cs="Arial" w:eastAsia="Arial" w:hAnsi="Arial"/>
          <w:sz w:val="18"/>
          <w:szCs w:val="18"/>
          <w:color w:val="auto"/>
        </w:rPr>
        <w:t>1</w:t>
      </w:r>
      <w:hyperlink w:anchor="page4">
        <w:r>
          <w:rPr>
            <w:rFonts w:ascii="Arial" w:cs="Arial" w:eastAsia="Arial" w:hAnsi="Arial"/>
            <w:sz w:val="16"/>
            <w:szCs w:val="16"/>
            <w:u w:val="single" w:color="auto"/>
            <w:color w:val="0000EE"/>
          </w:rPr>
          <w:t>Crown Holdings, Inc. press release dated February 24, 2022.</w:t>
        </w:r>
      </w:hyperlink>
    </w:p>
    <w:p>
      <w:pPr>
        <w:spacing w:after="0" w:line="117" w:lineRule="exact"/>
        <w:rPr>
          <w:sz w:val="20"/>
          <w:szCs w:val="20"/>
          <w:color w:val="auto"/>
        </w:rPr>
      </w:pPr>
    </w:p>
    <w:p>
      <w:pPr>
        <w:ind w:left="4"/>
        <w:spacing w:after="0"/>
        <w:tabs>
          <w:tab w:leader="none" w:pos="764"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0984"/>
          </w:cols>
          <w:pgMar w:left="436" w:top="297" w:right="479" w:bottom="1440" w:gutter="0" w:footer="0" w:header="0"/>
        </w:sectPr>
      </w:pPr>
    </w:p>
    <w:bookmarkStart w:id="2" w:name="page3"/>
    <w:bookmarkEnd w:id="2"/>
    <w:p>
      <w:pPr>
        <w:jc w:val="center"/>
        <w:ind w:right="-2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March 1, 2022</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CROWN HOLDINGS, INC.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Christy L. Kalaus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Christy L. Kalaus</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Vice President and Corporate Controller</w:t>
      </w:r>
    </w:p>
    <w:p>
      <w:pPr>
        <w:sectPr>
          <w:pgSz w:w="11900" w:h="16838" w:orient="portrait"/>
          <w:cols w:equalWidth="0" w:num="1">
            <w:col w:w="10720"/>
          </w:cols>
          <w:pgMar w:left="440" w:top="297" w:right="7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5543550</wp:posOffset>
            </wp:positionH>
            <wp:positionV relativeFrom="paragraph">
              <wp:posOffset>-119380</wp:posOffset>
            </wp:positionV>
            <wp:extent cx="1449070" cy="4800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49070" cy="4800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Corporate Headquarters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770 Township Line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Yardley, PA 19067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203200</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CROWN HOLDINGS, INC. ELECTS MARSHA C. WILLIAMS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ITS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194310</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 xml:space="preserve">Yardley, PA – February 24, 2022. </w:t>
      </w:r>
      <w:r>
        <w:rPr>
          <w:rFonts w:ascii="Arial" w:cs="Arial" w:eastAsia="Arial" w:hAnsi="Arial"/>
          <w:sz w:val="18"/>
          <w:szCs w:val="18"/>
          <w:color w:val="auto"/>
        </w:rPr>
        <w:t>Crown Holdings, Inc. (NYSE: CCK) announced today that Marsha C. Williams has been elected to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Directors effective on March 1, 2022.</w:t>
      </w:r>
    </w:p>
    <w:p>
      <w:pPr>
        <w:spacing w:after="0" w:line="166"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Ms. Williams served as Senior Vice President and Chief Financial Officer of Orbitz Worldwide, Inc. Prior to that, she served as Executive Vice President and Chief Financial Officer of Equity Office Properties Trust, among other senior financial and operations roles over her career.</w:t>
      </w:r>
    </w:p>
    <w:p>
      <w:pPr>
        <w:spacing w:after="0" w:line="146"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Ms. Williams is a graduate of Wellesley College and holds a Masters of Business Administration in Finance and Accounting from the University of Chicago Graduate School of Business. She serves as Chairperson of the Board of Modine Manufacturing Company, which designs, manufactures, and tests heat transfer products for a wide variety of applications and markets, and as Lead Director of Fifth Third Bancorp.</w:t>
      </w:r>
    </w:p>
    <w:p>
      <w:pPr>
        <w:spacing w:after="0" w:line="16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John W. Conway, Chairman of the Board, commented, “We are very pleased to welcome Marsha to the Board. We will benefit from her broad range of executive and board experience in finance, operations and strategy. “</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Crown Holdings, Inc.</w:t>
      </w:r>
    </w:p>
    <w:p>
      <w:pPr>
        <w:spacing w:after="0" w:line="121"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 xml:space="preserve">Crown Holdings, Inc., through its subsidiaries, is a leading global supplier of rigid packaging products to consumer marketing companies, as well as transit and protective packaging products, equipment and services to a broad range of end markets. World headquarters are located in Yardley, Pennsylvania. For more information, visit </w:t>
      </w:r>
      <w:r>
        <w:rPr>
          <w:rFonts w:ascii="Arial" w:cs="Arial" w:eastAsia="Arial" w:hAnsi="Arial"/>
          <w:sz w:val="18"/>
          <w:szCs w:val="18"/>
          <w:u w:val="single" w:color="auto"/>
          <w:color w:val="auto"/>
        </w:rPr>
        <w:t>www.crowncork.com</w:t>
      </w:r>
      <w:r>
        <w:rPr>
          <w:rFonts w:ascii="Arial" w:cs="Arial" w:eastAsia="Arial" w:hAnsi="Arial"/>
          <w:sz w:val="18"/>
          <w:szCs w:val="18"/>
          <w:color w:val="auto"/>
        </w:rPr>
        <w: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contact:</w:t>
      </w:r>
    </w:p>
    <w:p>
      <w:pPr>
        <w:spacing w:after="0" w:line="23" w:lineRule="exact"/>
        <w:rPr>
          <w:sz w:val="20"/>
          <w:szCs w:val="20"/>
          <w:color w:val="auto"/>
        </w:rPr>
      </w:pPr>
    </w:p>
    <w:p>
      <w:pPr>
        <w:ind w:right="4320"/>
        <w:spacing w:after="0" w:line="323" w:lineRule="auto"/>
        <w:rPr>
          <w:sz w:val="20"/>
          <w:szCs w:val="20"/>
          <w:color w:val="auto"/>
        </w:rPr>
      </w:pPr>
      <w:r>
        <w:rPr>
          <w:rFonts w:ascii="Arial" w:cs="Arial" w:eastAsia="Arial" w:hAnsi="Arial"/>
          <w:sz w:val="16"/>
          <w:szCs w:val="16"/>
          <w:color w:val="auto"/>
        </w:rPr>
        <w:t>Kevin C. Clothier, Senior Vice President and Chief Financial Officer, (215) 698-5281, or Thomas T. Fischer, Vice President, Investor Relations and Corporate Affairs, (215) 552-3720</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9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2022-03-01T15:34:29Z</dcterms:created>
  <dcterms:modified xsi:type="dcterms:W3CDTF">2022-03-01T15:34:29Z</dcterms:modified>
</cp:coreProperties>
</file>