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8" w:lineRule="exact"/>
        <w:rPr>
          <w:sz w:val="24"/>
          <w:szCs w:val="24"/>
          <w:color w:val="auto"/>
        </w:rPr>
      </w:pPr>
    </w:p>
    <w:p>
      <w:pPr>
        <w:ind w:left="4660"/>
        <w:spacing w:after="0"/>
        <w:rPr>
          <w:sz w:val="20"/>
          <w:szCs w:val="20"/>
          <w:color w:val="auto"/>
        </w:rPr>
      </w:pPr>
      <w:r>
        <w:rPr>
          <w:rFonts w:ascii="Arial" w:cs="Arial" w:eastAsia="Arial" w:hAnsi="Arial"/>
          <w:sz w:val="32"/>
          <w:szCs w:val="32"/>
          <w:b w:val="1"/>
          <w:bCs w:val="1"/>
          <w:color w:val="auto"/>
        </w:rPr>
        <w:t>____________</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46" w:lineRule="exact"/>
        <w:rPr>
          <w:sz w:val="24"/>
          <w:szCs w:val="24"/>
          <w:color w:val="auto"/>
        </w:rPr>
      </w:pPr>
    </w:p>
    <w:p>
      <w:pPr>
        <w:ind w:left="4660"/>
        <w:spacing w:after="0"/>
        <w:rPr>
          <w:sz w:val="20"/>
          <w:szCs w:val="20"/>
          <w:color w:val="auto"/>
        </w:rPr>
      </w:pPr>
      <w:r>
        <w:rPr>
          <w:rFonts w:ascii="Arial" w:cs="Arial" w:eastAsia="Arial" w:hAnsi="Arial"/>
          <w:sz w:val="32"/>
          <w:szCs w:val="32"/>
          <w:b w:val="1"/>
          <w:bCs w:val="1"/>
          <w:color w:val="auto"/>
        </w:rPr>
        <w:t>____________</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October 23, 2023</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CROWN HOLDINGS, INC.</w:t>
      </w:r>
    </w:p>
    <w:p>
      <w:pPr>
        <w:spacing w:after="0" w:line="5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111" w:lineRule="exact"/>
        <w:rPr>
          <w:sz w:val="24"/>
          <w:szCs w:val="24"/>
          <w:color w:val="auto"/>
        </w:rPr>
      </w:pPr>
    </w:p>
    <w:tbl>
      <w:tblPr>
        <w:tblLayout w:type="fixed"/>
        <w:tblInd w:w="1020" w:type="dxa"/>
        <w:tblCellMar>
          <w:top w:w="0" w:type="dxa"/>
          <w:left w:w="0" w:type="dxa"/>
          <w:bottom w:w="0" w:type="dxa"/>
          <w:right w:w="0" w:type="dxa"/>
        </w:tblCellMar>
      </w:tblPr>
      <w:tr>
        <w:trPr>
          <w:trHeight w:val="233"/>
        </w:trPr>
        <w:tc>
          <w:tcPr>
            <w:tcW w:w="3160" w:type="dxa"/>
            <w:vAlign w:val="bottom"/>
          </w:tcPr>
          <w:p>
            <w:pPr>
              <w:jc w:val="center"/>
              <w:ind w:right="850"/>
              <w:spacing w:after="0"/>
              <w:rPr>
                <w:sz w:val="20"/>
                <w:szCs w:val="20"/>
                <w:color w:val="auto"/>
              </w:rPr>
            </w:pPr>
            <w:r>
              <w:rPr>
                <w:rFonts w:ascii="Arial" w:cs="Arial" w:eastAsia="Arial" w:hAnsi="Arial"/>
                <w:sz w:val="18"/>
                <w:szCs w:val="18"/>
                <w:b w:val="1"/>
                <w:bCs w:val="1"/>
                <w:color w:val="auto"/>
                <w:w w:val="88"/>
              </w:rPr>
              <w:t>Pennsylvania</w:t>
            </w:r>
          </w:p>
        </w:tc>
        <w:tc>
          <w:tcPr>
            <w:tcW w:w="310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000-50189</w:t>
            </w:r>
          </w:p>
        </w:tc>
        <w:tc>
          <w:tcPr>
            <w:tcW w:w="2500" w:type="dxa"/>
            <w:vAlign w:val="bottom"/>
          </w:tcPr>
          <w:p>
            <w:pPr>
              <w:jc w:val="center"/>
              <w:ind w:left="1070"/>
              <w:spacing w:after="0"/>
              <w:rPr>
                <w:sz w:val="20"/>
                <w:szCs w:val="20"/>
                <w:color w:val="auto"/>
              </w:rPr>
            </w:pPr>
            <w:r>
              <w:rPr>
                <w:rFonts w:ascii="Arial" w:cs="Arial" w:eastAsia="Arial" w:hAnsi="Arial"/>
                <w:sz w:val="18"/>
                <w:szCs w:val="18"/>
                <w:b w:val="1"/>
                <w:bCs w:val="1"/>
                <w:color w:val="auto"/>
                <w:w w:val="89"/>
              </w:rPr>
              <w:t>75-3099507</w:t>
            </w:r>
          </w:p>
        </w:tc>
      </w:tr>
      <w:tr>
        <w:trPr>
          <w:trHeight w:val="189"/>
        </w:trPr>
        <w:tc>
          <w:tcPr>
            <w:tcW w:w="3160" w:type="dxa"/>
            <w:vAlign w:val="bottom"/>
          </w:tcPr>
          <w:p>
            <w:pPr>
              <w:jc w:val="center"/>
              <w:ind w:right="870"/>
              <w:spacing w:after="0" w:line="189" w:lineRule="exact"/>
              <w:rPr>
                <w:sz w:val="20"/>
                <w:szCs w:val="20"/>
                <w:color w:val="auto"/>
              </w:rPr>
            </w:pPr>
            <w:r>
              <w:rPr>
                <w:rFonts w:ascii="Arial" w:cs="Arial" w:eastAsia="Arial" w:hAnsi="Arial"/>
                <w:sz w:val="18"/>
                <w:szCs w:val="18"/>
                <w:color w:val="auto"/>
                <w:w w:val="92"/>
              </w:rPr>
              <w:t>(State or Other Jurisdiction of</w:t>
            </w:r>
          </w:p>
        </w:tc>
        <w:tc>
          <w:tcPr>
            <w:tcW w:w="3100" w:type="dxa"/>
            <w:vAlign w:val="bottom"/>
          </w:tcPr>
          <w:p>
            <w:pPr>
              <w:jc w:val="center"/>
              <w:ind w:right="150"/>
              <w:spacing w:after="0" w:line="189" w:lineRule="exact"/>
              <w:rPr>
                <w:sz w:val="20"/>
                <w:szCs w:val="20"/>
                <w:color w:val="auto"/>
              </w:rPr>
            </w:pPr>
            <w:r>
              <w:rPr>
                <w:rFonts w:ascii="Arial" w:cs="Arial" w:eastAsia="Arial" w:hAnsi="Arial"/>
                <w:sz w:val="18"/>
                <w:szCs w:val="18"/>
                <w:color w:val="auto"/>
                <w:w w:val="93"/>
              </w:rPr>
              <w:t>(Commission</w:t>
            </w:r>
          </w:p>
        </w:tc>
        <w:tc>
          <w:tcPr>
            <w:tcW w:w="2500" w:type="dxa"/>
            <w:vAlign w:val="bottom"/>
          </w:tcPr>
          <w:p>
            <w:pPr>
              <w:jc w:val="center"/>
              <w:ind w:left="1070"/>
              <w:spacing w:after="0" w:line="189" w:lineRule="exact"/>
              <w:rPr>
                <w:sz w:val="20"/>
                <w:szCs w:val="20"/>
                <w:color w:val="auto"/>
              </w:rPr>
            </w:pPr>
            <w:r>
              <w:rPr>
                <w:rFonts w:ascii="Arial" w:cs="Arial" w:eastAsia="Arial" w:hAnsi="Arial"/>
                <w:sz w:val="18"/>
                <w:szCs w:val="18"/>
                <w:color w:val="auto"/>
                <w:w w:val="92"/>
              </w:rPr>
              <w:t>(I.R.S. Employer</w:t>
            </w:r>
          </w:p>
        </w:tc>
      </w:tr>
      <w:tr>
        <w:trPr>
          <w:trHeight w:val="230"/>
        </w:trPr>
        <w:tc>
          <w:tcPr>
            <w:tcW w:w="3160" w:type="dxa"/>
            <w:vAlign w:val="bottom"/>
          </w:tcPr>
          <w:p>
            <w:pPr>
              <w:jc w:val="center"/>
              <w:ind w:right="870"/>
              <w:spacing w:after="0"/>
              <w:rPr>
                <w:sz w:val="20"/>
                <w:szCs w:val="20"/>
                <w:color w:val="auto"/>
              </w:rPr>
            </w:pPr>
            <w:r>
              <w:rPr>
                <w:rFonts w:ascii="Arial" w:cs="Arial" w:eastAsia="Arial" w:hAnsi="Arial"/>
                <w:sz w:val="18"/>
                <w:szCs w:val="18"/>
                <w:color w:val="auto"/>
                <w:w w:val="91"/>
              </w:rPr>
              <w:t>Incorporation or Organization)</w:t>
            </w:r>
          </w:p>
        </w:tc>
        <w:tc>
          <w:tcPr>
            <w:tcW w:w="3100" w:type="dxa"/>
            <w:vAlign w:val="bottom"/>
          </w:tcPr>
          <w:p>
            <w:pPr>
              <w:jc w:val="center"/>
              <w:ind w:right="150"/>
              <w:spacing w:after="0"/>
              <w:rPr>
                <w:sz w:val="20"/>
                <w:szCs w:val="20"/>
                <w:color w:val="auto"/>
              </w:rPr>
            </w:pPr>
            <w:r>
              <w:rPr>
                <w:rFonts w:ascii="Arial" w:cs="Arial" w:eastAsia="Arial" w:hAnsi="Arial"/>
                <w:sz w:val="18"/>
                <w:szCs w:val="18"/>
                <w:color w:val="auto"/>
                <w:w w:val="94"/>
              </w:rPr>
              <w:t>File Number)</w:t>
            </w:r>
          </w:p>
        </w:tc>
        <w:tc>
          <w:tcPr>
            <w:tcW w:w="2500" w:type="dxa"/>
            <w:vAlign w:val="bottom"/>
          </w:tcPr>
          <w:p>
            <w:pPr>
              <w:jc w:val="center"/>
              <w:ind w:left="1070"/>
              <w:spacing w:after="0"/>
              <w:rPr>
                <w:sz w:val="20"/>
                <w:szCs w:val="20"/>
                <w:color w:val="auto"/>
              </w:rPr>
            </w:pPr>
            <w:r>
              <w:rPr>
                <w:rFonts w:ascii="Arial" w:cs="Arial" w:eastAsia="Arial" w:hAnsi="Arial"/>
                <w:sz w:val="18"/>
                <w:szCs w:val="18"/>
                <w:color w:val="auto"/>
                <w:w w:val="95"/>
              </w:rPr>
              <w:t>Identification No.)</w:t>
            </w:r>
          </w:p>
        </w:tc>
      </w:tr>
    </w:tbl>
    <w:p>
      <w:pPr>
        <w:spacing w:after="0" w:line="2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14025 Riveredge Drive, Suite 300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Tampa, Florida 33637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(215) 698-5100</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3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6" w:lineRule="exact"/>
        <w:rPr>
          <w:sz w:val="24"/>
          <w:szCs w:val="24"/>
          <w:color w:val="auto"/>
        </w:rPr>
      </w:pPr>
    </w:p>
    <w:p>
      <w:pPr>
        <w:ind w:right="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2"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2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Title of each class</w:t>
            </w:r>
          </w:p>
        </w:tc>
        <w:tc>
          <w:tcPr>
            <w:tcW w:w="178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Trading Symbols</w:t>
            </w:r>
          </w:p>
        </w:tc>
        <w:tc>
          <w:tcPr>
            <w:tcW w:w="548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Name of each exchange on which registered</w:t>
            </w:r>
          </w:p>
        </w:tc>
        <w:tc>
          <w:tcPr>
            <w:tcW w:w="1400" w:type="dxa"/>
            <w:vAlign w:val="bottom"/>
          </w:tcPr>
          <w:p>
            <w:pPr>
              <w:spacing w:after="0"/>
              <w:rPr>
                <w:sz w:val="18"/>
                <w:szCs w:val="18"/>
                <w:color w:val="auto"/>
              </w:rPr>
            </w:pPr>
          </w:p>
        </w:tc>
      </w:tr>
      <w:tr>
        <w:trPr>
          <w:trHeight w:val="206"/>
        </w:trPr>
        <w:tc>
          <w:tcPr>
            <w:tcW w:w="2580" w:type="dxa"/>
            <w:vAlign w:val="bottom"/>
          </w:tcPr>
          <w:p>
            <w:pPr>
              <w:ind w:left="20"/>
              <w:spacing w:after="0"/>
              <w:rPr>
                <w:sz w:val="20"/>
                <w:szCs w:val="20"/>
                <w:color w:val="auto"/>
              </w:rPr>
            </w:pPr>
            <w:r>
              <w:rPr>
                <w:rFonts w:ascii="Arial" w:cs="Arial" w:eastAsia="Arial" w:hAnsi="Arial"/>
                <w:sz w:val="16"/>
                <w:szCs w:val="16"/>
                <w:color w:val="auto"/>
              </w:rPr>
              <w:t>Common Stock $5.00 Par Value</w:t>
            </w:r>
          </w:p>
        </w:tc>
        <w:tc>
          <w:tcPr>
            <w:tcW w:w="1780" w:type="dxa"/>
            <w:vAlign w:val="bottom"/>
          </w:tcPr>
          <w:p>
            <w:pPr>
              <w:ind w:left="480"/>
              <w:spacing w:after="0"/>
              <w:rPr>
                <w:sz w:val="20"/>
                <w:szCs w:val="20"/>
                <w:color w:val="auto"/>
              </w:rPr>
            </w:pPr>
            <w:r>
              <w:rPr>
                <w:rFonts w:ascii="Arial" w:cs="Arial" w:eastAsia="Arial" w:hAnsi="Arial"/>
                <w:sz w:val="16"/>
                <w:szCs w:val="16"/>
                <w:color w:val="auto"/>
              </w:rPr>
              <w:t>CCK</w:t>
            </w:r>
          </w:p>
        </w:tc>
        <w:tc>
          <w:tcPr>
            <w:tcW w:w="6880" w:type="dxa"/>
            <w:vAlign w:val="bottom"/>
            <w:gridSpan w:val="2"/>
          </w:tcPr>
          <w:p>
            <w:pPr>
              <w:ind w:left="200"/>
              <w:spacing w:after="0"/>
              <w:rPr>
                <w:sz w:val="20"/>
                <w:szCs w:val="20"/>
                <w:color w:val="auto"/>
              </w:rPr>
            </w:pPr>
            <w:r>
              <w:rPr>
                <w:rFonts w:ascii="Arial" w:cs="Arial" w:eastAsia="Arial" w:hAnsi="Arial"/>
                <w:sz w:val="16"/>
                <w:szCs w:val="16"/>
                <w:color w:val="auto"/>
              </w:rPr>
              <w:t>New York Stock Exchange</w:t>
            </w:r>
          </w:p>
        </w:tc>
      </w:tr>
      <w:tr>
        <w:trPr>
          <w:trHeight w:val="216"/>
        </w:trPr>
        <w:tc>
          <w:tcPr>
            <w:tcW w:w="2580" w:type="dxa"/>
            <w:vAlign w:val="bottom"/>
          </w:tcPr>
          <w:p>
            <w:pPr>
              <w:ind w:left="20"/>
              <w:spacing w:after="0"/>
              <w:rPr>
                <w:sz w:val="20"/>
                <w:szCs w:val="20"/>
                <w:color w:val="auto"/>
              </w:rPr>
            </w:pPr>
            <w:r>
              <w:rPr>
                <w:rFonts w:ascii="Arial" w:cs="Arial" w:eastAsia="Arial" w:hAnsi="Arial"/>
                <w:sz w:val="16"/>
                <w:szCs w:val="16"/>
                <w:color w:val="auto"/>
              </w:rPr>
              <w:t>7 3/8% Debentures Due 2026</w:t>
            </w:r>
          </w:p>
        </w:tc>
        <w:tc>
          <w:tcPr>
            <w:tcW w:w="1780" w:type="dxa"/>
            <w:vAlign w:val="bottom"/>
          </w:tcPr>
          <w:p>
            <w:pPr>
              <w:ind w:left="480"/>
              <w:spacing w:after="0"/>
              <w:rPr>
                <w:sz w:val="20"/>
                <w:szCs w:val="20"/>
                <w:color w:val="auto"/>
              </w:rPr>
            </w:pPr>
            <w:r>
              <w:rPr>
                <w:rFonts w:ascii="Arial" w:cs="Arial" w:eastAsia="Arial" w:hAnsi="Arial"/>
                <w:sz w:val="16"/>
                <w:szCs w:val="16"/>
                <w:color w:val="auto"/>
              </w:rPr>
              <w:t>CCK26</w:t>
            </w:r>
          </w:p>
        </w:tc>
        <w:tc>
          <w:tcPr>
            <w:tcW w:w="6880" w:type="dxa"/>
            <w:vAlign w:val="bottom"/>
            <w:gridSpan w:val="2"/>
          </w:tcPr>
          <w:p>
            <w:pPr>
              <w:ind w:left="200"/>
              <w:spacing w:after="0"/>
              <w:rPr>
                <w:sz w:val="20"/>
                <w:szCs w:val="20"/>
                <w:color w:val="auto"/>
              </w:rPr>
            </w:pPr>
            <w:r>
              <w:rPr>
                <w:rFonts w:ascii="Arial" w:cs="Arial" w:eastAsia="Arial" w:hAnsi="Arial"/>
                <w:sz w:val="16"/>
                <w:szCs w:val="16"/>
                <w:color w:val="auto"/>
              </w:rPr>
              <w:t>New York Stock Exchange</w:t>
            </w:r>
          </w:p>
        </w:tc>
      </w:tr>
      <w:tr>
        <w:trPr>
          <w:trHeight w:val="216"/>
        </w:trPr>
        <w:tc>
          <w:tcPr>
            <w:tcW w:w="2580" w:type="dxa"/>
            <w:vAlign w:val="bottom"/>
          </w:tcPr>
          <w:p>
            <w:pPr>
              <w:ind w:left="20"/>
              <w:spacing w:after="0"/>
              <w:rPr>
                <w:sz w:val="20"/>
                <w:szCs w:val="20"/>
                <w:color w:val="auto"/>
              </w:rPr>
            </w:pPr>
            <w:r>
              <w:rPr>
                <w:rFonts w:ascii="Arial" w:cs="Arial" w:eastAsia="Arial" w:hAnsi="Arial"/>
                <w:sz w:val="16"/>
                <w:szCs w:val="16"/>
                <w:color w:val="auto"/>
              </w:rPr>
              <w:t>7 1/2% Debentures Due 2096</w:t>
            </w:r>
          </w:p>
        </w:tc>
        <w:tc>
          <w:tcPr>
            <w:tcW w:w="1780" w:type="dxa"/>
            <w:vAlign w:val="bottom"/>
          </w:tcPr>
          <w:p>
            <w:pPr>
              <w:ind w:left="480"/>
              <w:spacing w:after="0"/>
              <w:rPr>
                <w:sz w:val="20"/>
                <w:szCs w:val="20"/>
                <w:color w:val="auto"/>
              </w:rPr>
            </w:pPr>
            <w:r>
              <w:rPr>
                <w:rFonts w:ascii="Arial" w:cs="Arial" w:eastAsia="Arial" w:hAnsi="Arial"/>
                <w:sz w:val="16"/>
                <w:szCs w:val="16"/>
                <w:color w:val="auto"/>
              </w:rPr>
              <w:t>CCK96</w:t>
            </w:r>
          </w:p>
        </w:tc>
        <w:tc>
          <w:tcPr>
            <w:tcW w:w="6880" w:type="dxa"/>
            <w:vAlign w:val="bottom"/>
            <w:gridSpan w:val="2"/>
          </w:tcPr>
          <w:p>
            <w:pPr>
              <w:ind w:left="200"/>
              <w:spacing w:after="0"/>
              <w:rPr>
                <w:sz w:val="20"/>
                <w:szCs w:val="20"/>
                <w:color w:val="auto"/>
              </w:rPr>
            </w:pPr>
            <w:r>
              <w:rPr>
                <w:rFonts w:ascii="Arial" w:cs="Arial" w:eastAsia="Arial" w:hAnsi="Arial"/>
                <w:sz w:val="16"/>
                <w:szCs w:val="16"/>
                <w:color w:val="auto"/>
              </w:rPr>
              <w:t>New York Stock Exchange</w:t>
            </w:r>
          </w:p>
        </w:tc>
      </w:tr>
      <w:tr>
        <w:trPr>
          <w:trHeight w:val="202"/>
        </w:trPr>
        <w:tc>
          <w:tcPr>
            <w:tcW w:w="25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54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r>
      <w:tr>
        <w:trPr>
          <w:trHeight w:val="979"/>
        </w:trPr>
        <w:tc>
          <w:tcPr>
            <w:tcW w:w="258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54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798" w:gutter="0" w:footer="0" w:header="0"/>
        </w:sectPr>
      </w:pPr>
    </w:p>
    <w:bookmarkStart w:id="1" w:name="page2"/>
    <w:bookmarkEnd w:id="1"/>
    <w:p>
      <w:pPr>
        <w:spacing w:after="0" w:line="42" w:lineRule="exact"/>
        <w:rPr>
          <w:sz w:val="20"/>
          <w:szCs w:val="20"/>
          <w:color w:val="auto"/>
        </w:rPr>
      </w:pPr>
    </w:p>
    <w:p>
      <w:pPr>
        <w:jc w:val="right"/>
        <w:ind w:right="3419"/>
        <w:spacing w:after="0"/>
        <w:rPr>
          <w:sz w:val="20"/>
          <w:szCs w:val="20"/>
          <w:color w:val="auto"/>
        </w:rPr>
      </w:pPr>
      <w:r>
        <w:rPr>
          <w:rFonts w:ascii="Arial" w:cs="Arial" w:eastAsia="Arial" w:hAnsi="Arial"/>
          <w:sz w:val="22"/>
          <w:szCs w:val="22"/>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1"/>
          <w:szCs w:val="21"/>
          <w:color w:val="auto"/>
        </w:rPr>
        <w:t>Item 2.02. RESULTS OF OPERATIONS AND FINANCIAL CONDITION</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Item 9.01. FINANCIAL STATEMENTS AND EXHIBITS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INDEX TO EXHIBITS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EX-99 PRESS RELEASE</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648335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type w:val="continuous"/>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104"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On October 23, 2023 Crown Holdings, Inc. issued a press release announcing its earnings for the third quarter ended September 30, 2023. A copy of the press release is attached hereto as Exhibit 99 and incorporated herein by reference.</w:t>
      </w:r>
    </w:p>
    <w:p>
      <w:pPr>
        <w:spacing w:after="0" w:line="19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information in this Report shall not be deemed to be "filed" for purposes of Section 18 of the Securities Exchange Act of 1934, as amended, (the "Exchange Act") or otherwise subject to the liability of that section, and shall not be deemed incorporated by reference in any filing under the Securities Act of 1933, as amended, or the Exchange Act, except as shall be expressly set forth by specific reference in such filing.</w:t>
      </w: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(c) Exhibits.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The following is furnished as an exhibit to this report.</w:t>
      </w:r>
    </w:p>
    <w:p>
      <w:pPr>
        <w:spacing w:after="0" w:line="85" w:lineRule="exact"/>
        <w:rPr>
          <w:sz w:val="20"/>
          <w:szCs w:val="20"/>
          <w:color w:val="auto"/>
        </w:rPr>
      </w:pPr>
    </w:p>
    <w:p>
      <w:pPr>
        <w:ind w:left="500" w:hanging="492"/>
        <w:spacing w:after="0"/>
        <w:tabs>
          <w:tab w:leader="none" w:pos="500" w:val="left"/>
        </w:tabs>
        <w:numPr>
          <w:ilvl w:val="0"/>
          <w:numId w:val="2"/>
        </w:numPr>
        <w:rPr>
          <w:rFonts w:ascii="Arial" w:cs="Arial" w:eastAsia="Arial" w:hAnsi="Arial"/>
          <w:sz w:val="22"/>
          <w:szCs w:val="22"/>
          <w:color w:val="auto"/>
        </w:rPr>
      </w:pPr>
      <w:r>
        <w:rPr>
          <w:rFonts w:ascii="Arial" w:cs="Arial" w:eastAsia="Arial" w:hAnsi="Arial"/>
          <w:sz w:val="22"/>
          <w:szCs w:val="22"/>
          <w:u w:val="single" w:color="auto"/>
          <w:color w:val="0000FF"/>
        </w:rPr>
        <w:t>Press release, dated October 23, 2023, issued by Crown Holdings, Inc.</w:t>
      </w:r>
    </w:p>
    <w:p>
      <w:pPr>
        <w:spacing w:after="0" w:line="21"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104</w:t>
      </w:r>
      <w:r>
        <w:rPr>
          <w:sz w:val="20"/>
          <w:szCs w:val="20"/>
          <w:color w:val="auto"/>
        </w:rPr>
        <w:tab/>
      </w:r>
      <w:r>
        <w:rPr>
          <w:rFonts w:ascii="Arial" w:cs="Arial" w:eastAsia="Arial" w:hAnsi="Arial"/>
          <w:sz w:val="19"/>
          <w:szCs w:val="19"/>
          <w:color w:val="auto"/>
        </w:rPr>
        <w:t>Cover Page Interactive Data File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66"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By: /s/ Christy L. Kalaus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15875</wp:posOffset>
            </wp:positionV>
            <wp:extent cx="32575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11"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Christy L. Kalaus</w:t>
      </w:r>
    </w:p>
    <w:p>
      <w:pPr>
        <w:spacing w:after="0" w:line="21"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Vice President and Corporate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color w:val="auto"/>
        </w:rPr>
        <w:t>Dated: October 23,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320" w:right="339" w:bottom="1440" w:gutter="0" w:footer="0" w:header="0"/>
        </w:sectPr>
      </w:pPr>
    </w:p>
    <w:bookmarkStart w:id="4" w:name="page5"/>
    <w:bookmarkEnd w:id="4"/>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-128270</wp:posOffset>
            </wp:positionV>
            <wp:extent cx="1551305" cy="4972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21" w:lineRule="auto"/>
        <w:rPr>
          <w:sz w:val="20"/>
          <w:szCs w:val="20"/>
          <w:color w:val="auto"/>
        </w:rPr>
      </w:pPr>
      <w:r>
        <w:rPr>
          <w:rFonts w:ascii="Arial" w:cs="Arial" w:eastAsia="Arial" w:hAnsi="Arial"/>
          <w:sz w:val="14"/>
          <w:szCs w:val="14"/>
          <w:color w:val="auto"/>
        </w:rPr>
        <w:t>14025 Riveredge Drive, Suite 300</w:t>
      </w:r>
    </w:p>
    <w:p>
      <w:pPr>
        <w:ind w:left="80"/>
        <w:spacing w:after="0"/>
        <w:rPr>
          <w:sz w:val="20"/>
          <w:szCs w:val="20"/>
          <w:color w:val="auto"/>
        </w:rPr>
      </w:pPr>
      <w:r>
        <w:rPr>
          <w:rFonts w:ascii="Arial" w:cs="Arial" w:eastAsia="Arial" w:hAnsi="Arial"/>
          <w:sz w:val="14"/>
          <w:szCs w:val="14"/>
          <w:color w:val="auto"/>
        </w:rPr>
        <w:t>Tampa, FL 33637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314960</wp:posOffset>
            </wp:positionV>
            <wp:extent cx="685800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0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CROWN HOLDINGS, INC. REPORTS THIRD QUARTER 2023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88265</wp:posOffset>
            </wp:positionV>
            <wp:extent cx="685800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00" cy="3429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both"/>
        <w:ind w:right="20"/>
        <w:spacing w:after="0" w:line="252" w:lineRule="auto"/>
        <w:rPr>
          <w:sz w:val="20"/>
          <w:szCs w:val="20"/>
          <w:color w:val="auto"/>
        </w:rPr>
      </w:pPr>
      <w:r>
        <w:rPr>
          <w:rFonts w:ascii="Arial" w:cs="Arial" w:eastAsia="Arial" w:hAnsi="Arial"/>
          <w:sz w:val="20"/>
          <w:szCs w:val="20"/>
          <w:b w:val="1"/>
          <w:bCs w:val="1"/>
          <w:color w:val="auto"/>
        </w:rPr>
        <w:t xml:space="preserve">Tampa, FL - October 23, 2023. </w:t>
      </w:r>
      <w:r>
        <w:rPr>
          <w:rFonts w:ascii="Arial" w:cs="Arial" w:eastAsia="Arial" w:hAnsi="Arial"/>
          <w:sz w:val="20"/>
          <w:szCs w:val="20"/>
          <w:color w:val="auto"/>
        </w:rPr>
        <w:t>Crown Holdings, Inc. (NYSE: CCK) today announced its financial results for the third quarter ended</w:t>
      </w:r>
      <w:r>
        <w:rPr>
          <w:rFonts w:ascii="Arial" w:cs="Arial" w:eastAsia="Arial" w:hAnsi="Arial"/>
          <w:sz w:val="20"/>
          <w:szCs w:val="20"/>
          <w:b w:val="1"/>
          <w:bCs w:val="1"/>
          <w:color w:val="auto"/>
        </w:rPr>
        <w:t xml:space="preserve"> </w:t>
      </w:r>
      <w:r>
        <w:rPr>
          <w:rFonts w:ascii="Arial" w:cs="Arial" w:eastAsia="Arial" w:hAnsi="Arial"/>
          <w:sz w:val="20"/>
          <w:szCs w:val="20"/>
          <w:color w:val="auto"/>
        </w:rPr>
        <w:t>September 30, 2023.</w:t>
      </w:r>
    </w:p>
    <w:p>
      <w:pPr>
        <w:spacing w:after="0" w:line="21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Net sales in the third quarter were $3,069 million compared to $3,259 million in the third quarter of 2022 reflecting higher beverage can volumes in North America and favorable foreign currency translation of $60 million, offset by lower volumes across most other businesses and the pass through of $187 million in lower material costs.</w:t>
      </w:r>
    </w:p>
    <w:p>
      <w:pPr>
        <w:spacing w:after="0" w:line="206"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Income from operations was $374 million in the third quarter compared to $297 million in the third quarter of 2022. Segment income in the third quarter of 2023 was $430 million compared to $336 million in the prior year third quarter reflecting the benefits from higher beverage can volumes in North America, the contractual recovery of prior years’ inflationary cost increases in Europe and the successful implementation of cost reduction programs in Transit Packaging.</w:t>
      </w:r>
    </w:p>
    <w:p>
      <w:pPr>
        <w:spacing w:after="0" w:line="226" w:lineRule="exact"/>
        <w:rPr>
          <w:sz w:val="20"/>
          <w:szCs w:val="20"/>
          <w:color w:val="auto"/>
        </w:rPr>
      </w:pPr>
    </w:p>
    <w:p>
      <w:pPr>
        <w:jc w:val="both"/>
        <w:spacing w:after="0" w:line="235" w:lineRule="auto"/>
        <w:rPr>
          <w:sz w:val="20"/>
          <w:szCs w:val="20"/>
          <w:color w:val="auto"/>
        </w:rPr>
      </w:pPr>
      <w:r>
        <w:rPr>
          <w:rFonts w:ascii="Arial" w:cs="Arial" w:eastAsia="Arial" w:hAnsi="Arial"/>
          <w:sz w:val="20"/>
          <w:szCs w:val="20"/>
          <w:color w:val="auto"/>
        </w:rPr>
        <w:t>Commenting on the quarter, Timothy J. Donahue, Chairman, President and Chief Executive Officer, stated, “Operating results for the third quarter were solid, and the Company performed in line with expectations despite the cumulative effects of persistent inflation and challenging macroeconomic conditions in certain markets, such as Asia, which continue to adversely impact volumes. Beverage can volumes in North America expanded by 13% and the can continues to be the preferred choice by both customers and consumers alike for new beverage product introductions.</w:t>
      </w:r>
    </w:p>
    <w:p>
      <w:pPr>
        <w:spacing w:after="0" w:line="224"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“The benefits of the overhead cost reduction program were clearly visible in strong Transit Packaging results for the quarter, more than offsetting generally sluggish volumes resulting from lackluster production in several industrial markets. Actions taken in 2022 to negotiate more comprehensive raw material and other inflationary pass-through provisions resulted in improved income performance in the European Beverage division. Beverage can volumes in Asia Pacific and aerosol can shipments in North America continued to be weak during the quarter.</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9"/>
          <w:szCs w:val="19"/>
          <w:color w:val="auto"/>
        </w:rPr>
        <w:t>“Looking forward, we remain focused on customer satisfaction and executing that which is under our control. We have adjusted production schedules to reduce inventory levels across aerosols, Asia and Transit in response to current demand. Net leverage at 3.5 times is one-half turn lower than only three months ago and we remain on pace to generate approximately $500 million in free cash flow. We anticipate that capital expenditures will be significantly reduced to approximately $500 million in each 2024 and 2025, and the Company expects to use the increased cash flow to pay down debt and return capital to shareholders.”</w:t>
      </w:r>
    </w:p>
    <w:p>
      <w:pPr>
        <w:spacing w:after="0" w:line="198"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Interest expense was $111 million in the third quarter of 2023 compared to $76 million in the third quarter of 2022 reflecting higher interest rates.</w:t>
      </w:r>
    </w:p>
    <w:p>
      <w:pPr>
        <w:spacing w:after="0" w:line="19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Net income attributable to Crown Holdings in the third quarter was $159 million compared to $127 million in the third quarter of 2022. Reported diluted earnings per share were $1.33 in the third quarter of 2023 compared to $1.06 in 2022 and adjusted diluted earnings per share were $1.73 compared to $1.46 in 2022.</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Nine Month Results</w:t>
      </w:r>
    </w:p>
    <w:p>
      <w:pPr>
        <w:spacing w:after="0" w:line="22"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Net sales for the first nine months of 2023 were $9,152 million compared to $9,931 million in the first nine months of 2022, primarily due to 6% higher beverage can volumes in North America and favorable foreign currency translation of $35 million, offset by the pass through of $575 million in lower material costs and lower overall net volumes.</w:t>
      </w: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Income from operations was $1,010 million in the first nine months of 2023 compared to $1,107 million in the first nine months of 2022, which included a gain of $113 million for the sale of the Transit Packaging segment’s Kiwiplan business. Segment income in the first nine months of 2023 was $1,164 million versus $1,151 million in the prior year period, reflecting benefits from higher beverage can volumes in Americas Beverage, the contractual recovery of prior year’s inflationary cost increases in European Beverage and cost reduction initiatives in Transit Packaging, partially offset by</w:t>
      </w:r>
    </w:p>
    <w:p>
      <w:pPr>
        <w:sectPr>
          <w:pgSz w:w="11900" w:h="16838" w:orient="portrait"/>
          <w:cols w:equalWidth="0" w:num="1">
            <w:col w:w="11240"/>
          </w:cols>
          <w:pgMar w:left="320" w:top="487"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Page 1 of 11</w:t>
      </w:r>
    </w:p>
    <w:p>
      <w:pPr>
        <w:sectPr>
          <w:pgSz w:w="11900" w:h="16838" w:orient="portrait"/>
          <w:cols w:equalWidth="0" w:num="1">
            <w:col w:w="11240"/>
          </w:cols>
          <w:pgMar w:left="320" w:top="487" w:right="339" w:bottom="1440" w:gutter="0" w:footer="0" w:header="0"/>
          <w:type w:val="continuous"/>
        </w:sectPr>
      </w:pPr>
    </w:p>
    <w:bookmarkStart w:id="5" w:name="page6"/>
    <w:bookmarkEnd w:id="5"/>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-128270</wp:posOffset>
            </wp:positionV>
            <wp:extent cx="1551305" cy="4972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21" w:lineRule="auto"/>
        <w:rPr>
          <w:sz w:val="20"/>
          <w:szCs w:val="20"/>
          <w:color w:val="auto"/>
        </w:rPr>
      </w:pPr>
      <w:r>
        <w:rPr>
          <w:rFonts w:ascii="Arial" w:cs="Arial" w:eastAsia="Arial" w:hAnsi="Arial"/>
          <w:sz w:val="14"/>
          <w:szCs w:val="14"/>
          <w:color w:val="auto"/>
        </w:rPr>
        <w:t>14025 Riveredge Drive, Suite 300</w:t>
      </w:r>
    </w:p>
    <w:p>
      <w:pPr>
        <w:ind w:left="80"/>
        <w:spacing w:after="0"/>
        <w:rPr>
          <w:sz w:val="20"/>
          <w:szCs w:val="20"/>
          <w:color w:val="auto"/>
        </w:rPr>
      </w:pPr>
      <w:r>
        <w:rPr>
          <w:rFonts w:ascii="Arial" w:cs="Arial" w:eastAsia="Arial" w:hAnsi="Arial"/>
          <w:sz w:val="14"/>
          <w:szCs w:val="14"/>
          <w:color w:val="auto"/>
        </w:rPr>
        <w:t>Tampa, FL 33637</w:t>
      </w:r>
    </w:p>
    <w:p>
      <w:pPr>
        <w:spacing w:after="0" w:line="200" w:lineRule="exact"/>
        <w:rPr>
          <w:sz w:val="20"/>
          <w:szCs w:val="20"/>
          <w:color w:val="auto"/>
        </w:rPr>
      </w:pPr>
    </w:p>
    <w:p>
      <w:pPr>
        <w:spacing w:after="0" w:line="25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$60 million of year over year inventory impact of steel repricing in the Other segment and lower volumes in most other businesses, notably in aerosols in North America and beverage cans in Asia.</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was $323 million for the first nine months of 2023 compared to $194 million in 2022 primarily due to higher interest rates.</w:t>
      </w:r>
    </w:p>
    <w:p>
      <w:pPr>
        <w:spacing w:after="0" w:line="25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Net income attributable to Crown Holdings in the first nine months of 2023 was $418 million compared to $638 million in the first nine months of 2022. Reported diluted earnings per share were $3.49 compared to $5.23 in 2022 and adjusted diluted earnings per share were $4.61 compared to $5.58 in 2022.</w:t>
      </w:r>
    </w:p>
    <w:p>
      <w:pPr>
        <w:spacing w:after="0" w:line="219"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Mr. Donahue further commented, "The Company completed the acquisition of Helvetia Packaging in early October and we welcome our new associates to the Crown family."</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Outlook</w:t>
      </w:r>
    </w:p>
    <w:p>
      <w:pPr>
        <w:spacing w:after="0" w:line="2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Fourth quarter adjusted diluted earnings per share are expected to be in the range of $1.40 to $1.50 and full year 2023 adjusted diluted earnings per share in the range of $6.00 to $6.10 reflecting full-year improved operating results in Americas and European Beverage and Transit Packaging, offset by continued weakness in Asia and the North America aerosols business which are traditionally more economically sensitive. Adjusted free cash flow is expected to be approximately $500 million after approximately $900 million of capital expenditures.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Measures</w:t>
      </w:r>
    </w:p>
    <w:p>
      <w:pPr>
        <w:spacing w:after="0" w:line="2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Segment income, adjusted free cash flow, adjusted net leverage ratio, adjusted net income, the adjusted effective tax rate, adjusted diluted earnings per share, net interest expense, EBITDA and adjusted EBITDA are not defined terms under U.S. generally accepted accounting principles (non-GAAP measures). Non-GAAP measures should not be considered in isolation or as a substitute for income from operations, cash flow, leverage ratio, net income, effective tax rates, diluted earnings per share or interest expense and interest income prepared in accordance with U.S. GAAP and may not be comparable to calculations of similarly titled measures by other companies.</w:t>
      </w:r>
    </w:p>
    <w:p>
      <w:pPr>
        <w:spacing w:after="0" w:line="18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Company views segment income as the principal measure of the performance of its operations and adjusted free cash flow and adjusted net leverage ratio as the principal measures of its liquidity. The Company considers all of these measures in the allocation of resources. Adjusted free cash flow has certain limitations, however, including that it does not represent the residual cash flow available for discretionary expenditures since other non-discretionary expenditures, such as mandatory debt service requirements, are not deducted from the measure. The amount of mandatory versus discretionary expenditures can vary significantly between periods. The Company believes that adjusted free cash flow and adjusted net leverage ratio provide meaningful measures of liquidity and a useful basis for assessing the Company’s ability to fund its activities, including the financing of acquisitions, debt repayments, share repurchases or dividends. The Company believes that adjusted net income, the adjusted effective tax rate and adjusted diluted earnings per share are useful in evaluating the Company’s operations as these measures are adjusted for items that affect comparability between periods. Segment income, adjusted free cash flow, adjusted net leverage ratio, adjusted net income, the adjusted effective tax rate, adjusted diluted earnings per share, net interest expense, EBITDA and adjusted EBITDA are derived from the Company’s Consolidated Statements of Operations, Cash Flows and Consolidated Balance Sheets, as applicable, and reconciliations to segment income, adjusted free cash flow, adjusted net leverage ratio, adjusted net income, the adjusted effective tax rate, adjusted diluted earnings per share and adjusted EBITDA can be found within this release. Reconciliations of estimated adjusted diluted earnings per share for the full year of 2023 to estimated diluted earnings per share on a GAAP basis are not provided in this release due to the unavailability of estimates of the following, the timing and magnitude of which the Company is unable to reliably forecast without unreasonable efforts, which are excluded from estimated adjusted diluted earnings per share and could have a significant impact on earnings per share on a GAAP basis: gains or losses on the sale of businesses or other assets, restructuring and other costs, asset impairment charges, asbestos-related charges, losses from early extinguishment of debt, pension settlement and curtailment charges, the tax and noncontrolling interest impact of the items above, and the impact of tax law changes or other tax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11</w:t>
      </w:r>
    </w:p>
    <w:p>
      <w:pPr>
        <w:sectPr>
          <w:pgSz w:w="11900" w:h="16838" w:orient="portrait"/>
          <w:cols w:equalWidth="0" w:num="1">
            <w:col w:w="11240"/>
          </w:cols>
          <w:pgMar w:left="320" w:top="595" w:right="339" w:bottom="1440" w:gutter="0" w:footer="0" w:header="0"/>
        </w:sectPr>
      </w:pPr>
    </w:p>
    <w:bookmarkStart w:id="6" w:name="page7"/>
    <w:bookmarkEnd w:id="6"/>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-128270</wp:posOffset>
            </wp:positionV>
            <wp:extent cx="1551305" cy="4972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21" w:lineRule="auto"/>
        <w:rPr>
          <w:sz w:val="20"/>
          <w:szCs w:val="20"/>
          <w:color w:val="auto"/>
        </w:rPr>
      </w:pPr>
      <w:r>
        <w:rPr>
          <w:rFonts w:ascii="Arial" w:cs="Arial" w:eastAsia="Arial" w:hAnsi="Arial"/>
          <w:sz w:val="14"/>
          <w:szCs w:val="14"/>
          <w:color w:val="auto"/>
        </w:rPr>
        <w:t>14025 Riveredge Drive, Suite 300</w:t>
      </w:r>
    </w:p>
    <w:p>
      <w:pPr>
        <w:ind w:left="80"/>
        <w:spacing w:after="0"/>
        <w:rPr>
          <w:sz w:val="20"/>
          <w:szCs w:val="20"/>
          <w:color w:val="auto"/>
        </w:rPr>
      </w:pPr>
      <w:r>
        <w:rPr>
          <w:rFonts w:ascii="Arial" w:cs="Arial" w:eastAsia="Arial" w:hAnsi="Arial"/>
          <w:sz w:val="14"/>
          <w:szCs w:val="14"/>
          <w:color w:val="auto"/>
        </w:rPr>
        <w:t>Tampa, FL 33637</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w:t>
      </w:r>
    </w:p>
    <w:p>
      <w:pPr>
        <w:spacing w:after="0" w:line="8"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 xml:space="preserve">The Company will hold a conference call tomorrow, October 24, 2023 at 9:00 a.m. (EDT) to discuss this news release. Forward-looking and other material information may be discussed on the conference call. The dial-in numbers for the conference call are 630-395-0194 or toll-free 888-324-8108 and the access password is “packaging.” A live webcast of the call will be made available to the public on the internet at the Company’s website, </w:t>
      </w:r>
      <w:r>
        <w:rPr>
          <w:rFonts w:ascii="Arial" w:cs="Arial" w:eastAsia="Arial" w:hAnsi="Arial"/>
          <w:sz w:val="19"/>
          <w:szCs w:val="19"/>
          <w:color w:val="0000FF"/>
        </w:rPr>
        <w:t>www.crowncork.com</w:t>
      </w:r>
      <w:r>
        <w:rPr>
          <w:rFonts w:ascii="Arial" w:cs="Arial" w:eastAsia="Arial" w:hAnsi="Arial"/>
          <w:sz w:val="19"/>
          <w:szCs w:val="19"/>
          <w:color w:val="auto"/>
        </w:rPr>
        <w:t>. A replay of the conference call will be available for a one-week period ending at midnight on November 1, 2023. The telephone numbers for the replay are 203-369-0180 or toll free 866-360-8712.</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8"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Except for historical information, all other information in this press release consists of forward-looking statements. These forward-looking statements involve a number of risks, uncertainties and other factors, including the Company’s ability to continue to operate its plants, distribute its products, and maintain its supply chain; the future impact of currency translation; the continuation of performance and market trends in 2023, including consumer preference for beverage cans and increasing global beverage can demand; the future impact of inflation, including the potential for higher interest rates and energy prices and the Company’s ability to recover raw material and other inflationary costs; future demand for food cans; the Company’s ability to successfully complete its previously announced capacity expansion projects and begin production within expected timelines; and the impact of overhead reduction efforts in the Transit Packaging business, that may cause actual results to be materially different from those expressed or implied in the forward-looking statements. Important factors that could cause the statements made in this press release or the actual results of operations or financial condition of the Company to differ are discussed under the caption "Forward Looking Statements" in the Company's Form 10-K Annual Report for the year ended December 31, 2022 and in subsequent filings made prior to or after the date hereof. The Company does not intend to review or revise any particular forward-looking statement in light of future events.</w:t>
      </w:r>
    </w:p>
    <w:p>
      <w:pPr>
        <w:spacing w:after="0" w:line="210"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Crown Holdings, Inc., through its subsidiaries, is a worldwide leader in the design, manufacture and sale of packaging products for consumer goods and industrial products. World headquarters are located in Tampa, Florida.</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color w:val="auto"/>
        </w:rPr>
        <w:t>For more information, contact:</w:t>
      </w:r>
    </w:p>
    <w:p>
      <w:pPr>
        <w:spacing w:after="0" w:line="2" w:lineRule="exact"/>
        <w:rPr>
          <w:sz w:val="20"/>
          <w:szCs w:val="20"/>
          <w:color w:val="auto"/>
        </w:rPr>
      </w:pPr>
    </w:p>
    <w:p>
      <w:pPr>
        <w:ind w:right="3860"/>
        <w:spacing w:after="0" w:line="365" w:lineRule="auto"/>
        <w:rPr>
          <w:sz w:val="20"/>
          <w:szCs w:val="20"/>
          <w:color w:val="auto"/>
        </w:rPr>
      </w:pPr>
      <w:r>
        <w:rPr>
          <w:rFonts w:ascii="Arial" w:cs="Arial" w:eastAsia="Arial" w:hAnsi="Arial"/>
          <w:sz w:val="16"/>
          <w:szCs w:val="16"/>
          <w:color w:val="auto"/>
        </w:rPr>
        <w:t>Kevin C. Clothier, Senior Vice President and Chief Financial Officer, (215) 698-5281 Thomas T. Fischer, Vice President, Investor Relations and Corporate Affairs, (215) 552-3720</w:t>
      </w:r>
    </w:p>
    <w:p>
      <w:pPr>
        <w:spacing w:after="0" w:line="350" w:lineRule="exact"/>
        <w:rPr>
          <w:sz w:val="20"/>
          <w:szCs w:val="20"/>
          <w:color w:val="auto"/>
        </w:rPr>
      </w:pPr>
    </w:p>
    <w:p>
      <w:pPr>
        <w:ind w:right="1080"/>
        <w:spacing w:after="0" w:line="267" w:lineRule="auto"/>
        <w:rPr>
          <w:sz w:val="20"/>
          <w:szCs w:val="20"/>
          <w:color w:val="auto"/>
        </w:rPr>
      </w:pPr>
      <w:r>
        <w:rPr>
          <w:rFonts w:ascii="Arial" w:cs="Arial" w:eastAsia="Arial" w:hAnsi="Arial"/>
          <w:sz w:val="20"/>
          <w:szCs w:val="20"/>
          <w:b w:val="1"/>
          <w:bCs w:val="1"/>
          <w:color w:val="auto"/>
        </w:rPr>
        <w:t>Unaudited Consolidated Statements of Operations, Balance Sheets, Statements of Cash Flows, Segment Information and Supplemental Data follow.</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 of 11</w:t>
      </w:r>
    </w:p>
    <w:p>
      <w:pPr>
        <w:sectPr>
          <w:pgSz w:w="11900" w:h="16838" w:orient="portrait"/>
          <w:cols w:equalWidth="0" w:num="1">
            <w:col w:w="11240"/>
          </w:cols>
          <w:pgMar w:left="320" w:top="595" w:right="339" w:bottom="1440" w:gutter="0" w:footer="0" w:header="0"/>
        </w:sectPr>
      </w:pPr>
    </w:p>
    <w:bookmarkStart w:id="7" w:name="page8"/>
    <w:bookmarkEnd w:id="7"/>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-128270</wp:posOffset>
            </wp:positionV>
            <wp:extent cx="1551305" cy="4972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21" w:lineRule="auto"/>
        <w:rPr>
          <w:sz w:val="20"/>
          <w:szCs w:val="20"/>
          <w:color w:val="auto"/>
        </w:rPr>
      </w:pPr>
      <w:r>
        <w:rPr>
          <w:rFonts w:ascii="Arial" w:cs="Arial" w:eastAsia="Arial" w:hAnsi="Arial"/>
          <w:sz w:val="14"/>
          <w:szCs w:val="14"/>
          <w:color w:val="auto"/>
        </w:rPr>
        <w:t>14025 Riveredge Drive, Suite 300</w:t>
      </w:r>
    </w:p>
    <w:p>
      <w:pPr>
        <w:ind w:left="80"/>
        <w:spacing w:after="0"/>
        <w:rPr>
          <w:sz w:val="20"/>
          <w:szCs w:val="20"/>
          <w:color w:val="auto"/>
        </w:rPr>
      </w:pPr>
      <w:r>
        <w:rPr>
          <w:rFonts w:ascii="Arial" w:cs="Arial" w:eastAsia="Arial" w:hAnsi="Arial"/>
          <w:sz w:val="14"/>
          <w:szCs w:val="14"/>
          <w:color w:val="auto"/>
        </w:rPr>
        <w:t>Tampa, FL 33637</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Consolidated Statements of Operations (Unaudited)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share and per share data)</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60" w:type="dxa"/>
            <w:vAlign w:val="bottom"/>
            <w:gridSpan w:val="5"/>
          </w:tcPr>
          <w:p>
            <w:pPr>
              <w:jc w:val="center"/>
              <w:ind w:right="500"/>
              <w:spacing w:after="0"/>
              <w:rPr>
                <w:sz w:val="20"/>
                <w:szCs w:val="20"/>
                <w:color w:val="auto"/>
              </w:rPr>
            </w:pPr>
            <w:r>
              <w:rPr>
                <w:rFonts w:ascii="Arial" w:cs="Arial" w:eastAsia="Arial" w:hAnsi="Arial"/>
                <w:sz w:val="16"/>
                <w:szCs w:val="16"/>
                <w:b w:val="1"/>
                <w:bCs w:val="1"/>
                <w:color w:val="auto"/>
                <w:w w:val="93"/>
              </w:rPr>
              <w:t>Three Months Ended</w:t>
            </w:r>
          </w:p>
        </w:tc>
        <w:tc>
          <w:tcPr>
            <w:tcW w:w="240" w:type="dxa"/>
            <w:vAlign w:val="bottom"/>
          </w:tcPr>
          <w:p>
            <w:pPr>
              <w:spacing w:after="0"/>
              <w:rPr>
                <w:sz w:val="16"/>
                <w:szCs w:val="16"/>
                <w:color w:val="auto"/>
              </w:rPr>
            </w:pPr>
          </w:p>
        </w:tc>
        <w:tc>
          <w:tcPr>
            <w:tcW w:w="2600" w:type="dxa"/>
            <w:vAlign w:val="bottom"/>
            <w:gridSpan w:val="4"/>
          </w:tcPr>
          <w:p>
            <w:pPr>
              <w:jc w:val="right"/>
              <w:ind w:right="67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3"/>
        </w:trPr>
        <w:tc>
          <w:tcPr>
            <w:tcW w:w="5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91"/>
              </w:rPr>
              <w:t>September 30,</w:t>
            </w:r>
          </w:p>
        </w:tc>
        <w:tc>
          <w:tcPr>
            <w:tcW w:w="240" w:type="dxa"/>
            <w:vAlign w:val="bottom"/>
          </w:tcPr>
          <w:p>
            <w:pPr>
              <w:spacing w:after="0"/>
              <w:rPr>
                <w:sz w:val="18"/>
                <w:szCs w:val="18"/>
                <w:color w:val="auto"/>
              </w:rPr>
            </w:pPr>
          </w:p>
        </w:tc>
        <w:tc>
          <w:tcPr>
            <w:tcW w:w="1680" w:type="dxa"/>
            <w:vAlign w:val="bottom"/>
            <w:gridSpan w:val="3"/>
          </w:tcPr>
          <w:p>
            <w:pPr>
              <w:ind w:left="680"/>
              <w:spacing w:after="0"/>
              <w:rPr>
                <w:sz w:val="20"/>
                <w:szCs w:val="20"/>
                <w:color w:val="auto"/>
              </w:rPr>
            </w:pPr>
            <w:r>
              <w:rPr>
                <w:rFonts w:ascii="Arial" w:cs="Arial" w:eastAsia="Arial" w:hAnsi="Arial"/>
                <w:sz w:val="16"/>
                <w:szCs w:val="16"/>
                <w:b w:val="1"/>
                <w:bCs w:val="1"/>
                <w:color w:val="auto"/>
                <w:w w:val="89"/>
              </w:rPr>
              <w:t>September 30,</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3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3"/>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Net sales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3,069</w:t>
            </w:r>
          </w:p>
        </w:tc>
        <w:tc>
          <w:tcPr>
            <w:tcW w:w="2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3,259</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9,152</w:t>
            </w:r>
          </w:p>
        </w:tc>
        <w:tc>
          <w:tcPr>
            <w:tcW w:w="24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9,931</w:t>
            </w:r>
          </w:p>
        </w:tc>
        <w:tc>
          <w:tcPr>
            <w:tcW w:w="0" w:type="dxa"/>
            <w:vAlign w:val="bottom"/>
          </w:tcPr>
          <w:p>
            <w:pPr>
              <w:spacing w:after="0"/>
              <w:rPr>
                <w:sz w:val="1"/>
                <w:szCs w:val="1"/>
                <w:color w:val="auto"/>
              </w:rPr>
            </w:pPr>
          </w:p>
        </w:tc>
      </w:tr>
      <w:tr>
        <w:trPr>
          <w:trHeight w:val="371"/>
        </w:trPr>
        <w:tc>
          <w:tcPr>
            <w:tcW w:w="5320" w:type="dxa"/>
            <w:vAlign w:val="bottom"/>
          </w:tcPr>
          <w:p>
            <w:pPr>
              <w:ind w:left="180"/>
              <w:spacing w:after="0"/>
              <w:rPr>
                <w:sz w:val="20"/>
                <w:szCs w:val="20"/>
                <w:color w:val="auto"/>
              </w:rPr>
            </w:pPr>
            <w:r>
              <w:rPr>
                <w:rFonts w:ascii="Arial" w:cs="Arial" w:eastAsia="Arial" w:hAnsi="Arial"/>
                <w:sz w:val="18"/>
                <w:szCs w:val="18"/>
                <w:color w:val="auto"/>
              </w:rPr>
              <w:t>Cost of products sold</w:t>
            </w:r>
          </w:p>
        </w:tc>
        <w:tc>
          <w:tcPr>
            <w:tcW w:w="220" w:type="dxa"/>
            <w:vAlign w:val="bottom"/>
          </w:tcPr>
          <w:p>
            <w:pPr>
              <w:spacing w:after="0"/>
              <w:rPr>
                <w:sz w:val="24"/>
                <w:szCs w:val="24"/>
                <w:color w:val="auto"/>
              </w:rPr>
            </w:pPr>
          </w:p>
        </w:tc>
        <w:tc>
          <w:tcPr>
            <w:tcW w:w="1080" w:type="dxa"/>
            <w:vAlign w:val="bottom"/>
          </w:tcPr>
          <w:p>
            <w:pPr>
              <w:jc w:val="right"/>
              <w:ind w:right="251"/>
              <w:spacing w:after="0"/>
              <w:rPr>
                <w:sz w:val="20"/>
                <w:szCs w:val="20"/>
                <w:color w:val="auto"/>
              </w:rPr>
            </w:pPr>
            <w:r>
              <w:rPr>
                <w:rFonts w:ascii="Arial" w:cs="Arial" w:eastAsia="Arial" w:hAnsi="Arial"/>
                <w:sz w:val="18"/>
                <w:szCs w:val="18"/>
                <w:color w:val="auto"/>
              </w:rPr>
              <w:t>2,427</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2,726</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ind w:right="251"/>
              <w:spacing w:after="0"/>
              <w:rPr>
                <w:sz w:val="20"/>
                <w:szCs w:val="20"/>
                <w:color w:val="auto"/>
              </w:rPr>
            </w:pPr>
            <w:r>
              <w:rPr>
                <w:rFonts w:ascii="Arial" w:cs="Arial" w:eastAsia="Arial" w:hAnsi="Arial"/>
                <w:sz w:val="18"/>
                <w:szCs w:val="18"/>
                <w:color w:val="auto"/>
              </w:rPr>
              <w:t>7,301</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color w:val="auto"/>
              </w:rPr>
              <w:t>8,134</w:t>
            </w:r>
          </w:p>
        </w:tc>
        <w:tc>
          <w:tcPr>
            <w:tcW w:w="0" w:type="dxa"/>
            <w:vAlign w:val="bottom"/>
          </w:tcPr>
          <w:p>
            <w:pPr>
              <w:spacing w:after="0"/>
              <w:rPr>
                <w:sz w:val="1"/>
                <w:szCs w:val="1"/>
                <w:color w:val="auto"/>
              </w:rPr>
            </w:pPr>
          </w:p>
        </w:tc>
      </w:tr>
      <w:tr>
        <w:trPr>
          <w:trHeight w:val="229"/>
        </w:trPr>
        <w:tc>
          <w:tcPr>
            <w:tcW w:w="53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9"/>
                <w:szCs w:val="19"/>
                <w:color w:val="auto"/>
              </w:rPr>
            </w:pPr>
          </w:p>
        </w:tc>
        <w:tc>
          <w:tcPr>
            <w:tcW w:w="1080" w:type="dxa"/>
            <w:vAlign w:val="bottom"/>
          </w:tcPr>
          <w:p>
            <w:pPr>
              <w:jc w:val="right"/>
              <w:ind w:right="251"/>
              <w:spacing w:after="0"/>
              <w:rPr>
                <w:sz w:val="20"/>
                <w:szCs w:val="20"/>
                <w:color w:val="auto"/>
              </w:rPr>
            </w:pPr>
            <w:r>
              <w:rPr>
                <w:rFonts w:ascii="Arial" w:cs="Arial" w:eastAsia="Arial" w:hAnsi="Arial"/>
                <w:sz w:val="18"/>
                <w:szCs w:val="18"/>
                <w:color w:val="auto"/>
              </w:rPr>
              <w:t>124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115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251"/>
              <w:spacing w:after="0"/>
              <w:rPr>
                <w:sz w:val="20"/>
                <w:szCs w:val="20"/>
                <w:color w:val="auto"/>
              </w:rPr>
            </w:pPr>
            <w:r>
              <w:rPr>
                <w:rFonts w:ascii="Arial" w:cs="Arial" w:eastAsia="Arial" w:hAnsi="Arial"/>
                <w:sz w:val="18"/>
                <w:szCs w:val="18"/>
                <w:color w:val="auto"/>
              </w:rPr>
              <w:t>372</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30"/>
        </w:trPr>
        <w:tc>
          <w:tcPr>
            <w:tcW w:w="5320" w:type="dxa"/>
            <w:vAlign w:val="bottom"/>
          </w:tcPr>
          <w:p>
            <w:pPr>
              <w:ind w:left="180"/>
              <w:spacing w:after="0"/>
              <w:rPr>
                <w:sz w:val="20"/>
                <w:szCs w:val="20"/>
                <w:color w:val="auto"/>
              </w:rPr>
            </w:pPr>
            <w:r>
              <w:rPr>
                <w:rFonts w:ascii="Arial" w:cs="Arial" w:eastAsia="Arial" w:hAnsi="Arial"/>
                <w:sz w:val="18"/>
                <w:szCs w:val="18"/>
                <w:color w:val="auto"/>
              </w:rPr>
              <w:t>Selling and administrative expense</w:t>
            </w:r>
          </w:p>
        </w:tc>
        <w:tc>
          <w:tcPr>
            <w:tcW w:w="220" w:type="dxa"/>
            <w:vAlign w:val="bottom"/>
          </w:tcPr>
          <w:p>
            <w:pPr>
              <w:spacing w:after="0"/>
              <w:rPr>
                <w:sz w:val="19"/>
                <w:szCs w:val="19"/>
                <w:color w:val="auto"/>
              </w:rPr>
            </w:pPr>
          </w:p>
        </w:tc>
        <w:tc>
          <w:tcPr>
            <w:tcW w:w="1080" w:type="dxa"/>
            <w:vAlign w:val="bottom"/>
          </w:tcPr>
          <w:p>
            <w:pPr>
              <w:jc w:val="right"/>
              <w:ind w:right="251"/>
              <w:spacing w:after="0"/>
              <w:rPr>
                <w:sz w:val="20"/>
                <w:szCs w:val="20"/>
                <w:color w:val="auto"/>
              </w:rPr>
            </w:pPr>
            <w:r>
              <w:rPr>
                <w:rFonts w:ascii="Arial" w:cs="Arial" w:eastAsia="Arial" w:hAnsi="Arial"/>
                <w:sz w:val="18"/>
                <w:szCs w:val="18"/>
                <w:color w:val="auto"/>
              </w:rPr>
              <w:t>129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122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251"/>
              <w:spacing w:after="0"/>
              <w:rPr>
                <w:sz w:val="20"/>
                <w:szCs w:val="20"/>
                <w:color w:val="auto"/>
              </w:rPr>
            </w:pPr>
            <w:r>
              <w:rPr>
                <w:rFonts w:ascii="Arial" w:cs="Arial" w:eastAsia="Arial" w:hAnsi="Arial"/>
                <w:sz w:val="18"/>
                <w:szCs w:val="18"/>
                <w:color w:val="auto"/>
              </w:rPr>
              <w:t>437</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30"/>
        </w:trPr>
        <w:tc>
          <w:tcPr>
            <w:tcW w:w="5320" w:type="dxa"/>
            <w:vAlign w:val="bottom"/>
          </w:tcPr>
          <w:p>
            <w:pPr>
              <w:ind w:left="180"/>
              <w:spacing w:after="0"/>
              <w:rPr>
                <w:sz w:val="20"/>
                <w:szCs w:val="20"/>
                <w:color w:val="auto"/>
              </w:rPr>
            </w:pPr>
            <w:r>
              <w:rPr>
                <w:rFonts w:ascii="Arial" w:cs="Arial" w:eastAsia="Arial" w:hAnsi="Arial"/>
                <w:sz w:val="18"/>
                <w:szCs w:val="18"/>
                <w:color w:val="auto"/>
              </w:rPr>
              <w:t>Restructuring and other</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2"/>
        </w:trPr>
        <w:tc>
          <w:tcPr>
            <w:tcW w:w="5320" w:type="dxa"/>
            <w:vAlign w:val="bottom"/>
          </w:tcPr>
          <w:p>
            <w:pPr>
              <w:ind w:left="20"/>
              <w:spacing w:after="0" w:line="222" w:lineRule="exact"/>
              <w:rPr>
                <w:sz w:val="20"/>
                <w:szCs w:val="20"/>
                <w:color w:val="auto"/>
              </w:rPr>
            </w:pPr>
            <w:r>
              <w:rPr>
                <w:rFonts w:ascii="Arial" w:cs="Arial" w:eastAsia="Arial" w:hAnsi="Arial"/>
                <w:sz w:val="18"/>
                <w:szCs w:val="18"/>
                <w:b w:val="1"/>
                <w:bCs w:val="1"/>
                <w:color w:val="auto"/>
              </w:rPr>
              <w:t xml:space="preserve">Income from operations </w:t>
            </w:r>
            <w:r>
              <w:rPr>
                <w:rFonts w:ascii="Arial" w:cs="Arial" w:eastAsia="Arial" w:hAnsi="Arial"/>
                <w:sz w:val="23"/>
                <w:szCs w:val="23"/>
                <w:b w:val="1"/>
                <w:bCs w:val="1"/>
                <w:color w:val="auto"/>
                <w:vertAlign w:val="superscript"/>
              </w:rPr>
              <w:t>(1)</w:t>
            </w:r>
          </w:p>
        </w:tc>
        <w:tc>
          <w:tcPr>
            <w:tcW w:w="220" w:type="dxa"/>
            <w:vAlign w:val="bottom"/>
          </w:tcPr>
          <w:p>
            <w:pPr>
              <w:spacing w:after="0"/>
              <w:rPr>
                <w:sz w:val="19"/>
                <w:szCs w:val="19"/>
                <w:color w:val="auto"/>
              </w:rPr>
            </w:pPr>
          </w:p>
        </w:tc>
        <w:tc>
          <w:tcPr>
            <w:tcW w:w="1080" w:type="dxa"/>
            <w:vAlign w:val="bottom"/>
          </w:tcPr>
          <w:p>
            <w:pPr>
              <w:jc w:val="right"/>
              <w:ind w:right="251"/>
              <w:spacing w:after="0"/>
              <w:rPr>
                <w:sz w:val="20"/>
                <w:szCs w:val="20"/>
                <w:color w:val="auto"/>
              </w:rPr>
            </w:pPr>
            <w:r>
              <w:rPr>
                <w:rFonts w:ascii="Arial" w:cs="Arial" w:eastAsia="Arial" w:hAnsi="Arial"/>
                <w:sz w:val="18"/>
                <w:szCs w:val="18"/>
                <w:b w:val="1"/>
                <w:bCs w:val="1"/>
                <w:color w:val="auto"/>
              </w:rPr>
              <w:t>374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b w:val="1"/>
                <w:bCs w:val="1"/>
                <w:color w:val="auto"/>
              </w:rPr>
              <w:t>297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251"/>
              <w:spacing w:after="0"/>
              <w:rPr>
                <w:sz w:val="20"/>
                <w:szCs w:val="20"/>
                <w:color w:val="auto"/>
              </w:rPr>
            </w:pPr>
            <w:r>
              <w:rPr>
                <w:rFonts w:ascii="Arial" w:cs="Arial" w:eastAsia="Arial" w:hAnsi="Arial"/>
                <w:sz w:val="18"/>
                <w:szCs w:val="18"/>
                <w:b w:val="1"/>
                <w:bCs w:val="1"/>
                <w:color w:val="auto"/>
              </w:rPr>
              <w:t>1,010</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b w:val="1"/>
                <w:bCs w:val="1"/>
                <w:color w:val="auto"/>
              </w:rPr>
              <w:t>1,107</w:t>
            </w:r>
          </w:p>
        </w:tc>
        <w:tc>
          <w:tcPr>
            <w:tcW w:w="0" w:type="dxa"/>
            <w:vAlign w:val="bottom"/>
          </w:tcPr>
          <w:p>
            <w:pPr>
              <w:spacing w:after="0"/>
              <w:rPr>
                <w:sz w:val="1"/>
                <w:szCs w:val="1"/>
                <w:color w:val="auto"/>
              </w:rPr>
            </w:pPr>
          </w:p>
        </w:tc>
      </w:tr>
      <w:tr>
        <w:trPr>
          <w:trHeight w:val="229"/>
        </w:trPr>
        <w:tc>
          <w:tcPr>
            <w:tcW w:w="5320" w:type="dxa"/>
            <w:vAlign w:val="bottom"/>
          </w:tcPr>
          <w:p>
            <w:pPr>
              <w:ind w:left="180"/>
              <w:spacing w:after="0"/>
              <w:rPr>
                <w:sz w:val="20"/>
                <w:szCs w:val="20"/>
                <w:color w:val="auto"/>
              </w:rPr>
            </w:pPr>
            <w:r>
              <w:rPr>
                <w:rFonts w:ascii="Arial" w:cs="Arial" w:eastAsia="Arial" w:hAnsi="Arial"/>
                <w:sz w:val="18"/>
                <w:szCs w:val="18"/>
                <w:color w:val="auto"/>
              </w:rPr>
              <w:t>Loss on debt extinguishment</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5320" w:type="dxa"/>
            <w:vAlign w:val="bottom"/>
          </w:tcPr>
          <w:p>
            <w:pPr>
              <w:ind w:left="180"/>
              <w:spacing w:after="0"/>
              <w:rPr>
                <w:sz w:val="20"/>
                <w:szCs w:val="20"/>
                <w:color w:val="auto"/>
              </w:rPr>
            </w:pPr>
            <w:r>
              <w:rPr>
                <w:rFonts w:ascii="Arial" w:cs="Arial" w:eastAsia="Arial" w:hAnsi="Arial"/>
                <w:sz w:val="18"/>
                <w:szCs w:val="18"/>
                <w:color w:val="auto"/>
              </w:rPr>
              <w:t>Other pension and postretirement</w:t>
            </w:r>
          </w:p>
        </w:tc>
        <w:tc>
          <w:tcPr>
            <w:tcW w:w="220" w:type="dxa"/>
            <w:vAlign w:val="bottom"/>
          </w:tcPr>
          <w:p>
            <w:pPr>
              <w:spacing w:after="0"/>
              <w:rPr>
                <w:sz w:val="19"/>
                <w:szCs w:val="19"/>
                <w:color w:val="auto"/>
              </w:rPr>
            </w:pPr>
          </w:p>
        </w:tc>
        <w:tc>
          <w:tcPr>
            <w:tcW w:w="1080" w:type="dxa"/>
            <w:vAlign w:val="bottom"/>
          </w:tcPr>
          <w:p>
            <w:pPr>
              <w:jc w:val="right"/>
              <w:ind w:right="251"/>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251"/>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5320" w:type="dxa"/>
            <w:vAlign w:val="bottom"/>
          </w:tcPr>
          <w:p>
            <w:pPr>
              <w:ind w:left="180"/>
              <w:spacing w:after="0"/>
              <w:rPr>
                <w:sz w:val="20"/>
                <w:szCs w:val="20"/>
                <w:color w:val="auto"/>
              </w:rPr>
            </w:pPr>
            <w:r>
              <w:rPr>
                <w:rFonts w:ascii="Arial" w:cs="Arial" w:eastAsia="Arial" w:hAnsi="Arial"/>
                <w:sz w:val="18"/>
                <w:szCs w:val="18"/>
                <w:color w:val="auto"/>
              </w:rPr>
              <w:t>Foreign exchange</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2"/>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Earnings before interest and taxes</w:t>
            </w:r>
          </w:p>
        </w:tc>
        <w:tc>
          <w:tcPr>
            <w:tcW w:w="220" w:type="dxa"/>
            <w:vAlign w:val="bottom"/>
          </w:tcPr>
          <w:p>
            <w:pPr>
              <w:spacing w:after="0"/>
              <w:rPr>
                <w:sz w:val="19"/>
                <w:szCs w:val="19"/>
                <w:color w:val="auto"/>
              </w:rPr>
            </w:pPr>
          </w:p>
        </w:tc>
        <w:tc>
          <w:tcPr>
            <w:tcW w:w="1080" w:type="dxa"/>
            <w:vAlign w:val="bottom"/>
          </w:tcPr>
          <w:p>
            <w:pPr>
              <w:jc w:val="right"/>
              <w:ind w:right="251"/>
              <w:spacing w:after="0"/>
              <w:rPr>
                <w:sz w:val="20"/>
                <w:szCs w:val="20"/>
                <w:color w:val="auto"/>
              </w:rPr>
            </w:pPr>
            <w:r>
              <w:rPr>
                <w:rFonts w:ascii="Arial" w:cs="Arial" w:eastAsia="Arial" w:hAnsi="Arial"/>
                <w:sz w:val="18"/>
                <w:szCs w:val="18"/>
                <w:b w:val="1"/>
                <w:bCs w:val="1"/>
                <w:color w:val="auto"/>
              </w:rPr>
              <w:t>350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b w:val="1"/>
                <w:bCs w:val="1"/>
                <w:color w:val="auto"/>
              </w:rPr>
              <w:t>276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251"/>
              <w:spacing w:after="0"/>
              <w:rPr>
                <w:sz w:val="20"/>
                <w:szCs w:val="20"/>
                <w:color w:val="auto"/>
              </w:rPr>
            </w:pPr>
            <w:r>
              <w:rPr>
                <w:rFonts w:ascii="Arial" w:cs="Arial" w:eastAsia="Arial" w:hAnsi="Arial"/>
                <w:sz w:val="18"/>
                <w:szCs w:val="18"/>
                <w:b w:val="1"/>
                <w:bCs w:val="1"/>
                <w:color w:val="auto"/>
              </w:rPr>
              <w:t>941</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b w:val="1"/>
                <w:bCs w:val="1"/>
                <w:color w:val="auto"/>
              </w:rPr>
              <w:t>1,097</w:t>
            </w:r>
          </w:p>
        </w:tc>
        <w:tc>
          <w:tcPr>
            <w:tcW w:w="0" w:type="dxa"/>
            <w:vAlign w:val="bottom"/>
          </w:tcPr>
          <w:p>
            <w:pPr>
              <w:spacing w:after="0"/>
              <w:rPr>
                <w:sz w:val="1"/>
                <w:szCs w:val="1"/>
                <w:color w:val="auto"/>
              </w:rPr>
            </w:pPr>
          </w:p>
        </w:tc>
      </w:tr>
      <w:tr>
        <w:trPr>
          <w:trHeight w:val="229"/>
        </w:trPr>
        <w:tc>
          <w:tcPr>
            <w:tcW w:w="53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080" w:type="dxa"/>
            <w:vAlign w:val="bottom"/>
          </w:tcPr>
          <w:p>
            <w:pPr>
              <w:jc w:val="right"/>
              <w:ind w:right="251"/>
              <w:spacing w:after="0"/>
              <w:rPr>
                <w:sz w:val="20"/>
                <w:szCs w:val="20"/>
                <w:color w:val="auto"/>
              </w:rPr>
            </w:pPr>
            <w:r>
              <w:rPr>
                <w:rFonts w:ascii="Arial" w:cs="Arial" w:eastAsia="Arial" w:hAnsi="Arial"/>
                <w:sz w:val="18"/>
                <w:szCs w:val="18"/>
                <w:color w:val="auto"/>
              </w:rPr>
              <w:t>111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76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251"/>
              <w:spacing w:after="0"/>
              <w:rPr>
                <w:sz w:val="20"/>
                <w:szCs w:val="20"/>
                <w:color w:val="auto"/>
              </w:rPr>
            </w:pPr>
            <w:r>
              <w:rPr>
                <w:rFonts w:ascii="Arial" w:cs="Arial" w:eastAsia="Arial" w:hAnsi="Arial"/>
                <w:sz w:val="18"/>
                <w:szCs w:val="18"/>
                <w:color w:val="auto"/>
              </w:rPr>
              <w:t>323</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30"/>
        </w:trPr>
        <w:tc>
          <w:tcPr>
            <w:tcW w:w="532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2"/>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Income from operations before income taxes</w:t>
            </w:r>
          </w:p>
        </w:tc>
        <w:tc>
          <w:tcPr>
            <w:tcW w:w="220" w:type="dxa"/>
            <w:vAlign w:val="bottom"/>
          </w:tcPr>
          <w:p>
            <w:pPr>
              <w:spacing w:after="0"/>
              <w:rPr>
                <w:sz w:val="19"/>
                <w:szCs w:val="19"/>
                <w:color w:val="auto"/>
              </w:rPr>
            </w:pPr>
          </w:p>
        </w:tc>
        <w:tc>
          <w:tcPr>
            <w:tcW w:w="1080" w:type="dxa"/>
            <w:vAlign w:val="bottom"/>
          </w:tcPr>
          <w:p>
            <w:pPr>
              <w:jc w:val="right"/>
              <w:ind w:right="251"/>
              <w:spacing w:after="0"/>
              <w:rPr>
                <w:sz w:val="20"/>
                <w:szCs w:val="20"/>
                <w:color w:val="auto"/>
              </w:rPr>
            </w:pPr>
            <w:r>
              <w:rPr>
                <w:rFonts w:ascii="Arial" w:cs="Arial" w:eastAsia="Arial" w:hAnsi="Arial"/>
                <w:sz w:val="18"/>
                <w:szCs w:val="18"/>
                <w:b w:val="1"/>
                <w:bCs w:val="1"/>
                <w:color w:val="auto"/>
              </w:rPr>
              <w:t>252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b w:val="1"/>
                <w:bCs w:val="1"/>
                <w:color w:val="auto"/>
              </w:rPr>
              <w:t>203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251"/>
              <w:spacing w:after="0"/>
              <w:rPr>
                <w:sz w:val="20"/>
                <w:szCs w:val="20"/>
                <w:color w:val="auto"/>
              </w:rPr>
            </w:pPr>
            <w:r>
              <w:rPr>
                <w:rFonts w:ascii="Arial" w:cs="Arial" w:eastAsia="Arial" w:hAnsi="Arial"/>
                <w:sz w:val="18"/>
                <w:szCs w:val="18"/>
                <w:b w:val="1"/>
                <w:bCs w:val="1"/>
                <w:color w:val="auto"/>
              </w:rPr>
              <w:t>652</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b w:val="1"/>
                <w:bCs w:val="1"/>
                <w:color w:val="auto"/>
              </w:rPr>
              <w:t>912</w:t>
            </w:r>
          </w:p>
        </w:tc>
        <w:tc>
          <w:tcPr>
            <w:tcW w:w="0" w:type="dxa"/>
            <w:vAlign w:val="bottom"/>
          </w:tcPr>
          <w:p>
            <w:pPr>
              <w:spacing w:after="0"/>
              <w:rPr>
                <w:sz w:val="1"/>
                <w:szCs w:val="1"/>
                <w:color w:val="auto"/>
              </w:rPr>
            </w:pPr>
          </w:p>
        </w:tc>
      </w:tr>
      <w:tr>
        <w:trPr>
          <w:trHeight w:val="230"/>
        </w:trPr>
        <w:tc>
          <w:tcPr>
            <w:tcW w:w="5320" w:type="dxa"/>
            <w:vAlign w:val="bottom"/>
          </w:tcPr>
          <w:p>
            <w:pPr>
              <w:ind w:left="180"/>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19"/>
                <w:szCs w:val="19"/>
                <w:color w:val="auto"/>
              </w:rPr>
            </w:pPr>
          </w:p>
        </w:tc>
        <w:tc>
          <w:tcPr>
            <w:tcW w:w="1080" w:type="dxa"/>
            <w:vAlign w:val="bottom"/>
          </w:tcPr>
          <w:p>
            <w:pPr>
              <w:jc w:val="right"/>
              <w:ind w:right="251"/>
              <w:spacing w:after="0"/>
              <w:rPr>
                <w:sz w:val="20"/>
                <w:szCs w:val="20"/>
                <w:color w:val="auto"/>
              </w:rPr>
            </w:pPr>
            <w:r>
              <w:rPr>
                <w:rFonts w:ascii="Arial" w:cs="Arial" w:eastAsia="Arial" w:hAnsi="Arial"/>
                <w:sz w:val="18"/>
                <w:szCs w:val="18"/>
                <w:color w:val="auto"/>
              </w:rPr>
              <w:t>62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color w:val="auto"/>
              </w:rPr>
              <w:t>55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251"/>
              <w:spacing w:after="0"/>
              <w:rPr>
                <w:sz w:val="20"/>
                <w:szCs w:val="20"/>
                <w:color w:val="auto"/>
              </w:rPr>
            </w:pPr>
            <w:r>
              <w:rPr>
                <w:rFonts w:ascii="Arial" w:cs="Arial" w:eastAsia="Arial" w:hAnsi="Arial"/>
                <w:sz w:val="18"/>
                <w:szCs w:val="18"/>
                <w:color w:val="auto"/>
              </w:rPr>
              <w:t>163</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30"/>
        </w:trPr>
        <w:tc>
          <w:tcPr>
            <w:tcW w:w="5320" w:type="dxa"/>
            <w:vAlign w:val="bottom"/>
          </w:tcPr>
          <w:p>
            <w:pPr>
              <w:ind w:left="180"/>
              <w:spacing w:after="0"/>
              <w:rPr>
                <w:sz w:val="20"/>
                <w:szCs w:val="20"/>
                <w:color w:val="auto"/>
              </w:rPr>
            </w:pPr>
            <w:r>
              <w:rPr>
                <w:rFonts w:ascii="Arial" w:cs="Arial" w:eastAsia="Arial" w:hAnsi="Arial"/>
                <w:sz w:val="18"/>
                <w:szCs w:val="18"/>
                <w:color w:val="auto"/>
              </w:rPr>
              <w:t>Equity earnings</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2"/>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Pr>
          <w:p>
            <w:pPr>
              <w:spacing w:after="0"/>
              <w:rPr>
                <w:sz w:val="19"/>
                <w:szCs w:val="19"/>
                <w:color w:val="auto"/>
              </w:rPr>
            </w:pPr>
          </w:p>
        </w:tc>
        <w:tc>
          <w:tcPr>
            <w:tcW w:w="1080" w:type="dxa"/>
            <w:vAlign w:val="bottom"/>
          </w:tcPr>
          <w:p>
            <w:pPr>
              <w:jc w:val="right"/>
              <w:ind w:right="251"/>
              <w:spacing w:after="0"/>
              <w:rPr>
                <w:sz w:val="20"/>
                <w:szCs w:val="20"/>
                <w:color w:val="auto"/>
              </w:rPr>
            </w:pPr>
            <w:r>
              <w:rPr>
                <w:rFonts w:ascii="Arial" w:cs="Arial" w:eastAsia="Arial" w:hAnsi="Arial"/>
                <w:sz w:val="18"/>
                <w:szCs w:val="18"/>
                <w:b w:val="1"/>
                <w:bCs w:val="1"/>
                <w:color w:val="auto"/>
              </w:rPr>
              <w:t>200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b w:val="1"/>
                <w:bCs w:val="1"/>
                <w:color w:val="auto"/>
              </w:rPr>
              <w:t>158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251"/>
              <w:spacing w:after="0"/>
              <w:rPr>
                <w:sz w:val="20"/>
                <w:szCs w:val="20"/>
                <w:color w:val="auto"/>
              </w:rPr>
            </w:pPr>
            <w:r>
              <w:rPr>
                <w:rFonts w:ascii="Arial" w:cs="Arial" w:eastAsia="Arial" w:hAnsi="Arial"/>
                <w:sz w:val="18"/>
                <w:szCs w:val="18"/>
                <w:b w:val="1"/>
                <w:bCs w:val="1"/>
                <w:color w:val="auto"/>
              </w:rPr>
              <w:t>509</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b w:val="1"/>
                <w:bCs w:val="1"/>
                <w:color w:val="auto"/>
              </w:rPr>
              <w:t>733</w:t>
            </w:r>
          </w:p>
        </w:tc>
        <w:tc>
          <w:tcPr>
            <w:tcW w:w="0" w:type="dxa"/>
            <w:vAlign w:val="bottom"/>
          </w:tcPr>
          <w:p>
            <w:pPr>
              <w:spacing w:after="0"/>
              <w:rPr>
                <w:sz w:val="1"/>
                <w:szCs w:val="1"/>
                <w:color w:val="auto"/>
              </w:rPr>
            </w:pPr>
          </w:p>
        </w:tc>
      </w:tr>
      <w:tr>
        <w:trPr>
          <w:trHeight w:val="230"/>
        </w:trPr>
        <w:tc>
          <w:tcPr>
            <w:tcW w:w="5320" w:type="dxa"/>
            <w:vAlign w:val="bottom"/>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91</w:t>
            </w:r>
          </w:p>
        </w:tc>
        <w:tc>
          <w:tcPr>
            <w:tcW w:w="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3"/>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Net income attributable to Crown Holdings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159</w:t>
            </w:r>
          </w:p>
        </w:tc>
        <w:tc>
          <w:tcPr>
            <w:tcW w:w="2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127</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418</w:t>
            </w:r>
          </w:p>
        </w:tc>
        <w:tc>
          <w:tcPr>
            <w:tcW w:w="24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638</w:t>
            </w:r>
          </w:p>
        </w:tc>
        <w:tc>
          <w:tcPr>
            <w:tcW w:w="0" w:type="dxa"/>
            <w:vAlign w:val="bottom"/>
          </w:tcPr>
          <w:p>
            <w:pPr>
              <w:spacing w:after="0"/>
              <w:rPr>
                <w:sz w:val="1"/>
                <w:szCs w:val="1"/>
                <w:color w:val="auto"/>
              </w:rPr>
            </w:pPr>
          </w:p>
        </w:tc>
      </w:tr>
      <w:tr>
        <w:trPr>
          <w:trHeight w:val="20"/>
        </w:trPr>
        <w:tc>
          <w:tcPr>
            <w:tcW w:w="53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Earnings per share attributable to Crown Holdings common</w:t>
            </w: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53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shareholders:</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320" w:type="dxa"/>
            <w:vAlign w:val="bottom"/>
          </w:tcPr>
          <w:p>
            <w:pPr>
              <w:ind w:left="26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24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3.50</w:t>
            </w:r>
          </w:p>
        </w:tc>
        <w:tc>
          <w:tcPr>
            <w:tcW w:w="240" w:type="dxa"/>
            <w:vAlign w:val="bottom"/>
          </w:tcPr>
          <w:p>
            <w:pPr>
              <w:spacing w:after="0"/>
              <w:rPr>
                <w:sz w:val="20"/>
                <w:szCs w:val="20"/>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320" w:type="dxa"/>
            <w:vAlign w:val="bottom"/>
          </w:tcPr>
          <w:p>
            <w:pPr>
              <w:ind w:left="26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2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3.49</w:t>
            </w:r>
          </w:p>
        </w:tc>
        <w:tc>
          <w:tcPr>
            <w:tcW w:w="24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3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Weighted average common shares outstanding:</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26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9"/>
              </w:rPr>
              <w:t>119,495,455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9"/>
              </w:rPr>
              <w:t>119,698,219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119,375,527</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7"/>
              </w:rPr>
              <w:t>121,426,827</w:t>
            </w:r>
          </w:p>
        </w:tc>
        <w:tc>
          <w:tcPr>
            <w:tcW w:w="0" w:type="dxa"/>
            <w:vAlign w:val="bottom"/>
          </w:tcPr>
          <w:p>
            <w:pPr>
              <w:spacing w:after="0"/>
              <w:rPr>
                <w:sz w:val="1"/>
                <w:szCs w:val="1"/>
                <w:color w:val="auto"/>
              </w:rPr>
            </w:pPr>
          </w:p>
        </w:tc>
      </w:tr>
      <w:tr>
        <w:trPr>
          <w:trHeight w:val="230"/>
        </w:trPr>
        <w:tc>
          <w:tcPr>
            <w:tcW w:w="5320" w:type="dxa"/>
            <w:vAlign w:val="bottom"/>
          </w:tcPr>
          <w:p>
            <w:pPr>
              <w:ind w:left="26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9"/>
              </w:rPr>
              <w:t>119,740,429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9"/>
              </w:rPr>
              <w:t>120,198,847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119,658,885</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7"/>
              </w:rPr>
              <w:t>122,053,031</w:t>
            </w:r>
          </w:p>
        </w:tc>
        <w:tc>
          <w:tcPr>
            <w:tcW w:w="0" w:type="dxa"/>
            <w:vAlign w:val="bottom"/>
          </w:tcPr>
          <w:p>
            <w:pPr>
              <w:spacing w:after="0"/>
              <w:rPr>
                <w:sz w:val="1"/>
                <w:szCs w:val="1"/>
                <w:color w:val="auto"/>
              </w:rPr>
            </w:pPr>
          </w:p>
        </w:tc>
      </w:tr>
      <w:tr>
        <w:trPr>
          <w:trHeight w:val="230"/>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Actual common shares outstanding at quarter end</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120,646,389</w:t>
            </w: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119,946,169</w:t>
            </w: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120,646,389</w:t>
            </w:r>
          </w:p>
        </w:tc>
        <w:tc>
          <w:tcPr>
            <w:tcW w:w="2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119,946,169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5180" w:right="5160" w:hanging="4929"/>
        <w:spacing w:after="0" w:line="1042" w:lineRule="auto"/>
        <w:tabs>
          <w:tab w:leader="none" w:pos="437"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Reconciliation from income from operations to segment income follows. Page 4 of 11</w:t>
      </w:r>
    </w:p>
    <w:p>
      <w:pPr>
        <w:sectPr>
          <w:pgSz w:w="11900" w:h="16838" w:orient="portrait"/>
          <w:cols w:equalWidth="0" w:num="1">
            <w:col w:w="11240"/>
          </w:cols>
          <w:pgMar w:left="320" w:top="595" w:right="339" w:bottom="1440" w:gutter="0" w:footer="0" w:header="0"/>
        </w:sectPr>
      </w:pPr>
    </w:p>
    <w:bookmarkStart w:id="8" w:name="page9"/>
    <w:bookmarkEnd w:id="8"/>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-128270</wp:posOffset>
            </wp:positionV>
            <wp:extent cx="1551305" cy="4972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21" w:lineRule="auto"/>
        <w:rPr>
          <w:sz w:val="20"/>
          <w:szCs w:val="20"/>
          <w:color w:val="auto"/>
        </w:rPr>
      </w:pPr>
      <w:r>
        <w:rPr>
          <w:rFonts w:ascii="Arial" w:cs="Arial" w:eastAsia="Arial" w:hAnsi="Arial"/>
          <w:sz w:val="14"/>
          <w:szCs w:val="14"/>
          <w:color w:val="auto"/>
        </w:rPr>
        <w:t>14025 Riveredge Drive, Suite 300</w:t>
      </w:r>
    </w:p>
    <w:p>
      <w:pPr>
        <w:ind w:left="80"/>
        <w:spacing w:after="0"/>
        <w:rPr>
          <w:sz w:val="20"/>
          <w:szCs w:val="20"/>
          <w:color w:val="auto"/>
        </w:rPr>
      </w:pPr>
      <w:r>
        <w:rPr>
          <w:rFonts w:ascii="Arial" w:cs="Arial" w:eastAsia="Arial" w:hAnsi="Arial"/>
          <w:sz w:val="14"/>
          <w:szCs w:val="14"/>
          <w:color w:val="auto"/>
        </w:rPr>
        <w:t>Tampa, FL 33637</w:t>
      </w:r>
    </w:p>
    <w:p>
      <w:pPr>
        <w:spacing w:after="0" w:line="200" w:lineRule="exact"/>
        <w:rPr>
          <w:sz w:val="20"/>
          <w:szCs w:val="20"/>
          <w:color w:val="auto"/>
        </w:rPr>
      </w:pPr>
    </w:p>
    <w:p>
      <w:pPr>
        <w:spacing w:after="0" w:line="331" w:lineRule="exact"/>
        <w:rPr>
          <w:sz w:val="20"/>
          <w:szCs w:val="20"/>
          <w:color w:val="auto"/>
        </w:rPr>
      </w:pPr>
    </w:p>
    <w:p>
      <w:pPr>
        <w:ind w:left="3820"/>
        <w:spacing w:after="0"/>
        <w:rPr>
          <w:sz w:val="20"/>
          <w:szCs w:val="20"/>
          <w:color w:val="auto"/>
        </w:rPr>
      </w:pPr>
      <w:r>
        <w:rPr>
          <w:rFonts w:ascii="Arial" w:cs="Arial" w:eastAsia="Arial" w:hAnsi="Arial"/>
          <w:sz w:val="18"/>
          <w:szCs w:val="18"/>
          <w:b w:val="1"/>
          <w:bCs w:val="1"/>
          <w:u w:val="single" w:color="auto"/>
          <w:color w:val="auto"/>
        </w:rPr>
        <w:t>Consolidated Supplemental Financial Data (Unaudited)</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from Income from Operations to Segment Income</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views segment income, as defined below, as a principal measure of performance of its operations and for the allocation of resources. Segment income is defined by the Company as income from operations adjusted to exclude intangibles amortization charges and provisions for restructuring and other.</w:t>
      </w:r>
    </w:p>
    <w:p>
      <w:pPr>
        <w:spacing w:after="0" w:line="73" w:lineRule="exact"/>
        <w:rPr>
          <w:sz w:val="20"/>
          <w:szCs w:val="20"/>
          <w:color w:val="auto"/>
        </w:rPr>
      </w:pPr>
    </w:p>
    <w:tbl>
      <w:tblPr>
        <w:tblLayout w:type="fixed"/>
        <w:tblInd w:w="1400" w:type="dxa"/>
        <w:tblCellMar>
          <w:top w:w="0" w:type="dxa"/>
          <w:left w:w="0" w:type="dxa"/>
          <w:bottom w:w="0" w:type="dxa"/>
          <w:right w:w="0" w:type="dxa"/>
        </w:tblCellMar>
      </w:tblPr>
      <w:tr>
        <w:trPr>
          <w:trHeight w:val="207"/>
        </w:trPr>
        <w:tc>
          <w:tcPr>
            <w:tcW w:w="2760" w:type="dxa"/>
            <w:vAlign w:val="bottom"/>
          </w:tcPr>
          <w:p>
            <w:pPr>
              <w:spacing w:after="0"/>
              <w:rPr>
                <w:sz w:val="17"/>
                <w:szCs w:val="17"/>
                <w:color w:val="auto"/>
              </w:rPr>
            </w:pPr>
          </w:p>
        </w:tc>
        <w:tc>
          <w:tcPr>
            <w:tcW w:w="214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0" w:type="dxa"/>
            <w:vAlign w:val="bottom"/>
            <w:gridSpan w:val="6"/>
          </w:tcPr>
          <w:p>
            <w:pPr>
              <w:jc w:val="center"/>
              <w:spacing w:after="0"/>
              <w:rPr>
                <w:sz w:val="20"/>
                <w:szCs w:val="20"/>
                <w:color w:val="auto"/>
              </w:rPr>
            </w:pPr>
            <w:r>
              <w:rPr>
                <w:rFonts w:ascii="Arial" w:cs="Arial" w:eastAsia="Arial" w:hAnsi="Arial"/>
                <w:sz w:val="18"/>
                <w:szCs w:val="18"/>
                <w:b w:val="1"/>
                <w:bCs w:val="1"/>
                <w:color w:val="auto"/>
                <w:w w:val="90"/>
              </w:rPr>
              <w:t>Nine Months Ended September</w:t>
            </w:r>
          </w:p>
        </w:tc>
      </w:tr>
      <w:tr>
        <w:trPr>
          <w:trHeight w:val="234"/>
        </w:trPr>
        <w:tc>
          <w:tcPr>
            <w:tcW w:w="2760" w:type="dxa"/>
            <w:vAlign w:val="bottom"/>
          </w:tcPr>
          <w:p>
            <w:pPr>
              <w:spacing w:after="0"/>
              <w:rPr>
                <w:sz w:val="20"/>
                <w:szCs w:val="20"/>
                <w:color w:val="auto"/>
              </w:rPr>
            </w:pPr>
          </w:p>
        </w:tc>
        <w:tc>
          <w:tcPr>
            <w:tcW w:w="214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rPr>
              <w:t>September 30,</w:t>
            </w:r>
          </w:p>
        </w:tc>
        <w:tc>
          <w:tcPr>
            <w:tcW w:w="400" w:type="dxa"/>
            <w:vAlign w:val="bottom"/>
            <w:tcBorders>
              <w:bottom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30,</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37"/>
        </w:trPr>
        <w:tc>
          <w:tcPr>
            <w:tcW w:w="276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3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00" w:type="dxa"/>
            <w:vAlign w:val="bottom"/>
            <w:tcBorders>
              <w:bottom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r>
      <w:tr>
        <w:trPr>
          <w:trHeight w:val="237"/>
        </w:trPr>
        <w:tc>
          <w:tcPr>
            <w:tcW w:w="27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760" w:type="dxa"/>
            <w:vAlign w:val="bottom"/>
          </w:tcPr>
          <w:p>
            <w:pPr>
              <w:jc w:val="right"/>
              <w:ind w:right="57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w w:val="86"/>
              </w:rPr>
              <w:t>374</w:t>
            </w:r>
          </w:p>
        </w:tc>
        <w:tc>
          <w:tcPr>
            <w:tcW w:w="220" w:type="dxa"/>
            <w:vAlign w:val="bottom"/>
          </w:tcPr>
          <w:p>
            <w:pPr>
              <w:spacing w:after="0"/>
              <w:rPr>
                <w:sz w:val="20"/>
                <w:szCs w:val="20"/>
                <w:color w:val="auto"/>
              </w:rPr>
            </w:pPr>
          </w:p>
        </w:tc>
        <w:tc>
          <w:tcPr>
            <w:tcW w:w="780" w:type="dxa"/>
            <w:vAlign w:val="bottom"/>
          </w:tcPr>
          <w:p>
            <w:pPr>
              <w:jc w:val="right"/>
              <w:ind w:right="57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297</w:t>
            </w:r>
          </w:p>
        </w:tc>
        <w:tc>
          <w:tcPr>
            <w:tcW w:w="58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1,010</w:t>
            </w:r>
          </w:p>
        </w:tc>
        <w:tc>
          <w:tcPr>
            <w:tcW w:w="52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1,107</w:t>
            </w:r>
          </w:p>
        </w:tc>
      </w:tr>
      <w:tr>
        <w:trPr>
          <w:trHeight w:val="257"/>
        </w:trPr>
        <w:tc>
          <w:tcPr>
            <w:tcW w:w="2760" w:type="dxa"/>
            <w:vAlign w:val="bottom"/>
          </w:tcPr>
          <w:p>
            <w:pPr>
              <w:spacing w:after="0"/>
              <w:rPr>
                <w:sz w:val="20"/>
                <w:szCs w:val="20"/>
                <w:color w:val="auto"/>
              </w:rPr>
            </w:pPr>
            <w:r>
              <w:rPr>
                <w:rFonts w:ascii="Arial" w:cs="Arial" w:eastAsia="Arial" w:hAnsi="Arial"/>
                <w:sz w:val="18"/>
                <w:szCs w:val="18"/>
                <w:color w:val="auto"/>
              </w:rPr>
              <w:t>Intangibles amortization</w:t>
            </w:r>
          </w:p>
        </w:tc>
        <w:tc>
          <w:tcPr>
            <w:tcW w:w="760" w:type="dxa"/>
            <w:vAlign w:val="bottom"/>
          </w:tcPr>
          <w:p>
            <w:pPr>
              <w:spacing w:after="0"/>
              <w:rPr>
                <w:sz w:val="22"/>
                <w:szCs w:val="22"/>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119</w:t>
            </w:r>
          </w:p>
        </w:tc>
      </w:tr>
      <w:tr>
        <w:trPr>
          <w:trHeight w:val="256"/>
        </w:trPr>
        <w:tc>
          <w:tcPr>
            <w:tcW w:w="2760" w:type="dxa"/>
            <w:vAlign w:val="bottom"/>
          </w:tcPr>
          <w:p>
            <w:pPr>
              <w:spacing w:after="0"/>
              <w:rPr>
                <w:sz w:val="20"/>
                <w:szCs w:val="20"/>
                <w:color w:val="auto"/>
              </w:rPr>
            </w:pPr>
            <w:r>
              <w:rPr>
                <w:rFonts w:ascii="Arial" w:cs="Arial" w:eastAsia="Arial" w:hAnsi="Arial"/>
                <w:sz w:val="18"/>
                <w:szCs w:val="18"/>
                <w:color w:val="auto"/>
              </w:rPr>
              <w:t>Restructuring and other</w:t>
            </w:r>
          </w:p>
        </w:tc>
        <w:tc>
          <w:tcPr>
            <w:tcW w:w="7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5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4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r>
      <w:tr>
        <w:trPr>
          <w:trHeight w:val="223"/>
        </w:trPr>
        <w:tc>
          <w:tcPr>
            <w:tcW w:w="2760" w:type="dxa"/>
            <w:vAlign w:val="bottom"/>
          </w:tcPr>
          <w:p>
            <w:pPr>
              <w:spacing w:after="0"/>
              <w:rPr>
                <w:sz w:val="20"/>
                <w:szCs w:val="20"/>
                <w:color w:val="auto"/>
              </w:rPr>
            </w:pPr>
            <w:r>
              <w:rPr>
                <w:rFonts w:ascii="Arial" w:cs="Arial" w:eastAsia="Arial" w:hAnsi="Arial"/>
                <w:sz w:val="18"/>
                <w:szCs w:val="18"/>
                <w:b w:val="1"/>
                <w:bCs w:val="1"/>
                <w:color w:val="auto"/>
              </w:rPr>
              <w:t>Segment income</w:t>
            </w:r>
          </w:p>
        </w:tc>
        <w:tc>
          <w:tcPr>
            <w:tcW w:w="7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79"/>
              </w:rPr>
              <w:t>$</w:t>
            </w:r>
          </w:p>
        </w:tc>
        <w:tc>
          <w:tcPr>
            <w:tcW w:w="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6"/>
              </w:rPr>
              <w:t>430</w:t>
            </w:r>
          </w:p>
        </w:tc>
        <w:tc>
          <w:tcPr>
            <w:tcW w:w="220" w:type="dxa"/>
            <w:vAlign w:val="bottom"/>
          </w:tcPr>
          <w:p>
            <w:pPr>
              <w:spacing w:after="0"/>
              <w:rPr>
                <w:sz w:val="19"/>
                <w:szCs w:val="19"/>
                <w:color w:val="auto"/>
              </w:rPr>
            </w:pPr>
          </w:p>
        </w:tc>
        <w:tc>
          <w:tcPr>
            <w:tcW w:w="7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3"/>
              </w:rPr>
              <w:t>336</w:t>
            </w:r>
          </w:p>
        </w:tc>
        <w:tc>
          <w:tcPr>
            <w:tcW w:w="5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1,164</w:t>
            </w:r>
          </w:p>
        </w:tc>
        <w:tc>
          <w:tcPr>
            <w:tcW w:w="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1,151</w:t>
            </w:r>
          </w:p>
        </w:tc>
      </w:tr>
      <w:tr>
        <w:trPr>
          <w:trHeight w:val="20"/>
        </w:trPr>
        <w:tc>
          <w:tcPr>
            <w:tcW w:w="27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Segment Information</w:t>
      </w:r>
    </w:p>
    <w:p>
      <w:pPr>
        <w:spacing w:after="0" w:line="121" w:lineRule="exact"/>
        <w:rPr>
          <w:sz w:val="20"/>
          <w:szCs w:val="20"/>
          <w:color w:val="auto"/>
        </w:rPr>
      </w:pPr>
    </w:p>
    <w:tbl>
      <w:tblPr>
        <w:tblLayout w:type="fixed"/>
        <w:tblInd w:w="1320" w:type="dxa"/>
        <w:tblCellMar>
          <w:top w:w="0" w:type="dxa"/>
          <w:left w:w="0" w:type="dxa"/>
          <w:bottom w:w="0" w:type="dxa"/>
          <w:right w:w="0" w:type="dxa"/>
        </w:tblCellMar>
      </w:tblPr>
      <w:tr>
        <w:trPr>
          <w:trHeight w:val="207"/>
        </w:trPr>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60" w:type="dxa"/>
            <w:vAlign w:val="bottom"/>
            <w:gridSpan w:val="8"/>
          </w:tcPr>
          <w:p>
            <w:pPr>
              <w:jc w:val="center"/>
              <w:ind w:right="620"/>
              <w:spacing w:after="0"/>
              <w:rPr>
                <w:sz w:val="20"/>
                <w:szCs w:val="20"/>
                <w:color w:val="auto"/>
              </w:rPr>
            </w:pPr>
            <w:r>
              <w:rPr>
                <w:rFonts w:ascii="Arial" w:cs="Arial" w:eastAsia="Arial" w:hAnsi="Arial"/>
                <w:sz w:val="18"/>
                <w:szCs w:val="18"/>
                <w:b w:val="1"/>
                <w:bCs w:val="1"/>
                <w:color w:val="auto"/>
                <w:w w:val="91"/>
              </w:rPr>
              <w:t>Three Months Ended September</w:t>
            </w:r>
          </w:p>
        </w:tc>
        <w:tc>
          <w:tcPr>
            <w:tcW w:w="2600" w:type="dxa"/>
            <w:vAlign w:val="bottom"/>
            <w:gridSpan w:val="6"/>
          </w:tcPr>
          <w:p>
            <w:pPr>
              <w:jc w:val="center"/>
              <w:spacing w:after="0"/>
              <w:rPr>
                <w:sz w:val="20"/>
                <w:szCs w:val="20"/>
                <w:color w:val="auto"/>
              </w:rPr>
            </w:pPr>
            <w:r>
              <w:rPr>
                <w:rFonts w:ascii="Arial" w:cs="Arial" w:eastAsia="Arial" w:hAnsi="Arial"/>
                <w:sz w:val="18"/>
                <w:szCs w:val="18"/>
                <w:b w:val="1"/>
                <w:bCs w:val="1"/>
                <w:color w:val="auto"/>
                <w:w w:val="90"/>
              </w:rPr>
              <w:t>Nine Months Ended September</w:t>
            </w:r>
          </w:p>
        </w:tc>
        <w:tc>
          <w:tcPr>
            <w:tcW w:w="0" w:type="dxa"/>
            <w:vAlign w:val="bottom"/>
          </w:tcPr>
          <w:p>
            <w:pPr>
              <w:spacing w:after="0"/>
              <w:rPr>
                <w:sz w:val="1"/>
                <w:szCs w:val="1"/>
                <w:color w:val="auto"/>
              </w:rPr>
            </w:pPr>
          </w:p>
        </w:tc>
      </w:tr>
      <w:tr>
        <w:trPr>
          <w:trHeight w:val="194"/>
        </w:trPr>
        <w:tc>
          <w:tcPr>
            <w:tcW w:w="274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Net Sales</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gridSpan w:val="2"/>
          </w:tcPr>
          <w:p>
            <w:pPr>
              <w:jc w:val="right"/>
              <w:spacing w:after="0" w:line="194" w:lineRule="exact"/>
              <w:rPr>
                <w:sz w:val="20"/>
                <w:szCs w:val="20"/>
                <w:color w:val="auto"/>
              </w:rPr>
            </w:pPr>
            <w:r>
              <w:rPr>
                <w:rFonts w:ascii="Arial" w:cs="Arial" w:eastAsia="Arial" w:hAnsi="Arial"/>
                <w:sz w:val="18"/>
                <w:szCs w:val="18"/>
                <w:b w:val="1"/>
                <w:bCs w:val="1"/>
                <w:color w:val="auto"/>
                <w:w w:val="87"/>
              </w:rPr>
              <w:t>30,</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gridSpan w:val="2"/>
          </w:tcPr>
          <w:p>
            <w:pPr>
              <w:jc w:val="right"/>
              <w:ind w:right="20"/>
              <w:spacing w:after="0" w:line="194" w:lineRule="exact"/>
              <w:rPr>
                <w:sz w:val="20"/>
                <w:szCs w:val="20"/>
                <w:color w:val="auto"/>
              </w:rPr>
            </w:pPr>
            <w:r>
              <w:rPr>
                <w:rFonts w:ascii="Arial" w:cs="Arial" w:eastAsia="Arial" w:hAnsi="Arial"/>
                <w:sz w:val="18"/>
                <w:szCs w:val="18"/>
                <w:b w:val="1"/>
                <w:bCs w:val="1"/>
                <w:color w:val="auto"/>
                <w:w w:val="87"/>
              </w:rPr>
              <w:t>30,</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5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2"/>
        </w:trPr>
        <w:tc>
          <w:tcPr>
            <w:tcW w:w="2740" w:type="dxa"/>
            <w:vAlign w:val="bottom"/>
            <w:gridSpan w:val="3"/>
          </w:tcPr>
          <w:p>
            <w:pPr>
              <w:spacing w:after="0"/>
              <w:rPr>
                <w:sz w:val="20"/>
                <w:szCs w:val="20"/>
                <w:color w:val="auto"/>
              </w:rPr>
            </w:pPr>
            <w:r>
              <w:rPr>
                <w:rFonts w:ascii="Arial" w:cs="Arial" w:eastAsia="Arial" w:hAnsi="Arial"/>
                <w:sz w:val="18"/>
                <w:szCs w:val="18"/>
                <w:color w:val="auto"/>
              </w:rPr>
              <w:t>Americas Beverage</w:t>
            </w:r>
          </w:p>
        </w:tc>
        <w:tc>
          <w:tcPr>
            <w:tcW w:w="280" w:type="dxa"/>
            <w:vAlign w:val="bottom"/>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1,295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1,312</w:t>
            </w:r>
          </w:p>
        </w:tc>
        <w:tc>
          <w:tcPr>
            <w:tcW w:w="5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3,848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3,916</w:t>
            </w:r>
          </w:p>
        </w:tc>
        <w:tc>
          <w:tcPr>
            <w:tcW w:w="0" w:type="dxa"/>
            <w:vAlign w:val="bottom"/>
          </w:tcPr>
          <w:p>
            <w:pPr>
              <w:spacing w:after="0"/>
              <w:rPr>
                <w:sz w:val="1"/>
                <w:szCs w:val="1"/>
                <w:color w:val="auto"/>
              </w:rPr>
            </w:pPr>
          </w:p>
        </w:tc>
      </w:tr>
      <w:tr>
        <w:trPr>
          <w:trHeight w:val="230"/>
        </w:trPr>
        <w:tc>
          <w:tcPr>
            <w:tcW w:w="2740" w:type="dxa"/>
            <w:vAlign w:val="bottom"/>
            <w:gridSpan w:val="3"/>
          </w:tcPr>
          <w:p>
            <w:pPr>
              <w:spacing w:after="0"/>
              <w:rPr>
                <w:sz w:val="20"/>
                <w:szCs w:val="20"/>
                <w:color w:val="auto"/>
              </w:rPr>
            </w:pPr>
            <w:r>
              <w:rPr>
                <w:rFonts w:ascii="Arial" w:cs="Arial" w:eastAsia="Arial" w:hAnsi="Arial"/>
                <w:sz w:val="18"/>
                <w:szCs w:val="18"/>
                <w:color w:val="auto"/>
              </w:rPr>
              <w:t>European Beverage</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552</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1,547</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1,661</w:t>
            </w:r>
          </w:p>
        </w:tc>
        <w:tc>
          <w:tcPr>
            <w:tcW w:w="0" w:type="dxa"/>
            <w:vAlign w:val="bottom"/>
          </w:tcPr>
          <w:p>
            <w:pPr>
              <w:spacing w:after="0"/>
              <w:rPr>
                <w:sz w:val="1"/>
                <w:szCs w:val="1"/>
                <w:color w:val="auto"/>
              </w:rPr>
            </w:pPr>
          </w:p>
        </w:tc>
      </w:tr>
      <w:tr>
        <w:trPr>
          <w:trHeight w:val="230"/>
        </w:trPr>
        <w:tc>
          <w:tcPr>
            <w:tcW w:w="2740" w:type="dxa"/>
            <w:vAlign w:val="bottom"/>
            <w:gridSpan w:val="3"/>
          </w:tcPr>
          <w:p>
            <w:pPr>
              <w:spacing w:after="0"/>
              <w:rPr>
                <w:sz w:val="20"/>
                <w:szCs w:val="20"/>
                <w:color w:val="auto"/>
              </w:rPr>
            </w:pPr>
            <w:r>
              <w:rPr>
                <w:rFonts w:ascii="Arial" w:cs="Arial" w:eastAsia="Arial" w:hAnsi="Arial"/>
                <w:sz w:val="18"/>
                <w:szCs w:val="18"/>
                <w:color w:val="auto"/>
              </w:rPr>
              <w:t>Asia Pacific</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375</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977</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30"/>
        </w:trPr>
        <w:tc>
          <w:tcPr>
            <w:tcW w:w="2740" w:type="dxa"/>
            <w:vAlign w:val="bottom"/>
            <w:gridSpan w:val="3"/>
          </w:tcPr>
          <w:p>
            <w:pPr>
              <w:spacing w:after="0"/>
              <w:rPr>
                <w:sz w:val="20"/>
                <w:szCs w:val="20"/>
                <w:color w:val="auto"/>
              </w:rPr>
            </w:pPr>
            <w:r>
              <w:rPr>
                <w:rFonts w:ascii="Arial" w:cs="Arial" w:eastAsia="Arial" w:hAnsi="Arial"/>
                <w:sz w:val="18"/>
                <w:szCs w:val="18"/>
                <w:color w:val="auto"/>
              </w:rPr>
              <w:t>Transit Packaging</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609</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1,715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1,957</w:t>
            </w:r>
          </w:p>
        </w:tc>
        <w:tc>
          <w:tcPr>
            <w:tcW w:w="0" w:type="dxa"/>
            <w:vAlign w:val="bottom"/>
          </w:tcPr>
          <w:p>
            <w:pPr>
              <w:spacing w:after="0"/>
              <w:rPr>
                <w:sz w:val="1"/>
                <w:szCs w:val="1"/>
                <w:color w:val="auto"/>
              </w:rPr>
            </w:pPr>
          </w:p>
        </w:tc>
      </w:tr>
      <w:tr>
        <w:trPr>
          <w:trHeight w:val="230"/>
        </w:trPr>
        <w:tc>
          <w:tcPr>
            <w:tcW w:w="2740" w:type="dxa"/>
            <w:vAlign w:val="bottom"/>
            <w:gridSpan w:val="3"/>
          </w:tcPr>
          <w:p>
            <w:pPr>
              <w:spacing w:after="0" w:line="231"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(1)</w:t>
            </w: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411</w:t>
            </w:r>
          </w:p>
        </w:tc>
        <w:tc>
          <w:tcPr>
            <w:tcW w:w="5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w:t>
            </w:r>
          </w:p>
        </w:tc>
        <w:tc>
          <w:tcPr>
            <w:tcW w:w="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23"/>
        </w:trPr>
        <w:tc>
          <w:tcPr>
            <w:tcW w:w="2740" w:type="dxa"/>
            <w:vAlign w:val="bottom"/>
            <w:gridSpan w:val="3"/>
          </w:tcPr>
          <w:p>
            <w:pPr>
              <w:ind w:left="240"/>
              <w:spacing w:after="0"/>
              <w:rPr>
                <w:sz w:val="20"/>
                <w:szCs w:val="20"/>
                <w:color w:val="auto"/>
              </w:rPr>
            </w:pPr>
            <w:r>
              <w:rPr>
                <w:rFonts w:ascii="Arial" w:cs="Arial" w:eastAsia="Arial" w:hAnsi="Arial"/>
                <w:sz w:val="18"/>
                <w:szCs w:val="18"/>
                <w:b w:val="1"/>
                <w:bCs w:val="1"/>
                <w:color w:val="auto"/>
              </w:rPr>
              <w:t>Total net sales</w:t>
            </w:r>
          </w:p>
        </w:tc>
        <w:tc>
          <w:tcPr>
            <w:tcW w:w="2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3,069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3,259</w:t>
            </w:r>
          </w:p>
        </w:tc>
        <w:tc>
          <w:tcPr>
            <w:tcW w:w="5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9,152</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9,931</w:t>
            </w:r>
          </w:p>
        </w:tc>
        <w:tc>
          <w:tcPr>
            <w:tcW w:w="0" w:type="dxa"/>
            <w:vAlign w:val="bottom"/>
          </w:tcPr>
          <w:p>
            <w:pPr>
              <w:spacing w:after="0"/>
              <w:rPr>
                <w:sz w:val="1"/>
                <w:szCs w:val="1"/>
                <w:color w:val="auto"/>
              </w:rPr>
            </w:pPr>
          </w:p>
        </w:tc>
      </w:tr>
      <w:tr>
        <w:trPr>
          <w:trHeight w:val="21"/>
        </w:trPr>
        <w:tc>
          <w:tcPr>
            <w:tcW w:w="27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Segment Income</w:t>
            </w: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1"/>
        </w:trPr>
        <w:tc>
          <w:tcPr>
            <w:tcW w:w="274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2740" w:type="dxa"/>
            <w:vAlign w:val="bottom"/>
            <w:gridSpan w:val="3"/>
          </w:tcPr>
          <w:p>
            <w:pPr>
              <w:spacing w:after="0"/>
              <w:rPr>
                <w:sz w:val="20"/>
                <w:szCs w:val="20"/>
                <w:color w:val="auto"/>
              </w:rPr>
            </w:pPr>
            <w:r>
              <w:rPr>
                <w:rFonts w:ascii="Arial" w:cs="Arial" w:eastAsia="Arial" w:hAnsi="Arial"/>
                <w:sz w:val="18"/>
                <w:szCs w:val="18"/>
                <w:color w:val="auto"/>
              </w:rPr>
              <w:t>Americas Beverage</w:t>
            </w:r>
          </w:p>
        </w:tc>
        <w:tc>
          <w:tcPr>
            <w:tcW w:w="2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232</w:t>
            </w:r>
          </w:p>
        </w:tc>
        <w:tc>
          <w:tcPr>
            <w:tcW w:w="520" w:type="dxa"/>
            <w:vAlign w:val="bottom"/>
            <w:gridSpan w:val="4"/>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185</w:t>
            </w:r>
          </w:p>
        </w:tc>
        <w:tc>
          <w:tcPr>
            <w:tcW w:w="58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621</w:t>
            </w:r>
          </w:p>
        </w:tc>
        <w:tc>
          <w:tcPr>
            <w:tcW w:w="52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29"/>
        </w:trPr>
        <w:tc>
          <w:tcPr>
            <w:tcW w:w="2740" w:type="dxa"/>
            <w:vAlign w:val="bottom"/>
            <w:gridSpan w:val="3"/>
          </w:tcPr>
          <w:p>
            <w:pPr>
              <w:spacing w:after="0"/>
              <w:rPr>
                <w:sz w:val="20"/>
                <w:szCs w:val="20"/>
                <w:color w:val="auto"/>
              </w:rPr>
            </w:pPr>
            <w:r>
              <w:rPr>
                <w:rFonts w:ascii="Arial" w:cs="Arial" w:eastAsia="Arial" w:hAnsi="Arial"/>
                <w:sz w:val="18"/>
                <w:szCs w:val="18"/>
                <w:color w:val="auto"/>
              </w:rPr>
              <w:t>European Beverage</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199</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30"/>
        </w:trPr>
        <w:tc>
          <w:tcPr>
            <w:tcW w:w="2740" w:type="dxa"/>
            <w:vAlign w:val="bottom"/>
            <w:gridSpan w:val="3"/>
          </w:tcPr>
          <w:p>
            <w:pPr>
              <w:spacing w:after="0"/>
              <w:rPr>
                <w:sz w:val="20"/>
                <w:szCs w:val="20"/>
                <w:color w:val="auto"/>
              </w:rPr>
            </w:pPr>
            <w:r>
              <w:rPr>
                <w:rFonts w:ascii="Arial" w:cs="Arial" w:eastAsia="Arial" w:hAnsi="Arial"/>
                <w:sz w:val="18"/>
                <w:szCs w:val="18"/>
                <w:color w:val="auto"/>
              </w:rPr>
              <w:t>Asia Pacific</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4"/>
        </w:trPr>
        <w:tc>
          <w:tcPr>
            <w:tcW w:w="2740" w:type="dxa"/>
            <w:vAlign w:val="bottom"/>
            <w:gridSpan w:val="3"/>
          </w:tcPr>
          <w:p>
            <w:pPr>
              <w:spacing w:after="0"/>
              <w:rPr>
                <w:sz w:val="20"/>
                <w:szCs w:val="20"/>
                <w:color w:val="auto"/>
              </w:rPr>
            </w:pPr>
            <w:r>
              <w:rPr>
                <w:rFonts w:ascii="Arial" w:cs="Arial" w:eastAsia="Arial" w:hAnsi="Arial"/>
                <w:sz w:val="18"/>
                <w:szCs w:val="18"/>
                <w:color w:val="auto"/>
              </w:rPr>
              <w:t>Transit Packaging</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256</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35"/>
        </w:trPr>
        <w:tc>
          <w:tcPr>
            <w:tcW w:w="2740" w:type="dxa"/>
            <w:vAlign w:val="bottom"/>
            <w:gridSpan w:val="3"/>
          </w:tcPr>
          <w:p>
            <w:pPr>
              <w:spacing w:after="0" w:line="235"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(1)</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176"/>
        </w:trPr>
        <w:tc>
          <w:tcPr>
            <w:tcW w:w="2740" w:type="dxa"/>
            <w:vAlign w:val="bottom"/>
            <w:gridSpan w:val="3"/>
          </w:tcPr>
          <w:p>
            <w:pPr>
              <w:spacing w:after="0" w:line="176" w:lineRule="exact"/>
              <w:rPr>
                <w:sz w:val="20"/>
                <w:szCs w:val="20"/>
                <w:color w:val="auto"/>
              </w:rPr>
            </w:pPr>
            <w:r>
              <w:rPr>
                <w:rFonts w:ascii="Arial" w:cs="Arial" w:eastAsia="Arial" w:hAnsi="Arial"/>
                <w:sz w:val="18"/>
                <w:szCs w:val="18"/>
                <w:color w:val="auto"/>
              </w:rPr>
              <w:t>Corporate and other unallocated</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40" w:type="dxa"/>
            <w:vAlign w:val="bottom"/>
            <w:gridSpan w:val="3"/>
          </w:tcPr>
          <w:p>
            <w:pPr>
              <w:spacing w:after="0"/>
              <w:rPr>
                <w:sz w:val="20"/>
                <w:szCs w:val="20"/>
                <w:color w:val="auto"/>
              </w:rPr>
            </w:pPr>
            <w:r>
              <w:rPr>
                <w:rFonts w:ascii="Arial" w:cs="Arial" w:eastAsia="Arial" w:hAnsi="Arial"/>
                <w:sz w:val="18"/>
                <w:szCs w:val="18"/>
                <w:color w:val="auto"/>
              </w:rPr>
              <w:t>items</w:t>
            </w: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5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2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3"/>
        </w:trPr>
        <w:tc>
          <w:tcPr>
            <w:tcW w:w="2740" w:type="dxa"/>
            <w:vAlign w:val="bottom"/>
            <w:gridSpan w:val="3"/>
          </w:tcPr>
          <w:p>
            <w:pPr>
              <w:ind w:left="240"/>
              <w:spacing w:after="0"/>
              <w:rPr>
                <w:sz w:val="20"/>
                <w:szCs w:val="20"/>
                <w:color w:val="auto"/>
              </w:rPr>
            </w:pPr>
            <w:r>
              <w:rPr>
                <w:rFonts w:ascii="Arial" w:cs="Arial" w:eastAsia="Arial" w:hAnsi="Arial"/>
                <w:sz w:val="18"/>
                <w:szCs w:val="18"/>
                <w:b w:val="1"/>
                <w:bCs w:val="1"/>
                <w:color w:val="auto"/>
              </w:rPr>
              <w:t>Total segment income</w:t>
            </w: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430</w:t>
            </w:r>
          </w:p>
        </w:tc>
        <w:tc>
          <w:tcPr>
            <w:tcW w:w="20" w:type="dxa"/>
            <w:vAlign w:val="bottom"/>
            <w:tcBorders>
              <w:bottom w:val="single" w:sz="8" w:color="auto"/>
            </w:tcBorders>
          </w:tcPr>
          <w:p>
            <w:pPr>
              <w:spacing w:after="0"/>
              <w:rPr>
                <w:sz w:val="19"/>
                <w:szCs w:val="19"/>
                <w:color w:val="auto"/>
              </w:rPr>
            </w:pPr>
          </w:p>
        </w:tc>
        <w:tc>
          <w:tcPr>
            <w:tcW w:w="240" w:type="dxa"/>
            <w:vAlign w:val="bottom"/>
            <w:gridSpan w:val="2"/>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336</w:t>
            </w:r>
          </w:p>
        </w:tc>
        <w:tc>
          <w:tcPr>
            <w:tcW w:w="5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1,164</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1,151</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500" w:right="120" w:hanging="249"/>
        <w:spacing w:after="0" w:line="231" w:lineRule="auto"/>
        <w:tabs>
          <w:tab w:leader="none" w:pos="438" w:val="left"/>
        </w:tabs>
        <w:numPr>
          <w:ilvl w:val="0"/>
          <w:numId w:val="4"/>
        </w:numPr>
        <w:rPr>
          <w:rFonts w:ascii="Arial" w:cs="Arial" w:eastAsia="Arial" w:hAnsi="Arial"/>
          <w:sz w:val="22"/>
          <w:szCs w:val="22"/>
          <w:color w:val="auto"/>
          <w:vertAlign w:val="superscript"/>
        </w:rPr>
      </w:pPr>
      <w:r>
        <w:rPr>
          <w:rFonts w:ascii="Arial" w:cs="Arial" w:eastAsia="Arial" w:hAnsi="Arial"/>
          <w:sz w:val="17"/>
          <w:szCs w:val="17"/>
          <w:color w:val="auto"/>
        </w:rPr>
        <w:t>Includes the Company’s food can, aerosol can and closures businesses in North America, and beverage tooling and equipment operations in the U.S. and United Kingdom.</w:t>
      </w:r>
    </w:p>
    <w:p>
      <w:pPr>
        <w:sectPr>
          <w:pgSz w:w="11900" w:h="16838" w:orient="portrait"/>
          <w:cols w:equalWidth="0" w:num="1">
            <w:col w:w="11240"/>
          </w:cols>
          <w:pgMar w:left="320" w:top="595" w:right="339" w:bottom="49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Page 5 of 11</w:t>
      </w:r>
    </w:p>
    <w:p>
      <w:pPr>
        <w:sectPr>
          <w:pgSz w:w="11900" w:h="16838" w:orient="portrait"/>
          <w:cols w:equalWidth="0" w:num="1">
            <w:col w:w="11240"/>
          </w:cols>
          <w:pgMar w:left="320" w:top="595" w:right="339" w:bottom="491" w:gutter="0" w:footer="0" w:header="0"/>
          <w:type w:val="continuous"/>
        </w:sectPr>
      </w:pPr>
    </w:p>
    <w:bookmarkStart w:id="9" w:name="page10"/>
    <w:bookmarkEnd w:id="9"/>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-128270</wp:posOffset>
            </wp:positionV>
            <wp:extent cx="1551305" cy="4972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21" w:lineRule="auto"/>
        <w:rPr>
          <w:sz w:val="20"/>
          <w:szCs w:val="20"/>
          <w:color w:val="auto"/>
        </w:rPr>
      </w:pPr>
      <w:r>
        <w:rPr>
          <w:rFonts w:ascii="Arial" w:cs="Arial" w:eastAsia="Arial" w:hAnsi="Arial"/>
          <w:sz w:val="14"/>
          <w:szCs w:val="14"/>
          <w:color w:val="auto"/>
        </w:rPr>
        <w:t>14025 Riveredge Drive, Suite 300</w:t>
      </w:r>
    </w:p>
    <w:p>
      <w:pPr>
        <w:ind w:left="80"/>
        <w:spacing w:after="0"/>
        <w:rPr>
          <w:sz w:val="20"/>
          <w:szCs w:val="20"/>
          <w:color w:val="auto"/>
        </w:rPr>
      </w:pPr>
      <w:r>
        <w:rPr>
          <w:rFonts w:ascii="Arial" w:cs="Arial" w:eastAsia="Arial" w:hAnsi="Arial"/>
          <w:sz w:val="14"/>
          <w:szCs w:val="14"/>
          <w:color w:val="auto"/>
        </w:rPr>
        <w:t>Tampa, FL 33637</w:t>
      </w:r>
    </w:p>
    <w:p>
      <w:pPr>
        <w:spacing w:after="0" w:line="200" w:lineRule="exact"/>
        <w:rPr>
          <w:sz w:val="20"/>
          <w:szCs w:val="20"/>
          <w:color w:val="auto"/>
        </w:rPr>
      </w:pPr>
    </w:p>
    <w:p>
      <w:pPr>
        <w:spacing w:after="0" w:line="331" w:lineRule="exact"/>
        <w:rPr>
          <w:sz w:val="20"/>
          <w:szCs w:val="20"/>
          <w:color w:val="auto"/>
        </w:rPr>
      </w:pPr>
    </w:p>
    <w:p>
      <w:pPr>
        <w:ind w:left="3760"/>
        <w:spacing w:after="0"/>
        <w:rPr>
          <w:sz w:val="20"/>
          <w:szCs w:val="20"/>
          <w:color w:val="auto"/>
        </w:rPr>
      </w:pPr>
      <w:r>
        <w:rPr>
          <w:rFonts w:ascii="Arial" w:cs="Arial" w:eastAsia="Arial" w:hAnsi="Arial"/>
          <w:sz w:val="18"/>
          <w:szCs w:val="18"/>
          <w:b w:val="1"/>
          <w:bCs w:val="1"/>
          <w:u w:val="single" w:color="auto"/>
          <w:color w:val="auto"/>
        </w:rPr>
        <w:t>Consolidated Supplemental Data (Unaudited)</w:t>
      </w:r>
    </w:p>
    <w:p>
      <w:pPr>
        <w:spacing w:after="0" w:line="2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from Net Income and Diluted Earnings Per Share to Adjusted Net Income and Adjusted Diluted Earnings Per Share</w:t>
      </w:r>
    </w:p>
    <w:p>
      <w:pPr>
        <w:spacing w:after="0" w:line="24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reconciles reported net income and diluted earnings per share attributable to the Company to adjusted net income and adjusted diluted earnings per share, as used elsewhere in this release.</w:t>
      </w:r>
    </w:p>
    <w:p>
      <w:pPr>
        <w:spacing w:after="0" w:line="221"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3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4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92"/>
              </w:rPr>
              <w:t>Three Months Ended</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40" w:type="dxa"/>
            <w:vAlign w:val="bottom"/>
            <w:gridSpan w:val="7"/>
          </w:tcPr>
          <w:p>
            <w:pPr>
              <w:jc w:val="center"/>
              <w:ind w:right="140"/>
              <w:spacing w:after="0"/>
              <w:rPr>
                <w:sz w:val="20"/>
                <w:szCs w:val="20"/>
                <w:color w:val="auto"/>
              </w:rPr>
            </w:pPr>
            <w:r>
              <w:rPr>
                <w:rFonts w:ascii="Arial" w:cs="Arial" w:eastAsia="Arial" w:hAnsi="Arial"/>
                <w:sz w:val="18"/>
                <w:szCs w:val="18"/>
                <w:b w:val="1"/>
                <w:bCs w:val="1"/>
                <w:color w:val="auto"/>
                <w:w w:val="91"/>
              </w:rPr>
              <w:t>Nine Months Ended</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26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8"/>
                <w:szCs w:val="18"/>
                <w:b w:val="1"/>
                <w:bCs w:val="1"/>
                <w:color w:val="auto"/>
                <w:w w:val="89"/>
              </w:rPr>
              <w:t>September 30,</w:t>
            </w:r>
          </w:p>
        </w:tc>
        <w:tc>
          <w:tcPr>
            <w:tcW w:w="5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5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260" w:type="dxa"/>
            <w:vAlign w:val="bottom"/>
            <w:vMerge w:val="restart"/>
          </w:tcPr>
          <w:p>
            <w:pPr>
              <w:spacing w:after="0"/>
              <w:rPr>
                <w:sz w:val="20"/>
                <w:szCs w:val="20"/>
                <w:color w:val="auto"/>
              </w:rPr>
            </w:pPr>
            <w:r>
              <w:rPr>
                <w:rFonts w:ascii="Arial" w:cs="Arial" w:eastAsia="Arial" w:hAnsi="Arial"/>
                <w:sz w:val="18"/>
                <w:szCs w:val="18"/>
                <w:b w:val="1"/>
                <w:bCs w:val="1"/>
                <w:color w:val="auto"/>
                <w:w w:val="99"/>
              </w:rPr>
              <w:t>Net income/diluted earnings per share</w:t>
            </w:r>
          </w:p>
        </w:tc>
        <w:tc>
          <w:tcPr>
            <w:tcW w:w="138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19"/>
                <w:szCs w:val="19"/>
                <w:color w:val="auto"/>
              </w:rPr>
            </w:pPr>
          </w:p>
        </w:tc>
        <w:tc>
          <w:tcPr>
            <w:tcW w:w="9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2023</w:t>
            </w:r>
          </w:p>
        </w:tc>
        <w:tc>
          <w:tcPr>
            <w:tcW w:w="5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7"/>
                <w:szCs w:val="17"/>
                <w:b w:val="1"/>
                <w:bCs w:val="1"/>
                <w:color w:val="auto"/>
              </w:rPr>
              <w:t>2022</w:t>
            </w:r>
          </w:p>
        </w:tc>
        <w:tc>
          <w:tcPr>
            <w:tcW w:w="5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260" w:type="dxa"/>
            <w:vAlign w:val="bottom"/>
            <w:vMerge w:val="continue"/>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260" w:type="dxa"/>
            <w:vAlign w:val="bottom"/>
          </w:tcPr>
          <w:p>
            <w:pPr>
              <w:spacing w:after="0" w:line="176" w:lineRule="exact"/>
              <w:rPr>
                <w:sz w:val="20"/>
                <w:szCs w:val="20"/>
                <w:color w:val="auto"/>
              </w:rPr>
            </w:pPr>
            <w:r>
              <w:rPr>
                <w:rFonts w:ascii="Arial" w:cs="Arial" w:eastAsia="Arial" w:hAnsi="Arial"/>
                <w:sz w:val="18"/>
                <w:szCs w:val="18"/>
                <w:b w:val="1"/>
                <w:bCs w:val="1"/>
                <w:color w:val="auto"/>
              </w:rPr>
              <w:t>attributable to Crown Holdings, as</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60" w:type="dxa"/>
            <w:vAlign w:val="bottom"/>
          </w:tcPr>
          <w:p>
            <w:pPr>
              <w:spacing w:after="0"/>
              <w:rPr>
                <w:sz w:val="20"/>
                <w:szCs w:val="20"/>
                <w:color w:val="auto"/>
              </w:rPr>
            </w:pPr>
            <w:r>
              <w:rPr>
                <w:rFonts w:ascii="Arial" w:cs="Arial" w:eastAsia="Arial" w:hAnsi="Arial"/>
                <w:sz w:val="18"/>
                <w:szCs w:val="18"/>
                <w:b w:val="1"/>
                <w:bCs w:val="1"/>
                <w:color w:val="auto"/>
              </w:rPr>
              <w:t>reported</w:t>
            </w:r>
          </w:p>
        </w:tc>
        <w:tc>
          <w:tcPr>
            <w:tcW w:w="620" w:type="dxa"/>
            <w:vAlign w:val="bottom"/>
          </w:tcPr>
          <w:p>
            <w:pPr>
              <w:jc w:val="center"/>
              <w:spacing w:after="0"/>
              <w:rPr>
                <w:sz w:val="20"/>
                <w:szCs w:val="20"/>
                <w:color w:val="auto"/>
              </w:rPr>
            </w:pPr>
            <w:r>
              <w:rPr>
                <w:rFonts w:ascii="Arial" w:cs="Arial" w:eastAsia="Arial" w:hAnsi="Arial"/>
                <w:sz w:val="18"/>
                <w:szCs w:val="18"/>
                <w:b w:val="1"/>
                <w:bCs w:val="1"/>
                <w:color w:val="auto"/>
                <w:w w:val="89"/>
              </w:rPr>
              <w:t>$159</w:t>
            </w:r>
          </w:p>
        </w:tc>
        <w:tc>
          <w:tcPr>
            <w:tcW w:w="76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88"/>
              </w:rPr>
              <w:t>$1.33</w:t>
            </w:r>
          </w:p>
        </w:tc>
        <w:tc>
          <w:tcPr>
            <w:tcW w:w="140" w:type="dxa"/>
            <w:vAlign w:val="bottom"/>
          </w:tcPr>
          <w:p>
            <w:pPr>
              <w:spacing w:after="0"/>
              <w:rPr>
                <w:sz w:val="21"/>
                <w:szCs w:val="21"/>
                <w:color w:val="auto"/>
              </w:rPr>
            </w:pP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89"/>
              </w:rPr>
              <w:t>$127</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jc w:val="center"/>
              <w:spacing w:after="0"/>
              <w:rPr>
                <w:sz w:val="20"/>
                <w:szCs w:val="20"/>
                <w:color w:val="auto"/>
              </w:rPr>
            </w:pPr>
            <w:r>
              <w:rPr>
                <w:rFonts w:ascii="Arial" w:cs="Arial" w:eastAsia="Arial" w:hAnsi="Arial"/>
                <w:sz w:val="18"/>
                <w:szCs w:val="18"/>
                <w:b w:val="1"/>
                <w:bCs w:val="1"/>
                <w:color w:val="auto"/>
                <w:w w:val="88"/>
              </w:rPr>
              <w:t>$1.06</w:t>
            </w:r>
          </w:p>
        </w:tc>
        <w:tc>
          <w:tcPr>
            <w:tcW w:w="180" w:type="dxa"/>
            <w:vAlign w:val="bottom"/>
          </w:tcPr>
          <w:p>
            <w:pPr>
              <w:spacing w:after="0"/>
              <w:rPr>
                <w:sz w:val="21"/>
                <w:szCs w:val="21"/>
                <w:color w:val="auto"/>
              </w:rPr>
            </w:pPr>
          </w:p>
        </w:tc>
        <w:tc>
          <w:tcPr>
            <w:tcW w:w="620" w:type="dxa"/>
            <w:vAlign w:val="bottom"/>
          </w:tcPr>
          <w:p>
            <w:pPr>
              <w:jc w:val="center"/>
              <w:spacing w:after="0"/>
              <w:rPr>
                <w:sz w:val="20"/>
                <w:szCs w:val="20"/>
                <w:color w:val="auto"/>
              </w:rPr>
            </w:pPr>
            <w:r>
              <w:rPr>
                <w:rFonts w:ascii="Arial" w:cs="Arial" w:eastAsia="Arial" w:hAnsi="Arial"/>
                <w:sz w:val="17"/>
                <w:szCs w:val="17"/>
                <w:b w:val="1"/>
                <w:bCs w:val="1"/>
                <w:color w:val="auto"/>
                <w:w w:val="89"/>
              </w:rPr>
              <w:t>$418</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jc w:val="center"/>
              <w:spacing w:after="0"/>
              <w:rPr>
                <w:sz w:val="20"/>
                <w:szCs w:val="20"/>
                <w:color w:val="auto"/>
              </w:rPr>
            </w:pPr>
            <w:r>
              <w:rPr>
                <w:rFonts w:ascii="Arial" w:cs="Arial" w:eastAsia="Arial" w:hAnsi="Arial"/>
                <w:sz w:val="17"/>
                <w:szCs w:val="17"/>
                <w:b w:val="1"/>
                <w:bCs w:val="1"/>
                <w:color w:val="auto"/>
                <w:w w:val="93"/>
              </w:rPr>
              <w:t>$3.49</w:t>
            </w:r>
          </w:p>
        </w:tc>
        <w:tc>
          <w:tcPr>
            <w:tcW w:w="16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Arial" w:cs="Arial" w:eastAsia="Arial" w:hAnsi="Arial"/>
                <w:sz w:val="17"/>
                <w:szCs w:val="17"/>
                <w:b w:val="1"/>
                <w:bCs w:val="1"/>
                <w:color w:val="auto"/>
                <w:w w:val="89"/>
              </w:rPr>
              <w:t>$638</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jc w:val="center"/>
              <w:ind w:right="14"/>
              <w:spacing w:after="0"/>
              <w:rPr>
                <w:sz w:val="20"/>
                <w:szCs w:val="20"/>
                <w:color w:val="auto"/>
              </w:rPr>
            </w:pPr>
            <w:r>
              <w:rPr>
                <w:rFonts w:ascii="Arial" w:cs="Arial" w:eastAsia="Arial" w:hAnsi="Arial"/>
                <w:sz w:val="17"/>
                <w:szCs w:val="17"/>
                <w:b w:val="1"/>
                <w:bCs w:val="1"/>
                <w:color w:val="auto"/>
                <w:w w:val="89"/>
              </w:rPr>
              <w:t>$5.23</w:t>
            </w:r>
          </w:p>
        </w:tc>
        <w:tc>
          <w:tcPr>
            <w:tcW w:w="0" w:type="dxa"/>
            <w:vAlign w:val="bottom"/>
          </w:tcPr>
          <w:p>
            <w:pPr>
              <w:spacing w:after="0"/>
              <w:rPr>
                <w:sz w:val="1"/>
                <w:szCs w:val="1"/>
                <w:color w:val="auto"/>
              </w:rPr>
            </w:pPr>
          </w:p>
        </w:tc>
      </w:tr>
      <w:tr>
        <w:trPr>
          <w:trHeight w:val="304"/>
        </w:trPr>
        <w:tc>
          <w:tcPr>
            <w:tcW w:w="3260" w:type="dxa"/>
            <w:vAlign w:val="bottom"/>
          </w:tcPr>
          <w:p>
            <w:pPr>
              <w:ind w:left="220"/>
              <w:spacing w:after="0"/>
              <w:rPr>
                <w:sz w:val="20"/>
                <w:szCs w:val="20"/>
                <w:color w:val="auto"/>
              </w:rPr>
            </w:pPr>
            <w:r>
              <w:rPr>
                <w:rFonts w:ascii="Arial" w:cs="Arial" w:eastAsia="Arial" w:hAnsi="Arial"/>
                <w:sz w:val="18"/>
                <w:szCs w:val="18"/>
                <w:color w:val="auto"/>
              </w:rPr>
              <w:t xml:space="preserve">Intangibles amortization </w:t>
            </w:r>
            <w:r>
              <w:rPr>
                <w:rFonts w:ascii="Arial" w:cs="Arial" w:eastAsia="Arial" w:hAnsi="Arial"/>
                <w:sz w:val="23"/>
                <w:szCs w:val="23"/>
                <w:color w:val="auto"/>
                <w:vertAlign w:val="superscript"/>
              </w:rPr>
              <w:t>(1)</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760" w:type="dxa"/>
            <w:vAlign w:val="bottom"/>
            <w:gridSpan w:val="2"/>
          </w:tcPr>
          <w:p>
            <w:pPr>
              <w:jc w:val="center"/>
              <w:ind w:left="70"/>
              <w:spacing w:after="0"/>
              <w:rPr>
                <w:sz w:val="20"/>
                <w:szCs w:val="20"/>
                <w:color w:val="auto"/>
              </w:rPr>
            </w:pPr>
            <w:r>
              <w:rPr>
                <w:rFonts w:ascii="Arial" w:cs="Arial" w:eastAsia="Arial" w:hAnsi="Arial"/>
                <w:sz w:val="18"/>
                <w:szCs w:val="18"/>
                <w:color w:val="auto"/>
                <w:w w:val="91"/>
              </w:rPr>
              <w:t>0.34</w:t>
            </w:r>
          </w:p>
        </w:tc>
        <w:tc>
          <w:tcPr>
            <w:tcW w:w="14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1"/>
              </w:rPr>
              <w:t>0.33</w:t>
            </w:r>
          </w:p>
        </w:tc>
        <w:tc>
          <w:tcPr>
            <w:tcW w:w="18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7"/>
                <w:szCs w:val="17"/>
                <w:color w:val="auto"/>
                <w:w w:val="91"/>
              </w:rPr>
              <w:t>122</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jc w:val="center"/>
              <w:ind w:right="13"/>
              <w:spacing w:after="0"/>
              <w:rPr>
                <w:sz w:val="20"/>
                <w:szCs w:val="20"/>
                <w:color w:val="auto"/>
              </w:rPr>
            </w:pPr>
            <w:r>
              <w:rPr>
                <w:rFonts w:ascii="Arial" w:cs="Arial" w:eastAsia="Arial" w:hAnsi="Arial"/>
                <w:sz w:val="17"/>
                <w:szCs w:val="17"/>
                <w:color w:val="auto"/>
                <w:w w:val="90"/>
              </w:rPr>
              <w:t>1.02</w:t>
            </w:r>
          </w:p>
        </w:tc>
        <w:tc>
          <w:tcPr>
            <w:tcW w:w="1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7"/>
                <w:szCs w:val="17"/>
                <w:color w:val="auto"/>
                <w:w w:val="91"/>
              </w:rPr>
              <w:t>119</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center"/>
              <w:ind w:right="14"/>
              <w:spacing w:after="0"/>
              <w:rPr>
                <w:sz w:val="20"/>
                <w:szCs w:val="20"/>
                <w:color w:val="auto"/>
              </w:rPr>
            </w:pPr>
            <w:r>
              <w:rPr>
                <w:rFonts w:ascii="Arial" w:cs="Arial" w:eastAsia="Arial" w:hAnsi="Arial"/>
                <w:sz w:val="17"/>
                <w:szCs w:val="17"/>
                <w:color w:val="auto"/>
                <w:w w:val="90"/>
              </w:rPr>
              <w:t>0.97</w:t>
            </w:r>
          </w:p>
        </w:tc>
        <w:tc>
          <w:tcPr>
            <w:tcW w:w="0" w:type="dxa"/>
            <w:vAlign w:val="bottom"/>
          </w:tcPr>
          <w:p>
            <w:pPr>
              <w:spacing w:after="0"/>
              <w:rPr>
                <w:sz w:val="1"/>
                <w:szCs w:val="1"/>
                <w:color w:val="auto"/>
              </w:rPr>
            </w:pPr>
          </w:p>
        </w:tc>
      </w:tr>
      <w:tr>
        <w:trPr>
          <w:trHeight w:val="270"/>
        </w:trPr>
        <w:tc>
          <w:tcPr>
            <w:tcW w:w="3260" w:type="dxa"/>
            <w:vAlign w:val="bottom"/>
          </w:tcPr>
          <w:p>
            <w:pPr>
              <w:ind w:left="220"/>
              <w:spacing w:after="0"/>
              <w:rPr>
                <w:sz w:val="20"/>
                <w:szCs w:val="20"/>
                <w:color w:val="auto"/>
              </w:rPr>
            </w:pPr>
            <w:r>
              <w:rPr>
                <w:rFonts w:ascii="Arial" w:cs="Arial" w:eastAsia="Arial" w:hAnsi="Arial"/>
                <w:sz w:val="18"/>
                <w:szCs w:val="18"/>
                <w:color w:val="auto"/>
              </w:rPr>
              <w:t xml:space="preserve">Restructuring and other </w:t>
            </w:r>
            <w:r>
              <w:rPr>
                <w:rFonts w:ascii="Arial" w:cs="Arial" w:eastAsia="Arial" w:hAnsi="Arial"/>
                <w:sz w:val="23"/>
                <w:szCs w:val="23"/>
                <w:color w:val="auto"/>
                <w:vertAlign w:val="superscript"/>
              </w:rPr>
              <w:t>(2)</w:t>
            </w:r>
          </w:p>
        </w:tc>
        <w:tc>
          <w:tcPr>
            <w:tcW w:w="62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760" w:type="dxa"/>
            <w:vAlign w:val="bottom"/>
            <w:gridSpan w:val="2"/>
          </w:tcPr>
          <w:p>
            <w:pPr>
              <w:jc w:val="center"/>
              <w:ind w:left="70"/>
              <w:spacing w:after="0"/>
              <w:rPr>
                <w:sz w:val="20"/>
                <w:szCs w:val="20"/>
                <w:color w:val="auto"/>
              </w:rPr>
            </w:pPr>
            <w:r>
              <w:rPr>
                <w:rFonts w:ascii="Arial" w:cs="Arial" w:eastAsia="Arial" w:hAnsi="Arial"/>
                <w:sz w:val="18"/>
                <w:szCs w:val="18"/>
                <w:color w:val="auto"/>
                <w:w w:val="91"/>
              </w:rPr>
              <w:t>0.12</w:t>
            </w:r>
          </w:p>
        </w:tc>
        <w:tc>
          <w:tcPr>
            <w:tcW w:w="14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(1)</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3"/>
              </w:rPr>
              <w:t>(0.01)</w:t>
            </w:r>
          </w:p>
        </w:tc>
        <w:tc>
          <w:tcPr>
            <w:tcW w:w="180" w:type="dxa"/>
            <w:vAlign w:val="bottom"/>
          </w:tcPr>
          <w:p>
            <w:pPr>
              <w:spacing w:after="0"/>
              <w:rPr>
                <w:sz w:val="23"/>
                <w:szCs w:val="23"/>
                <w:color w:val="auto"/>
              </w:rPr>
            </w:pPr>
          </w:p>
        </w:tc>
        <w:tc>
          <w:tcPr>
            <w:tcW w:w="620" w:type="dxa"/>
            <w:vAlign w:val="bottom"/>
          </w:tcPr>
          <w:p>
            <w:pPr>
              <w:jc w:val="center"/>
              <w:spacing w:after="0"/>
              <w:rPr>
                <w:sz w:val="20"/>
                <w:szCs w:val="20"/>
                <w:color w:val="auto"/>
              </w:rPr>
            </w:pPr>
            <w:r>
              <w:rPr>
                <w:rFonts w:ascii="Arial" w:cs="Arial" w:eastAsia="Arial" w:hAnsi="Arial"/>
                <w:sz w:val="17"/>
                <w:szCs w:val="17"/>
                <w:color w:val="auto"/>
                <w:w w:val="84"/>
              </w:rPr>
              <w:t>32</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jc w:val="center"/>
              <w:ind w:right="13"/>
              <w:spacing w:after="0"/>
              <w:rPr>
                <w:sz w:val="20"/>
                <w:szCs w:val="20"/>
                <w:color w:val="auto"/>
              </w:rPr>
            </w:pPr>
            <w:r>
              <w:rPr>
                <w:rFonts w:ascii="Arial" w:cs="Arial" w:eastAsia="Arial" w:hAnsi="Arial"/>
                <w:sz w:val="17"/>
                <w:szCs w:val="17"/>
                <w:color w:val="auto"/>
                <w:w w:val="90"/>
              </w:rPr>
              <w:t>0.27</w:t>
            </w:r>
          </w:p>
        </w:tc>
        <w:tc>
          <w:tcPr>
            <w:tcW w:w="16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Arial" w:cs="Arial" w:eastAsia="Arial" w:hAnsi="Arial"/>
                <w:sz w:val="17"/>
                <w:szCs w:val="17"/>
                <w:color w:val="auto"/>
                <w:w w:val="99"/>
              </w:rPr>
              <w:t>(75)</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jc w:val="center"/>
              <w:ind w:right="14"/>
              <w:spacing w:after="0"/>
              <w:rPr>
                <w:sz w:val="20"/>
                <w:szCs w:val="20"/>
                <w:color w:val="auto"/>
              </w:rPr>
            </w:pPr>
            <w:r>
              <w:rPr>
                <w:rFonts w:ascii="Arial" w:cs="Arial" w:eastAsia="Arial" w:hAnsi="Arial"/>
                <w:sz w:val="17"/>
                <w:szCs w:val="17"/>
                <w:color w:val="auto"/>
                <w:w w:val="94"/>
              </w:rPr>
              <w:t>(0.61)</w:t>
            </w:r>
          </w:p>
        </w:tc>
        <w:tc>
          <w:tcPr>
            <w:tcW w:w="0" w:type="dxa"/>
            <w:vAlign w:val="bottom"/>
          </w:tcPr>
          <w:p>
            <w:pPr>
              <w:spacing w:after="0"/>
              <w:rPr>
                <w:sz w:val="1"/>
                <w:szCs w:val="1"/>
                <w:color w:val="auto"/>
              </w:rPr>
            </w:pPr>
          </w:p>
        </w:tc>
      </w:tr>
      <w:tr>
        <w:trPr>
          <w:trHeight w:val="270"/>
        </w:trPr>
        <w:tc>
          <w:tcPr>
            <w:tcW w:w="3260" w:type="dxa"/>
            <w:vAlign w:val="bottom"/>
          </w:tcPr>
          <w:p>
            <w:pPr>
              <w:ind w:left="220"/>
              <w:spacing w:after="0"/>
              <w:rPr>
                <w:sz w:val="20"/>
                <w:szCs w:val="20"/>
                <w:color w:val="auto"/>
              </w:rPr>
            </w:pPr>
            <w:r>
              <w:rPr>
                <w:rFonts w:ascii="Arial" w:cs="Arial" w:eastAsia="Arial" w:hAnsi="Arial"/>
                <w:sz w:val="18"/>
                <w:szCs w:val="18"/>
                <w:color w:val="auto"/>
              </w:rPr>
              <w:t xml:space="preserve">Loss on debt extinguishment </w:t>
            </w:r>
            <w:r>
              <w:rPr>
                <w:rFonts w:ascii="Arial" w:cs="Arial" w:eastAsia="Arial" w:hAnsi="Arial"/>
                <w:sz w:val="23"/>
                <w:szCs w:val="23"/>
                <w:color w:val="auto"/>
                <w:vertAlign w:val="superscript"/>
              </w:rPr>
              <w:t>(3)</w:t>
            </w: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1"/>
              </w:rPr>
              <w:t>0.09</w:t>
            </w: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Arial" w:cs="Arial" w:eastAsia="Arial" w:hAnsi="Arial"/>
                <w:sz w:val="17"/>
                <w:szCs w:val="17"/>
                <w:color w:val="auto"/>
                <w:w w:val="94"/>
              </w:rPr>
              <w:t>11</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jc w:val="center"/>
              <w:ind w:right="14"/>
              <w:spacing w:after="0"/>
              <w:rPr>
                <w:sz w:val="20"/>
                <w:szCs w:val="20"/>
                <w:color w:val="auto"/>
              </w:rPr>
            </w:pPr>
            <w:r>
              <w:rPr>
                <w:rFonts w:ascii="Arial" w:cs="Arial" w:eastAsia="Arial" w:hAnsi="Arial"/>
                <w:sz w:val="17"/>
                <w:szCs w:val="17"/>
                <w:color w:val="auto"/>
                <w:w w:val="90"/>
              </w:rPr>
              <w:t>0.09</w:t>
            </w:r>
          </w:p>
        </w:tc>
        <w:tc>
          <w:tcPr>
            <w:tcW w:w="0" w:type="dxa"/>
            <w:vAlign w:val="bottom"/>
          </w:tcPr>
          <w:p>
            <w:pPr>
              <w:spacing w:after="0"/>
              <w:rPr>
                <w:sz w:val="1"/>
                <w:szCs w:val="1"/>
                <w:color w:val="auto"/>
              </w:rPr>
            </w:pPr>
          </w:p>
        </w:tc>
      </w:tr>
      <w:tr>
        <w:trPr>
          <w:trHeight w:val="270"/>
        </w:trPr>
        <w:tc>
          <w:tcPr>
            <w:tcW w:w="3260" w:type="dxa"/>
            <w:vAlign w:val="bottom"/>
          </w:tcPr>
          <w:p>
            <w:pPr>
              <w:ind w:left="220"/>
              <w:spacing w:after="0"/>
              <w:rPr>
                <w:sz w:val="20"/>
                <w:szCs w:val="20"/>
                <w:color w:val="auto"/>
              </w:rPr>
            </w:pPr>
            <w:r>
              <w:rPr>
                <w:rFonts w:ascii="Arial" w:cs="Arial" w:eastAsia="Arial" w:hAnsi="Arial"/>
                <w:sz w:val="18"/>
                <w:szCs w:val="18"/>
                <w:color w:val="auto"/>
              </w:rPr>
              <w:t xml:space="preserve">Other pension and postretirement </w:t>
            </w:r>
            <w:r>
              <w:rPr>
                <w:rFonts w:ascii="Arial" w:cs="Arial" w:eastAsia="Arial" w:hAnsi="Arial"/>
                <w:sz w:val="23"/>
                <w:szCs w:val="23"/>
                <w:color w:val="auto"/>
                <w:vertAlign w:val="superscript"/>
              </w:rPr>
              <w:t>(4)</w:t>
            </w: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1"/>
              </w:rPr>
              <w:t>0.01</w:t>
            </w:r>
          </w:p>
        </w:tc>
        <w:tc>
          <w:tcPr>
            <w:tcW w:w="180" w:type="dxa"/>
            <w:vAlign w:val="bottom"/>
          </w:tcPr>
          <w:p>
            <w:pPr>
              <w:spacing w:after="0"/>
              <w:rPr>
                <w:sz w:val="23"/>
                <w:szCs w:val="23"/>
                <w:color w:val="auto"/>
              </w:rPr>
            </w:pPr>
          </w:p>
        </w:tc>
        <w:tc>
          <w:tcPr>
            <w:tcW w:w="620" w:type="dxa"/>
            <w:vAlign w:val="bottom"/>
          </w:tcPr>
          <w:p>
            <w:pPr>
              <w:jc w:val="center"/>
              <w:spacing w:after="0"/>
              <w:rPr>
                <w:sz w:val="20"/>
                <w:szCs w:val="20"/>
                <w:color w:val="auto"/>
              </w:rPr>
            </w:pPr>
            <w:r>
              <w:rPr>
                <w:rFonts w:ascii="Arial" w:cs="Arial" w:eastAsia="Arial" w:hAnsi="Arial"/>
                <w:sz w:val="17"/>
                <w:szCs w:val="17"/>
                <w:color w:val="auto"/>
                <w:w w:val="84"/>
              </w:rPr>
              <w:t>6</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jc w:val="center"/>
              <w:ind w:right="13"/>
              <w:spacing w:after="0"/>
              <w:rPr>
                <w:sz w:val="20"/>
                <w:szCs w:val="20"/>
                <w:color w:val="auto"/>
              </w:rPr>
            </w:pPr>
            <w:r>
              <w:rPr>
                <w:rFonts w:ascii="Arial" w:cs="Arial" w:eastAsia="Arial" w:hAnsi="Arial"/>
                <w:sz w:val="17"/>
                <w:szCs w:val="17"/>
                <w:color w:val="auto"/>
                <w:w w:val="90"/>
              </w:rPr>
              <w:t>0.05</w:t>
            </w:r>
          </w:p>
        </w:tc>
        <w:tc>
          <w:tcPr>
            <w:tcW w:w="16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jc w:val="center"/>
              <w:ind w:right="14"/>
              <w:spacing w:after="0"/>
              <w:rPr>
                <w:sz w:val="20"/>
                <w:szCs w:val="20"/>
                <w:color w:val="auto"/>
              </w:rPr>
            </w:pPr>
            <w:r>
              <w:rPr>
                <w:rFonts w:ascii="Arial" w:cs="Arial" w:eastAsia="Arial" w:hAnsi="Arial"/>
                <w:sz w:val="17"/>
                <w:szCs w:val="17"/>
                <w:color w:val="auto"/>
                <w:w w:val="90"/>
              </w:rPr>
              <w:t>0.01</w:t>
            </w:r>
          </w:p>
        </w:tc>
        <w:tc>
          <w:tcPr>
            <w:tcW w:w="0" w:type="dxa"/>
            <w:vAlign w:val="bottom"/>
          </w:tcPr>
          <w:p>
            <w:pPr>
              <w:spacing w:after="0"/>
              <w:rPr>
                <w:sz w:val="1"/>
                <w:szCs w:val="1"/>
                <w:color w:val="auto"/>
              </w:rPr>
            </w:pPr>
          </w:p>
        </w:tc>
      </w:tr>
      <w:tr>
        <w:trPr>
          <w:trHeight w:val="256"/>
        </w:trPr>
        <w:tc>
          <w:tcPr>
            <w:tcW w:w="3260" w:type="dxa"/>
            <w:vAlign w:val="bottom"/>
          </w:tcPr>
          <w:p>
            <w:pPr>
              <w:ind w:left="220"/>
              <w:spacing w:after="0" w:line="256" w:lineRule="exact"/>
              <w:rPr>
                <w:sz w:val="20"/>
                <w:szCs w:val="20"/>
                <w:color w:val="auto"/>
              </w:rPr>
            </w:pPr>
            <w:r>
              <w:rPr>
                <w:rFonts w:ascii="Arial" w:cs="Arial" w:eastAsia="Arial" w:hAnsi="Arial"/>
                <w:sz w:val="18"/>
                <w:szCs w:val="18"/>
                <w:color w:val="auto"/>
              </w:rPr>
              <w:t xml:space="preserve">Income taxes </w:t>
            </w:r>
            <w:r>
              <w:rPr>
                <w:rFonts w:ascii="Arial" w:cs="Arial" w:eastAsia="Arial" w:hAnsi="Arial"/>
                <w:sz w:val="23"/>
                <w:szCs w:val="23"/>
                <w:color w:val="auto"/>
                <w:vertAlign w:val="superscript"/>
              </w:rPr>
              <w:t>(5)</w:t>
            </w:r>
          </w:p>
        </w:tc>
        <w:tc>
          <w:tcPr>
            <w:tcW w:w="620" w:type="dxa"/>
            <w:vAlign w:val="bottom"/>
          </w:tcPr>
          <w:p>
            <w:pPr>
              <w:jc w:val="center"/>
              <w:spacing w:after="0"/>
              <w:rPr>
                <w:sz w:val="20"/>
                <w:szCs w:val="20"/>
                <w:color w:val="auto"/>
              </w:rPr>
            </w:pPr>
            <w:r>
              <w:rPr>
                <w:rFonts w:ascii="Arial" w:cs="Arial" w:eastAsia="Arial" w:hAnsi="Arial"/>
                <w:sz w:val="18"/>
                <w:szCs w:val="18"/>
                <w:color w:val="auto"/>
                <w:w w:val="93"/>
              </w:rPr>
              <w:t>(10)</w:t>
            </w:r>
          </w:p>
        </w:tc>
        <w:tc>
          <w:tcPr>
            <w:tcW w:w="760" w:type="dxa"/>
            <w:vAlign w:val="bottom"/>
            <w:gridSpan w:val="2"/>
          </w:tcPr>
          <w:p>
            <w:pPr>
              <w:jc w:val="center"/>
              <w:ind w:left="70"/>
              <w:spacing w:after="0"/>
              <w:rPr>
                <w:sz w:val="20"/>
                <w:szCs w:val="20"/>
                <w:color w:val="auto"/>
              </w:rPr>
            </w:pPr>
            <w:r>
              <w:rPr>
                <w:rFonts w:ascii="Arial" w:cs="Arial" w:eastAsia="Arial" w:hAnsi="Arial"/>
                <w:sz w:val="18"/>
                <w:szCs w:val="18"/>
                <w:color w:val="auto"/>
                <w:w w:val="93"/>
              </w:rPr>
              <w:t>(0.08)</w:t>
            </w:r>
          </w:p>
        </w:tc>
        <w:tc>
          <w:tcPr>
            <w:tcW w:w="14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(5)</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3"/>
              </w:rPr>
              <w:t>(0.04)</w:t>
            </w:r>
          </w:p>
        </w:tc>
        <w:tc>
          <w:tcPr>
            <w:tcW w:w="18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7"/>
                <w:szCs w:val="17"/>
                <w:color w:val="auto"/>
                <w:w w:val="92"/>
              </w:rPr>
              <w:t>(33)</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jc w:val="center"/>
              <w:spacing w:after="0"/>
              <w:rPr>
                <w:sz w:val="20"/>
                <w:szCs w:val="20"/>
                <w:color w:val="auto"/>
              </w:rPr>
            </w:pPr>
            <w:r>
              <w:rPr>
                <w:rFonts w:ascii="Arial" w:cs="Arial" w:eastAsia="Arial" w:hAnsi="Arial"/>
                <w:sz w:val="17"/>
                <w:szCs w:val="17"/>
                <w:color w:val="auto"/>
                <w:w w:val="89"/>
              </w:rPr>
              <w:t>(0.28)</w:t>
            </w:r>
          </w:p>
        </w:tc>
        <w:tc>
          <w:tcPr>
            <w:tcW w:w="16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7"/>
                <w:szCs w:val="17"/>
                <w:color w:val="auto"/>
                <w:w w:val="99"/>
              </w:rPr>
              <w:t>(20)</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jc w:val="center"/>
              <w:ind w:right="14"/>
              <w:spacing w:after="0"/>
              <w:rPr>
                <w:sz w:val="20"/>
                <w:szCs w:val="20"/>
                <w:color w:val="auto"/>
              </w:rPr>
            </w:pPr>
            <w:r>
              <w:rPr>
                <w:rFonts w:ascii="Arial" w:cs="Arial" w:eastAsia="Arial" w:hAnsi="Arial"/>
                <w:sz w:val="17"/>
                <w:szCs w:val="17"/>
                <w:color w:val="auto"/>
                <w:w w:val="94"/>
              </w:rPr>
              <w:t>(0.16)</w:t>
            </w:r>
          </w:p>
        </w:tc>
        <w:tc>
          <w:tcPr>
            <w:tcW w:w="0" w:type="dxa"/>
            <w:vAlign w:val="bottom"/>
          </w:tcPr>
          <w:p>
            <w:pPr>
              <w:spacing w:after="0"/>
              <w:rPr>
                <w:sz w:val="1"/>
                <w:szCs w:val="1"/>
                <w:color w:val="auto"/>
              </w:rPr>
            </w:pPr>
          </w:p>
        </w:tc>
      </w:tr>
      <w:tr>
        <w:trPr>
          <w:trHeight w:val="236"/>
        </w:trPr>
        <w:tc>
          <w:tcPr>
            <w:tcW w:w="3260" w:type="dxa"/>
            <w:vAlign w:val="bottom"/>
          </w:tcPr>
          <w:p>
            <w:pPr>
              <w:ind w:left="220"/>
              <w:spacing w:after="0" w:line="235" w:lineRule="exact"/>
              <w:rPr>
                <w:sz w:val="20"/>
                <w:szCs w:val="20"/>
                <w:color w:val="auto"/>
              </w:rPr>
            </w:pPr>
            <w:r>
              <w:rPr>
                <w:rFonts w:ascii="Arial" w:cs="Arial" w:eastAsia="Arial" w:hAnsi="Arial"/>
                <w:sz w:val="18"/>
                <w:szCs w:val="18"/>
                <w:color w:val="auto"/>
              </w:rPr>
              <w:t xml:space="preserve">Equity earnings </w:t>
            </w:r>
            <w:r>
              <w:rPr>
                <w:rFonts w:ascii="Arial" w:cs="Arial" w:eastAsia="Arial" w:hAnsi="Arial"/>
                <w:sz w:val="23"/>
                <w:szCs w:val="23"/>
                <w:color w:val="auto"/>
                <w:vertAlign w:val="superscript"/>
              </w:rPr>
              <w:t>(6)</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140" w:type="dxa"/>
            <w:vAlign w:val="bottom"/>
          </w:tcPr>
          <w:p>
            <w:pPr>
              <w:spacing w:after="0"/>
              <w:rPr>
                <w:sz w:val="20"/>
                <w:szCs w:val="20"/>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0.02</w:t>
            </w:r>
          </w:p>
        </w:tc>
        <w:tc>
          <w:tcPr>
            <w:tcW w:w="140" w:type="dxa"/>
            <w:vAlign w:val="bottom"/>
          </w:tcPr>
          <w:p>
            <w:pPr>
              <w:spacing w:after="0"/>
              <w:rPr>
                <w:sz w:val="20"/>
                <w:szCs w:val="20"/>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2</w:t>
            </w: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0.02</w:t>
            </w:r>
          </w:p>
        </w:tc>
        <w:tc>
          <w:tcPr>
            <w:tcW w:w="180" w:type="dxa"/>
            <w:vAlign w:val="bottom"/>
          </w:tcPr>
          <w:p>
            <w:pPr>
              <w:spacing w:after="0"/>
              <w:rPr>
                <w:sz w:val="20"/>
                <w:szCs w:val="20"/>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4"/>
              </w:rPr>
              <w:t>7</w:t>
            </w: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center"/>
              <w:ind w:right="13"/>
              <w:spacing w:after="0"/>
              <w:rPr>
                <w:sz w:val="20"/>
                <w:szCs w:val="20"/>
                <w:color w:val="auto"/>
              </w:rPr>
            </w:pPr>
            <w:r>
              <w:rPr>
                <w:rFonts w:ascii="Arial" w:cs="Arial" w:eastAsia="Arial" w:hAnsi="Arial"/>
                <w:sz w:val="17"/>
                <w:szCs w:val="17"/>
                <w:color w:val="auto"/>
                <w:w w:val="90"/>
              </w:rPr>
              <w:t>0.06</w:t>
            </w:r>
          </w:p>
        </w:tc>
        <w:tc>
          <w:tcPr>
            <w:tcW w:w="160" w:type="dxa"/>
            <w:vAlign w:val="bottom"/>
          </w:tcPr>
          <w:p>
            <w:pPr>
              <w:spacing w:after="0"/>
              <w:rPr>
                <w:sz w:val="20"/>
                <w:szCs w:val="20"/>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6</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center"/>
              <w:ind w:right="14"/>
              <w:spacing w:after="0"/>
              <w:rPr>
                <w:sz w:val="20"/>
                <w:szCs w:val="20"/>
                <w:color w:val="auto"/>
              </w:rPr>
            </w:pPr>
            <w:r>
              <w:rPr>
                <w:rFonts w:ascii="Arial" w:cs="Arial" w:eastAsia="Arial" w:hAnsi="Arial"/>
                <w:sz w:val="17"/>
                <w:szCs w:val="17"/>
                <w:color w:val="auto"/>
                <w:w w:val="90"/>
              </w:rPr>
              <w:t>0.05</w:t>
            </w:r>
          </w:p>
        </w:tc>
        <w:tc>
          <w:tcPr>
            <w:tcW w:w="0" w:type="dxa"/>
            <w:vAlign w:val="bottom"/>
          </w:tcPr>
          <w:p>
            <w:pPr>
              <w:spacing w:after="0"/>
              <w:rPr>
                <w:sz w:val="1"/>
                <w:szCs w:val="1"/>
                <w:color w:val="auto"/>
              </w:rPr>
            </w:pPr>
          </w:p>
        </w:tc>
      </w:tr>
      <w:tr>
        <w:trPr>
          <w:trHeight w:val="155"/>
        </w:trPr>
        <w:tc>
          <w:tcPr>
            <w:tcW w:w="3260" w:type="dxa"/>
            <w:vAlign w:val="bottom"/>
          </w:tcPr>
          <w:p>
            <w:pPr>
              <w:spacing w:after="0" w:line="156" w:lineRule="exact"/>
              <w:rPr>
                <w:sz w:val="20"/>
                <w:szCs w:val="20"/>
                <w:color w:val="auto"/>
              </w:rPr>
            </w:pPr>
            <w:r>
              <w:rPr>
                <w:rFonts w:ascii="Arial" w:cs="Arial" w:eastAsia="Arial" w:hAnsi="Arial"/>
                <w:sz w:val="18"/>
                <w:szCs w:val="18"/>
                <w:b w:val="1"/>
                <w:bCs w:val="1"/>
                <w:color w:val="auto"/>
                <w:w w:val="91"/>
              </w:rPr>
              <w:t>Adjusted net income/diluted earnings per</w:t>
            </w:r>
          </w:p>
        </w:tc>
        <w:tc>
          <w:tcPr>
            <w:tcW w:w="6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$207</w:t>
            </w:r>
          </w:p>
        </w:tc>
        <w:tc>
          <w:tcPr>
            <w:tcW w:w="760" w:type="dxa"/>
            <w:vAlign w:val="bottom"/>
            <w:gridSpan w:val="2"/>
            <w:vMerge w:val="restart"/>
          </w:tcPr>
          <w:p>
            <w:pPr>
              <w:jc w:val="center"/>
              <w:ind w:left="70"/>
              <w:spacing w:after="0"/>
              <w:rPr>
                <w:sz w:val="20"/>
                <w:szCs w:val="20"/>
                <w:color w:val="auto"/>
              </w:rPr>
            </w:pPr>
            <w:r>
              <w:rPr>
                <w:rFonts w:ascii="Arial" w:cs="Arial" w:eastAsia="Arial" w:hAnsi="Arial"/>
                <w:sz w:val="18"/>
                <w:szCs w:val="18"/>
                <w:b w:val="1"/>
                <w:bCs w:val="1"/>
                <w:color w:val="auto"/>
                <w:w w:val="88"/>
              </w:rPr>
              <w:t>$1.73</w:t>
            </w:r>
          </w:p>
        </w:tc>
        <w:tc>
          <w:tcPr>
            <w:tcW w:w="140" w:type="dxa"/>
            <w:vAlign w:val="bottom"/>
          </w:tcPr>
          <w:p>
            <w:pPr>
              <w:spacing w:after="0"/>
              <w:rPr>
                <w:sz w:val="13"/>
                <w:szCs w:val="13"/>
                <w:color w:val="auto"/>
              </w:rPr>
            </w:pPr>
          </w:p>
        </w:tc>
        <w:tc>
          <w:tcPr>
            <w:tcW w:w="7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$175</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$1.46</w:t>
            </w:r>
          </w:p>
        </w:tc>
        <w:tc>
          <w:tcPr>
            <w:tcW w:w="180" w:type="dxa"/>
            <w:vAlign w:val="bottom"/>
          </w:tcPr>
          <w:p>
            <w:pPr>
              <w:spacing w:after="0"/>
              <w:rPr>
                <w:sz w:val="13"/>
                <w:szCs w:val="13"/>
                <w:color w:val="auto"/>
              </w:rPr>
            </w:pPr>
          </w:p>
        </w:tc>
        <w:tc>
          <w:tcPr>
            <w:tcW w:w="6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$552</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$4.61</w:t>
            </w:r>
          </w:p>
        </w:tc>
        <w:tc>
          <w:tcPr>
            <w:tcW w:w="160" w:type="dxa"/>
            <w:vAlign w:val="bottom"/>
          </w:tcPr>
          <w:p>
            <w:pPr>
              <w:spacing w:after="0"/>
              <w:rPr>
                <w:sz w:val="13"/>
                <w:szCs w:val="13"/>
                <w:color w:val="auto"/>
              </w:rPr>
            </w:pPr>
          </w:p>
        </w:tc>
        <w:tc>
          <w:tcPr>
            <w:tcW w:w="6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$680</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vMerge w:val="restart"/>
          </w:tcPr>
          <w:p>
            <w:pPr>
              <w:jc w:val="center"/>
              <w:ind w:right="14"/>
              <w:spacing w:after="0"/>
              <w:rPr>
                <w:sz w:val="20"/>
                <w:szCs w:val="20"/>
                <w:color w:val="auto"/>
              </w:rPr>
            </w:pPr>
            <w:r>
              <w:rPr>
                <w:rFonts w:ascii="Arial" w:cs="Arial" w:eastAsia="Arial" w:hAnsi="Arial"/>
                <w:sz w:val="18"/>
                <w:szCs w:val="18"/>
                <w:b w:val="1"/>
                <w:bCs w:val="1"/>
                <w:color w:val="auto"/>
                <w:w w:val="93"/>
              </w:rPr>
              <w:t>$5.58</w:t>
            </w:r>
          </w:p>
        </w:tc>
        <w:tc>
          <w:tcPr>
            <w:tcW w:w="0" w:type="dxa"/>
            <w:vAlign w:val="bottom"/>
          </w:tcPr>
          <w:p>
            <w:pPr>
              <w:spacing w:after="0"/>
              <w:rPr>
                <w:sz w:val="1"/>
                <w:szCs w:val="1"/>
                <w:color w:val="auto"/>
              </w:rPr>
            </w:pPr>
          </w:p>
        </w:tc>
      </w:tr>
      <w:tr>
        <w:trPr>
          <w:trHeight w:val="203"/>
        </w:trPr>
        <w:tc>
          <w:tcPr>
            <w:tcW w:w="3260" w:type="dxa"/>
            <w:vAlign w:val="bottom"/>
          </w:tcPr>
          <w:p>
            <w:pPr>
              <w:spacing w:after="0" w:line="202" w:lineRule="exact"/>
              <w:rPr>
                <w:sz w:val="20"/>
                <w:szCs w:val="20"/>
                <w:color w:val="auto"/>
              </w:rPr>
            </w:pPr>
            <w:r>
              <w:rPr>
                <w:rFonts w:ascii="Arial" w:cs="Arial" w:eastAsia="Arial" w:hAnsi="Arial"/>
                <w:sz w:val="18"/>
                <w:szCs w:val="18"/>
                <w:b w:val="1"/>
                <w:bCs w:val="1"/>
                <w:color w:val="auto"/>
              </w:rPr>
              <w:t>share</w:t>
            </w:r>
          </w:p>
        </w:tc>
        <w:tc>
          <w:tcPr>
            <w:tcW w:w="620" w:type="dxa"/>
            <w:vAlign w:val="bottom"/>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3260" w:type="dxa"/>
            <w:vAlign w:val="bottom"/>
          </w:tcPr>
          <w:p>
            <w:pPr>
              <w:spacing w:after="0"/>
              <w:rPr>
                <w:sz w:val="20"/>
                <w:szCs w:val="20"/>
                <w:color w:val="auto"/>
              </w:rPr>
            </w:pPr>
            <w:r>
              <w:rPr>
                <w:rFonts w:ascii="Arial" w:cs="Arial" w:eastAsia="Arial" w:hAnsi="Arial"/>
                <w:sz w:val="18"/>
                <w:szCs w:val="18"/>
                <w:color w:val="auto"/>
              </w:rPr>
              <w:t>Effective tax rate as reported</w:t>
            </w:r>
          </w:p>
        </w:tc>
        <w:tc>
          <w:tcPr>
            <w:tcW w:w="620" w:type="dxa"/>
            <w:vAlign w:val="bottom"/>
          </w:tcPr>
          <w:p>
            <w:pPr>
              <w:jc w:val="center"/>
              <w:spacing w:after="0"/>
              <w:rPr>
                <w:sz w:val="20"/>
                <w:szCs w:val="20"/>
                <w:color w:val="auto"/>
              </w:rPr>
            </w:pPr>
            <w:r>
              <w:rPr>
                <w:rFonts w:ascii="Arial" w:cs="Arial" w:eastAsia="Arial" w:hAnsi="Arial"/>
                <w:sz w:val="18"/>
                <w:szCs w:val="18"/>
                <w:color w:val="auto"/>
                <w:w w:val="90"/>
              </w:rPr>
              <w:t>24.6%</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27.1%</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7"/>
                <w:szCs w:val="17"/>
                <w:color w:val="auto"/>
                <w:w w:val="91"/>
              </w:rPr>
              <w:t>25.0%</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7"/>
                <w:szCs w:val="17"/>
                <w:color w:val="auto"/>
                <w:w w:val="91"/>
              </w:rPr>
              <w:t>23.9%</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260" w:type="dxa"/>
            <w:vAlign w:val="bottom"/>
          </w:tcPr>
          <w:p>
            <w:pPr>
              <w:spacing w:after="0"/>
              <w:rPr>
                <w:sz w:val="20"/>
                <w:szCs w:val="20"/>
                <w:color w:val="auto"/>
              </w:rPr>
            </w:pPr>
            <w:r>
              <w:rPr>
                <w:rFonts w:ascii="Arial" w:cs="Arial" w:eastAsia="Arial" w:hAnsi="Arial"/>
                <w:sz w:val="18"/>
                <w:szCs w:val="18"/>
                <w:color w:val="auto"/>
              </w:rPr>
              <w:t>Adjusted effective tax rate</w:t>
            </w:r>
          </w:p>
        </w:tc>
        <w:tc>
          <w:tcPr>
            <w:tcW w:w="620" w:type="dxa"/>
            <w:vAlign w:val="bottom"/>
          </w:tcPr>
          <w:p>
            <w:pPr>
              <w:jc w:val="center"/>
              <w:spacing w:after="0"/>
              <w:rPr>
                <w:sz w:val="20"/>
                <w:szCs w:val="20"/>
                <w:color w:val="auto"/>
              </w:rPr>
            </w:pPr>
            <w:r>
              <w:rPr>
                <w:rFonts w:ascii="Arial" w:cs="Arial" w:eastAsia="Arial" w:hAnsi="Arial"/>
                <w:sz w:val="18"/>
                <w:szCs w:val="18"/>
                <w:color w:val="auto"/>
                <w:w w:val="90"/>
              </w:rPr>
              <w:t>23.4%</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23.6%</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7"/>
                <w:szCs w:val="17"/>
                <w:color w:val="auto"/>
                <w:w w:val="91"/>
              </w:rPr>
              <w:t>24.1%</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7"/>
                <w:szCs w:val="17"/>
                <w:color w:val="auto"/>
                <w:w w:val="91"/>
              </w:rPr>
              <w:t>24.6%</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Adjusted net income, adjusted diluted earnings per share and the adjusted effective tax rate are non-GAAP measures and are not meant to be considered in isolation or as a substitute for net income, diluted earnings per share and effective tax rates determined in accordance with U.S. generally accepted accounting principles. The Company believes these non-GAAP measures provide useful information to evaluate the performance of the Company’s ongoing business.</w:t>
      </w:r>
    </w:p>
    <w:p>
      <w:pPr>
        <w:spacing w:after="0" w:line="215" w:lineRule="exact"/>
        <w:rPr>
          <w:sz w:val="20"/>
          <w:szCs w:val="20"/>
          <w:color w:val="auto"/>
        </w:rPr>
      </w:pPr>
    </w:p>
    <w:p>
      <w:pPr>
        <w:ind w:left="420" w:right="440" w:hanging="331"/>
        <w:spacing w:after="0" w:line="227" w:lineRule="auto"/>
        <w:tabs>
          <w:tab w:leader="none" w:pos="408"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In the third quarter and first nine months of 2023, the Company recorded charges of $41 million ($31 million net of tax) and $122 million ($92 million net of tax) for intangibles amortization arising from prior acquisitions. In the third quarter and first nine months of 2022, the Company recorded charges of $40 million ($31 million net of tax) and $119 million ($92 million net of tax) for intangibles amortization arising from prior acquisitions.</w:t>
      </w:r>
    </w:p>
    <w:p>
      <w:pPr>
        <w:spacing w:after="0" w:line="215" w:lineRule="exact"/>
        <w:rPr>
          <w:rFonts w:ascii="Arial" w:cs="Arial" w:eastAsia="Arial" w:hAnsi="Arial"/>
          <w:sz w:val="23"/>
          <w:szCs w:val="23"/>
          <w:color w:val="auto"/>
          <w:vertAlign w:val="superscript"/>
        </w:rPr>
      </w:pPr>
    </w:p>
    <w:p>
      <w:pPr>
        <w:jc w:val="both"/>
        <w:ind w:left="420" w:hanging="331"/>
        <w:spacing w:after="0" w:line="222" w:lineRule="auto"/>
        <w:tabs>
          <w:tab w:leader="none" w:pos="408"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In the third quarter and first nine months of 2023, the Company recorded net restructuring and other charges of $15 million ($15 million net of tax) and $32 million ($30 million net of tax). In the third quarter and first nine months of 2022, the Company recorded net restructuring and other gains of $1 million ($1 million net of tax) and $75 million ($73 million net of tax) primarily related to a gain of $113 million ($102 million net of tax) for the sale of the Transit Packaging segment's Kiwiplan business, partially offset by a restructuring charge of $29 million ($22 million net of tax) related to an overhead cost reduction program in the Transit Packaging segment.</w:t>
      </w:r>
    </w:p>
    <w:p>
      <w:pPr>
        <w:spacing w:after="0" w:line="4" w:lineRule="exact"/>
        <w:rPr>
          <w:rFonts w:ascii="Arial" w:cs="Arial" w:eastAsia="Arial" w:hAnsi="Arial"/>
          <w:sz w:val="23"/>
          <w:szCs w:val="23"/>
          <w:color w:val="auto"/>
          <w:vertAlign w:val="superscript"/>
        </w:rPr>
      </w:pPr>
    </w:p>
    <w:p>
      <w:pPr>
        <w:ind w:left="420" w:hanging="331"/>
        <w:spacing w:after="0" w:line="212" w:lineRule="auto"/>
        <w:tabs>
          <w:tab w:leader="none" w:pos="408"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In the third quarter and first nine months of 2022, the Company recorded loss on debt extinguishment of $11 million ($10 million net of tax) for the early redemption of senior notes due 2023 and the refinancing of its revolving credit facility and term loans.</w:t>
      </w:r>
    </w:p>
    <w:p>
      <w:pPr>
        <w:spacing w:after="0" w:line="215" w:lineRule="exact"/>
        <w:rPr>
          <w:rFonts w:ascii="Arial" w:cs="Arial" w:eastAsia="Arial" w:hAnsi="Arial"/>
          <w:sz w:val="23"/>
          <w:szCs w:val="23"/>
          <w:color w:val="auto"/>
          <w:vertAlign w:val="superscript"/>
        </w:rPr>
      </w:pPr>
    </w:p>
    <w:p>
      <w:pPr>
        <w:ind w:left="420" w:right="640" w:hanging="331"/>
        <w:spacing w:after="0" w:line="220" w:lineRule="auto"/>
        <w:tabs>
          <w:tab w:leader="none" w:pos="408"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In the first nine months of 2023, the Company recorded a one-time termination charge of $6 million ($5 million net of tax) related to business reorganization activities in Europe.</w:t>
      </w:r>
    </w:p>
    <w:p>
      <w:pPr>
        <w:spacing w:after="0" w:line="215" w:lineRule="exact"/>
        <w:rPr>
          <w:rFonts w:ascii="Arial" w:cs="Arial" w:eastAsia="Arial" w:hAnsi="Arial"/>
          <w:sz w:val="23"/>
          <w:szCs w:val="23"/>
          <w:color w:val="auto"/>
          <w:vertAlign w:val="superscript"/>
        </w:rPr>
      </w:pPr>
    </w:p>
    <w:p>
      <w:pPr>
        <w:ind w:left="420" w:right="160" w:hanging="331"/>
        <w:spacing w:after="0" w:line="220" w:lineRule="auto"/>
        <w:tabs>
          <w:tab w:leader="none" w:pos="408"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The Company recorded income tax benefits of $10 million and $33 million in the third quarter and first nine months of 2023 and $5 million and $20 million in the third quarter and first nine months of 2022, primarily related to the items described above.</w:t>
      </w:r>
    </w:p>
    <w:p>
      <w:pPr>
        <w:sectPr>
          <w:pgSz w:w="11900" w:h="16838" w:orient="portrait"/>
          <w:cols w:equalWidth="0" w:num="1">
            <w:col w:w="11240"/>
          </w:cols>
          <w:pgMar w:left="320" w:top="5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Page 6 of 11</w:t>
      </w:r>
    </w:p>
    <w:p>
      <w:pPr>
        <w:sectPr>
          <w:pgSz w:w="11900" w:h="16838" w:orient="portrait"/>
          <w:cols w:equalWidth="0" w:num="1">
            <w:col w:w="11240"/>
          </w:cols>
          <w:pgMar w:left="320" w:top="595"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5492115</wp:posOffset>
            </wp:positionH>
            <wp:positionV relativeFrom="paragraph">
              <wp:posOffset>-128270</wp:posOffset>
            </wp:positionV>
            <wp:extent cx="1551305" cy="4972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color w:val="auto"/>
        </w:rPr>
        <w:t>Corporate Headquarters</w:t>
      </w:r>
    </w:p>
    <w:p>
      <w:pPr>
        <w:spacing w:after="0" w:line="221" w:lineRule="auto"/>
        <w:rPr>
          <w:sz w:val="20"/>
          <w:szCs w:val="20"/>
          <w:color w:val="auto"/>
        </w:rPr>
      </w:pPr>
      <w:r>
        <w:rPr>
          <w:rFonts w:ascii="Arial" w:cs="Arial" w:eastAsia="Arial" w:hAnsi="Arial"/>
          <w:sz w:val="14"/>
          <w:szCs w:val="14"/>
          <w:color w:val="auto"/>
        </w:rPr>
        <w:t>14025 Riveredge Drive, Suite 300</w:t>
      </w:r>
    </w:p>
    <w:p>
      <w:pPr>
        <w:spacing w:after="0"/>
        <w:rPr>
          <w:sz w:val="20"/>
          <w:szCs w:val="20"/>
          <w:color w:val="auto"/>
        </w:rPr>
      </w:pPr>
      <w:r>
        <w:rPr>
          <w:rFonts w:ascii="Arial" w:cs="Arial" w:eastAsia="Arial" w:hAnsi="Arial"/>
          <w:sz w:val="14"/>
          <w:szCs w:val="14"/>
          <w:color w:val="auto"/>
        </w:rPr>
        <w:t>Tampa, FL 33637</w:t>
      </w:r>
    </w:p>
    <w:p>
      <w:pPr>
        <w:spacing w:after="0" w:line="200" w:lineRule="exact"/>
        <w:rPr>
          <w:sz w:val="20"/>
          <w:szCs w:val="20"/>
          <w:color w:val="auto"/>
        </w:rPr>
      </w:pPr>
    </w:p>
    <w:p>
      <w:pPr>
        <w:spacing w:after="0" w:line="322" w:lineRule="exact"/>
        <w:rPr>
          <w:sz w:val="20"/>
          <w:szCs w:val="20"/>
          <w:color w:val="auto"/>
        </w:rPr>
      </w:pPr>
    </w:p>
    <w:p>
      <w:pPr>
        <w:ind w:left="340" w:hanging="331"/>
        <w:spacing w:after="0" w:line="220" w:lineRule="auto"/>
        <w:tabs>
          <w:tab w:leader="none" w:pos="328"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In the third quarters and first nine months of 2023 and 2022, the Company recorded its proportional share of intangible amortization and restructuring charges, net of tax, recorded by its European tinplate equity method investment, in the line Equity earnings.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 of 11</w:t>
      </w:r>
    </w:p>
    <w:p>
      <w:pPr>
        <w:sectPr>
          <w:pgSz w:w="11900" w:h="16838" w:orient="portrait"/>
          <w:cols w:equalWidth="0" w:num="1">
            <w:col w:w="11100"/>
          </w:cols>
          <w:pgMar w:left="400" w:top="595" w:right="399" w:bottom="1440" w:gutter="0" w:footer="0" w:header="0"/>
        </w:sectPr>
      </w:pPr>
    </w:p>
    <w:bookmarkStart w:id="11" w:name="page12"/>
    <w:bookmarkEnd w:id="11"/>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-128270</wp:posOffset>
            </wp:positionV>
            <wp:extent cx="1551305" cy="4972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21" w:lineRule="auto"/>
        <w:rPr>
          <w:sz w:val="20"/>
          <w:szCs w:val="20"/>
          <w:color w:val="auto"/>
        </w:rPr>
      </w:pPr>
      <w:r>
        <w:rPr>
          <w:rFonts w:ascii="Arial" w:cs="Arial" w:eastAsia="Arial" w:hAnsi="Arial"/>
          <w:sz w:val="14"/>
          <w:szCs w:val="14"/>
          <w:color w:val="auto"/>
        </w:rPr>
        <w:t>14025 Riveredge Drive, Suite 300</w:t>
      </w:r>
    </w:p>
    <w:p>
      <w:pPr>
        <w:ind w:left="80"/>
        <w:spacing w:after="0"/>
        <w:rPr>
          <w:sz w:val="20"/>
          <w:szCs w:val="20"/>
          <w:color w:val="auto"/>
        </w:rPr>
      </w:pPr>
      <w:r>
        <w:rPr>
          <w:rFonts w:ascii="Arial" w:cs="Arial" w:eastAsia="Arial" w:hAnsi="Arial"/>
          <w:sz w:val="14"/>
          <w:szCs w:val="14"/>
          <w:color w:val="auto"/>
        </w:rPr>
        <w:t>Tampa, FL 33637</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17"/>
                <w:szCs w:val="17"/>
                <w:color w:val="auto"/>
              </w:rPr>
            </w:pPr>
          </w:p>
        </w:tc>
        <w:tc>
          <w:tcPr>
            <w:tcW w:w="6900" w:type="dxa"/>
            <w:vAlign w:val="bottom"/>
            <w:gridSpan w:val="7"/>
          </w:tcPr>
          <w:p>
            <w:pPr>
              <w:ind w:left="2000"/>
              <w:spacing w:after="0"/>
              <w:rPr>
                <w:sz w:val="20"/>
                <w:szCs w:val="20"/>
                <w:color w:val="auto"/>
              </w:rPr>
            </w:pPr>
            <w:r>
              <w:rPr>
                <w:rFonts w:ascii="Arial" w:cs="Arial" w:eastAsia="Arial" w:hAnsi="Arial"/>
                <w:sz w:val="18"/>
                <w:szCs w:val="18"/>
                <w:b w:val="1"/>
                <w:bCs w:val="1"/>
                <w:color w:val="auto"/>
              </w:rPr>
              <w:t>Consolidated Balance Sheets (Condensed &amp; Unaudited)</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15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gridSpan w:val="2"/>
          </w:tcPr>
          <w:p>
            <w:pPr>
              <w:jc w:val="right"/>
              <w:ind w:right="450"/>
              <w:spacing w:after="0"/>
              <w:rPr>
                <w:sz w:val="20"/>
                <w:szCs w:val="20"/>
                <w:color w:val="auto"/>
              </w:rPr>
            </w:pPr>
            <w:r>
              <w:rPr>
                <w:rFonts w:ascii="Arial" w:cs="Arial" w:eastAsia="Arial" w:hAnsi="Arial"/>
                <w:sz w:val="18"/>
                <w:szCs w:val="18"/>
                <w:color w:val="auto"/>
              </w:rPr>
              <w:t>(in millions)</w:t>
            </w: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September 30,</w:t>
            </w:r>
          </w:p>
        </w:tc>
        <w:tc>
          <w:tcPr>
            <w:tcW w:w="13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500" w:type="dxa"/>
            <w:vAlign w:val="bottom"/>
          </w:tcPr>
          <w:p>
            <w:pPr>
              <w:spacing w:after="0"/>
              <w:rPr>
                <w:sz w:val="21"/>
                <w:szCs w:val="21"/>
                <w:color w:val="auto"/>
              </w:rPr>
            </w:pPr>
          </w:p>
        </w:tc>
        <w:tc>
          <w:tcPr>
            <w:tcW w:w="3460" w:type="dxa"/>
            <w:vAlign w:val="bottom"/>
            <w:gridSpan w:val="2"/>
          </w:tcPr>
          <w:p>
            <w:pPr>
              <w:ind w:left="20"/>
              <w:spacing w:after="0"/>
              <w:rPr>
                <w:sz w:val="20"/>
                <w:szCs w:val="20"/>
                <w:color w:val="auto"/>
              </w:rPr>
            </w:pPr>
            <w:r>
              <w:rPr>
                <w:rFonts w:ascii="Arial" w:cs="Arial" w:eastAsia="Arial" w:hAnsi="Arial"/>
                <w:sz w:val="18"/>
                <w:szCs w:val="18"/>
                <w:b w:val="1"/>
                <w:bCs w:val="1"/>
                <w:color w:val="auto"/>
              </w:rPr>
              <w:t>Assets</w:t>
            </w:r>
          </w:p>
        </w:tc>
        <w:tc>
          <w:tcPr>
            <w:tcW w:w="1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20"/>
              <w:spacing w:after="0"/>
              <w:rPr>
                <w:sz w:val="20"/>
                <w:szCs w:val="20"/>
                <w:color w:val="auto"/>
              </w:rPr>
            </w:pPr>
            <w:r>
              <w:rPr>
                <w:rFonts w:ascii="Arial" w:cs="Arial" w:eastAsia="Arial" w:hAnsi="Arial"/>
                <w:sz w:val="18"/>
                <w:szCs w:val="18"/>
                <w:b w:val="1"/>
                <w:bCs w:val="1"/>
                <w:color w:val="auto"/>
              </w:rPr>
              <w:t>Current assets</w:t>
            </w:r>
          </w:p>
        </w:tc>
        <w:tc>
          <w:tcPr>
            <w:tcW w:w="1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140"/>
              <w:spacing w:after="0"/>
              <w:rPr>
                <w:sz w:val="20"/>
                <w:szCs w:val="20"/>
                <w:color w:val="auto"/>
              </w:rPr>
            </w:pPr>
            <w:r>
              <w:rPr>
                <w:rFonts w:ascii="Arial" w:cs="Arial" w:eastAsia="Arial" w:hAnsi="Arial"/>
                <w:sz w:val="18"/>
                <w:szCs w:val="18"/>
                <w:color w:val="auto"/>
              </w:rPr>
              <w:t>Cash and cash equivalents</w:t>
            </w:r>
          </w:p>
        </w:tc>
        <w:tc>
          <w:tcPr>
            <w:tcW w:w="16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368</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140"/>
              <w:spacing w:after="0"/>
              <w:rPr>
                <w:sz w:val="20"/>
                <w:szCs w:val="20"/>
                <w:color w:val="auto"/>
              </w:rPr>
            </w:pPr>
            <w:r>
              <w:rPr>
                <w:rFonts w:ascii="Arial" w:cs="Arial" w:eastAsia="Arial" w:hAnsi="Arial"/>
                <w:sz w:val="18"/>
                <w:szCs w:val="18"/>
                <w:color w:val="auto"/>
              </w:rPr>
              <w:t>Receivables, net</w:t>
            </w:r>
          </w:p>
        </w:tc>
        <w:tc>
          <w:tcPr>
            <w:tcW w:w="1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1,751</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2,124</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140"/>
              <w:spacing w:after="0"/>
              <w:rPr>
                <w:sz w:val="20"/>
                <w:szCs w:val="20"/>
                <w:color w:val="auto"/>
              </w:rPr>
            </w:pPr>
            <w:r>
              <w:rPr>
                <w:rFonts w:ascii="Arial" w:cs="Arial" w:eastAsia="Arial" w:hAnsi="Arial"/>
                <w:sz w:val="18"/>
                <w:szCs w:val="18"/>
                <w:color w:val="auto"/>
              </w:rPr>
              <w:t>Inventories</w:t>
            </w:r>
          </w:p>
        </w:tc>
        <w:tc>
          <w:tcPr>
            <w:tcW w:w="1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1,664</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2,184</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140"/>
              <w:spacing w:after="0"/>
              <w:rPr>
                <w:sz w:val="20"/>
                <w:szCs w:val="20"/>
                <w:color w:val="auto"/>
              </w:rPr>
            </w:pPr>
            <w:r>
              <w:rPr>
                <w:rFonts w:ascii="Arial" w:cs="Arial" w:eastAsia="Arial" w:hAnsi="Arial"/>
                <w:sz w:val="18"/>
                <w:szCs w:val="18"/>
                <w:color w:val="auto"/>
                <w:w w:val="96"/>
              </w:rPr>
              <w:t>Prepaid expenses and other current assets</w:t>
            </w:r>
          </w:p>
        </w:tc>
        <w:tc>
          <w:tcPr>
            <w:tcW w:w="13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291</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500" w:type="dxa"/>
            <w:vAlign w:val="bottom"/>
          </w:tcPr>
          <w:p>
            <w:pPr>
              <w:spacing w:after="0"/>
              <w:rPr>
                <w:sz w:val="21"/>
                <w:szCs w:val="21"/>
                <w:color w:val="auto"/>
              </w:rPr>
            </w:pPr>
          </w:p>
        </w:tc>
        <w:tc>
          <w:tcPr>
            <w:tcW w:w="3460" w:type="dxa"/>
            <w:vAlign w:val="bottom"/>
            <w:gridSpan w:val="2"/>
          </w:tcPr>
          <w:p>
            <w:pPr>
              <w:ind w:left="380"/>
              <w:spacing w:after="0"/>
              <w:rPr>
                <w:sz w:val="20"/>
                <w:szCs w:val="20"/>
                <w:color w:val="auto"/>
              </w:rPr>
            </w:pPr>
            <w:r>
              <w:rPr>
                <w:rFonts w:ascii="Arial" w:cs="Arial" w:eastAsia="Arial" w:hAnsi="Arial"/>
                <w:sz w:val="18"/>
                <w:szCs w:val="18"/>
                <w:b w:val="1"/>
                <w:bCs w:val="1"/>
                <w:color w:val="auto"/>
              </w:rPr>
              <w:t>Total current assets</w:t>
            </w:r>
          </w:p>
        </w:tc>
        <w:tc>
          <w:tcPr>
            <w:tcW w:w="13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4,452</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4,967</w:t>
            </w: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1500" w:type="dxa"/>
            <w:vAlign w:val="bottom"/>
          </w:tcPr>
          <w:p>
            <w:pPr>
              <w:spacing w:after="0"/>
              <w:rPr>
                <w:sz w:val="24"/>
                <w:szCs w:val="24"/>
                <w:color w:val="auto"/>
              </w:rPr>
            </w:pPr>
          </w:p>
        </w:tc>
        <w:tc>
          <w:tcPr>
            <w:tcW w:w="3460" w:type="dxa"/>
            <w:vAlign w:val="bottom"/>
            <w:gridSpan w:val="2"/>
          </w:tcPr>
          <w:p>
            <w:pPr>
              <w:ind w:left="20"/>
              <w:spacing w:after="0"/>
              <w:rPr>
                <w:sz w:val="20"/>
                <w:szCs w:val="20"/>
                <w:color w:val="auto"/>
              </w:rPr>
            </w:pPr>
            <w:r>
              <w:rPr>
                <w:rFonts w:ascii="Arial" w:cs="Arial" w:eastAsia="Arial" w:hAnsi="Arial"/>
                <w:sz w:val="18"/>
                <w:szCs w:val="18"/>
                <w:color w:val="auto"/>
              </w:rPr>
              <w:t>Goodwill and intangible assets, net</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4,242</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4,186</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 net</w:t>
            </w:r>
          </w:p>
        </w:tc>
        <w:tc>
          <w:tcPr>
            <w:tcW w:w="1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4,876</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4,265</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20"/>
              <w:spacing w:after="0"/>
              <w:rPr>
                <w:sz w:val="20"/>
                <w:szCs w:val="20"/>
                <w:color w:val="auto"/>
              </w:rPr>
            </w:pPr>
            <w:r>
              <w:rPr>
                <w:rFonts w:ascii="Arial" w:cs="Arial" w:eastAsia="Arial" w:hAnsi="Arial"/>
                <w:sz w:val="18"/>
                <w:szCs w:val="18"/>
                <w:color w:val="auto"/>
              </w:rPr>
              <w:t>Other non-current assets</w:t>
            </w:r>
          </w:p>
        </w:tc>
        <w:tc>
          <w:tcPr>
            <w:tcW w:w="13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806</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500" w:type="dxa"/>
            <w:vAlign w:val="bottom"/>
          </w:tcPr>
          <w:p>
            <w:pPr>
              <w:spacing w:after="0"/>
              <w:rPr>
                <w:sz w:val="19"/>
                <w:szCs w:val="19"/>
                <w:color w:val="auto"/>
              </w:rPr>
            </w:pPr>
          </w:p>
        </w:tc>
        <w:tc>
          <w:tcPr>
            <w:tcW w:w="3460" w:type="dxa"/>
            <w:vAlign w:val="bottom"/>
            <w:gridSpan w:val="2"/>
          </w:tcPr>
          <w:p>
            <w:pPr>
              <w:ind w:left="380"/>
              <w:spacing w:after="0"/>
              <w:rPr>
                <w:sz w:val="20"/>
                <w:szCs w:val="20"/>
                <w:color w:val="auto"/>
              </w:rPr>
            </w:pPr>
            <w:r>
              <w:rPr>
                <w:rFonts w:ascii="Arial" w:cs="Arial" w:eastAsia="Arial" w:hAnsi="Arial"/>
                <w:sz w:val="18"/>
                <w:szCs w:val="18"/>
                <w:b w:val="1"/>
                <w:bCs w:val="1"/>
                <w:color w:val="auto"/>
              </w:rPr>
              <w:t>Total assets</w:t>
            </w:r>
          </w:p>
        </w:tc>
        <w:tc>
          <w:tcPr>
            <w:tcW w:w="13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14,321</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14,224</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34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1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7"/>
        </w:trPr>
        <w:tc>
          <w:tcPr>
            <w:tcW w:w="1500" w:type="dxa"/>
            <w:vAlign w:val="bottom"/>
          </w:tcPr>
          <w:p>
            <w:pPr>
              <w:spacing w:after="0"/>
              <w:rPr>
                <w:sz w:val="24"/>
                <w:szCs w:val="24"/>
                <w:color w:val="auto"/>
              </w:rPr>
            </w:pPr>
          </w:p>
        </w:tc>
        <w:tc>
          <w:tcPr>
            <w:tcW w:w="3460" w:type="dxa"/>
            <w:vAlign w:val="bottom"/>
            <w:gridSpan w:val="2"/>
            <w:vMerge w:val="continue"/>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140"/>
              <w:spacing w:after="0"/>
              <w:rPr>
                <w:sz w:val="20"/>
                <w:szCs w:val="20"/>
                <w:color w:val="auto"/>
              </w:rPr>
            </w:pPr>
            <w:r>
              <w:rPr>
                <w:rFonts w:ascii="Arial" w:cs="Arial" w:eastAsia="Arial" w:hAnsi="Arial"/>
                <w:sz w:val="18"/>
                <w:szCs w:val="18"/>
                <w:color w:val="auto"/>
              </w:rPr>
              <w:t>Short-term debt</w:t>
            </w:r>
          </w:p>
        </w:tc>
        <w:tc>
          <w:tcPr>
            <w:tcW w:w="16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83</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140"/>
              <w:spacing w:after="0"/>
              <w:rPr>
                <w:sz w:val="20"/>
                <w:szCs w:val="20"/>
                <w:color w:val="auto"/>
              </w:rPr>
            </w:pPr>
            <w:r>
              <w:rPr>
                <w:rFonts w:ascii="Arial" w:cs="Arial" w:eastAsia="Arial" w:hAnsi="Arial"/>
                <w:sz w:val="18"/>
                <w:szCs w:val="18"/>
                <w:color w:val="auto"/>
              </w:rPr>
              <w:t>Current maturities of long-term debt</w:t>
            </w:r>
          </w:p>
        </w:tc>
        <w:tc>
          <w:tcPr>
            <w:tcW w:w="1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774</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94</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140"/>
              <w:spacing w:after="0"/>
              <w:rPr>
                <w:sz w:val="20"/>
                <w:szCs w:val="20"/>
                <w:color w:val="auto"/>
              </w:rPr>
            </w:pPr>
            <w:r>
              <w:rPr>
                <w:rFonts w:ascii="Arial" w:cs="Arial" w:eastAsia="Arial" w:hAnsi="Arial"/>
                <w:sz w:val="18"/>
                <w:szCs w:val="18"/>
                <w:color w:val="auto"/>
              </w:rPr>
              <w:t>Accounts payable and accrued liabilities</w:t>
            </w:r>
          </w:p>
        </w:tc>
        <w:tc>
          <w:tcPr>
            <w:tcW w:w="13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3,132</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3,833</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500" w:type="dxa"/>
            <w:vAlign w:val="bottom"/>
          </w:tcPr>
          <w:p>
            <w:pPr>
              <w:spacing w:after="0"/>
              <w:rPr>
                <w:sz w:val="21"/>
                <w:szCs w:val="21"/>
                <w:color w:val="auto"/>
              </w:rPr>
            </w:pPr>
          </w:p>
        </w:tc>
        <w:tc>
          <w:tcPr>
            <w:tcW w:w="3460" w:type="dxa"/>
            <w:vAlign w:val="bottom"/>
            <w:gridSpan w:val="2"/>
          </w:tcPr>
          <w:p>
            <w:pPr>
              <w:ind w:left="380"/>
              <w:spacing w:after="0"/>
              <w:rPr>
                <w:sz w:val="20"/>
                <w:szCs w:val="20"/>
                <w:color w:val="auto"/>
              </w:rPr>
            </w:pPr>
            <w:r>
              <w:rPr>
                <w:rFonts w:ascii="Arial" w:cs="Arial" w:eastAsia="Arial" w:hAnsi="Arial"/>
                <w:sz w:val="18"/>
                <w:szCs w:val="18"/>
                <w:b w:val="1"/>
                <w:bCs w:val="1"/>
                <w:color w:val="auto"/>
              </w:rPr>
              <w:t>Total current liabilities</w:t>
            </w:r>
          </w:p>
        </w:tc>
        <w:tc>
          <w:tcPr>
            <w:tcW w:w="13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3,957</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4,010</w:t>
            </w: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1500" w:type="dxa"/>
            <w:vAlign w:val="bottom"/>
          </w:tcPr>
          <w:p>
            <w:pPr>
              <w:spacing w:after="0"/>
              <w:rPr>
                <w:sz w:val="24"/>
                <w:szCs w:val="24"/>
                <w:color w:val="auto"/>
              </w:rPr>
            </w:pPr>
          </w:p>
        </w:tc>
        <w:tc>
          <w:tcPr>
            <w:tcW w:w="3460" w:type="dxa"/>
            <w:vAlign w:val="bottom"/>
            <w:gridSpan w:val="2"/>
          </w:tcPr>
          <w:p>
            <w:pPr>
              <w:ind w:left="20"/>
              <w:spacing w:after="0"/>
              <w:rPr>
                <w:sz w:val="20"/>
                <w:szCs w:val="20"/>
                <w:color w:val="auto"/>
              </w:rPr>
            </w:pPr>
            <w:r>
              <w:rPr>
                <w:rFonts w:ascii="Arial" w:cs="Arial" w:eastAsia="Arial" w:hAnsi="Arial"/>
                <w:sz w:val="18"/>
                <w:szCs w:val="18"/>
                <w:color w:val="auto"/>
                <w:w w:val="97"/>
              </w:rPr>
              <w:t>Long-term debt, excluding current maturities</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6,240</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6,709</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20"/>
              <w:spacing w:after="0"/>
              <w:rPr>
                <w:sz w:val="20"/>
                <w:szCs w:val="20"/>
                <w:color w:val="auto"/>
              </w:rPr>
            </w:pPr>
            <w:r>
              <w:rPr>
                <w:rFonts w:ascii="Arial" w:cs="Arial" w:eastAsia="Arial" w:hAnsi="Arial"/>
                <w:sz w:val="18"/>
                <w:szCs w:val="18"/>
                <w:color w:val="auto"/>
              </w:rPr>
              <w:t>Other non-current liabilities</w:t>
            </w:r>
          </w:p>
        </w:tc>
        <w:tc>
          <w:tcPr>
            <w:tcW w:w="1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1,296</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1,370</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1500" w:type="dxa"/>
            <w:vAlign w:val="bottom"/>
          </w:tcPr>
          <w:p>
            <w:pPr>
              <w:spacing w:after="0"/>
              <w:rPr>
                <w:sz w:val="24"/>
                <w:szCs w:val="24"/>
                <w:color w:val="auto"/>
              </w:rPr>
            </w:pPr>
          </w:p>
        </w:tc>
        <w:tc>
          <w:tcPr>
            <w:tcW w:w="3460" w:type="dxa"/>
            <w:vAlign w:val="bottom"/>
            <w:gridSpan w:val="2"/>
          </w:tcPr>
          <w:p>
            <w:pPr>
              <w:ind w:left="20"/>
              <w:spacing w:after="0"/>
              <w:rPr>
                <w:sz w:val="20"/>
                <w:szCs w:val="20"/>
                <w:color w:val="auto"/>
              </w:rPr>
            </w:pPr>
            <w:r>
              <w:rPr>
                <w:rFonts w:ascii="Arial" w:cs="Arial" w:eastAsia="Arial" w:hAnsi="Arial"/>
                <w:sz w:val="18"/>
                <w:szCs w:val="18"/>
                <w:color w:val="auto"/>
              </w:rPr>
              <w:t>Noncontrolling interests</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469</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20"/>
              <w:spacing w:after="0"/>
              <w:rPr>
                <w:sz w:val="20"/>
                <w:szCs w:val="20"/>
                <w:color w:val="auto"/>
              </w:rPr>
            </w:pPr>
            <w:r>
              <w:rPr>
                <w:rFonts w:ascii="Arial" w:cs="Arial" w:eastAsia="Arial" w:hAnsi="Arial"/>
                <w:sz w:val="18"/>
                <w:szCs w:val="18"/>
                <w:color w:val="auto"/>
              </w:rPr>
              <w:t>Crown Holdings shareholders' equity</w:t>
            </w:r>
          </w:p>
        </w:tc>
        <w:tc>
          <w:tcPr>
            <w:tcW w:w="13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2,341</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1,666</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500" w:type="dxa"/>
            <w:vAlign w:val="bottom"/>
          </w:tcPr>
          <w:p>
            <w:pPr>
              <w:spacing w:after="0"/>
              <w:rPr>
                <w:sz w:val="21"/>
                <w:szCs w:val="21"/>
                <w:color w:val="auto"/>
              </w:rPr>
            </w:pPr>
          </w:p>
        </w:tc>
        <w:tc>
          <w:tcPr>
            <w:tcW w:w="3460" w:type="dxa"/>
            <w:vAlign w:val="bottom"/>
            <w:gridSpan w:val="2"/>
          </w:tcPr>
          <w:p>
            <w:pPr>
              <w:ind w:left="20"/>
              <w:spacing w:after="0"/>
              <w:rPr>
                <w:sz w:val="20"/>
                <w:szCs w:val="20"/>
                <w:color w:val="auto"/>
              </w:rPr>
            </w:pPr>
            <w:r>
              <w:rPr>
                <w:rFonts w:ascii="Arial" w:cs="Arial" w:eastAsia="Arial" w:hAnsi="Arial"/>
                <w:sz w:val="18"/>
                <w:szCs w:val="18"/>
                <w:color w:val="auto"/>
              </w:rPr>
              <w:t>Total equity</w:t>
            </w:r>
          </w:p>
        </w:tc>
        <w:tc>
          <w:tcPr>
            <w:tcW w:w="13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2,828</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2,135</w:t>
            </w: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500" w:type="dxa"/>
            <w:vAlign w:val="bottom"/>
          </w:tcPr>
          <w:p>
            <w:pPr>
              <w:spacing w:after="0"/>
              <w:rPr>
                <w:sz w:val="19"/>
                <w:szCs w:val="19"/>
                <w:color w:val="auto"/>
              </w:rPr>
            </w:pPr>
          </w:p>
        </w:tc>
        <w:tc>
          <w:tcPr>
            <w:tcW w:w="3460" w:type="dxa"/>
            <w:vAlign w:val="bottom"/>
            <w:gridSpan w:val="2"/>
          </w:tcPr>
          <w:p>
            <w:pPr>
              <w:ind w:left="380"/>
              <w:spacing w:after="0"/>
              <w:rPr>
                <w:sz w:val="20"/>
                <w:szCs w:val="20"/>
                <w:color w:val="auto"/>
              </w:rPr>
            </w:pPr>
            <w:r>
              <w:rPr>
                <w:rFonts w:ascii="Arial" w:cs="Arial" w:eastAsia="Arial" w:hAnsi="Arial"/>
                <w:sz w:val="18"/>
                <w:szCs w:val="18"/>
                <w:b w:val="1"/>
                <w:bCs w:val="1"/>
                <w:color w:val="auto"/>
              </w:rPr>
              <w:t>Total liabilities and equity</w:t>
            </w:r>
          </w:p>
        </w:tc>
        <w:tc>
          <w:tcPr>
            <w:tcW w:w="13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14,321</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14,224</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6"/>
        </w:trPr>
        <w:tc>
          <w:tcPr>
            <w:tcW w:w="15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 of 11</w:t>
      </w:r>
    </w:p>
    <w:p>
      <w:pPr>
        <w:sectPr>
          <w:pgSz w:w="11900" w:h="16838" w:orient="portrait"/>
          <w:cols w:equalWidth="0" w:num="1">
            <w:col w:w="11240"/>
          </w:cols>
          <w:pgMar w:left="320" w:top="595" w:right="339" w:bottom="1440" w:gutter="0" w:footer="0" w:header="0"/>
        </w:sectPr>
      </w:pPr>
    </w:p>
    <w:bookmarkStart w:id="12" w:name="page13"/>
    <w:bookmarkEnd w:id="12"/>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-128270</wp:posOffset>
            </wp:positionV>
            <wp:extent cx="1551305" cy="4972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21" w:lineRule="auto"/>
        <w:rPr>
          <w:sz w:val="20"/>
          <w:szCs w:val="20"/>
          <w:color w:val="auto"/>
        </w:rPr>
      </w:pPr>
      <w:r>
        <w:rPr>
          <w:rFonts w:ascii="Arial" w:cs="Arial" w:eastAsia="Arial" w:hAnsi="Arial"/>
          <w:sz w:val="14"/>
          <w:szCs w:val="14"/>
          <w:color w:val="auto"/>
        </w:rPr>
        <w:t>14025 Riveredge Drive, Suite 300</w:t>
      </w:r>
    </w:p>
    <w:p>
      <w:pPr>
        <w:ind w:left="80"/>
        <w:spacing w:after="0"/>
        <w:rPr>
          <w:sz w:val="20"/>
          <w:szCs w:val="20"/>
          <w:color w:val="auto"/>
        </w:rPr>
      </w:pPr>
      <w:r>
        <w:rPr>
          <w:rFonts w:ascii="Arial" w:cs="Arial" w:eastAsia="Arial" w:hAnsi="Arial"/>
          <w:sz w:val="14"/>
          <w:szCs w:val="14"/>
          <w:color w:val="auto"/>
        </w:rPr>
        <w:t>Tampa, FL 33637</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Cash Flows (Condensed &amp;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60" w:type="dxa"/>
            <w:vAlign w:val="bottom"/>
          </w:tcPr>
          <w:p>
            <w:pPr>
              <w:ind w:left="1940"/>
              <w:spacing w:after="0"/>
              <w:rPr>
                <w:sz w:val="20"/>
                <w:szCs w:val="20"/>
                <w:color w:val="auto"/>
              </w:rPr>
            </w:pPr>
            <w:r>
              <w:rPr>
                <w:rFonts w:ascii="Arial" w:cs="Arial" w:eastAsia="Arial" w:hAnsi="Arial"/>
                <w:sz w:val="18"/>
                <w:szCs w:val="18"/>
                <w:b w:val="1"/>
                <w:bCs w:val="1"/>
                <w:color w:val="auto"/>
              </w:rPr>
              <w:t>Nine months ended September 30,</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7"/>
        </w:trPr>
        <w:tc>
          <w:tcPr>
            <w:tcW w:w="6560" w:type="dxa"/>
            <w:vAlign w:val="bottom"/>
          </w:tcPr>
          <w:p>
            <w:pPr>
              <w:ind w:left="1940"/>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08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509</w:t>
            </w:r>
          </w:p>
        </w:tc>
        <w:tc>
          <w:tcPr>
            <w:tcW w:w="4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733</w:t>
            </w: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tcPr>
          <w:p>
            <w:pPr>
              <w:ind w:left="20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372</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346</w:t>
            </w: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tcPr>
          <w:p>
            <w:pPr>
              <w:ind w:left="2080"/>
              <w:spacing w:after="0"/>
              <w:rPr>
                <w:sz w:val="20"/>
                <w:szCs w:val="20"/>
                <w:color w:val="auto"/>
              </w:rPr>
            </w:pPr>
            <w:r>
              <w:rPr>
                <w:rFonts w:ascii="Arial" w:cs="Arial" w:eastAsia="Arial" w:hAnsi="Arial"/>
                <w:sz w:val="18"/>
                <w:szCs w:val="18"/>
                <w:color w:val="auto"/>
              </w:rPr>
              <w:t>Restructuring and other</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w:t>
            </w: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080"/>
              <w:spacing w:after="0"/>
              <w:rPr>
                <w:sz w:val="20"/>
                <w:szCs w:val="20"/>
                <w:color w:val="auto"/>
              </w:rPr>
            </w:pPr>
            <w:r>
              <w:rPr>
                <w:rFonts w:ascii="Arial" w:cs="Arial" w:eastAsia="Arial" w:hAnsi="Arial"/>
                <w:sz w:val="18"/>
                <w:szCs w:val="18"/>
                <w:color w:val="auto"/>
              </w:rPr>
              <w:t>Pension expense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w:t>
            </w: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tcPr>
          <w:p>
            <w:pPr>
              <w:ind w:left="2080"/>
              <w:spacing w:after="0"/>
              <w:rPr>
                <w:sz w:val="20"/>
                <w:szCs w:val="20"/>
                <w:color w:val="auto"/>
              </w:rPr>
            </w:pPr>
            <w:r>
              <w:rPr>
                <w:rFonts w:ascii="Arial" w:cs="Arial" w:eastAsia="Arial" w:hAnsi="Arial"/>
                <w:sz w:val="18"/>
                <w:szCs w:val="18"/>
                <w:color w:val="auto"/>
              </w:rPr>
              <w:t>Pension contributions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w:t>
            </w: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560" w:type="dxa"/>
            <w:vAlign w:val="bottom"/>
          </w:tcPr>
          <w:p>
            <w:pPr>
              <w:ind w:left="208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w:t>
            </w: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560" w:type="dxa"/>
            <w:vAlign w:val="bottom"/>
          </w:tcPr>
          <w:p>
            <w:pPr>
              <w:ind w:left="2080"/>
              <w:spacing w:after="0" w:line="237" w:lineRule="exact"/>
              <w:rPr>
                <w:sz w:val="20"/>
                <w:szCs w:val="20"/>
                <w:color w:val="auto"/>
              </w:rPr>
            </w:pPr>
            <w:r>
              <w:rPr>
                <w:rFonts w:ascii="Arial" w:cs="Arial" w:eastAsia="Arial" w:hAnsi="Arial"/>
                <w:sz w:val="18"/>
                <w:szCs w:val="18"/>
                <w:color w:val="auto"/>
              </w:rPr>
              <w:t xml:space="preserve">Working capital changes and other </w:t>
            </w:r>
            <w:r>
              <w:rPr>
                <w:rFonts w:ascii="Arial" w:cs="Arial" w:eastAsia="Arial" w:hAnsi="Arial"/>
                <w:sz w:val="23"/>
                <w:szCs w:val="23"/>
                <w:b w:val="1"/>
                <w:bCs w:val="1"/>
                <w:color w:val="auto"/>
                <w:vertAlign w:val="superscript"/>
              </w:rPr>
              <w:t>(2)</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w:t>
            </w: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560" w:type="dxa"/>
            <w:vAlign w:val="bottom"/>
          </w:tcPr>
          <w:p>
            <w:pPr>
              <w:ind w:left="2400"/>
              <w:spacing w:after="0"/>
              <w:rPr>
                <w:sz w:val="20"/>
                <w:szCs w:val="20"/>
                <w:color w:val="auto"/>
              </w:rPr>
            </w:pPr>
            <w:r>
              <w:rPr>
                <w:rFonts w:ascii="Arial" w:cs="Arial" w:eastAsia="Arial" w:hAnsi="Arial"/>
                <w:sz w:val="18"/>
                <w:szCs w:val="18"/>
                <w:b w:val="1"/>
                <w:bCs w:val="1"/>
                <w:color w:val="auto"/>
              </w:rPr>
              <w:t>Net cash provided by operating activities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832</w:t>
            </w:r>
          </w:p>
        </w:tc>
        <w:tc>
          <w:tcPr>
            <w:tcW w:w="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w:t>
            </w: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7"/>
        </w:trPr>
        <w:tc>
          <w:tcPr>
            <w:tcW w:w="6560" w:type="dxa"/>
            <w:vAlign w:val="bottom"/>
          </w:tcPr>
          <w:p>
            <w:pPr>
              <w:ind w:left="1940"/>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560" w:type="dxa"/>
            <w:vAlign w:val="bottom"/>
          </w:tcPr>
          <w:p>
            <w:pPr>
              <w:ind w:left="2080"/>
              <w:spacing w:after="0"/>
              <w:rPr>
                <w:sz w:val="20"/>
                <w:szCs w:val="20"/>
                <w:color w:val="auto"/>
              </w:rPr>
            </w:pPr>
            <w:r>
              <w:rPr>
                <w:rFonts w:ascii="Arial" w:cs="Arial" w:eastAsia="Arial" w:hAnsi="Arial"/>
                <w:sz w:val="18"/>
                <w:szCs w:val="18"/>
                <w:color w:val="auto"/>
              </w:rPr>
              <w:t>Capital expenditures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(614)</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(607)</w:t>
            </w: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560" w:type="dxa"/>
            <w:vAlign w:val="bottom"/>
          </w:tcPr>
          <w:p>
            <w:pPr>
              <w:ind w:left="2080"/>
              <w:spacing w:after="0"/>
              <w:rPr>
                <w:sz w:val="20"/>
                <w:szCs w:val="20"/>
                <w:color w:val="auto"/>
              </w:rPr>
            </w:pPr>
            <w:r>
              <w:rPr>
                <w:rFonts w:ascii="Arial" w:cs="Arial" w:eastAsia="Arial" w:hAnsi="Arial"/>
                <w:sz w:val="18"/>
                <w:szCs w:val="18"/>
                <w:color w:val="auto"/>
              </w:rPr>
              <w:t>Acquisition and divestitures, net</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151</w:t>
            </w: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560" w:type="dxa"/>
            <w:vAlign w:val="bottom"/>
          </w:tcPr>
          <w:p>
            <w:pPr>
              <w:ind w:left="2100"/>
              <w:spacing w:after="0" w:line="236" w:lineRule="exact"/>
              <w:rPr>
                <w:sz w:val="20"/>
                <w:szCs w:val="20"/>
                <w:color w:val="auto"/>
              </w:rPr>
            </w:pPr>
            <w:r>
              <w:rPr>
                <w:rFonts w:ascii="Arial" w:cs="Arial" w:eastAsia="Arial" w:hAnsi="Arial"/>
                <w:sz w:val="18"/>
                <w:szCs w:val="18"/>
                <w:color w:val="auto"/>
              </w:rPr>
              <w:t xml:space="preserve">Equity method investment distribution </w:t>
            </w:r>
            <w:r>
              <w:rPr>
                <w:rFonts w:ascii="Arial" w:cs="Arial" w:eastAsia="Arial" w:hAnsi="Arial"/>
                <w:sz w:val="23"/>
                <w:szCs w:val="23"/>
                <w:b w:val="1"/>
                <w:bCs w:val="1"/>
                <w:color w:val="auto"/>
                <w:vertAlign w:val="superscript"/>
              </w:rPr>
              <w:t>(2)</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0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560" w:type="dxa"/>
            <w:vAlign w:val="bottom"/>
          </w:tcPr>
          <w:p>
            <w:pPr>
              <w:ind w:left="2400"/>
              <w:spacing w:after="0"/>
              <w:rPr>
                <w:sz w:val="20"/>
                <w:szCs w:val="20"/>
                <w:color w:val="auto"/>
              </w:rPr>
            </w:pPr>
            <w:r>
              <w:rPr>
                <w:rFonts w:ascii="Arial" w:cs="Arial" w:eastAsia="Arial" w:hAnsi="Arial"/>
                <w:sz w:val="18"/>
                <w:szCs w:val="18"/>
                <w:b w:val="1"/>
                <w:bCs w:val="1"/>
                <w:color w:val="auto"/>
              </w:rPr>
              <w:t>Net cash used for investing activities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(520)</w:t>
            </w:r>
          </w:p>
        </w:tc>
        <w:tc>
          <w:tcPr>
            <w:tcW w:w="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(412)</w:t>
            </w: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4"/>
        </w:trPr>
        <w:tc>
          <w:tcPr>
            <w:tcW w:w="6560" w:type="dxa"/>
            <w:vAlign w:val="bottom"/>
          </w:tcPr>
          <w:p>
            <w:pPr>
              <w:ind w:left="1940"/>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560" w:type="dxa"/>
            <w:vAlign w:val="bottom"/>
          </w:tcPr>
          <w:p>
            <w:pPr>
              <w:ind w:left="2080"/>
              <w:spacing w:after="0"/>
              <w:rPr>
                <w:sz w:val="20"/>
                <w:szCs w:val="20"/>
                <w:color w:val="auto"/>
              </w:rPr>
            </w:pPr>
            <w:r>
              <w:rPr>
                <w:rFonts w:ascii="Arial" w:cs="Arial" w:eastAsia="Arial" w:hAnsi="Arial"/>
                <w:sz w:val="18"/>
                <w:szCs w:val="18"/>
                <w:color w:val="auto"/>
              </w:rPr>
              <w:t>Net change in debt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1,106</w:t>
            </w: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080"/>
              <w:spacing w:after="0"/>
              <w:rPr>
                <w:sz w:val="20"/>
                <w:szCs w:val="20"/>
                <w:color w:val="auto"/>
              </w:rPr>
            </w:pPr>
            <w:r>
              <w:rPr>
                <w:rFonts w:ascii="Arial" w:cs="Arial" w:eastAsia="Arial" w:hAnsi="Arial"/>
                <w:sz w:val="18"/>
                <w:szCs w:val="18"/>
                <w:color w:val="auto"/>
              </w:rPr>
              <w:t>Dividends paid to shareholders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w:t>
            </w: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080"/>
              <w:spacing w:after="0"/>
              <w:rPr>
                <w:sz w:val="20"/>
                <w:szCs w:val="20"/>
                <w:color w:val="auto"/>
              </w:rPr>
            </w:pPr>
            <w:r>
              <w:rPr>
                <w:rFonts w:ascii="Arial" w:cs="Arial" w:eastAsia="Arial" w:hAnsi="Arial"/>
                <w:sz w:val="18"/>
                <w:szCs w:val="18"/>
                <w:color w:val="auto"/>
              </w:rPr>
              <w:t>Common stock repurchased</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(722)</w:t>
            </w: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080"/>
              <w:spacing w:after="0"/>
              <w:rPr>
                <w:sz w:val="20"/>
                <w:szCs w:val="20"/>
                <w:color w:val="auto"/>
              </w:rPr>
            </w:pPr>
            <w:r>
              <w:rPr>
                <w:rFonts w:ascii="Arial" w:cs="Arial" w:eastAsia="Arial" w:hAnsi="Arial"/>
                <w:sz w:val="18"/>
                <w:szCs w:val="18"/>
                <w:color w:val="auto"/>
              </w:rPr>
              <w:t>Dividends paid to noncontrolling interests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w:t>
            </w: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08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560" w:type="dxa"/>
            <w:vAlign w:val="bottom"/>
          </w:tcPr>
          <w:p>
            <w:pPr>
              <w:ind w:left="2400"/>
              <w:spacing w:after="0"/>
              <w:rPr>
                <w:sz w:val="20"/>
                <w:szCs w:val="20"/>
                <w:color w:val="auto"/>
              </w:rPr>
            </w:pPr>
            <w:r>
              <w:rPr>
                <w:rFonts w:ascii="Arial" w:cs="Arial" w:eastAsia="Arial" w:hAnsi="Arial"/>
                <w:sz w:val="18"/>
                <w:szCs w:val="18"/>
                <w:b w:val="1"/>
                <w:bCs w:val="1"/>
                <w:color w:val="auto"/>
                <w:w w:val="94"/>
              </w:rPr>
              <w:t>Net cash provided by\(used for) financing activities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w:t>
            </w:r>
          </w:p>
        </w:tc>
        <w:tc>
          <w:tcPr>
            <w:tcW w:w="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232</w:t>
            </w: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4"/>
        </w:trPr>
        <w:tc>
          <w:tcPr>
            <w:tcW w:w="6560" w:type="dxa"/>
            <w:vAlign w:val="bottom"/>
          </w:tcPr>
          <w:p>
            <w:pPr>
              <w:ind w:left="1940"/>
              <w:spacing w:after="0"/>
              <w:rPr>
                <w:sz w:val="20"/>
                <w:szCs w:val="20"/>
                <w:color w:val="auto"/>
              </w:rPr>
            </w:pPr>
            <w:r>
              <w:rPr>
                <w:rFonts w:ascii="Arial" w:cs="Arial" w:eastAsia="Arial" w:hAnsi="Arial"/>
                <w:sz w:val="18"/>
                <w:szCs w:val="18"/>
                <w:color w:val="auto"/>
                <w:w w:val="91"/>
              </w:rPr>
              <w:t>Effect of exchange rate changes on cash and cash equivalents</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4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6560" w:type="dxa"/>
            <w:vAlign w:val="bottom"/>
          </w:tcPr>
          <w:p>
            <w:pPr>
              <w:ind w:left="1940"/>
              <w:spacing w:after="0"/>
              <w:rPr>
                <w:sz w:val="20"/>
                <w:szCs w:val="20"/>
                <w:color w:val="auto"/>
              </w:rPr>
            </w:pPr>
            <w:r>
              <w:rPr>
                <w:rFonts w:ascii="Arial" w:cs="Arial" w:eastAsia="Arial" w:hAnsi="Arial"/>
                <w:sz w:val="18"/>
                <w:szCs w:val="18"/>
                <w:color w:val="auto"/>
              </w:rPr>
              <w:t>Net change in cash and cash equivalents</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263</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(141)</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560" w:type="dxa"/>
            <w:vAlign w:val="bottom"/>
          </w:tcPr>
          <w:p>
            <w:pPr>
              <w:ind w:left="1940"/>
              <w:spacing w:after="0"/>
              <w:rPr>
                <w:sz w:val="20"/>
                <w:szCs w:val="20"/>
                <w:color w:val="auto"/>
              </w:rPr>
            </w:pPr>
            <w:r>
              <w:rPr>
                <w:rFonts w:ascii="Arial" w:cs="Arial" w:eastAsia="Arial" w:hAnsi="Arial"/>
                <w:sz w:val="18"/>
                <w:szCs w:val="18"/>
                <w:color w:val="auto"/>
              </w:rPr>
              <w:t>Cash and cash equivalents at January 1</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w:t>
            </w:r>
          </w:p>
        </w:tc>
        <w:tc>
          <w:tcPr>
            <w:tcW w:w="4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1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560" w:type="dxa"/>
            <w:vAlign w:val="bottom"/>
          </w:tcPr>
          <w:p>
            <w:pPr>
              <w:ind w:left="1940"/>
              <w:spacing w:after="0"/>
              <w:rPr>
                <w:sz w:val="20"/>
                <w:szCs w:val="20"/>
                <w:color w:val="auto"/>
              </w:rPr>
            </w:pPr>
            <w:r>
              <w:rPr>
                <w:rFonts w:ascii="Arial" w:cs="Arial" w:eastAsia="Arial" w:hAnsi="Arial"/>
                <w:sz w:val="18"/>
                <w:szCs w:val="18"/>
                <w:b w:val="1"/>
                <w:bCs w:val="1"/>
                <w:color w:val="auto"/>
                <w:w w:val="89"/>
              </w:rPr>
              <w:t>Cash, cash equivalents and restricted cash at September 30</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902</w:t>
            </w:r>
          </w:p>
        </w:tc>
        <w:tc>
          <w:tcPr>
            <w:tcW w:w="420" w:type="dxa"/>
            <w:vAlign w:val="bottom"/>
          </w:tcPr>
          <w:p>
            <w:pPr>
              <w:spacing w:after="0"/>
              <w:rPr>
                <w:sz w:val="22"/>
                <w:szCs w:val="22"/>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452</w:t>
            </w:r>
          </w:p>
        </w:tc>
        <w:tc>
          <w:tcPr>
            <w:tcW w:w="1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6560" w:type="dxa"/>
            <w:vAlign w:val="bottom"/>
          </w:tcPr>
          <w:p>
            <w:pPr>
              <w:ind w:left="1940"/>
              <w:spacing w:after="0"/>
              <w:rPr>
                <w:sz w:val="20"/>
                <w:szCs w:val="20"/>
                <w:color w:val="auto"/>
              </w:rPr>
            </w:pPr>
            <w:r>
              <w:rPr>
                <w:rFonts w:ascii="Arial" w:cs="Arial" w:eastAsia="Arial" w:hAnsi="Arial"/>
                <w:sz w:val="12"/>
                <w:szCs w:val="12"/>
                <w:b w:val="1"/>
                <w:bCs w:val="1"/>
                <w:color w:val="auto"/>
              </w:rPr>
              <w:t>(1)</w:t>
            </w:r>
          </w:p>
        </w:tc>
        <w:tc>
          <w:tcPr>
            <w:tcW w:w="260" w:type="dxa"/>
            <w:vAlign w:val="bottom"/>
            <w:tcBorders>
              <w:bottom w:val="single" w:sz="8" w:color="auto"/>
            </w:tcBorders>
            <w:vMerge w:val="continue"/>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Borders>
              <w:bottom w:val="single" w:sz="8" w:color="auto"/>
            </w:tcBorders>
            <w:vMerge w:val="continue"/>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6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5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400" w:hanging="311"/>
        <w:spacing w:after="0"/>
        <w:tabs>
          <w:tab w:leader="none" w:pos="400"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Cash and cash equivalents include $95 million and $84 million of restricted cash at September 30, 2023 and 2022.</w:t>
      </w:r>
    </w:p>
    <w:p>
      <w:pPr>
        <w:spacing w:after="0" w:line="215" w:lineRule="exact"/>
        <w:rPr>
          <w:rFonts w:ascii="Arial" w:cs="Arial" w:eastAsia="Arial" w:hAnsi="Arial"/>
          <w:sz w:val="23"/>
          <w:szCs w:val="23"/>
          <w:color w:val="auto"/>
          <w:vertAlign w:val="superscript"/>
        </w:rPr>
      </w:pPr>
    </w:p>
    <w:p>
      <w:pPr>
        <w:ind w:left="420" w:right="20" w:hanging="331"/>
        <w:spacing w:after="0" w:line="220" w:lineRule="auto"/>
        <w:tabs>
          <w:tab w:leader="none" w:pos="408"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Working capital changes and other includes $27 million of the total $83 million distribution received from our European tinplate equity method investment in 2023.</w:t>
      </w:r>
    </w:p>
    <w:p>
      <w:pPr>
        <w:sectPr>
          <w:pgSz w:w="11900" w:h="16838" w:orient="portrait"/>
          <w:cols w:equalWidth="0" w:num="1">
            <w:col w:w="11240"/>
          </w:cols>
          <w:pgMar w:left="320" w:top="595" w:right="339" w:bottom="113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Page 9 of 11</w:t>
      </w:r>
    </w:p>
    <w:p>
      <w:pPr>
        <w:sectPr>
          <w:pgSz w:w="11900" w:h="16838" w:orient="portrait"/>
          <w:cols w:equalWidth="0" w:num="1">
            <w:col w:w="11240"/>
          </w:cols>
          <w:pgMar w:left="320" w:top="595" w:right="339" w:bottom="1139" w:gutter="0" w:footer="0" w:header="0"/>
          <w:type w:val="continuous"/>
        </w:sectPr>
      </w:pPr>
    </w:p>
    <w:bookmarkStart w:id="13" w:name="page14"/>
    <w:bookmarkEnd w:id="13"/>
    <w:p>
      <w:pPr>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5492115</wp:posOffset>
            </wp:positionH>
            <wp:positionV relativeFrom="paragraph">
              <wp:posOffset>-128270</wp:posOffset>
            </wp:positionV>
            <wp:extent cx="1551305" cy="4972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color w:val="auto"/>
        </w:rPr>
        <w:t>Corporate Headquarters</w:t>
      </w:r>
    </w:p>
    <w:p>
      <w:pPr>
        <w:spacing w:after="0" w:line="221" w:lineRule="auto"/>
        <w:rPr>
          <w:sz w:val="20"/>
          <w:szCs w:val="20"/>
          <w:color w:val="auto"/>
        </w:rPr>
      </w:pPr>
      <w:r>
        <w:rPr>
          <w:rFonts w:ascii="Arial" w:cs="Arial" w:eastAsia="Arial" w:hAnsi="Arial"/>
          <w:sz w:val="14"/>
          <w:szCs w:val="14"/>
          <w:color w:val="auto"/>
        </w:rPr>
        <w:t>14025 Riveredge Drive, Suite 300</w:t>
      </w:r>
    </w:p>
    <w:p>
      <w:pPr>
        <w:spacing w:after="0"/>
        <w:rPr>
          <w:sz w:val="20"/>
          <w:szCs w:val="20"/>
          <w:color w:val="auto"/>
        </w:rPr>
      </w:pPr>
      <w:r>
        <w:rPr>
          <w:rFonts w:ascii="Arial" w:cs="Arial" w:eastAsia="Arial" w:hAnsi="Arial"/>
          <w:sz w:val="14"/>
          <w:szCs w:val="14"/>
          <w:color w:val="auto"/>
        </w:rPr>
        <w:t>Tampa, FL 33637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left="340"/>
        <w:spacing w:after="0" w:line="248" w:lineRule="auto"/>
        <w:rPr>
          <w:sz w:val="20"/>
          <w:szCs w:val="20"/>
          <w:color w:val="auto"/>
        </w:rPr>
      </w:pPr>
      <w:r>
        <w:rPr>
          <w:rFonts w:ascii="Arial" w:cs="Arial" w:eastAsia="Arial" w:hAnsi="Arial"/>
          <w:sz w:val="18"/>
          <w:szCs w:val="18"/>
          <w:color w:val="auto"/>
        </w:rPr>
        <w:t>Adjusted free cash flow is defined by the Company as net cash from operating activities less capital expenditures and certain other items. A reconciliation of net cash from operating activities to adjusted free cash flow for the three and nine months ended September 30, 2023 and 2022 follows.</w:t>
      </w:r>
    </w:p>
    <w:p>
      <w:pPr>
        <w:spacing w:after="0" w:line="200" w:lineRule="exact"/>
        <w:rPr>
          <w:sz w:val="20"/>
          <w:szCs w:val="20"/>
          <w:color w:val="auto"/>
        </w:rPr>
      </w:pPr>
    </w:p>
    <w:p>
      <w:pPr>
        <w:spacing w:after="0" w:line="275" w:lineRule="exact"/>
        <w:rPr>
          <w:sz w:val="20"/>
          <w:szCs w:val="20"/>
          <w:color w:val="auto"/>
        </w:rPr>
      </w:pPr>
    </w:p>
    <w:tbl>
      <w:tblPr>
        <w:tblLayout w:type="fixed"/>
        <w:tblInd w:w="600" w:type="dxa"/>
        <w:tblCellMar>
          <w:top w:w="0" w:type="dxa"/>
          <w:left w:w="0" w:type="dxa"/>
          <w:bottom w:w="0" w:type="dxa"/>
          <w:right w:w="0" w:type="dxa"/>
        </w:tblCellMar>
      </w:tblPr>
      <w:tr>
        <w:trPr>
          <w:trHeight w:val="207"/>
        </w:trPr>
        <w:tc>
          <w:tcPr>
            <w:tcW w:w="3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40" w:type="dxa"/>
            <w:vAlign w:val="bottom"/>
            <w:gridSpan w:val="5"/>
          </w:tcPr>
          <w:p>
            <w:pPr>
              <w:jc w:val="center"/>
              <w:ind w:right="520"/>
              <w:spacing w:after="0"/>
              <w:rPr>
                <w:sz w:val="20"/>
                <w:szCs w:val="20"/>
                <w:color w:val="auto"/>
              </w:rPr>
            </w:pPr>
            <w:r>
              <w:rPr>
                <w:rFonts w:ascii="Arial" w:cs="Arial" w:eastAsia="Arial" w:hAnsi="Arial"/>
                <w:sz w:val="18"/>
                <w:szCs w:val="18"/>
                <w:b w:val="1"/>
                <w:bCs w:val="1"/>
                <w:color w:val="auto"/>
                <w:w w:val="92"/>
              </w:rPr>
              <w:t>Three Months Ended</w:t>
            </w:r>
          </w:p>
        </w:tc>
        <w:tc>
          <w:tcPr>
            <w:tcW w:w="160" w:type="dxa"/>
            <w:vAlign w:val="bottom"/>
          </w:tcPr>
          <w:p>
            <w:pPr>
              <w:spacing w:after="0"/>
              <w:rPr>
                <w:sz w:val="17"/>
                <w:szCs w:val="17"/>
                <w:color w:val="auto"/>
              </w:rPr>
            </w:pPr>
          </w:p>
        </w:tc>
        <w:tc>
          <w:tcPr>
            <w:tcW w:w="186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w w:val="95"/>
              </w:rPr>
              <w:t>Nine Months Ended</w:t>
            </w:r>
          </w:p>
        </w:tc>
      </w:tr>
      <w:tr>
        <w:trPr>
          <w:trHeight w:val="239"/>
        </w:trPr>
        <w:tc>
          <w:tcPr>
            <w:tcW w:w="3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4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20"/>
                <w:szCs w:val="20"/>
                <w:color w:val="auto"/>
              </w:rPr>
            </w:pPr>
          </w:p>
        </w:tc>
        <w:tc>
          <w:tcPr>
            <w:tcW w:w="186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September 30,</w:t>
            </w:r>
          </w:p>
        </w:tc>
      </w:tr>
      <w:tr>
        <w:trPr>
          <w:trHeight w:val="254"/>
        </w:trPr>
        <w:tc>
          <w:tcPr>
            <w:tcW w:w="372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top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36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2023</w:t>
            </w:r>
          </w:p>
        </w:tc>
        <w:tc>
          <w:tcPr>
            <w:tcW w:w="360" w:type="dxa"/>
            <w:vAlign w:val="bottom"/>
            <w:tcBorders>
              <w:top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2022</w:t>
            </w:r>
          </w:p>
        </w:tc>
      </w:tr>
      <w:tr>
        <w:trPr>
          <w:trHeight w:val="250"/>
        </w:trPr>
        <w:tc>
          <w:tcPr>
            <w:tcW w:w="3720" w:type="dxa"/>
            <w:vAlign w:val="bottom"/>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Pr>
          <w:p>
            <w:pPr>
              <w:jc w:val="right"/>
              <w:ind w:right="10"/>
              <w:spacing w:after="0"/>
              <w:rPr>
                <w:sz w:val="20"/>
                <w:szCs w:val="20"/>
                <w:color w:val="auto"/>
              </w:rPr>
            </w:pPr>
            <w:r>
              <w:rPr>
                <w:rFonts w:ascii="Arial" w:cs="Arial" w:eastAsia="Arial" w:hAnsi="Arial"/>
                <w:sz w:val="18"/>
                <w:szCs w:val="18"/>
                <w:b w:val="1"/>
                <w:bCs w:val="1"/>
                <w:color w:val="auto"/>
              </w:rPr>
              <w:t>539</w:t>
            </w:r>
          </w:p>
        </w:tc>
        <w:tc>
          <w:tcPr>
            <w:tcW w:w="3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(62)</w:t>
            </w:r>
          </w:p>
        </w:tc>
        <w:tc>
          <w:tcPr>
            <w:tcW w:w="3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832</w:t>
            </w:r>
          </w:p>
        </w:tc>
        <w:tc>
          <w:tcPr>
            <w:tcW w:w="3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134</w:t>
            </w:r>
          </w:p>
        </w:tc>
      </w:tr>
      <w:tr>
        <w:trPr>
          <w:trHeight w:val="291"/>
        </w:trPr>
        <w:tc>
          <w:tcPr>
            <w:tcW w:w="3720" w:type="dxa"/>
            <w:vAlign w:val="bottom"/>
          </w:tcPr>
          <w:p>
            <w:pPr>
              <w:spacing w:after="0"/>
              <w:rPr>
                <w:sz w:val="20"/>
                <w:szCs w:val="20"/>
                <w:color w:val="auto"/>
              </w:rPr>
            </w:pPr>
            <w:r>
              <w:rPr>
                <w:rFonts w:ascii="Arial" w:cs="Arial" w:eastAsia="Arial" w:hAnsi="Arial"/>
                <w:sz w:val="18"/>
                <w:szCs w:val="18"/>
                <w:color w:val="auto"/>
              </w:rPr>
              <w:t xml:space="preserve">U.K. pension settlement </w:t>
            </w:r>
            <w:r>
              <w:rPr>
                <w:rFonts w:ascii="Arial" w:cs="Arial" w:eastAsia="Arial" w:hAnsi="Arial"/>
                <w:sz w:val="23"/>
                <w:szCs w:val="23"/>
                <w:color w:val="auto"/>
                <w:vertAlign w:val="superscript"/>
              </w:rPr>
              <w:t>(3)</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5"/>
        </w:trPr>
        <w:tc>
          <w:tcPr>
            <w:tcW w:w="3720" w:type="dxa"/>
            <w:vAlign w:val="bottom"/>
          </w:tcPr>
          <w:p>
            <w:pPr>
              <w:spacing w:after="0"/>
              <w:rPr>
                <w:sz w:val="20"/>
                <w:szCs w:val="20"/>
                <w:color w:val="auto"/>
              </w:rPr>
            </w:pPr>
            <w:r>
              <w:rPr>
                <w:rFonts w:ascii="Arial" w:cs="Arial" w:eastAsia="Arial" w:hAnsi="Arial"/>
                <w:sz w:val="18"/>
                <w:szCs w:val="18"/>
                <w:color w:val="auto"/>
              </w:rPr>
              <w:t xml:space="preserve">Interest included in investing activities </w:t>
            </w:r>
            <w:r>
              <w:rPr>
                <w:rFonts w:ascii="Arial" w:cs="Arial" w:eastAsia="Arial" w:hAnsi="Arial"/>
                <w:sz w:val="23"/>
                <w:szCs w:val="23"/>
                <w:color w:val="auto"/>
                <w:vertAlign w:val="superscript"/>
              </w:rPr>
              <w:t>(4)</w:t>
            </w:r>
          </w:p>
        </w:tc>
        <w:tc>
          <w:tcPr>
            <w:tcW w:w="14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w:t>
            </w:r>
          </w:p>
        </w:tc>
        <w:tc>
          <w:tcPr>
            <w:tcW w:w="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Capital expenditures</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(160)</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(297)</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(614)</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(607)</w:t>
            </w:r>
          </w:p>
        </w:tc>
      </w:tr>
      <w:tr>
        <w:trPr>
          <w:trHeight w:val="257"/>
        </w:trPr>
        <w:tc>
          <w:tcPr>
            <w:tcW w:w="3720" w:type="dxa"/>
            <w:vAlign w:val="bottom"/>
          </w:tcPr>
          <w:p>
            <w:pPr>
              <w:spacing w:after="0" w:line="256" w:lineRule="exact"/>
              <w:rPr>
                <w:sz w:val="20"/>
                <w:szCs w:val="20"/>
                <w:color w:val="auto"/>
              </w:rPr>
            </w:pPr>
            <w:r>
              <w:rPr>
                <w:rFonts w:ascii="Arial" w:cs="Arial" w:eastAsia="Arial" w:hAnsi="Arial"/>
                <w:sz w:val="18"/>
                <w:szCs w:val="18"/>
                <w:color w:val="auto"/>
              </w:rPr>
              <w:t xml:space="preserve">Insurance receivable </w:t>
            </w:r>
            <w:r>
              <w:rPr>
                <w:rFonts w:ascii="Arial" w:cs="Arial" w:eastAsia="Arial" w:hAnsi="Arial"/>
                <w:sz w:val="23"/>
                <w:szCs w:val="23"/>
                <w:color w:val="auto"/>
                <w:vertAlign w:val="superscript"/>
              </w:rPr>
              <w:t>(5)</w:t>
            </w: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3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r>
      <w:tr>
        <w:trPr>
          <w:trHeight w:val="223"/>
        </w:trPr>
        <w:tc>
          <w:tcPr>
            <w:tcW w:w="3720" w:type="dxa"/>
            <w:vAlign w:val="bottom"/>
          </w:tcPr>
          <w:p>
            <w:pPr>
              <w:spacing w:after="0"/>
              <w:rPr>
                <w:sz w:val="20"/>
                <w:szCs w:val="20"/>
                <w:color w:val="auto"/>
              </w:rPr>
            </w:pPr>
            <w:r>
              <w:rPr>
                <w:rFonts w:ascii="Arial" w:cs="Arial" w:eastAsia="Arial" w:hAnsi="Arial"/>
                <w:sz w:val="18"/>
                <w:szCs w:val="18"/>
                <w:b w:val="1"/>
                <w:bCs w:val="1"/>
                <w:color w:val="auto"/>
              </w:rPr>
              <w:t>Adjusted free cash flow</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391</w:t>
            </w:r>
          </w:p>
        </w:tc>
        <w:tc>
          <w:tcPr>
            <w:tcW w:w="3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(359)</w:t>
            </w:r>
          </w:p>
        </w:tc>
        <w:tc>
          <w:tcPr>
            <w:tcW w:w="3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219</w:t>
            </w:r>
          </w:p>
        </w:tc>
        <w:tc>
          <w:tcPr>
            <w:tcW w:w="3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(476)</w:t>
            </w:r>
          </w:p>
        </w:tc>
      </w:tr>
      <w:tr>
        <w:trPr>
          <w:trHeight w:val="21"/>
        </w:trPr>
        <w:tc>
          <w:tcPr>
            <w:tcW w:w="3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left="340" w:hanging="331"/>
        <w:spacing w:after="0" w:line="224" w:lineRule="auto"/>
        <w:tabs>
          <w:tab w:leader="none" w:pos="328"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In September 2021, the Company made a contribution of £196 million to its U.K. defined pension plan in advance of a full settlement of the plan’s obligations in November 2021. The Company has been repaid £103 million of the contribution as of September 30, 2023 and expects to receive another £24 million as the plan sells its remaining illiquid assets.</w:t>
      </w:r>
    </w:p>
    <w:p>
      <w:pPr>
        <w:spacing w:after="0" w:line="183" w:lineRule="exact"/>
        <w:rPr>
          <w:rFonts w:ascii="Arial" w:cs="Arial" w:eastAsia="Arial" w:hAnsi="Arial"/>
          <w:sz w:val="23"/>
          <w:szCs w:val="23"/>
          <w:color w:val="auto"/>
          <w:vertAlign w:val="superscript"/>
        </w:rPr>
      </w:pPr>
    </w:p>
    <w:p>
      <w:pPr>
        <w:ind w:left="320" w:hanging="311"/>
        <w:spacing w:after="0"/>
        <w:tabs>
          <w:tab w:leader="none" w:pos="320"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Interest benefit of cross currency swaps included in investing activities.</w:t>
      </w:r>
    </w:p>
    <w:p>
      <w:pPr>
        <w:spacing w:after="0" w:line="181" w:lineRule="exact"/>
        <w:rPr>
          <w:rFonts w:ascii="Arial" w:cs="Arial" w:eastAsia="Arial" w:hAnsi="Arial"/>
          <w:sz w:val="23"/>
          <w:szCs w:val="23"/>
          <w:color w:val="auto"/>
          <w:vertAlign w:val="superscript"/>
        </w:rPr>
      </w:pPr>
    </w:p>
    <w:p>
      <w:pPr>
        <w:ind w:left="320" w:hanging="311"/>
        <w:spacing w:after="0"/>
        <w:tabs>
          <w:tab w:leader="none" w:pos="320"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Insurance proceeds received in the first nine months of 2023 related to the December 2021 tornado at the Bowling Green plant.</w:t>
      </w:r>
    </w:p>
    <w:p>
      <w:pPr>
        <w:sectPr>
          <w:pgSz w:w="11900" w:h="16838" w:orient="portrait"/>
          <w:cols w:equalWidth="0" w:num="1">
            <w:col w:w="11160"/>
          </w:cols>
          <w:pgMar w:left="400" w:top="595" w:right="339" w:bottom="6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60"/>
        <w:spacing w:after="0"/>
        <w:rPr>
          <w:sz w:val="20"/>
          <w:szCs w:val="20"/>
          <w:color w:val="auto"/>
        </w:rPr>
      </w:pPr>
      <w:r>
        <w:rPr>
          <w:rFonts w:ascii="Arial" w:cs="Arial" w:eastAsia="Arial" w:hAnsi="Arial"/>
          <w:sz w:val="15"/>
          <w:szCs w:val="15"/>
          <w:color w:val="auto"/>
        </w:rPr>
        <w:t>Page 10 of 11</w:t>
      </w:r>
    </w:p>
    <w:p>
      <w:pPr>
        <w:sectPr>
          <w:pgSz w:w="11900" w:h="16838" w:orient="portrait"/>
          <w:cols w:equalWidth="0" w:num="1">
            <w:col w:w="11160"/>
          </w:cols>
          <w:pgMar w:left="400" w:top="595" w:right="339" w:bottom="680" w:gutter="0" w:footer="0" w:header="0"/>
          <w:type w:val="continuous"/>
        </w:sectPr>
      </w:pPr>
    </w:p>
    <w:bookmarkStart w:id="14" w:name="page15"/>
    <w:bookmarkEnd w:id="14"/>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-128270</wp:posOffset>
            </wp:positionV>
            <wp:extent cx="1551305" cy="4972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15"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21" w:lineRule="auto"/>
        <w:rPr>
          <w:sz w:val="20"/>
          <w:szCs w:val="20"/>
          <w:color w:val="auto"/>
        </w:rPr>
      </w:pPr>
      <w:r>
        <w:rPr>
          <w:rFonts w:ascii="Arial" w:cs="Arial" w:eastAsia="Arial" w:hAnsi="Arial"/>
          <w:sz w:val="14"/>
          <w:szCs w:val="14"/>
          <w:color w:val="auto"/>
        </w:rPr>
        <w:t>14025 Riveredge Drive, Suite 300</w:t>
      </w:r>
    </w:p>
    <w:p>
      <w:pPr>
        <w:ind w:left="80"/>
        <w:spacing w:after="0"/>
        <w:rPr>
          <w:sz w:val="20"/>
          <w:szCs w:val="20"/>
          <w:color w:val="auto"/>
        </w:rPr>
      </w:pPr>
      <w:r>
        <w:rPr>
          <w:rFonts w:ascii="Arial" w:cs="Arial" w:eastAsia="Arial" w:hAnsi="Arial"/>
          <w:sz w:val="14"/>
          <w:szCs w:val="14"/>
          <w:color w:val="auto"/>
        </w:rPr>
        <w:t>Tampa, FL 33637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780" w:type="dxa"/>
            <w:vAlign w:val="bottom"/>
            <w:gridSpan w:val="9"/>
          </w:tcPr>
          <w:p>
            <w:pPr>
              <w:jc w:val="center"/>
              <w:ind w:right="280"/>
              <w:spacing w:after="0"/>
              <w:rPr>
                <w:sz w:val="20"/>
                <w:szCs w:val="20"/>
                <w:color w:val="auto"/>
              </w:rPr>
            </w:pPr>
            <w:r>
              <w:rPr>
                <w:rFonts w:ascii="Arial" w:cs="Arial" w:eastAsia="Arial" w:hAnsi="Arial"/>
                <w:sz w:val="18"/>
                <w:szCs w:val="18"/>
                <w:b w:val="1"/>
                <w:bCs w:val="1"/>
                <w:color w:val="auto"/>
                <w:w w:val="90"/>
              </w:rPr>
              <w:t>Consolidated Supplemental Data (Unaudited)</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gridSpan w:val="3"/>
          </w:tcPr>
          <w:p>
            <w:pPr>
              <w:jc w:val="center"/>
              <w:ind w:right="380"/>
              <w:spacing w:after="0"/>
              <w:rPr>
                <w:sz w:val="20"/>
                <w:szCs w:val="20"/>
                <w:color w:val="auto"/>
              </w:rPr>
            </w:pPr>
            <w:r>
              <w:rPr>
                <w:rFonts w:ascii="Arial" w:cs="Arial" w:eastAsia="Arial" w:hAnsi="Arial"/>
                <w:sz w:val="18"/>
                <w:szCs w:val="18"/>
                <w:color w:val="auto"/>
                <w:w w:val="98"/>
              </w:rPr>
              <w:t>(in millions)</w:t>
            </w: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500" w:type="dxa"/>
            <w:vAlign w:val="bottom"/>
            <w:gridSpan w:val="9"/>
          </w:tcPr>
          <w:p>
            <w:pPr>
              <w:spacing w:after="0"/>
              <w:rPr>
                <w:sz w:val="20"/>
                <w:szCs w:val="20"/>
                <w:color w:val="auto"/>
              </w:rPr>
            </w:pPr>
            <w:r>
              <w:rPr>
                <w:rFonts w:ascii="Arial" w:cs="Arial" w:eastAsia="Arial" w:hAnsi="Arial"/>
                <w:sz w:val="18"/>
                <w:szCs w:val="18"/>
                <w:b w:val="1"/>
                <w:bCs w:val="1"/>
                <w:color w:val="auto"/>
              </w:rPr>
              <w:t xml:space="preserve">Impact of Foreign Currency Translation – Favorable/(Unfavorable) </w:t>
            </w:r>
            <w:r>
              <w:rPr>
                <w:rFonts w:ascii="Arial" w:cs="Arial" w:eastAsia="Arial" w:hAnsi="Arial"/>
                <w:sz w:val="23"/>
                <w:szCs w:val="23"/>
                <w:b w:val="1"/>
                <w:bCs w:val="1"/>
                <w:color w:val="auto"/>
                <w:vertAlign w:val="superscript"/>
              </w:rPr>
              <w:t>(1)</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3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20" w:type="dxa"/>
            <w:vAlign w:val="bottom"/>
            <w:gridSpan w:val="6"/>
          </w:tcPr>
          <w:p>
            <w:pPr>
              <w:jc w:val="center"/>
              <w:ind w:right="780"/>
              <w:spacing w:after="0"/>
              <w:rPr>
                <w:sz w:val="20"/>
                <w:szCs w:val="20"/>
                <w:color w:val="auto"/>
              </w:rPr>
            </w:pPr>
            <w:r>
              <w:rPr>
                <w:rFonts w:ascii="Arial" w:cs="Arial" w:eastAsia="Arial" w:hAnsi="Arial"/>
                <w:sz w:val="18"/>
                <w:szCs w:val="18"/>
                <w:b w:val="1"/>
                <w:bCs w:val="1"/>
                <w:color w:val="auto"/>
                <w:w w:val="92"/>
              </w:rPr>
              <w:t>Three Months Ended</w:t>
            </w:r>
          </w:p>
        </w:tc>
        <w:tc>
          <w:tcPr>
            <w:tcW w:w="140" w:type="dxa"/>
            <w:vAlign w:val="bottom"/>
          </w:tcPr>
          <w:p>
            <w:pPr>
              <w:spacing w:after="0"/>
              <w:rPr>
                <w:sz w:val="24"/>
                <w:szCs w:val="24"/>
                <w:color w:val="auto"/>
              </w:rPr>
            </w:pPr>
          </w:p>
        </w:tc>
        <w:tc>
          <w:tcPr>
            <w:tcW w:w="2900" w:type="dxa"/>
            <w:vAlign w:val="bottom"/>
            <w:gridSpan w:val="6"/>
          </w:tcPr>
          <w:p>
            <w:pPr>
              <w:ind w:left="40"/>
              <w:spacing w:after="0"/>
              <w:rPr>
                <w:sz w:val="20"/>
                <w:szCs w:val="20"/>
                <w:color w:val="auto"/>
              </w:rPr>
            </w:pPr>
            <w:r>
              <w:rPr>
                <w:rFonts w:ascii="Arial" w:cs="Arial" w:eastAsia="Arial" w:hAnsi="Arial"/>
                <w:sz w:val="18"/>
                <w:szCs w:val="18"/>
                <w:b w:val="1"/>
                <w:bCs w:val="1"/>
                <w:color w:val="auto"/>
                <w:w w:val="95"/>
              </w:rPr>
              <w:t>Nine Months Ended September 30,</w:t>
            </w: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20" w:type="dxa"/>
            <w:vAlign w:val="bottom"/>
            <w:gridSpan w:val="6"/>
          </w:tcPr>
          <w:p>
            <w:pPr>
              <w:jc w:val="center"/>
              <w:ind w:right="760"/>
              <w:spacing w:after="0"/>
              <w:rPr>
                <w:sz w:val="20"/>
                <w:szCs w:val="20"/>
                <w:color w:val="auto"/>
              </w:rPr>
            </w:pPr>
            <w:r>
              <w:rPr>
                <w:rFonts w:ascii="Arial" w:cs="Arial" w:eastAsia="Arial" w:hAnsi="Arial"/>
                <w:sz w:val="18"/>
                <w:szCs w:val="18"/>
                <w:b w:val="1"/>
                <w:bCs w:val="1"/>
                <w:color w:val="auto"/>
                <w:w w:val="89"/>
              </w:rPr>
              <w:t>September 30, 2023</w:t>
            </w: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2023</w:t>
            </w:r>
          </w:p>
        </w:tc>
        <w:tc>
          <w:tcPr>
            <w:tcW w:w="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34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center"/>
              <w:ind w:right="130"/>
              <w:spacing w:after="0" w:line="191" w:lineRule="exact"/>
              <w:rPr>
                <w:sz w:val="20"/>
                <w:szCs w:val="20"/>
                <w:color w:val="auto"/>
              </w:rPr>
            </w:pPr>
            <w:r>
              <w:rPr>
                <w:rFonts w:ascii="Arial" w:cs="Arial" w:eastAsia="Arial" w:hAnsi="Arial"/>
                <w:sz w:val="18"/>
                <w:szCs w:val="18"/>
                <w:b w:val="1"/>
                <w:bCs w:val="1"/>
                <w:color w:val="auto"/>
                <w:w w:val="86"/>
              </w:rPr>
              <w:t>Segment</w:t>
            </w:r>
          </w:p>
        </w:tc>
        <w:tc>
          <w:tcPr>
            <w:tcW w:w="3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jc w:val="center"/>
              <w:ind w:right="560"/>
              <w:spacing w:after="0" w:line="191" w:lineRule="exact"/>
              <w:rPr>
                <w:sz w:val="20"/>
                <w:szCs w:val="20"/>
                <w:color w:val="auto"/>
              </w:rPr>
            </w:pPr>
            <w:r>
              <w:rPr>
                <w:rFonts w:ascii="Arial" w:cs="Arial" w:eastAsia="Arial" w:hAnsi="Arial"/>
                <w:sz w:val="18"/>
                <w:szCs w:val="18"/>
                <w:b w:val="1"/>
                <w:bCs w:val="1"/>
                <w:color w:val="auto"/>
                <w:w w:val="86"/>
              </w:rPr>
              <w:t>Segment</w:t>
            </w:r>
          </w:p>
        </w:tc>
        <w:tc>
          <w:tcPr>
            <w:tcW w:w="0" w:type="dxa"/>
            <w:vAlign w:val="bottom"/>
          </w:tcPr>
          <w:p>
            <w:pPr>
              <w:spacing w:after="0"/>
              <w:rPr>
                <w:sz w:val="1"/>
                <w:szCs w:val="1"/>
                <w:color w:val="auto"/>
              </w:rPr>
            </w:pPr>
          </w:p>
        </w:tc>
      </w:tr>
      <w:tr>
        <w:trPr>
          <w:trHeight w:val="234"/>
        </w:trPr>
        <w:tc>
          <w:tcPr>
            <w:tcW w:w="3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b w:val="1"/>
                <w:bCs w:val="1"/>
                <w:color w:val="auto"/>
              </w:rPr>
              <w:t>Net Sales</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88"/>
              </w:rPr>
              <w:t>Income</w:t>
            </w:r>
          </w:p>
        </w:tc>
        <w:tc>
          <w:tcPr>
            <w:tcW w:w="1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6"/>
              </w:rPr>
              <w:t>Net Sales</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88"/>
              </w:rPr>
              <w:t>Income</w:t>
            </w:r>
          </w:p>
        </w:tc>
        <w:tc>
          <w:tcPr>
            <w:tcW w:w="0" w:type="dxa"/>
            <w:vAlign w:val="bottom"/>
          </w:tcPr>
          <w:p>
            <w:pPr>
              <w:spacing w:after="0"/>
              <w:rPr>
                <w:sz w:val="1"/>
                <w:szCs w:val="1"/>
                <w:color w:val="auto"/>
              </w:rPr>
            </w:pPr>
          </w:p>
        </w:tc>
      </w:tr>
      <w:tr>
        <w:trPr>
          <w:trHeight w:val="27"/>
        </w:trPr>
        <w:tc>
          <w:tcPr>
            <w:tcW w:w="3460" w:type="dxa"/>
            <w:vAlign w:val="bottom"/>
            <w:vMerge w:val="restart"/>
          </w:tcPr>
          <w:p>
            <w:pPr>
              <w:ind w:left="20"/>
              <w:spacing w:after="0"/>
              <w:rPr>
                <w:sz w:val="20"/>
                <w:szCs w:val="20"/>
                <w:color w:val="auto"/>
              </w:rPr>
            </w:pPr>
            <w:r>
              <w:rPr>
                <w:rFonts w:ascii="Arial" w:cs="Arial" w:eastAsia="Arial" w:hAnsi="Arial"/>
                <w:sz w:val="18"/>
                <w:szCs w:val="18"/>
                <w:color w:val="auto"/>
              </w:rPr>
              <w:t>Americas Beverage</w:t>
            </w:r>
          </w:p>
        </w:tc>
        <w:tc>
          <w:tcPr>
            <w:tcW w:w="1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58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460" w:type="dxa"/>
            <w:vAlign w:val="bottom"/>
            <w:vMerge w:val="continue"/>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17</w:t>
            </w:r>
          </w:p>
        </w:tc>
        <w:tc>
          <w:tcPr>
            <w:tcW w:w="3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gridSpan w:val="2"/>
          </w:tcPr>
          <w:p>
            <w:pPr>
              <w:jc w:val="center"/>
              <w:ind w:left="670"/>
              <w:spacing w:after="0"/>
              <w:rPr>
                <w:sz w:val="20"/>
                <w:szCs w:val="20"/>
                <w:color w:val="auto"/>
              </w:rPr>
            </w:pPr>
            <w:r>
              <w:rPr>
                <w:rFonts w:ascii="Arial" w:cs="Arial" w:eastAsia="Arial" w:hAnsi="Arial"/>
                <w:sz w:val="18"/>
                <w:szCs w:val="18"/>
                <w:color w:val="auto"/>
                <w:w w:val="99"/>
              </w:rPr>
              <w:t>1</w:t>
            </w:r>
          </w:p>
        </w:tc>
        <w:tc>
          <w:tcPr>
            <w:tcW w:w="3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41</w:t>
            </w:r>
          </w:p>
        </w:tc>
        <w:tc>
          <w:tcPr>
            <w:tcW w:w="36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center"/>
              <w:ind w:left="630"/>
              <w:spacing w:after="0"/>
              <w:rPr>
                <w:sz w:val="20"/>
                <w:szCs w:val="20"/>
                <w:color w:val="auto"/>
              </w:rPr>
            </w:pPr>
            <w:r>
              <w:rPr>
                <w:rFonts w:ascii="Arial" w:cs="Arial" w:eastAsia="Arial" w:hAnsi="Arial"/>
                <w:sz w:val="18"/>
                <w:szCs w:val="18"/>
                <w:color w:val="auto"/>
                <w:w w:val="99"/>
              </w:rPr>
              <w:t>4</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3460" w:type="dxa"/>
            <w:vAlign w:val="bottom"/>
          </w:tcPr>
          <w:p>
            <w:pPr>
              <w:ind w:left="20"/>
              <w:spacing w:after="0"/>
              <w:rPr>
                <w:sz w:val="20"/>
                <w:szCs w:val="20"/>
                <w:color w:val="auto"/>
              </w:rPr>
            </w:pPr>
            <w:r>
              <w:rPr>
                <w:rFonts w:ascii="Arial" w:cs="Arial" w:eastAsia="Arial" w:hAnsi="Arial"/>
                <w:sz w:val="18"/>
                <w:szCs w:val="18"/>
                <w:color w:val="auto"/>
              </w:rPr>
              <w:t>European Beverage</w:t>
            </w:r>
          </w:p>
        </w:tc>
        <w:tc>
          <w:tcPr>
            <w:tcW w:w="18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gridSpan w:val="2"/>
          </w:tcPr>
          <w:p>
            <w:pPr>
              <w:jc w:val="center"/>
              <w:ind w:left="670"/>
              <w:spacing w:after="0"/>
              <w:rPr>
                <w:sz w:val="20"/>
                <w:szCs w:val="20"/>
                <w:color w:val="auto"/>
              </w:rPr>
            </w:pPr>
            <w:r>
              <w:rPr>
                <w:rFonts w:ascii="Arial" w:cs="Arial" w:eastAsia="Arial" w:hAnsi="Arial"/>
                <w:sz w:val="18"/>
                <w:szCs w:val="18"/>
                <w:color w:val="auto"/>
                <w:w w:val="99"/>
              </w:rPr>
              <w:t>3</w:t>
            </w: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center"/>
              <w:ind w:left="630"/>
              <w:spacing w:after="0"/>
              <w:rPr>
                <w:sz w:val="20"/>
                <w:szCs w:val="20"/>
                <w:color w:val="auto"/>
              </w:rPr>
            </w:pPr>
            <w:r>
              <w:rPr>
                <w:rFonts w:ascii="Arial" w:cs="Arial" w:eastAsia="Arial" w:hAnsi="Arial"/>
                <w:sz w:val="18"/>
                <w:szCs w:val="18"/>
                <w:color w:val="auto"/>
                <w:w w:val="99"/>
              </w:rPr>
              <w:t>2</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460" w:type="dxa"/>
            <w:vAlign w:val="bottom"/>
          </w:tcPr>
          <w:p>
            <w:pPr>
              <w:ind w:left="20"/>
              <w:spacing w:after="0"/>
              <w:rPr>
                <w:sz w:val="20"/>
                <w:szCs w:val="20"/>
                <w:color w:val="auto"/>
              </w:rPr>
            </w:pPr>
            <w:r>
              <w:rPr>
                <w:rFonts w:ascii="Arial" w:cs="Arial" w:eastAsia="Arial" w:hAnsi="Arial"/>
                <w:sz w:val="18"/>
                <w:szCs w:val="18"/>
                <w:color w:val="auto"/>
              </w:rPr>
              <w:t>Asia Pacific</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460" w:type="dxa"/>
            <w:vAlign w:val="bottom"/>
          </w:tcPr>
          <w:p>
            <w:pPr>
              <w:ind w:left="20"/>
              <w:spacing w:after="0"/>
              <w:rPr>
                <w:sz w:val="20"/>
                <w:szCs w:val="20"/>
                <w:color w:val="auto"/>
              </w:rPr>
            </w:pPr>
            <w:r>
              <w:rPr>
                <w:rFonts w:ascii="Arial" w:cs="Arial" w:eastAsia="Arial" w:hAnsi="Arial"/>
                <w:sz w:val="18"/>
                <w:szCs w:val="18"/>
                <w:color w:val="auto"/>
              </w:rPr>
              <w:t>Transit Packaging</w:t>
            </w:r>
          </w:p>
        </w:tc>
        <w:tc>
          <w:tcPr>
            <w:tcW w:w="18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gridSpan w:val="2"/>
          </w:tcPr>
          <w:p>
            <w:pPr>
              <w:jc w:val="center"/>
              <w:ind w:left="670"/>
              <w:spacing w:after="0"/>
              <w:rPr>
                <w:sz w:val="20"/>
                <w:szCs w:val="20"/>
                <w:color w:val="auto"/>
              </w:rPr>
            </w:pPr>
            <w:r>
              <w:rPr>
                <w:rFonts w:ascii="Arial" w:cs="Arial" w:eastAsia="Arial" w:hAnsi="Arial"/>
                <w:sz w:val="18"/>
                <w:szCs w:val="18"/>
                <w:color w:val="auto"/>
                <w:w w:val="99"/>
              </w:rPr>
              <w:t>4</w:t>
            </w: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center"/>
              <w:ind w:left="630"/>
              <w:spacing w:after="0"/>
              <w:rPr>
                <w:sz w:val="20"/>
                <w:szCs w:val="20"/>
                <w:color w:val="auto"/>
              </w:rPr>
            </w:pPr>
            <w:r>
              <w:rPr>
                <w:rFonts w:ascii="Arial" w:cs="Arial" w:eastAsia="Arial" w:hAnsi="Arial"/>
                <w:sz w:val="18"/>
                <w:szCs w:val="18"/>
                <w:color w:val="auto"/>
                <w:w w:val="99"/>
              </w:rPr>
              <w:t>2</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460" w:type="dxa"/>
            <w:vAlign w:val="bottom"/>
          </w:tcPr>
          <w:p>
            <w:pPr>
              <w:ind w:left="20"/>
              <w:spacing w:after="0"/>
              <w:rPr>
                <w:sz w:val="20"/>
                <w:szCs w:val="20"/>
                <w:color w:val="auto"/>
              </w:rPr>
            </w:pPr>
            <w:r>
              <w:rPr>
                <w:rFonts w:ascii="Arial" w:cs="Arial" w:eastAsia="Arial" w:hAnsi="Arial"/>
                <w:sz w:val="18"/>
                <w:szCs w:val="18"/>
                <w:color w:val="auto"/>
              </w:rPr>
              <w:t>Corporate and other</w:t>
            </w:r>
          </w:p>
        </w:tc>
        <w:tc>
          <w:tcPr>
            <w:tcW w:w="18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gridSpan w:val="2"/>
          </w:tcPr>
          <w:p>
            <w:pPr>
              <w:jc w:val="center"/>
              <w:ind w:left="650"/>
              <w:spacing w:after="0"/>
              <w:rPr>
                <w:sz w:val="20"/>
                <w:szCs w:val="20"/>
                <w:color w:val="auto"/>
              </w:rPr>
            </w:pPr>
            <w:r>
              <w:rPr>
                <w:rFonts w:ascii="Arial" w:cs="Arial" w:eastAsia="Arial" w:hAnsi="Arial"/>
                <w:sz w:val="18"/>
                <w:szCs w:val="18"/>
                <w:color w:val="auto"/>
                <w:w w:val="90"/>
              </w:rPr>
              <w:t>(1)</w:t>
            </w: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center"/>
              <w:ind w:left="610"/>
              <w:spacing w:after="0"/>
              <w:rPr>
                <w:sz w:val="20"/>
                <w:szCs w:val="20"/>
                <w:color w:val="auto"/>
              </w:rPr>
            </w:pPr>
            <w:r>
              <w:rPr>
                <w:rFonts w:ascii="Arial" w:cs="Arial" w:eastAsia="Arial" w:hAnsi="Arial"/>
                <w:sz w:val="18"/>
                <w:szCs w:val="18"/>
                <w:color w:val="auto"/>
                <w:w w:val="90"/>
              </w:rPr>
              <w:t>(3)</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58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46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60</w:t>
            </w:r>
          </w:p>
        </w:tc>
        <w:tc>
          <w:tcPr>
            <w:tcW w:w="3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gridSpan w:val="2"/>
          </w:tcPr>
          <w:p>
            <w:pPr>
              <w:jc w:val="center"/>
              <w:ind w:left="670"/>
              <w:spacing w:after="0"/>
              <w:rPr>
                <w:sz w:val="20"/>
                <w:szCs w:val="20"/>
                <w:color w:val="auto"/>
              </w:rPr>
            </w:pPr>
            <w:r>
              <w:rPr>
                <w:rFonts w:ascii="Arial" w:cs="Arial" w:eastAsia="Arial" w:hAnsi="Arial"/>
                <w:sz w:val="18"/>
                <w:szCs w:val="18"/>
                <w:b w:val="1"/>
                <w:bCs w:val="1"/>
                <w:color w:val="auto"/>
                <w:w w:val="99"/>
              </w:rPr>
              <w:t>7</w:t>
            </w:r>
          </w:p>
        </w:tc>
        <w:tc>
          <w:tcPr>
            <w:tcW w:w="3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35</w:t>
            </w:r>
          </w:p>
        </w:tc>
        <w:tc>
          <w:tcPr>
            <w:tcW w:w="36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99"/>
              </w:rPr>
              <w:t>5</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3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3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left="660" w:hanging="328"/>
        <w:spacing w:after="0" w:line="227" w:lineRule="auto"/>
        <w:tabs>
          <w:tab w:leader="none" w:pos="648"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The impact of foreign currency translation represents the difference between actual current year U.S. dollar results and pro forma amounts assuming constant foreign currency exchange rates for translation in both periods. In order to compute the difference, the Company compares actual U.S. dollar results to an amount calculated by dividing the current U.S. dollar results by current year average foreign exchange rates and then multiplying those amounts by the applicable prior year average foreign exchange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Reconciliation of Adjusted EBITDA and Adjusted Net Leverage Ratio</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140" w:type="dxa"/>
            <w:vAlign w:val="bottom"/>
          </w:tcPr>
          <w:p>
            <w:pPr>
              <w:spacing w:after="0"/>
              <w:rPr>
                <w:sz w:val="18"/>
                <w:szCs w:val="18"/>
                <w:color w:val="auto"/>
              </w:rPr>
            </w:pPr>
          </w:p>
        </w:tc>
        <w:tc>
          <w:tcPr>
            <w:tcW w:w="1860" w:type="dxa"/>
            <w:vAlign w:val="bottom"/>
            <w:gridSpan w:val="3"/>
          </w:tcPr>
          <w:p>
            <w:pPr>
              <w:ind w:left="220"/>
              <w:spacing w:after="0"/>
              <w:rPr>
                <w:sz w:val="20"/>
                <w:szCs w:val="20"/>
                <w:color w:val="auto"/>
              </w:rPr>
            </w:pPr>
            <w:r>
              <w:rPr>
                <w:rFonts w:ascii="Arial" w:cs="Arial" w:eastAsia="Arial" w:hAnsi="Arial"/>
                <w:sz w:val="18"/>
                <w:szCs w:val="18"/>
                <w:b w:val="1"/>
                <w:bCs w:val="1"/>
                <w:color w:val="auto"/>
              </w:rPr>
              <w:t>September YTD</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September</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tcPr>
          <w:p>
            <w:pPr>
              <w:jc w:val="right"/>
              <w:ind w:right="270"/>
              <w:spacing w:after="0"/>
              <w:rPr>
                <w:sz w:val="20"/>
                <w:szCs w:val="20"/>
                <w:color w:val="auto"/>
              </w:rPr>
            </w:pPr>
            <w:r>
              <w:rPr>
                <w:rFonts w:ascii="Arial" w:cs="Arial" w:eastAsia="Arial" w:hAnsi="Arial"/>
                <w:sz w:val="18"/>
                <w:szCs w:val="18"/>
                <w:b w:val="1"/>
                <w:bCs w:val="1"/>
                <w:color w:val="auto"/>
                <w:w w:val="95"/>
              </w:rPr>
              <w:t>Twelve Months Ended</w:t>
            </w:r>
          </w:p>
        </w:tc>
      </w:tr>
      <w:tr>
        <w:trPr>
          <w:trHeight w:val="243"/>
        </w:trPr>
        <w:tc>
          <w:tcPr>
            <w:tcW w:w="3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YTD 2022</w:t>
            </w: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gridSpan w:val="2"/>
          </w:tcPr>
          <w:p>
            <w:pPr>
              <w:ind w:left="80"/>
              <w:spacing w:after="0"/>
              <w:rPr>
                <w:sz w:val="20"/>
                <w:szCs w:val="20"/>
                <w:color w:val="auto"/>
              </w:rPr>
            </w:pPr>
            <w:r>
              <w:rPr>
                <w:rFonts w:ascii="Arial" w:cs="Arial" w:eastAsia="Arial" w:hAnsi="Arial"/>
                <w:sz w:val="18"/>
                <w:szCs w:val="18"/>
                <w:b w:val="1"/>
                <w:bCs w:val="1"/>
                <w:color w:val="auto"/>
              </w:rPr>
              <w:t>Full Year 2022</w:t>
            </w:r>
          </w:p>
        </w:tc>
        <w:tc>
          <w:tcPr>
            <w:tcW w:w="240" w:type="dxa"/>
            <w:vAlign w:val="bottom"/>
          </w:tcPr>
          <w:p>
            <w:pPr>
              <w:spacing w:after="0"/>
              <w:rPr>
                <w:sz w:val="21"/>
                <w:szCs w:val="21"/>
                <w:color w:val="auto"/>
              </w:rPr>
            </w:pPr>
          </w:p>
        </w:tc>
        <w:tc>
          <w:tcPr>
            <w:tcW w:w="2180" w:type="dxa"/>
            <w:vAlign w:val="bottom"/>
          </w:tcPr>
          <w:p>
            <w:pPr>
              <w:jc w:val="right"/>
              <w:ind w:right="370"/>
              <w:spacing w:after="0"/>
              <w:rPr>
                <w:sz w:val="20"/>
                <w:szCs w:val="20"/>
                <w:color w:val="auto"/>
              </w:rPr>
            </w:pPr>
            <w:r>
              <w:rPr>
                <w:rFonts w:ascii="Arial" w:cs="Arial" w:eastAsia="Arial" w:hAnsi="Arial"/>
                <w:sz w:val="18"/>
                <w:szCs w:val="18"/>
                <w:b w:val="1"/>
                <w:bCs w:val="1"/>
                <w:color w:val="auto"/>
              </w:rPr>
              <w:t>September 30, 2023</w:t>
            </w:r>
          </w:p>
        </w:tc>
      </w:tr>
      <w:tr>
        <w:trPr>
          <w:trHeight w:val="222"/>
        </w:trPr>
        <w:tc>
          <w:tcPr>
            <w:tcW w:w="3140" w:type="dxa"/>
            <w:vAlign w:val="bottom"/>
          </w:tcPr>
          <w:p>
            <w:pPr>
              <w:spacing w:after="0"/>
              <w:rPr>
                <w:sz w:val="20"/>
                <w:szCs w:val="20"/>
                <w:color w:val="auto"/>
              </w:rPr>
            </w:pPr>
            <w:r>
              <w:rPr>
                <w:rFonts w:ascii="Arial" w:cs="Arial" w:eastAsia="Arial" w:hAnsi="Arial"/>
                <w:sz w:val="18"/>
                <w:szCs w:val="18"/>
                <w:b w:val="1"/>
                <w:bCs w:val="1"/>
                <w:color w:val="auto"/>
              </w:rPr>
              <w:t>Income from operations</w:t>
            </w:r>
          </w:p>
        </w:tc>
        <w:tc>
          <w:tcPr>
            <w:tcW w:w="1100" w:type="dxa"/>
            <w:vAlign w:val="bottom"/>
            <w:tcBorders>
              <w:top w:val="single" w:sz="8" w:color="auto"/>
            </w:tcBorders>
          </w:tcPr>
          <w:p>
            <w:pPr>
              <w:jc w:val="right"/>
              <w:ind w:right="890"/>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1,010</w:t>
            </w:r>
          </w:p>
        </w:tc>
        <w:tc>
          <w:tcPr>
            <w:tcW w:w="200" w:type="dxa"/>
            <w:vAlign w:val="bottom"/>
          </w:tcPr>
          <w:p>
            <w:pPr>
              <w:spacing w:after="0"/>
              <w:rPr>
                <w:sz w:val="19"/>
                <w:szCs w:val="19"/>
                <w:color w:val="auto"/>
              </w:rPr>
            </w:pPr>
          </w:p>
        </w:tc>
        <w:tc>
          <w:tcPr>
            <w:tcW w:w="1280" w:type="dxa"/>
            <w:vAlign w:val="bottom"/>
            <w:tcBorders>
              <w:top w:val="single" w:sz="8" w:color="auto"/>
            </w:tcBorders>
          </w:tcPr>
          <w:p>
            <w:pPr>
              <w:jc w:val="right"/>
              <w:ind w:right="1070"/>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1,107</w:t>
            </w:r>
          </w:p>
        </w:tc>
        <w:tc>
          <w:tcPr>
            <w:tcW w:w="2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1,336</w:t>
            </w:r>
          </w:p>
        </w:tc>
        <w:tc>
          <w:tcPr>
            <w:tcW w:w="20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1,239</w:t>
            </w:r>
          </w:p>
        </w:tc>
      </w:t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Add:</w:t>
            </w:r>
          </w:p>
        </w:tc>
        <w:tc>
          <w:tcPr>
            <w:tcW w:w="1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229"/>
        </w:trPr>
        <w:tc>
          <w:tcPr>
            <w:tcW w:w="3140" w:type="dxa"/>
            <w:vAlign w:val="bottom"/>
          </w:tcPr>
          <w:p>
            <w:pPr>
              <w:ind w:left="120"/>
              <w:spacing w:after="0"/>
              <w:rPr>
                <w:sz w:val="20"/>
                <w:szCs w:val="20"/>
                <w:color w:val="auto"/>
              </w:rPr>
            </w:pPr>
            <w:r>
              <w:rPr>
                <w:rFonts w:ascii="Arial" w:cs="Arial" w:eastAsia="Arial" w:hAnsi="Arial"/>
                <w:sz w:val="18"/>
                <w:szCs w:val="18"/>
                <w:color w:val="auto"/>
              </w:rPr>
              <w:t>Intangibles amortization</w:t>
            </w:r>
          </w:p>
        </w:tc>
        <w:tc>
          <w:tcPr>
            <w:tcW w:w="1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122</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30"/>
        </w:trPr>
        <w:tc>
          <w:tcPr>
            <w:tcW w:w="3140" w:type="dxa"/>
            <w:vAlign w:val="bottom"/>
          </w:tcPr>
          <w:p>
            <w:pPr>
              <w:ind w:left="120"/>
              <w:spacing w:after="0"/>
              <w:rPr>
                <w:sz w:val="20"/>
                <w:szCs w:val="20"/>
                <w:color w:val="auto"/>
              </w:rPr>
            </w:pPr>
            <w:r>
              <w:rPr>
                <w:rFonts w:ascii="Arial" w:cs="Arial" w:eastAsia="Arial" w:hAnsi="Arial"/>
                <w:sz w:val="18"/>
                <w:szCs w:val="18"/>
                <w:color w:val="auto"/>
              </w:rPr>
              <w:t>Restructuring and other</w:t>
            </w:r>
          </w:p>
        </w:tc>
        <w:tc>
          <w:tcPr>
            <w:tcW w:w="1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w w:val="93"/>
              </w:rPr>
              <w:t>(52)</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r>
      <w:tr>
        <w:trPr>
          <w:trHeight w:val="222"/>
        </w:trPr>
        <w:tc>
          <w:tcPr>
            <w:tcW w:w="3140" w:type="dxa"/>
            <w:vAlign w:val="bottom"/>
          </w:tcPr>
          <w:p>
            <w:pPr>
              <w:spacing w:after="0"/>
              <w:rPr>
                <w:sz w:val="20"/>
                <w:szCs w:val="20"/>
                <w:color w:val="auto"/>
              </w:rPr>
            </w:pPr>
            <w:r>
              <w:rPr>
                <w:rFonts w:ascii="Arial" w:cs="Arial" w:eastAsia="Arial" w:hAnsi="Arial"/>
                <w:sz w:val="18"/>
                <w:szCs w:val="18"/>
                <w:color w:val="auto"/>
              </w:rPr>
              <w:t>Segment income</w:t>
            </w:r>
          </w:p>
        </w:tc>
        <w:tc>
          <w:tcPr>
            <w:tcW w:w="1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1,164</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1,151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1,443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1,456</w:t>
            </w:r>
          </w:p>
        </w:tc>
      </w:t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Depreciation</w:t>
            </w:r>
          </w:p>
        </w:tc>
        <w:tc>
          <w:tcPr>
            <w:tcW w:w="1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20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r>
      <w:tr>
        <w:trPr>
          <w:trHeight w:val="223"/>
        </w:trPr>
        <w:tc>
          <w:tcPr>
            <w:tcW w:w="314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110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1,414</w:t>
            </w:r>
          </w:p>
        </w:tc>
        <w:tc>
          <w:tcPr>
            <w:tcW w:w="200" w:type="dxa"/>
            <w:vAlign w:val="bottom"/>
          </w:tcPr>
          <w:p>
            <w:pPr>
              <w:spacing w:after="0"/>
              <w:rPr>
                <w:sz w:val="19"/>
                <w:szCs w:val="19"/>
                <w:color w:val="auto"/>
              </w:rPr>
            </w:pPr>
          </w:p>
        </w:tc>
        <w:tc>
          <w:tcPr>
            <w:tcW w:w="128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1,378</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1,744</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1,780</w:t>
            </w:r>
          </w:p>
        </w:tc>
      </w:tr>
      <w:tr>
        <w:trPr>
          <w:trHeight w:val="20"/>
        </w:trPr>
        <w:tc>
          <w:tcPr>
            <w:tcW w:w="31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r>
        <w:trPr>
          <w:trHeight w:val="411"/>
        </w:trPr>
        <w:tc>
          <w:tcPr>
            <w:tcW w:w="3140" w:type="dxa"/>
            <w:vAlign w:val="bottom"/>
          </w:tcPr>
          <w:p>
            <w:pPr>
              <w:spacing w:after="0"/>
              <w:rPr>
                <w:sz w:val="20"/>
                <w:szCs w:val="20"/>
                <w:color w:val="auto"/>
              </w:rPr>
            </w:pPr>
            <w:r>
              <w:rPr>
                <w:rFonts w:ascii="Arial" w:cs="Arial" w:eastAsia="Arial" w:hAnsi="Arial"/>
                <w:sz w:val="18"/>
                <w:szCs w:val="18"/>
                <w:color w:val="auto"/>
              </w:rPr>
              <w:t>Total debt</w:t>
            </w: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6,977</w:t>
            </w:r>
          </w:p>
        </w:tc>
        <w:tc>
          <w:tcPr>
            <w:tcW w:w="2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180" w:type="dxa"/>
            <w:vAlign w:val="bottom"/>
          </w:tcPr>
          <w:p>
            <w:pPr>
              <w:jc w:val="right"/>
              <w:spacing w:after="0"/>
              <w:rPr>
                <w:sz w:val="20"/>
                <w:szCs w:val="20"/>
                <w:color w:val="auto"/>
              </w:rPr>
            </w:pPr>
            <w:r>
              <w:rPr>
                <w:rFonts w:ascii="Arial" w:cs="Arial" w:eastAsia="Arial" w:hAnsi="Arial"/>
                <w:sz w:val="18"/>
                <w:szCs w:val="18"/>
                <w:color w:val="auto"/>
              </w:rPr>
              <w:t>7,065</w:t>
            </w:r>
          </w:p>
        </w:tc>
      </w:t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Less cash</w:t>
            </w:r>
          </w:p>
        </w:tc>
        <w:tc>
          <w:tcPr>
            <w:tcW w:w="1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w:t>
            </w:r>
          </w:p>
        </w:tc>
      </w:tr>
      <w:tr>
        <w:trPr>
          <w:trHeight w:val="223"/>
        </w:trPr>
        <w:tc>
          <w:tcPr>
            <w:tcW w:w="3140" w:type="dxa"/>
            <w:vAlign w:val="bottom"/>
          </w:tcPr>
          <w:p>
            <w:pPr>
              <w:spacing w:after="0"/>
              <w:rPr>
                <w:sz w:val="20"/>
                <w:szCs w:val="20"/>
                <w:color w:val="auto"/>
              </w:rPr>
            </w:pPr>
            <w:r>
              <w:rPr>
                <w:rFonts w:ascii="Arial" w:cs="Arial" w:eastAsia="Arial" w:hAnsi="Arial"/>
                <w:sz w:val="18"/>
                <w:szCs w:val="18"/>
                <w:b w:val="1"/>
                <w:bCs w:val="1"/>
                <w:color w:val="auto"/>
              </w:rPr>
              <w:t>Net debt</w:t>
            </w:r>
          </w:p>
        </w:tc>
        <w:tc>
          <w:tcPr>
            <w:tcW w:w="1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6,427</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6,258</w:t>
            </w:r>
          </w:p>
        </w:tc>
      </w:tr>
      <w:tr>
        <w:trPr>
          <w:trHeight w:val="21"/>
        </w:trPr>
        <w:tc>
          <w:tcPr>
            <w:tcW w:w="3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r>
        <w:trPr>
          <w:trHeight w:val="412"/>
        </w:trPr>
        <w:tc>
          <w:tcPr>
            <w:tcW w:w="3140" w:type="dxa"/>
            <w:vAlign w:val="bottom"/>
          </w:tcPr>
          <w:p>
            <w:pPr>
              <w:spacing w:after="0"/>
              <w:rPr>
                <w:sz w:val="20"/>
                <w:szCs w:val="20"/>
                <w:color w:val="auto"/>
              </w:rPr>
            </w:pPr>
            <w:r>
              <w:rPr>
                <w:rFonts w:ascii="Arial" w:cs="Arial" w:eastAsia="Arial" w:hAnsi="Arial"/>
                <w:sz w:val="18"/>
                <w:szCs w:val="18"/>
                <w:b w:val="1"/>
                <w:bCs w:val="1"/>
                <w:color w:val="auto"/>
              </w:rPr>
              <w:t>Adjusted net leverage ratio</w:t>
            </w: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2"/>
          </w:tcPr>
          <w:p>
            <w:pPr>
              <w:ind w:left="1120"/>
              <w:spacing w:after="0"/>
              <w:rPr>
                <w:sz w:val="20"/>
                <w:szCs w:val="20"/>
                <w:color w:val="auto"/>
              </w:rPr>
            </w:pPr>
            <w:r>
              <w:rPr>
                <w:rFonts w:ascii="Arial" w:cs="Arial" w:eastAsia="Arial" w:hAnsi="Arial"/>
                <w:sz w:val="18"/>
                <w:szCs w:val="18"/>
                <w:b w:val="1"/>
                <w:bCs w:val="1"/>
                <w:color w:val="auto"/>
              </w:rPr>
              <w:t>3.7x</w:t>
            </w:r>
          </w:p>
        </w:tc>
        <w:tc>
          <w:tcPr>
            <w:tcW w:w="24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b w:val="1"/>
                <w:bCs w:val="1"/>
                <w:color w:val="auto"/>
              </w:rPr>
              <w:t>3.5x</w:t>
            </w:r>
          </w:p>
        </w:tc>
      </w:tr>
      <w:tr>
        <w:trPr>
          <w:trHeight w:val="21"/>
        </w:trPr>
        <w:tc>
          <w:tcPr>
            <w:tcW w:w="3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95"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Page 11 of 11</w:t>
      </w:r>
    </w:p>
    <w:sectPr>
      <w:pgSz w:w="11900" w:h="16838" w:orient="portrait"/>
      <w:cols w:equalWidth="0" w:num="1">
        <w:col w:w="11240"/>
      </w:cols>
      <w:pgMar w:left="320" w:top="595"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99"/>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6"/>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3"/>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2023-10-23T15:37:04Z</dcterms:created>
  <dcterms:modified xsi:type="dcterms:W3CDTF">2023-10-23T15:37:04Z</dcterms:modified>
</cp:coreProperties>
</file>