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April 29, 2024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CROWN HOLDINGS, INC.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(Exact name of Registrant as specified in its charter)</w:t>
      </w:r>
    </w:p>
    <w:tbl>
      <w:tblPr>
        <w:tblW w:w="6099" w:type="dxa"/>
        <w:jc w:val="center"/>
        <w:tblInd w:w="0" w:type="dxa"/>
        <w:tblLayout w:type="fixed"/>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001-41550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75-3099507</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14025 Riveredge Drive,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Tampa, Florida 33637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698-5100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Soliciting material pursuant to Rule 14a-12 under the Exchange Act (17CFR 240.14a-12)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  </w:t>
      </w:r>
    </w:p>
    <w:p>
      <w:pPr>
        <w:pStyle w:val="TextBody"/>
        <w:bidi w:val="0"/>
        <w:spacing w:lineRule="auto" w:line="288" w:before="2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3/8% Debentures Due 2026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TABLE OF CONTENTS </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Item 2.02. RESULTS OF OPERATIONS AND FINANCIAL CONDITION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INDEX TO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EX-99 PRESS RELEASE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4"/>
        </w:rPr>
      </w:pPr>
      <w:r>
        <w:rPr>
          <w:rFonts w:ascii="Times New Roman;sans-serif" w:hAnsi="Times New Roman;sans-serif"/>
          <w:b/>
          <w:color w:val="000000"/>
          <w:sz w:val="24"/>
        </w:rPr>
        <w:t xml:space="preserve">Item 2.02. Results of Operations and Financial Condition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April 29, 2024 Crown Holdings, Inc. issued a press release announcing its earnings for the first quarter ended March 31, 2024. A copy of the press release is attached hereto as Exhibit 99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4"/>
        </w:rPr>
      </w:pPr>
      <w:r>
        <w:rPr>
          <w:rFonts w:ascii="Times New Roman;sans-serif" w:hAnsi="Times New Roman;sans-serif"/>
          <w:b/>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is furnished as an exhibit to this report. </w:t>
      </w:r>
    </w:p>
    <w:p>
      <w:pPr>
        <w:pStyle w:val="TextBody"/>
        <w:bidi w:val="0"/>
        <w:spacing w:lineRule="auto" w:line="288" w:before="0" w:after="0"/>
        <w:jc w:val="left"/>
        <w:rPr/>
      </w:pPr>
      <w:r>
        <w:rPr>
          <w:rFonts w:ascii="Times New Roman;sans-serif" w:hAnsi="Times New Roman;sans-serif"/>
          <w:b w:val="false"/>
          <w:color w:val="000000"/>
          <w:sz w:val="24"/>
        </w:rPr>
        <w:t>99     </w:t>
      </w:r>
      <w:hyperlink w:anchor="ex99mar2024.htm">
        <w:r>
          <w:rPr>
            <w:rStyle w:val="InternetLink"/>
            <w:rFonts w:ascii="Times New Roman;sans-serif" w:hAnsi="Times New Roman;sans-serif"/>
            <w:b w:val="false"/>
            <w:color w:val="0000FF"/>
            <w:sz w:val="24"/>
            <w:u w:val="single"/>
          </w:rPr>
          <w:t>Press release, dated April 29, 2024, issued by Crown Holdings, Inc.</w:t>
        </w:r>
      </w:hyperlink>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Layout w:type="fixed"/>
        <w:tblCellMar>
          <w:top w:w="28" w:type="dxa"/>
          <w:left w:w="28" w:type="dxa"/>
          <w:bottom w:w="28" w:type="dxa"/>
          <w:right w:w="28" w:type="dxa"/>
        </w:tblCellMar>
      </w:tblPr>
      <w:tblGrid>
        <w:gridCol w:w="124"/>
        <w:gridCol w:w="109"/>
        <w:gridCol w:w="109"/>
        <w:gridCol w:w="874"/>
        <w:gridCol w:w="874"/>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CROWN HOLDINGS, INC.</w:t>
            </w:r>
          </w:p>
        </w:tc>
      </w:tr>
    </w:tbl>
    <w:tbl>
      <w:tblPr>
        <w:tblW w:w="4750"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1156"/>
        <w:gridCol w:w="1156"/>
        <w:gridCol w:w="1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Christy L. Kalaus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Christy L. Kalaus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and Corporate Controller</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Dated: April 29, 2024</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 </w:t>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552450"/>
                          </a:xfrm>
                          <a:prstGeom prst="rect">
                            <a:avLst/>
                          </a:prstGeom>
                        </pic:spPr>
                      </pic:pic>
                    </a:graphicData>
                  </a:graphic>
                </wp:inline>
              </w:drawing>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CROWN HOLDINGS, INC. REPORTS FIRST QUARTER 2024 RESULTS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Tampa, FL - April 29, 2024.</w:t>
      </w:r>
      <w:r>
        <w:rPr>
          <w:color w:val="000000"/>
        </w:rPr>
        <w:t xml:space="preserve"> </w:t>
      </w:r>
      <w:r>
        <w:rPr>
          <w:rFonts w:ascii="Times New Roman;sans-serif" w:hAnsi="Times New Roman;sans-serif"/>
          <w:b w:val="false"/>
          <w:color w:val="000000"/>
          <w:sz w:val="20"/>
        </w:rPr>
        <w:t>Crown Holdings, Inc. (NYSE: CCK) today announced its financial results for the first quarter ended March 31, 2024.</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 the first quarter were $2,784 million compared to $2,974 million in the first quarter of 2023 reflecting higher beverage can shipments in Americas and European Beverage and favorable foreign currency of $10 million, offset by the pass through of $130 million in lower material costs and lower volumes in most other businesses.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operations was $245 million in the first quarter compared to $269 million in the first quarter of 2023. Segment income in the first quarter of 2024 was $308 million compared to $320 million in the prior year first quarter driven by improved results in global beverage offset by lower volumes in most other businesses and $12 million in higher corporate costs which includes $8 million of costs related to a facility fire.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Commenting on the quarter, Timothy J. Donahue, Chairman, President and Chief Executive Officer, stated, “The Company began the year with strong performances in each of the beverage can businesses. Americas Beverage, European Beverage and Asia Pacific combined segment incomes advanced 11% over the prior year’s first quarter. Global beverage shipments increased 2.5% over the prior year first quarter led by 7% growth in North America and 5% growth in Europe. Transit Packaging performed as expected during the period with demand anticipated to improve in the back half of the year.</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 xml:space="preserve">With both the Mesquite, Nevada and Peterborough, U.K. plants in start-up, the Company has completed its beverage can expansion program that began in 2019 and is now focused on continuous operational improvement. The Company remains well positioned to service current and future demand from its expanded industrial base and, as a result, expects capital expenditures to be no more than $500 million in each of 2024 and 2025. Our operating teams continue to utilize the Company’s capital wisely as reflected in a $296 million improvement in free cash flow during the first quarter.”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Crown Holdings in the first quarter was $67 million compared to $102 million in the first quarter of 2023. Reported diluted earnings per share were $0.56 in the first quarter of 2024 compared to $0.85 in 2023. Adjusted diluted earnings per share were $1.02 compared to $1.20 in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was $102 million in the first quarter of 2024 compared to $235 million in the first quarter of 2023. Adjusted free cash flow for the quarter improved by $296 million driven by improved cash from operations, the result of lower working capital, and lower capital spending. The Company’s adjusted net leverage ratio improved to 3.4 times for the twelve months ended March 31, 2024, compared to 4.1 times for the twelve months ended March 31,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affirm our full year 2024 guidance of $5.80 to $6.20 of adjusted diluted earnings per share. The Company expects the adjusted effective income tax rate to be approximately 25% and adjusted net leverage to be at the low end of the target range of 3.0x to 3.5x.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Second quarter adjusted diluted earnings per share is expected to be in the range of $1.55 to $1.65.</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income, adjusted free cash flow,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w:t>
      </w:r>
    </w:p>
    <w:p>
      <w:pPr>
        <w:pStyle w:val="TextBody"/>
        <w:bidi w:val="0"/>
        <w:spacing w:before="120" w:after="1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552450"/>
                          </a:xfrm>
                          <a:prstGeom prst="rect">
                            <a:avLst/>
                          </a:prstGeom>
                        </pic:spPr>
                      </pic:pic>
                    </a:graphicData>
                  </a:graphic>
                </wp:inline>
              </w:drawing>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adjusted net leverage ratio, adjusted net income, the adjusted effective tax rate, adjusted diluted earnings per share and adjusted EBITDA can be found within this release. Reconciliations of estimated adjusted diluted earnings per share, the adjusted effective tax rates and adjusted net leverage ratio for the second quarter and full year of 2024 to estimated diluted earnings per share,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rates and adjusted net leverage ratio, and could have a significant impact on earnings per share, the effective tax rate and income from operations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w:t>
      </w:r>
    </w:p>
    <w:p>
      <w:pPr>
        <w:pStyle w:val="TextBody"/>
        <w:bidi w:val="0"/>
        <w:spacing w:lineRule="auto" w:line="268" w:before="0" w:after="0"/>
        <w:jc w:val="both"/>
        <w:rPr/>
      </w:pPr>
      <w:r>
        <w:rPr>
          <w:rFonts w:ascii="Times New Roman;sans-serif" w:hAnsi="Times New Roman;sans-serif"/>
          <w:b w:val="false"/>
          <w:color w:val="000000"/>
          <w:sz w:val="20"/>
        </w:rPr>
        <w:t xml:space="preserve">The Company will hold a conference call tomorrow, April 30, 2024,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sans-serif" w:hAnsi="Times New Roman;sans-serif"/>
          <w:b w:val="false"/>
          <w:color w:val="0000FF"/>
          <w:sz w:val="20"/>
          <w:u w:val="single"/>
        </w:rPr>
        <w:t>www.crowncork.com</w:t>
      </w:r>
      <w:r>
        <w:rPr>
          <w:rFonts w:ascii="Times New Roman;sans-serif" w:hAnsi="Times New Roman;sans-serif"/>
          <w:b w:val="false"/>
          <w:color w:val="000000"/>
          <w:sz w:val="20"/>
        </w:rPr>
        <w:t>. A replay of the conference call will be available for a one-week period ending at midnight on May 7, 2024. The telephone numbers for the replay are 203-369-3810 or toll free 800-551-8152.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2024, including consumer preference for beverage cans and global beverage can demand; the future impact of inflation, including the potential for higher interest rates and energy prices and the Company’s ability to recover raw material and other inflationary costs; future demand for food cans; the Company’s ability to deliver continuous operational improvement; future demand in the Transit Packaging segment; and the Company’s ability to decrease capital expenditures and increase cash flow and to further reduce net leverage,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2023 and in subsequent filings made prior to or after the date hereof. The Company does not intend to review or revise any particular forward-looking statement in light of future events.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Crown Holdings, Inc., through its subsidiaries, is a worldwide leader in the design, manufacture and sale of packaging products for consumer goods and industrial products. World headquarters are located in Tampa, Florida.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contact: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Kevin C. Clothier, Senior Vice President and Chief Financial Officer, (215) 698-5281</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T. Fischer, Vice President, Investor Relations and Corporate Affairs, (215) 552-3720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 Balance Sheets, Statements of Cash Flows, Segment Information and Supplemental Data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Consolidated Statements of Operations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data)</w:t>
      </w:r>
    </w:p>
    <w:tbl>
      <w:tblPr>
        <w:tblW w:w="10021" w:type="dxa"/>
        <w:jc w:val="center"/>
        <w:tblInd w:w="0" w:type="dxa"/>
        <w:tblLayout w:type="fixed"/>
        <w:tblCellMar>
          <w:top w:w="28" w:type="dxa"/>
          <w:left w:w="28" w:type="dxa"/>
          <w:bottom w:w="28" w:type="dxa"/>
          <w:right w:w="28" w:type="dxa"/>
        </w:tblCellMar>
      </w:tblPr>
      <w:tblGrid>
        <w:gridCol w:w="2315"/>
        <w:gridCol w:w="2033"/>
        <w:gridCol w:w="2057"/>
        <w:gridCol w:w="346"/>
        <w:gridCol w:w="840"/>
        <w:gridCol w:w="109"/>
        <w:gridCol w:w="109"/>
        <w:gridCol w:w="109"/>
        <w:gridCol w:w="109"/>
        <w:gridCol w:w="346"/>
        <w:gridCol w:w="840"/>
        <w:gridCol w:w="109"/>
        <w:gridCol w:w="109"/>
        <w:gridCol w:w="109"/>
        <w:gridCol w:w="109"/>
        <w:gridCol w:w="109"/>
        <w:gridCol w:w="109"/>
        <w:gridCol w:w="154"/>
      </w:tblGrid>
      <w:tr>
        <w:trPr/>
        <w:tc>
          <w:tcPr>
            <w:tcW w:w="2315"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Income from operations</w:t>
            </w:r>
            <w:r>
              <w:rPr>
                <w:color w:val="000000"/>
              </w:rPr>
              <w:t xml:space="preserve"> </w:t>
            </w:r>
            <w:r>
              <w:rPr>
                <w:rFonts w:ascii="Times New Roman;sans-serif" w:hAnsi="Times New Roman;sans-serif"/>
                <w:b/>
                <w:color w:val="000000"/>
                <w:sz w:val="13"/>
              </w:rPr>
              <w:t>(1)</w:t>
            </w:r>
            <w:r>
              <w:rPr>
                <w:color w:val="000000"/>
              </w:rPr>
              <w:t xml:space="preserve">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pension and postretirement</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interest and taxes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before income taxes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earnings </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Crown Holdings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Crown Holdings common shareholders:</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119,574,366 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119,238,117 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119,815,849 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119,643,244 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common shares outstanding at quarter end</w:t>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120,780,403 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120,101,710 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162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Reconciliation from income from operations to segment income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Financial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from Income from Operations to Segment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tbl>
      <w:tblPr>
        <w:tblW w:w="4525" w:type="dxa"/>
        <w:jc w:val="center"/>
        <w:tblInd w:w="0" w:type="dxa"/>
        <w:tblLayout w:type="fixed"/>
        <w:tblCellMar>
          <w:top w:w="28" w:type="dxa"/>
          <w:left w:w="28" w:type="dxa"/>
          <w:bottom w:w="28" w:type="dxa"/>
          <w:right w:w="28" w:type="dxa"/>
        </w:tblCellMar>
      </w:tblPr>
      <w:tblGrid>
        <w:gridCol w:w="765"/>
        <w:gridCol w:w="674"/>
        <w:gridCol w:w="676"/>
        <w:gridCol w:w="211"/>
        <w:gridCol w:w="481"/>
        <w:gridCol w:w="109"/>
        <w:gridCol w:w="109"/>
        <w:gridCol w:w="109"/>
        <w:gridCol w:w="109"/>
        <w:gridCol w:w="211"/>
        <w:gridCol w:w="481"/>
        <w:gridCol w:w="109"/>
        <w:gridCol w:w="109"/>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Segment Information</w:t>
      </w:r>
    </w:p>
    <w:p>
      <w:pPr>
        <w:pStyle w:val="TextBody"/>
        <w:bidi w:val="0"/>
        <w:spacing w:before="0" w:after="0"/>
        <w:jc w:val="both"/>
        <w:rPr/>
      </w:pPr>
      <w:r>
        <w:rPr/>
      </w:r>
    </w:p>
    <w:tbl>
      <w:tblPr>
        <w:tblW w:w="4419" w:type="dxa"/>
        <w:jc w:val="center"/>
        <w:tblInd w:w="0" w:type="dxa"/>
        <w:tblLayout w:type="fixed"/>
        <w:tblCellMar>
          <w:top w:w="28" w:type="dxa"/>
          <w:left w:w="28" w:type="dxa"/>
          <w:bottom w:w="28" w:type="dxa"/>
          <w:right w:w="28" w:type="dxa"/>
        </w:tblCellMar>
      </w:tblPr>
      <w:tblGrid>
        <w:gridCol w:w="618"/>
        <w:gridCol w:w="544"/>
        <w:gridCol w:w="547"/>
        <w:gridCol w:w="211"/>
        <w:gridCol w:w="631"/>
        <w:gridCol w:w="109"/>
        <w:gridCol w:w="109"/>
        <w:gridCol w:w="109"/>
        <w:gridCol w:w="109"/>
        <w:gridCol w:w="211"/>
        <w:gridCol w:w="631"/>
        <w:gridCol w:w="109"/>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Net Sales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5844" w:type="dxa"/>
        <w:jc w:val="center"/>
        <w:tblInd w:w="0" w:type="dxa"/>
        <w:tblLayout w:type="fixed"/>
        <w:tblCellMar>
          <w:top w:w="28" w:type="dxa"/>
          <w:left w:w="28" w:type="dxa"/>
          <w:bottom w:w="28" w:type="dxa"/>
          <w:right w:w="28" w:type="dxa"/>
        </w:tblCellMar>
      </w:tblPr>
      <w:tblGrid>
        <w:gridCol w:w="1241"/>
        <w:gridCol w:w="1095"/>
        <w:gridCol w:w="1098"/>
        <w:gridCol w:w="211"/>
        <w:gridCol w:w="481"/>
        <w:gridCol w:w="109"/>
        <w:gridCol w:w="109"/>
        <w:gridCol w:w="109"/>
        <w:gridCol w:w="109"/>
        <w:gridCol w:w="211"/>
        <w:gridCol w:w="481"/>
        <w:gridCol w:w="109"/>
        <w:gridCol w:w="109"/>
        <w:gridCol w:w="109"/>
        <w:gridCol w:w="109"/>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Income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European Beverage </w:t>
            </w:r>
            <w:r>
              <w:rPr>
                <w:rFonts w:ascii="Times New Roman;sans-serif" w:hAnsi="Times New Roman;sans-serif"/>
                <w:b w:val="false"/>
                <w:color w:val="000000"/>
                <w:sz w:val="13"/>
              </w:rPr>
              <w:t>(2)</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and other unallocated items </w:t>
            </w:r>
            <w:r>
              <w:rPr>
                <w:rFonts w:ascii="Times New Roman;sans-serif" w:hAnsi="Times New Roman;sans-serif"/>
                <w:b w:val="false"/>
                <w:color w:val="000000"/>
                <w:sz w:val="13"/>
              </w:rPr>
              <w:t>(2)</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the Company’s food can, aerosol can and closures businesses in North America, and beverage tooling and equipment operations in the U.S. and United Kingdom.</w:t>
      </w:r>
    </w:p>
    <w:p>
      <w:pPr>
        <w:pStyle w:val="TextBody"/>
        <w:bidi w:val="0"/>
        <w:spacing w:before="0" w:after="0"/>
        <w:ind w:left="0" w:right="0" w:hanging="270"/>
        <w:jc w:val="left"/>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During the fourth quarter of 2023, the Company recast its segment reporting to reclassify European corporate costs that were previously included in Corporate and other unallocated items into the European Beverage segment.</w:t>
      </w:r>
      <w:r>
        <w:rPr>
          <w:color w:val="000000"/>
        </w:rPr>
        <w:t xml:space="preserve"> </w:t>
      </w:r>
      <w:r>
        <w:rPr>
          <w:rFonts w:ascii="Times New Roman;sans-serif" w:hAnsi="Times New Roman;sans-serif"/>
          <w:b w:val="false"/>
          <w:color w:val="000000"/>
          <w:sz w:val="20"/>
        </w:rPr>
        <w:t>The change was effective December 31, 2023, and segment results for prior periods were recast to conform to the new presentation.</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from Net Income and Diluted Earnings Per Share to Adjusted Net Income and Adjusted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137"/>
        <w:gridCol w:w="1786"/>
        <w:gridCol w:w="1796"/>
        <w:gridCol w:w="199"/>
        <w:gridCol w:w="199"/>
        <w:gridCol w:w="204"/>
        <w:gridCol w:w="109"/>
        <w:gridCol w:w="109"/>
        <w:gridCol w:w="109"/>
        <w:gridCol w:w="193"/>
        <w:gridCol w:w="193"/>
        <w:gridCol w:w="194"/>
        <w:gridCol w:w="109"/>
        <w:gridCol w:w="109"/>
        <w:gridCol w:w="109"/>
        <w:gridCol w:w="200"/>
        <w:gridCol w:w="200"/>
        <w:gridCol w:w="202"/>
        <w:gridCol w:w="109"/>
        <w:gridCol w:w="109"/>
        <w:gridCol w:w="109"/>
        <w:gridCol w:w="193"/>
        <w:gridCol w:w="193"/>
        <w:gridCol w:w="194"/>
        <w:gridCol w:w="109"/>
        <w:gridCol w:w="109"/>
        <w:gridCol w:w="109"/>
        <w:gridCol w:w="109"/>
        <w:gridCol w:w="109"/>
        <w:gridCol w:w="109"/>
        <w:gridCol w:w="109"/>
        <w:gridCol w:w="109"/>
        <w:gridCol w:w="109"/>
        <w:gridCol w:w="160"/>
      </w:tblGrid>
      <w:tr>
        <w:trPr/>
        <w:tc>
          <w:tcPr>
            <w:tcW w:w="213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2977" w:type="dxa"/>
            <w:gridSpan w:val="22"/>
            <w:tcBorders/>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income/diluted earnings per share attributable to Crown Holdings, as reported </w:t>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Intangibles amortization </w:t>
            </w:r>
            <w:r>
              <w:rPr>
                <w:rFonts w:ascii="Times New Roman;sans-serif" w:hAnsi="Times New Roman;sans-serif"/>
                <w:b w:val="false"/>
                <w:color w:val="000000"/>
                <w:sz w:val="13"/>
              </w:rPr>
              <w:t>(1)</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Restructuring and other </w:t>
            </w:r>
            <w:r>
              <w:rPr>
                <w:rFonts w:ascii="Times New Roman;sans-serif" w:hAnsi="Times New Roman;sans-serif"/>
                <w:b w:val="false"/>
                <w:color w:val="000000"/>
                <w:sz w:val="13"/>
              </w:rPr>
              <w:t>(2)</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Income taxes </w:t>
            </w:r>
            <w:r>
              <w:rPr>
                <w:rFonts w:ascii="Times New Roman;sans-serif" w:hAnsi="Times New Roman;sans-serif"/>
                <w:b w:val="false"/>
                <w:color w:val="000000"/>
                <w:sz w:val="13"/>
              </w:rPr>
              <w:t>(3)</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Equity earnings </w:t>
            </w:r>
            <w:r>
              <w:rPr>
                <w:rFonts w:ascii="Times New Roman;sans-serif" w:hAnsi="Times New Roman;sans-serif"/>
                <w:b w:val="false"/>
                <w:color w:val="000000"/>
                <w:sz w:val="13"/>
              </w:rPr>
              <w:t>(4)</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income/diluted earnings per share</w:t>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Effective tax rate as reported</w:t>
            </w:r>
            <w:r>
              <w:rPr>
                <w:color w:val="000000"/>
              </w:rPr>
              <w:t xml:space="preserve">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effective tax rate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 the first quarters of 2024 and 2023, the Company recorded charges of $40 million ($31 million net of tax) for intangibles amortization arising from prior acquisitions.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In the first quarters of 2024 and 2023, the Company recorded net restructuring and other charges of $23 million ($22 million net of tax) and $11 million ($9 million net of tax) for business reorganization activities. </w:t>
      </w:r>
    </w:p>
    <w:p>
      <w:pPr>
        <w:pStyle w:val="TextBody"/>
        <w:bidi w:val="0"/>
        <w:spacing w:lineRule="auto" w:line="26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The Company recorded income tax benefits of $11 million and $12 million in the first quarters of 2024 and 2023, primarily related to the items described above.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In the first quarters of 2024 and 2023, the Company recorded its proportional share of intangible amortization and restructuring charges, net of tax, recorded by its European tinplate equity method investment, in the line Equity earnings.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tbl>
      <w:tblPr>
        <w:tblW w:w="7966" w:type="dxa"/>
        <w:jc w:val="center"/>
        <w:tblInd w:w="0" w:type="dxa"/>
        <w:tblLayout w:type="fixed"/>
        <w:tblCellMar>
          <w:top w:w="28" w:type="dxa"/>
          <w:left w:w="28" w:type="dxa"/>
          <w:bottom w:w="28" w:type="dxa"/>
          <w:right w:w="28" w:type="dxa"/>
        </w:tblCellMar>
      </w:tblPr>
      <w:tblGrid>
        <w:gridCol w:w="1363"/>
        <w:gridCol w:w="1198"/>
        <w:gridCol w:w="1203"/>
        <w:gridCol w:w="357"/>
        <w:gridCol w:w="1246"/>
        <w:gridCol w:w="184"/>
        <w:gridCol w:w="184"/>
        <w:gridCol w:w="184"/>
        <w:gridCol w:w="184"/>
        <w:gridCol w:w="357"/>
        <w:gridCol w:w="1246"/>
        <w:gridCol w:w="260"/>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Sheets (Condensed &amp; Unaudited)</w:t>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w:t>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Receivables,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Inventories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Prepaid expenses and other 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current assets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4,581</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4,662</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assets</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14,691</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14,412</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debt</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Current maturities of long-term debt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payable and accrued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Total current liabilities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3,864</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3,576</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maturities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Holdings shareholders' equity</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Total liabilities and equity</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14,691</w:t>
            </w:r>
            <w:r>
              <w:rPr>
                <w:color w:val="000000"/>
              </w:rPr>
              <w:t>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14,412</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 (Condensed &amp;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7209" w:type="dxa"/>
        <w:jc w:val="center"/>
        <w:tblInd w:w="0" w:type="dxa"/>
        <w:tblLayout w:type="fixed"/>
        <w:tblCellMar>
          <w:top w:w="28" w:type="dxa"/>
          <w:left w:w="28" w:type="dxa"/>
          <w:bottom w:w="28" w:type="dxa"/>
          <w:right w:w="28" w:type="dxa"/>
        </w:tblCellMar>
      </w:tblPr>
      <w:tblGrid>
        <w:gridCol w:w="1838"/>
        <w:gridCol w:w="1617"/>
        <w:gridCol w:w="1630"/>
        <w:gridCol w:w="211"/>
        <w:gridCol w:w="631"/>
        <w:gridCol w:w="109"/>
        <w:gridCol w:w="109"/>
        <w:gridCol w:w="109"/>
        <w:gridCol w:w="109"/>
        <w:gridCol w:w="211"/>
        <w:gridCol w:w="481"/>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and 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and postretirement expense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contributions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Working capital changes and other </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 xml:space="preserve">Net cash used for operating activities </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Capital expenditures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Equity method investment distribution </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Net cash used for investing activities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change in debt </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shareholders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stock repurchased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noncontrolling interests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Net cash provided by financing activities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January 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Cash, cash equivalents and restricted cash at March 31 </w:t>
            </w:r>
            <w:r>
              <w:rPr>
                <w:rFonts w:ascii="Times New Roman;sans-serif" w:hAnsi="Times New Roman;sans-serif"/>
                <w:b/>
                <w:color w:val="000000"/>
                <w:sz w:val="13"/>
              </w:rPr>
              <w:t>(1)</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1,218</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502</w:t>
            </w: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Cash and cash equivalents include $95 million and $99 million of restricted cash at March 31, 2024 and 2023.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free cash flow is defined by the Company as net cash from operating activities less capital expenditures and certain other items. A reconciliation of net cash used for operating activities to adjusted free cash flow for the three months ended March 31, 2024 and 2023 follows. </w:t>
      </w:r>
    </w:p>
    <w:p>
      <w:pPr>
        <w:pStyle w:val="TextBody"/>
        <w:bidi w:val="0"/>
        <w:spacing w:before="0" w:after="0"/>
        <w:jc w:val="left"/>
        <w:rPr/>
      </w:pPr>
      <w:r>
        <w:rPr/>
      </w:r>
    </w:p>
    <w:p>
      <w:pPr>
        <w:pStyle w:val="TextBody"/>
        <w:bidi w:val="0"/>
        <w:spacing w:before="0" w:after="0"/>
        <w:jc w:val="left"/>
        <w:rPr/>
      </w:pPr>
      <w:r>
        <w:rPr/>
      </w:r>
    </w:p>
    <w:tbl>
      <w:tblPr>
        <w:tblW w:w="6776" w:type="dxa"/>
        <w:jc w:val="left"/>
        <w:tblInd w:w="0" w:type="dxa"/>
        <w:tblLayout w:type="fixed"/>
        <w:tblCellMar>
          <w:top w:w="28" w:type="dxa"/>
          <w:left w:w="28" w:type="dxa"/>
          <w:bottom w:w="28" w:type="dxa"/>
          <w:right w:w="28" w:type="dxa"/>
        </w:tblCellMar>
      </w:tblPr>
      <w:tblGrid>
        <w:gridCol w:w="1269"/>
        <w:gridCol w:w="1116"/>
        <w:gridCol w:w="1124"/>
        <w:gridCol w:w="287"/>
        <w:gridCol w:w="736"/>
        <w:gridCol w:w="148"/>
        <w:gridCol w:w="148"/>
        <w:gridCol w:w="148"/>
        <w:gridCol w:w="148"/>
        <w:gridCol w:w="287"/>
        <w:gridCol w:w="736"/>
        <w:gridCol w:w="148"/>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for operating activities</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(235)</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included in investing activities </w:t>
            </w:r>
            <w:r>
              <w:rPr>
                <w:rFonts w:ascii="Times New Roman;sans-serif" w:hAnsi="Times New Roman;sans-serif"/>
                <w:b w:val="false"/>
                <w:color w:val="000000"/>
                <w:sz w:val="13"/>
              </w:rPr>
              <w:t>(2)</w:t>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(3)</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(479)</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Interest benefit of cross currency swaps included in investing activities.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$23 million of insurance proceeds received in the first quarter of 2023 related to a tornado at the Bowling Green plant and $1 million repayment of the contribution the Company made in 2021 to settle the U.K. defined pension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u w:val="single"/>
        </w:rPr>
        <w:t>Impact of Foreign Currency Translation – Favorable/(Unfavorable)</w:t>
      </w:r>
      <w:r>
        <w:rPr>
          <w:color w:val="000000"/>
        </w:rPr>
        <w:t xml:space="preserve"> </w:t>
      </w:r>
      <w:r>
        <w:rPr>
          <w:rFonts w:ascii="Times New Roman;sans-serif" w:hAnsi="Times New Roman;sans-serif"/>
          <w:b/>
          <w:color w:val="000000"/>
          <w:sz w:val="13"/>
        </w:rPr>
        <w:t>(1)</w:t>
      </w:r>
    </w:p>
    <w:p>
      <w:pPr>
        <w:pStyle w:val="TextBody"/>
        <w:bidi w:val="0"/>
        <w:spacing w:before="0" w:after="0"/>
        <w:jc w:val="left"/>
        <w:rPr/>
      </w:pPr>
      <w:r>
        <w:rPr/>
      </w:r>
    </w:p>
    <w:tbl>
      <w:tblPr>
        <w:tblW w:w="5077" w:type="dxa"/>
        <w:jc w:val="left"/>
        <w:tblInd w:w="0" w:type="dxa"/>
        <w:tblLayout w:type="fixed"/>
        <w:tblCellMar>
          <w:top w:w="28" w:type="dxa"/>
          <w:left w:w="28" w:type="dxa"/>
          <w:bottom w:w="28" w:type="dxa"/>
          <w:right w:w="28" w:type="dxa"/>
        </w:tblCellMar>
      </w:tblPr>
      <w:tblGrid>
        <w:gridCol w:w="631"/>
        <w:gridCol w:w="554"/>
        <w:gridCol w:w="555"/>
        <w:gridCol w:w="264"/>
        <w:gridCol w:w="471"/>
        <w:gridCol w:w="135"/>
        <w:gridCol w:w="126"/>
        <w:gridCol w:w="126"/>
        <w:gridCol w:w="126"/>
        <w:gridCol w:w="534"/>
        <w:gridCol w:w="686"/>
        <w:gridCol w:w="279"/>
        <w:gridCol w:w="109"/>
        <w:gridCol w:w="109"/>
        <w:gridCol w:w="109"/>
        <w:gridCol w:w="109"/>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73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73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73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73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ans-serif" w:hAnsi="Times New Roman;sans-serif"/>
                <w:b/>
                <w:color w:val="000000"/>
                <w:sz w:val="20"/>
              </w:rPr>
              <w:t>10</w:t>
            </w:r>
            <w:r>
              <w:rPr>
                <w:color w:val="000000"/>
              </w:rPr>
              <w:t>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ans-serif" w:hAnsi="Times New Roman;sans-serif"/>
                <w:b/>
                <w:color w:val="000000"/>
                <w:sz w:val="20"/>
              </w:rPr>
              <w:t>1</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pStyle w:val="TextBody"/>
        <w:bidi w:val="0"/>
        <w:spacing w:before="0" w:after="0"/>
        <w:ind w:left="0" w:right="0" w:hanging="36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Adjusted EBITDA and Adjusted Net Leverage Ratio</w:t>
      </w:r>
    </w:p>
    <w:tbl>
      <w:tblPr>
        <w:tblW w:w="7895" w:type="dxa"/>
        <w:jc w:val="left"/>
        <w:tblInd w:w="0" w:type="dxa"/>
        <w:tblLayout w:type="fixed"/>
        <w:tblCellMar>
          <w:top w:w="28" w:type="dxa"/>
          <w:left w:w="28" w:type="dxa"/>
          <w:bottom w:w="28" w:type="dxa"/>
          <w:right w:w="28" w:type="dxa"/>
        </w:tblCellMar>
      </w:tblPr>
      <w:tblGrid>
        <w:gridCol w:w="870"/>
        <w:gridCol w:w="764"/>
        <w:gridCol w:w="766"/>
        <w:gridCol w:w="217"/>
        <w:gridCol w:w="496"/>
        <w:gridCol w:w="112"/>
        <w:gridCol w:w="109"/>
        <w:gridCol w:w="109"/>
        <w:gridCol w:w="109"/>
        <w:gridCol w:w="217"/>
        <w:gridCol w:w="496"/>
        <w:gridCol w:w="112"/>
        <w:gridCol w:w="109"/>
        <w:gridCol w:w="109"/>
        <w:gridCol w:w="109"/>
        <w:gridCol w:w="306"/>
        <w:gridCol w:w="916"/>
        <w:gridCol w:w="158"/>
        <w:gridCol w:w="109"/>
        <w:gridCol w:w="109"/>
        <w:gridCol w:w="109"/>
        <w:gridCol w:w="314"/>
        <w:gridCol w:w="941"/>
        <w:gridCol w:w="229"/>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Twelve Months </w:t>
              <w:br/>
              <w:t>Ended</w:t>
              <w:br/>
              <w:t>March 31, 2024</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1,269</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1,245</w:t>
            </w: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w:t>
            </w: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debt </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6,164</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6,330</w:t>
            </w:r>
            <w:r>
              <w:rPr>
                <w:color w:val="000000"/>
              </w:rPr>
              <w:t>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leverage ratio</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3.4x</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3620</Words>
  <Characters>19590</Characters>
  <CharactersWithSpaces>22998</CharactersWithSpaces>
  <Paragraphs>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