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2"/>
          <w:szCs w:val="22"/>
          <w:b w:val="1"/>
          <w:bCs w:val="1"/>
          <w:color w:val="auto"/>
        </w:rPr>
        <w:t>UNITED STATES</w:t>
      </w:r>
    </w:p>
    <w:p>
      <w:pPr>
        <w:spacing w:after="0" w:line="2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185"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FORM 10-Q</w:t>
      </w:r>
    </w:p>
    <w:p>
      <w:pPr>
        <w:spacing w:after="0" w:line="171" w:lineRule="exact"/>
        <w:rPr>
          <w:sz w:val="24"/>
          <w:szCs w:val="24"/>
          <w:color w:val="auto"/>
        </w:rPr>
      </w:pPr>
    </w:p>
    <w:p>
      <w:pPr>
        <w:ind w:left="500" w:right="420" w:hanging="465"/>
        <w:spacing w:after="0" w:line="256" w:lineRule="auto"/>
        <w:tabs>
          <w:tab w:leader="none" w:pos="500" w:val="left"/>
        </w:tabs>
        <w:numPr>
          <w:ilvl w:val="0"/>
          <w:numId w:val="1"/>
        </w:numPr>
        <w:rPr>
          <w:rFonts w:ascii="Arial" w:cs="Arial" w:eastAsia="Arial" w:hAnsi="Arial"/>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244"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FOR THE QUARTERLY PERIOD ENDED March 31, 2019</w:t>
      </w:r>
    </w:p>
    <w:p>
      <w:pPr>
        <w:spacing w:after="0" w:line="341" w:lineRule="exact"/>
        <w:rPr>
          <w:sz w:val="24"/>
          <w:szCs w:val="24"/>
          <w:color w:val="auto"/>
        </w:rPr>
      </w:pPr>
    </w:p>
    <w:p>
      <w:pPr>
        <w:ind w:left="500" w:right="420" w:hanging="465"/>
        <w:spacing w:after="0" w:line="249" w:lineRule="auto"/>
        <w:tabs>
          <w:tab w:leader="none" w:pos="50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2" w:lineRule="exact"/>
        <w:rPr>
          <w:sz w:val="24"/>
          <w:szCs w:val="24"/>
          <w:color w:val="auto"/>
        </w:rPr>
      </w:pPr>
    </w:p>
    <w:p>
      <w:pPr>
        <w:ind w:left="3000"/>
        <w:spacing w:after="0"/>
        <w:rPr>
          <w:sz w:val="20"/>
          <w:szCs w:val="20"/>
          <w:color w:val="auto"/>
        </w:rPr>
      </w:pPr>
      <w:r>
        <w:rPr>
          <w:rFonts w:ascii="Arial" w:cs="Arial" w:eastAsia="Arial" w:hAnsi="Arial"/>
          <w:sz w:val="22"/>
          <w:szCs w:val="22"/>
          <w:b w:val="1"/>
          <w:bCs w:val="1"/>
          <w:color w:val="auto"/>
        </w:rPr>
        <w:t>FOR THE TRANSITION PERIOD FROM ____ TO ____</w:t>
      </w:r>
    </w:p>
    <w:p>
      <w:pPr>
        <w:spacing w:after="0" w:line="224" w:lineRule="exact"/>
        <w:rPr>
          <w:sz w:val="24"/>
          <w:szCs w:val="24"/>
          <w:color w:val="auto"/>
        </w:rPr>
      </w:pPr>
    </w:p>
    <w:p>
      <w:pPr>
        <w:jc w:val="center"/>
        <w:ind w:right="-19"/>
        <w:spacing w:after="0"/>
        <w:rPr>
          <w:sz w:val="20"/>
          <w:szCs w:val="20"/>
          <w:color w:val="auto"/>
        </w:rPr>
      </w:pPr>
      <w:r>
        <w:rPr>
          <w:rFonts w:ascii="Arial" w:cs="Arial" w:eastAsia="Arial" w:hAnsi="Arial"/>
          <w:sz w:val="16"/>
          <w:szCs w:val="16"/>
          <w:color w:val="auto"/>
        </w:rPr>
        <w:t>COMMISSION FILE NUMBER 000-50189</w:t>
      </w:r>
    </w:p>
    <w:p>
      <w:pPr>
        <w:spacing w:after="0" w:line="64" w:lineRule="exact"/>
        <w:rPr>
          <w:sz w:val="24"/>
          <w:szCs w:val="24"/>
          <w:color w:val="auto"/>
        </w:rPr>
      </w:pPr>
    </w:p>
    <w:p>
      <w:pPr>
        <w:jc w:val="center"/>
        <w:ind w:right="-19"/>
        <w:spacing w:after="0"/>
        <w:rPr>
          <w:sz w:val="20"/>
          <w:szCs w:val="20"/>
          <w:color w:val="auto"/>
        </w:rPr>
      </w:pPr>
      <w:r>
        <w:rPr>
          <w:rFonts w:ascii="Arial" w:cs="Arial" w:eastAsia="Arial" w:hAnsi="Arial"/>
          <w:sz w:val="29"/>
          <w:szCs w:val="29"/>
          <w:b w:val="1"/>
          <w:bCs w:val="1"/>
          <w:color w:val="auto"/>
        </w:rPr>
        <w:t>CROWN HOLDINGS, INC.</w:t>
      </w:r>
    </w:p>
    <w:p>
      <w:pPr>
        <w:spacing w:after="0" w:line="2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52"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2260" w:type="dxa"/>
            <w:vAlign w:val="bottom"/>
          </w:tcPr>
          <w:p>
            <w:pPr>
              <w:jc w:val="center"/>
              <w:ind w:right="1039"/>
              <w:spacing w:after="0"/>
              <w:rPr>
                <w:sz w:val="20"/>
                <w:szCs w:val="20"/>
                <w:color w:val="auto"/>
              </w:rPr>
            </w:pPr>
            <w:r>
              <w:rPr>
                <w:rFonts w:ascii="Arial" w:cs="Arial" w:eastAsia="Arial" w:hAnsi="Arial"/>
                <w:sz w:val="18"/>
                <w:szCs w:val="18"/>
                <w:b w:val="1"/>
                <w:bCs w:val="1"/>
                <w:color w:val="auto"/>
                <w:w w:val="88"/>
              </w:rPr>
              <w:t>Pennsylvania</w:t>
            </w:r>
          </w:p>
        </w:tc>
        <w:tc>
          <w:tcPr>
            <w:tcW w:w="5520" w:type="dxa"/>
            <w:vAlign w:val="bottom"/>
          </w:tcPr>
          <w:p>
            <w:pPr>
              <w:jc w:val="right"/>
              <w:ind w:right="840"/>
              <w:spacing w:after="0"/>
              <w:rPr>
                <w:sz w:val="20"/>
                <w:szCs w:val="20"/>
                <w:color w:val="auto"/>
              </w:rPr>
            </w:pPr>
            <w:r>
              <w:rPr>
                <w:rFonts w:ascii="Arial" w:cs="Arial" w:eastAsia="Arial" w:hAnsi="Arial"/>
                <w:sz w:val="18"/>
                <w:szCs w:val="18"/>
                <w:b w:val="1"/>
                <w:bCs w:val="1"/>
                <w:color w:val="auto"/>
              </w:rPr>
              <w:t>75-3099507</w:t>
            </w:r>
          </w:p>
        </w:tc>
      </w:tr>
      <w:tr>
        <w:trPr>
          <w:trHeight w:val="180"/>
        </w:trPr>
        <w:tc>
          <w:tcPr>
            <w:tcW w:w="4420" w:type="dxa"/>
            <w:vAlign w:val="bottom"/>
            <w:gridSpan w:val="2"/>
          </w:tcPr>
          <w:p>
            <w:pPr>
              <w:jc w:val="center"/>
              <w:ind w:left="941"/>
              <w:spacing w:after="0"/>
              <w:rPr>
                <w:sz w:val="20"/>
                <w:szCs w:val="20"/>
                <w:color w:val="auto"/>
              </w:rPr>
            </w:pPr>
            <w:r>
              <w:rPr>
                <w:rFonts w:ascii="Arial" w:cs="Arial" w:eastAsia="Arial" w:hAnsi="Arial"/>
                <w:sz w:val="14"/>
                <w:szCs w:val="14"/>
                <w:b w:val="1"/>
                <w:bCs w:val="1"/>
                <w:color w:val="auto"/>
                <w:w w:val="93"/>
              </w:rPr>
              <w:t>(State or other jurisdiction of</w:t>
            </w:r>
          </w:p>
        </w:tc>
        <w:tc>
          <w:tcPr>
            <w:tcW w:w="5520" w:type="dxa"/>
            <w:vAlign w:val="bottom"/>
          </w:tcPr>
          <w:p>
            <w:pPr>
              <w:jc w:val="center"/>
              <w:ind w:left="2760"/>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4420" w:type="dxa"/>
            <w:vAlign w:val="bottom"/>
            <w:gridSpan w:val="2"/>
          </w:tcPr>
          <w:p>
            <w:pPr>
              <w:jc w:val="center"/>
              <w:ind w:left="941"/>
              <w:spacing w:after="0"/>
              <w:rPr>
                <w:sz w:val="20"/>
                <w:szCs w:val="20"/>
                <w:color w:val="auto"/>
              </w:rPr>
            </w:pPr>
            <w:r>
              <w:rPr>
                <w:rFonts w:ascii="Arial" w:cs="Arial" w:eastAsia="Arial" w:hAnsi="Arial"/>
                <w:sz w:val="14"/>
                <w:szCs w:val="14"/>
                <w:b w:val="1"/>
                <w:bCs w:val="1"/>
                <w:color w:val="auto"/>
                <w:w w:val="94"/>
              </w:rPr>
              <w:t>incorporation or organization)</w:t>
            </w:r>
          </w:p>
        </w:tc>
        <w:tc>
          <w:tcPr>
            <w:tcW w:w="5520" w:type="dxa"/>
            <w:vAlign w:val="bottom"/>
          </w:tcPr>
          <w:p>
            <w:pPr>
              <w:jc w:val="center"/>
              <w:ind w:left="2740"/>
              <w:spacing w:after="0"/>
              <w:rPr>
                <w:sz w:val="20"/>
                <w:szCs w:val="20"/>
                <w:color w:val="auto"/>
              </w:rPr>
            </w:pPr>
            <w:r>
              <w:rPr>
                <w:rFonts w:ascii="Arial" w:cs="Arial" w:eastAsia="Arial" w:hAnsi="Arial"/>
                <w:sz w:val="14"/>
                <w:szCs w:val="14"/>
                <w:b w:val="1"/>
                <w:bCs w:val="1"/>
                <w:color w:val="auto"/>
                <w:w w:val="96"/>
              </w:rPr>
              <w:t>Identification No.)</w:t>
            </w:r>
          </w:p>
        </w:tc>
      </w:tr>
      <w:tr>
        <w:trPr>
          <w:trHeight w:val="579"/>
        </w:trPr>
        <w:tc>
          <w:tcPr>
            <w:tcW w:w="4420" w:type="dxa"/>
            <w:vAlign w:val="bottom"/>
            <w:gridSpan w:val="2"/>
          </w:tcPr>
          <w:p>
            <w:pPr>
              <w:jc w:val="center"/>
              <w:ind w:left="941"/>
              <w:spacing w:after="0"/>
              <w:rPr>
                <w:sz w:val="20"/>
                <w:szCs w:val="20"/>
                <w:color w:val="auto"/>
              </w:rPr>
            </w:pPr>
            <w:r>
              <w:rPr>
                <w:rFonts w:ascii="Arial" w:cs="Arial" w:eastAsia="Arial" w:hAnsi="Arial"/>
                <w:sz w:val="18"/>
                <w:szCs w:val="18"/>
                <w:b w:val="1"/>
                <w:bCs w:val="1"/>
                <w:color w:val="auto"/>
                <w:w w:val="90"/>
              </w:rPr>
              <w:t>770 Township Line Road, Yardley, PA</w:t>
            </w:r>
          </w:p>
        </w:tc>
        <w:tc>
          <w:tcPr>
            <w:tcW w:w="5520" w:type="dxa"/>
            <w:vAlign w:val="bottom"/>
          </w:tcPr>
          <w:p>
            <w:pPr>
              <w:jc w:val="right"/>
              <w:ind w:right="1040"/>
              <w:spacing w:after="0"/>
              <w:rPr>
                <w:sz w:val="20"/>
                <w:szCs w:val="20"/>
                <w:color w:val="auto"/>
              </w:rPr>
            </w:pPr>
            <w:r>
              <w:rPr>
                <w:rFonts w:ascii="Arial" w:cs="Arial" w:eastAsia="Arial" w:hAnsi="Arial"/>
                <w:sz w:val="18"/>
                <w:szCs w:val="18"/>
                <w:b w:val="1"/>
                <w:bCs w:val="1"/>
                <w:color w:val="auto"/>
              </w:rPr>
              <w:t>19067</w:t>
            </w:r>
          </w:p>
        </w:tc>
      </w:tr>
      <w:tr>
        <w:trPr>
          <w:trHeight w:val="218"/>
        </w:trPr>
        <w:tc>
          <w:tcPr>
            <w:tcW w:w="4420" w:type="dxa"/>
            <w:vAlign w:val="bottom"/>
            <w:gridSpan w:val="2"/>
          </w:tcPr>
          <w:p>
            <w:pPr>
              <w:jc w:val="center"/>
              <w:ind w:left="9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5520" w:type="dxa"/>
            <w:vAlign w:val="bottom"/>
          </w:tcPr>
          <w:p>
            <w:pPr>
              <w:jc w:val="center"/>
              <w:ind w:left="2740"/>
              <w:spacing w:after="0"/>
              <w:rPr>
                <w:sz w:val="20"/>
                <w:szCs w:val="20"/>
                <w:color w:val="auto"/>
              </w:rPr>
            </w:pPr>
            <w:r>
              <w:rPr>
                <w:rFonts w:ascii="Arial" w:cs="Arial" w:eastAsia="Arial" w:hAnsi="Arial"/>
                <w:sz w:val="14"/>
                <w:szCs w:val="14"/>
                <w:b w:val="1"/>
                <w:bCs w:val="1"/>
                <w:color w:val="auto"/>
                <w:w w:val="95"/>
              </w:rPr>
              <w:t>(Zip Code)</w:t>
            </w:r>
          </w:p>
        </w:tc>
      </w:tr>
      <w:tr>
        <w:trPr>
          <w:trHeight w:val="367"/>
        </w:trPr>
        <w:tc>
          <w:tcPr>
            <w:tcW w:w="216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520" w:type="dxa"/>
            <w:vAlign w:val="bottom"/>
          </w:tcPr>
          <w:p>
            <w:pPr>
              <w:jc w:val="right"/>
              <w:ind w:right="3640"/>
              <w:spacing w:after="0"/>
              <w:rPr>
                <w:sz w:val="20"/>
                <w:szCs w:val="20"/>
                <w:color w:val="auto"/>
              </w:rPr>
            </w:pPr>
            <w:r>
              <w:rPr>
                <w:rFonts w:ascii="Arial" w:cs="Arial" w:eastAsia="Arial" w:hAnsi="Arial"/>
                <w:sz w:val="18"/>
                <w:szCs w:val="18"/>
                <w:b w:val="1"/>
                <w:bCs w:val="1"/>
                <w:color w:val="auto"/>
              </w:rPr>
              <w:t>215-698-5100</w:t>
            </w:r>
          </w:p>
        </w:tc>
      </w:tr>
      <w:tr>
        <w:trPr>
          <w:trHeight w:val="166"/>
        </w:trPr>
        <w:tc>
          <w:tcPr>
            <w:tcW w:w="2160" w:type="dxa"/>
            <w:vAlign w:val="bottom"/>
          </w:tcPr>
          <w:p>
            <w:pPr>
              <w:spacing w:after="0"/>
              <w:rPr>
                <w:sz w:val="14"/>
                <w:szCs w:val="14"/>
                <w:color w:val="auto"/>
              </w:rPr>
            </w:pPr>
          </w:p>
        </w:tc>
        <w:tc>
          <w:tcPr>
            <w:tcW w:w="7780" w:type="dxa"/>
            <w:vAlign w:val="bottom"/>
            <w:gridSpan w:val="2"/>
          </w:tcPr>
          <w:p>
            <w:pPr>
              <w:ind w:left="1960"/>
              <w:spacing w:after="0"/>
              <w:rPr>
                <w:sz w:val="20"/>
                <w:szCs w:val="20"/>
                <w:color w:val="auto"/>
              </w:rPr>
            </w:pPr>
            <w:r>
              <w:rPr>
                <w:rFonts w:ascii="Arial" w:cs="Arial" w:eastAsia="Arial" w:hAnsi="Arial"/>
                <w:sz w:val="14"/>
                <w:szCs w:val="14"/>
                <w:b w:val="1"/>
                <w:bCs w:val="1"/>
                <w:color w:val="auto"/>
              </w:rPr>
              <w:t>(registrant’s telephone number, including area code)</w:t>
            </w:r>
          </w:p>
        </w:tc>
      </w:tr>
      <w:tr>
        <w:trPr>
          <w:trHeight w:val="182"/>
        </w:trPr>
        <w:tc>
          <w:tcPr>
            <w:tcW w:w="216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5520" w:type="dxa"/>
            <w:vAlign w:val="bottom"/>
          </w:tcPr>
          <w:p>
            <w:pPr>
              <w:jc w:val="right"/>
              <w:ind w:right="3420"/>
              <w:spacing w:after="0"/>
              <w:rPr>
                <w:sz w:val="20"/>
                <w:szCs w:val="20"/>
                <w:color w:val="auto"/>
              </w:rPr>
            </w:pPr>
            <w:r>
              <w:rPr>
                <w:rFonts w:ascii="Arial" w:cs="Arial" w:eastAsia="Arial" w:hAnsi="Arial"/>
                <w:sz w:val="14"/>
                <w:szCs w:val="14"/>
                <w:color w:val="auto"/>
              </w:rPr>
              <w:t>____________________</w:t>
            </w:r>
          </w:p>
        </w:tc>
      </w:tr>
      <w:tr>
        <w:trPr>
          <w:trHeight w:val="276"/>
        </w:trPr>
        <w:tc>
          <w:tcPr>
            <w:tcW w:w="9940" w:type="dxa"/>
            <w:vAlign w:val="bottom"/>
            <w:gridSpan w:val="3"/>
          </w:tcPr>
          <w:p>
            <w:pPr>
              <w:spacing w:after="0"/>
              <w:rPr>
                <w:sz w:val="20"/>
                <w:szCs w:val="20"/>
                <w:color w:val="auto"/>
              </w:rPr>
            </w:pPr>
            <w:r>
              <w:rPr>
                <w:rFonts w:ascii="Arial" w:cs="Arial" w:eastAsia="Arial" w:hAnsi="Arial"/>
                <w:sz w:val="16"/>
                <w:szCs w:val="16"/>
                <w:b w:val="1"/>
                <w:bCs w:val="1"/>
                <w:color w:val="auto"/>
              </w:rPr>
              <w:t>SECURITIES REGISTERED PURSUANT TO SECTION 12(b) OF THE ACT:</w:t>
            </w:r>
          </w:p>
        </w:tc>
      </w:tr>
      <w:tr>
        <w:trPr>
          <w:trHeight w:val="351"/>
        </w:trPr>
        <w:tc>
          <w:tcPr>
            <w:tcW w:w="2160" w:type="dxa"/>
            <w:vAlign w:val="bottom"/>
          </w:tcPr>
          <w:p>
            <w:pPr>
              <w:ind w:left="40"/>
              <w:spacing w:after="0"/>
              <w:rPr>
                <w:sz w:val="20"/>
                <w:szCs w:val="20"/>
                <w:color w:val="auto"/>
              </w:rPr>
            </w:pPr>
            <w:r>
              <w:rPr>
                <w:rFonts w:ascii="Arial" w:cs="Arial" w:eastAsia="Arial" w:hAnsi="Arial"/>
                <w:sz w:val="16"/>
                <w:szCs w:val="16"/>
                <w:color w:val="auto"/>
              </w:rPr>
              <w:t>Title of each class</w:t>
            </w:r>
          </w:p>
        </w:tc>
        <w:tc>
          <w:tcPr>
            <w:tcW w:w="2260" w:type="dxa"/>
            <w:vAlign w:val="bottom"/>
          </w:tcPr>
          <w:p>
            <w:pPr>
              <w:ind w:left="960"/>
              <w:spacing w:after="0"/>
              <w:rPr>
                <w:sz w:val="20"/>
                <w:szCs w:val="20"/>
                <w:color w:val="auto"/>
              </w:rPr>
            </w:pPr>
            <w:r>
              <w:rPr>
                <w:rFonts w:ascii="Arial" w:cs="Arial" w:eastAsia="Arial" w:hAnsi="Arial"/>
                <w:sz w:val="16"/>
                <w:szCs w:val="16"/>
                <w:color w:val="auto"/>
              </w:rPr>
              <w:t>Trading Symbols</w:t>
            </w:r>
          </w:p>
        </w:tc>
        <w:tc>
          <w:tcPr>
            <w:tcW w:w="5520" w:type="dxa"/>
            <w:vAlign w:val="bottom"/>
          </w:tcPr>
          <w:p>
            <w:pPr>
              <w:ind w:left="200"/>
              <w:spacing w:after="0"/>
              <w:rPr>
                <w:sz w:val="20"/>
                <w:szCs w:val="20"/>
                <w:color w:val="auto"/>
              </w:rPr>
            </w:pPr>
            <w:r>
              <w:rPr>
                <w:rFonts w:ascii="Arial" w:cs="Arial" w:eastAsia="Arial" w:hAnsi="Arial"/>
                <w:sz w:val="16"/>
                <w:szCs w:val="16"/>
                <w:color w:val="auto"/>
              </w:rPr>
              <w:t>Name of each exchange on which registered</w:t>
            </w:r>
          </w:p>
        </w:tc>
      </w:tr>
      <w:tr>
        <w:trPr>
          <w:trHeight w:val="33"/>
        </w:trPr>
        <w:tc>
          <w:tcPr>
            <w:tcW w:w="2160" w:type="dxa"/>
            <w:vAlign w:val="bottom"/>
            <w:tcBorders>
              <w:bottom w:val="single" w:sz="8" w:color="auto"/>
            </w:tcBorders>
          </w:tcPr>
          <w:p>
            <w:pPr>
              <w:spacing w:after="0"/>
              <w:rPr>
                <w:sz w:val="2"/>
                <w:szCs w:val="2"/>
                <w:color w:val="auto"/>
              </w:rPr>
            </w:pPr>
          </w:p>
        </w:tc>
        <w:tc>
          <w:tcPr>
            <w:tcW w:w="2260" w:type="dxa"/>
            <w:vAlign w:val="bottom"/>
            <w:tcBorders>
              <w:bottom w:val="single" w:sz="8" w:color="auto"/>
            </w:tcBorders>
          </w:tcPr>
          <w:p>
            <w:pPr>
              <w:spacing w:after="0"/>
              <w:rPr>
                <w:sz w:val="2"/>
                <w:szCs w:val="2"/>
                <w:color w:val="auto"/>
              </w:rPr>
            </w:pPr>
          </w:p>
        </w:tc>
        <w:tc>
          <w:tcPr>
            <w:tcW w:w="5520" w:type="dxa"/>
            <w:vAlign w:val="bottom"/>
            <w:tcBorders>
              <w:bottom w:val="single" w:sz="8" w:color="auto"/>
            </w:tcBorders>
          </w:tcPr>
          <w:p>
            <w:pPr>
              <w:spacing w:after="0"/>
              <w:rPr>
                <w:sz w:val="2"/>
                <w:szCs w:val="2"/>
                <w:color w:val="auto"/>
              </w:rPr>
            </w:pPr>
          </w:p>
        </w:tc>
      </w:tr>
      <w:tr>
        <w:trPr>
          <w:trHeight w:val="217"/>
        </w:trPr>
        <w:tc>
          <w:tcPr>
            <w:tcW w:w="2160" w:type="dxa"/>
            <w:vAlign w:val="bottom"/>
          </w:tcPr>
          <w:p>
            <w:pPr>
              <w:ind w:left="40"/>
              <w:spacing w:after="0"/>
              <w:rPr>
                <w:sz w:val="20"/>
                <w:szCs w:val="20"/>
                <w:color w:val="auto"/>
              </w:rPr>
            </w:pPr>
            <w:r>
              <w:rPr>
                <w:rFonts w:ascii="Arial" w:cs="Arial" w:eastAsia="Arial" w:hAnsi="Arial"/>
                <w:sz w:val="16"/>
                <w:szCs w:val="16"/>
                <w:color w:val="auto"/>
                <w:w w:val="91"/>
              </w:rPr>
              <w:t>Common Stock $5.00 Par Value</w:t>
            </w:r>
          </w:p>
        </w:tc>
        <w:tc>
          <w:tcPr>
            <w:tcW w:w="2260" w:type="dxa"/>
            <w:vAlign w:val="bottom"/>
          </w:tcPr>
          <w:p>
            <w:pPr>
              <w:ind w:left="960"/>
              <w:spacing w:after="0"/>
              <w:rPr>
                <w:sz w:val="20"/>
                <w:szCs w:val="20"/>
                <w:color w:val="auto"/>
              </w:rPr>
            </w:pPr>
            <w:r>
              <w:rPr>
                <w:rFonts w:ascii="Arial" w:cs="Arial" w:eastAsia="Arial" w:hAnsi="Arial"/>
                <w:sz w:val="16"/>
                <w:szCs w:val="16"/>
                <w:color w:val="auto"/>
              </w:rPr>
              <w:t>CCK</w:t>
            </w:r>
          </w:p>
        </w:tc>
        <w:tc>
          <w:tcPr>
            <w:tcW w:w="5520" w:type="dxa"/>
            <w:vAlign w:val="bottom"/>
          </w:tcPr>
          <w:p>
            <w:pPr>
              <w:ind w:left="200"/>
              <w:spacing w:after="0"/>
              <w:rPr>
                <w:sz w:val="20"/>
                <w:szCs w:val="20"/>
                <w:color w:val="auto"/>
              </w:rPr>
            </w:pPr>
            <w:r>
              <w:rPr>
                <w:rFonts w:ascii="Arial" w:cs="Arial" w:eastAsia="Arial" w:hAnsi="Arial"/>
                <w:sz w:val="16"/>
                <w:szCs w:val="16"/>
                <w:color w:val="auto"/>
              </w:rPr>
              <w:t>New York Stock Exchange</w:t>
            </w:r>
          </w:p>
        </w:tc>
      </w:tr>
      <w:tr>
        <w:trPr>
          <w:trHeight w:val="307"/>
        </w:trPr>
        <w:tc>
          <w:tcPr>
            <w:tcW w:w="2160" w:type="dxa"/>
            <w:vAlign w:val="bottom"/>
          </w:tcPr>
          <w:p>
            <w:pPr>
              <w:ind w:left="40"/>
              <w:spacing w:after="0"/>
              <w:rPr>
                <w:sz w:val="20"/>
                <w:szCs w:val="20"/>
                <w:color w:val="auto"/>
              </w:rPr>
            </w:pPr>
            <w:r>
              <w:rPr>
                <w:rFonts w:ascii="Arial" w:cs="Arial" w:eastAsia="Arial" w:hAnsi="Arial"/>
                <w:sz w:val="16"/>
                <w:szCs w:val="16"/>
                <w:color w:val="auto"/>
              </w:rPr>
              <w:t xml:space="preserve">7 </w:t>
            </w:r>
            <w:r>
              <w:rPr>
                <w:rFonts w:ascii="Arial" w:cs="Arial" w:eastAsia="Arial" w:hAnsi="Arial"/>
                <w:sz w:val="21"/>
                <w:szCs w:val="21"/>
                <w:color w:val="auto"/>
                <w:vertAlign w:val="superscript"/>
              </w:rPr>
              <w:t>3</w:t>
            </w:r>
            <w:r>
              <w:rPr>
                <w:rFonts w:ascii="Arial" w:cs="Arial" w:eastAsia="Arial" w:hAnsi="Arial"/>
                <w:sz w:val="16"/>
                <w:szCs w:val="16"/>
                <w:color w:val="auto"/>
              </w:rPr>
              <w:t>/8% Debentures Due 2026</w:t>
            </w:r>
          </w:p>
        </w:tc>
        <w:tc>
          <w:tcPr>
            <w:tcW w:w="2260" w:type="dxa"/>
            <w:vAlign w:val="bottom"/>
          </w:tcPr>
          <w:p>
            <w:pPr>
              <w:ind w:left="960"/>
              <w:spacing w:after="0"/>
              <w:rPr>
                <w:sz w:val="20"/>
                <w:szCs w:val="20"/>
                <w:color w:val="auto"/>
              </w:rPr>
            </w:pPr>
            <w:r>
              <w:rPr>
                <w:rFonts w:ascii="Arial" w:cs="Arial" w:eastAsia="Arial" w:hAnsi="Arial"/>
                <w:sz w:val="16"/>
                <w:szCs w:val="16"/>
                <w:color w:val="auto"/>
              </w:rPr>
              <w:t>CCK26</w:t>
            </w:r>
          </w:p>
        </w:tc>
        <w:tc>
          <w:tcPr>
            <w:tcW w:w="5520" w:type="dxa"/>
            <w:vAlign w:val="bottom"/>
          </w:tcPr>
          <w:p>
            <w:pPr>
              <w:ind w:left="200"/>
              <w:spacing w:after="0"/>
              <w:rPr>
                <w:sz w:val="20"/>
                <w:szCs w:val="20"/>
                <w:color w:val="auto"/>
              </w:rPr>
            </w:pPr>
            <w:r>
              <w:rPr>
                <w:rFonts w:ascii="Arial" w:cs="Arial" w:eastAsia="Arial" w:hAnsi="Arial"/>
                <w:sz w:val="16"/>
                <w:szCs w:val="16"/>
                <w:color w:val="auto"/>
              </w:rPr>
              <w:t>New York Stock Exchange</w:t>
            </w:r>
          </w:p>
        </w:tc>
      </w:tr>
      <w:tr>
        <w:trPr>
          <w:trHeight w:val="281"/>
        </w:trPr>
        <w:tc>
          <w:tcPr>
            <w:tcW w:w="2160" w:type="dxa"/>
            <w:vAlign w:val="bottom"/>
          </w:tcPr>
          <w:p>
            <w:pPr>
              <w:ind w:left="40"/>
              <w:spacing w:after="0"/>
              <w:rPr>
                <w:sz w:val="20"/>
                <w:szCs w:val="20"/>
                <w:color w:val="auto"/>
              </w:rPr>
            </w:pPr>
            <w:r>
              <w:rPr>
                <w:rFonts w:ascii="Arial" w:cs="Arial" w:eastAsia="Arial" w:hAnsi="Arial"/>
                <w:sz w:val="16"/>
                <w:szCs w:val="16"/>
                <w:color w:val="auto"/>
              </w:rPr>
              <w:t xml:space="preserve">7 </w:t>
            </w:r>
            <w:r>
              <w:rPr>
                <w:rFonts w:ascii="Arial" w:cs="Arial" w:eastAsia="Arial" w:hAnsi="Arial"/>
                <w:sz w:val="21"/>
                <w:szCs w:val="21"/>
                <w:color w:val="auto"/>
                <w:vertAlign w:val="superscript"/>
              </w:rPr>
              <w:t>1</w:t>
            </w:r>
            <w:r>
              <w:rPr>
                <w:rFonts w:ascii="Arial" w:cs="Arial" w:eastAsia="Arial" w:hAnsi="Arial"/>
                <w:sz w:val="16"/>
                <w:szCs w:val="16"/>
                <w:color w:val="auto"/>
              </w:rPr>
              <w:t>/2% Debentures Due 2096</w:t>
            </w:r>
          </w:p>
        </w:tc>
        <w:tc>
          <w:tcPr>
            <w:tcW w:w="2260" w:type="dxa"/>
            <w:vAlign w:val="bottom"/>
          </w:tcPr>
          <w:p>
            <w:pPr>
              <w:ind w:left="960"/>
              <w:spacing w:after="0"/>
              <w:rPr>
                <w:sz w:val="20"/>
                <w:szCs w:val="20"/>
                <w:color w:val="auto"/>
              </w:rPr>
            </w:pPr>
            <w:r>
              <w:rPr>
                <w:rFonts w:ascii="Arial" w:cs="Arial" w:eastAsia="Arial" w:hAnsi="Arial"/>
                <w:sz w:val="16"/>
                <w:szCs w:val="16"/>
                <w:color w:val="auto"/>
              </w:rPr>
              <w:t>CCK96</w:t>
            </w:r>
          </w:p>
        </w:tc>
        <w:tc>
          <w:tcPr>
            <w:tcW w:w="5520" w:type="dxa"/>
            <w:vAlign w:val="bottom"/>
          </w:tcPr>
          <w:p>
            <w:pPr>
              <w:ind w:left="200"/>
              <w:spacing w:after="0"/>
              <w:rPr>
                <w:sz w:val="20"/>
                <w:szCs w:val="20"/>
                <w:color w:val="auto"/>
              </w:rPr>
            </w:pPr>
            <w:r>
              <w:rPr>
                <w:rFonts w:ascii="Arial" w:cs="Arial" w:eastAsia="Arial" w:hAnsi="Arial"/>
                <w:sz w:val="16"/>
                <w:szCs w:val="16"/>
                <w:color w:val="auto"/>
              </w:rPr>
              <w:t>New York Stock Exchange</w:t>
            </w:r>
          </w:p>
        </w:tc>
      </w:tr>
    </w:tbl>
    <w:p>
      <w:pPr>
        <w:spacing w:after="0" w:line="286" w:lineRule="exact"/>
        <w:rPr>
          <w:sz w:val="24"/>
          <w:szCs w:val="24"/>
          <w:color w:val="auto"/>
        </w:rPr>
      </w:pPr>
    </w:p>
    <w:p>
      <w:pPr>
        <w:jc w:val="both"/>
        <w:spacing w:after="0" w:line="201"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6"/>
          <w:szCs w:val="16"/>
          <w:color w:val="auto"/>
        </w:rPr>
        <w:t>☐</w:t>
      </w:r>
    </w:p>
    <w:p>
      <w:pPr>
        <w:spacing w:after="0" w:line="129" w:lineRule="exact"/>
        <w:rPr>
          <w:sz w:val="24"/>
          <w:szCs w:val="24"/>
          <w:color w:val="auto"/>
        </w:rPr>
      </w:pPr>
    </w:p>
    <w:p>
      <w:pPr>
        <w:jc w:val="both"/>
        <w:spacing w:after="0" w:line="207"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and posted pursuant to Rule 405 of Regulation S-T (§ 232.405 of this chapter) during the preceding 12 months (or such shorter period that the registrant was required to submit such files). Yes x No </w:t>
      </w:r>
      <w:r>
        <w:rPr>
          <w:rFonts w:ascii="MS PGothic" w:cs="MS PGothic" w:eastAsia="MS PGothic" w:hAnsi="MS PGothic"/>
          <w:sz w:val="15"/>
          <w:szCs w:val="15"/>
          <w:color w:val="auto"/>
        </w:rPr>
        <w:t>☐</w:t>
      </w:r>
    </w:p>
    <w:p>
      <w:pPr>
        <w:spacing w:after="0" w:line="128" w:lineRule="exact"/>
        <w:rPr>
          <w:sz w:val="24"/>
          <w:szCs w:val="24"/>
          <w:color w:val="auto"/>
        </w:rPr>
      </w:pPr>
    </w:p>
    <w:p>
      <w:pPr>
        <w:jc w:val="both"/>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234" w:right="239" w:bottom="1440" w:gutter="0" w:footer="0" w:header="0"/>
        </w:sectPr>
      </w:pPr>
    </w:p>
    <w:p>
      <w:pPr>
        <w:spacing w:after="0" w:line="129" w:lineRule="exact"/>
        <w:rPr>
          <w:sz w:val="24"/>
          <w:szCs w:val="24"/>
          <w:color w:val="auto"/>
        </w:rPr>
      </w:pPr>
    </w:p>
    <w:p>
      <w:pPr>
        <w:ind w:left="40"/>
        <w:spacing w:after="0"/>
        <w:rPr>
          <w:sz w:val="20"/>
          <w:szCs w:val="20"/>
          <w:color w:val="auto"/>
        </w:rPr>
      </w:pPr>
      <w:r>
        <w:rPr>
          <w:rFonts w:ascii="Arial" w:cs="Arial" w:eastAsia="Arial" w:hAnsi="Arial"/>
          <w:sz w:val="14"/>
          <w:szCs w:val="14"/>
          <w:color w:val="auto"/>
        </w:rPr>
        <w:t>Large accelerated filer</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6"/>
          <w:szCs w:val="16"/>
          <w:color w:val="auto"/>
        </w:rPr>
        <w:t>x</w:t>
      </w:r>
    </w:p>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w:t>
      </w:r>
    </w:p>
    <w:p>
      <w:pPr>
        <w:spacing w:after="0" w:line="20" w:lineRule="exact"/>
        <w:rPr>
          <w:sz w:val="24"/>
          <w:szCs w:val="24"/>
          <w:color w:val="auto"/>
        </w:rPr>
      </w:pPr>
      <w:r>
        <w:rPr>
          <w:sz w:val="24"/>
          <w:szCs w:val="24"/>
          <w:color w:val="auto"/>
        </w:rPr>
        <w:br w:type="column"/>
      </w:r>
    </w:p>
    <w:p>
      <w:pPr>
        <w:spacing w:after="0" w:line="7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17" w:lineRule="exact"/>
        <w:rPr>
          <w:sz w:val="24"/>
          <w:szCs w:val="24"/>
          <w:color w:val="auto"/>
        </w:rPr>
      </w:pPr>
    </w:p>
    <w:p>
      <w:pPr>
        <w:sectPr>
          <w:pgSz w:w="11900" w:h="16838" w:orient="portrait"/>
          <w:cols w:equalWidth="0" w:num="4">
            <w:col w:w="1480" w:space="700"/>
            <w:col w:w="4820" w:space="720"/>
            <w:col w:w="2540" w:space="720"/>
            <w:col w:w="440"/>
          </w:cols>
          <w:pgMar w:left="240" w:top="234" w:right="239" w:bottom="1440" w:gutter="0" w:footer="0" w:header="0"/>
          <w:type w:val="continuous"/>
        </w:sectPr>
      </w:pPr>
    </w:p>
    <w:p>
      <w:pPr>
        <w:spacing w:after="0" w:line="30" w:lineRule="exact"/>
        <w:rPr>
          <w:sz w:val="24"/>
          <w:szCs w:val="24"/>
          <w:color w:val="auto"/>
        </w:rPr>
      </w:pPr>
    </w:p>
    <w:p>
      <w:pPr>
        <w:ind w:left="40"/>
        <w:spacing w:after="0"/>
        <w:rPr>
          <w:sz w:val="20"/>
          <w:szCs w:val="20"/>
          <w:color w:val="auto"/>
        </w:rPr>
      </w:pPr>
      <w:r>
        <w:rPr>
          <w:rFonts w:ascii="Arial" w:cs="Arial" w:eastAsia="Arial" w:hAnsi="Arial"/>
          <w:sz w:val="14"/>
          <w:szCs w:val="14"/>
          <w:color w:val="auto"/>
        </w:rPr>
        <w:t>Non-accelerated filer</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10" w:lineRule="exact"/>
        <w:rPr>
          <w:sz w:val="24"/>
          <w:szCs w:val="24"/>
          <w:color w:val="auto"/>
        </w:rPr>
      </w:pPr>
    </w:p>
    <w:p>
      <w:pPr>
        <w:spacing w:after="0"/>
        <w:rPr>
          <w:sz w:val="20"/>
          <w:szCs w:val="20"/>
          <w:color w:val="auto"/>
        </w:rPr>
      </w:pPr>
      <w:r>
        <w:rPr>
          <w:rFonts w:ascii="Arial" w:cs="Arial" w:eastAsia="Arial" w:hAnsi="Arial"/>
          <w:sz w:val="14"/>
          <w:szCs w:val="14"/>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93" w:lineRule="exact"/>
        <w:rPr>
          <w:sz w:val="24"/>
          <w:szCs w:val="24"/>
          <w:color w:val="auto"/>
        </w:rPr>
      </w:pPr>
    </w:p>
    <w:p>
      <w:pPr>
        <w:sectPr>
          <w:pgSz w:w="11900" w:h="16838" w:orient="portrait"/>
          <w:cols w:equalWidth="0" w:num="4">
            <w:col w:w="1460" w:space="720"/>
            <w:col w:w="4820" w:space="720"/>
            <w:col w:w="2540" w:space="720"/>
            <w:col w:w="440"/>
          </w:cols>
          <w:pgMar w:left="240" w:top="234" w:right="23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186"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1" w:lineRule="exact"/>
        <w:rPr>
          <w:sz w:val="24"/>
          <w:szCs w:val="24"/>
          <w:color w:val="auto"/>
        </w:rPr>
      </w:pPr>
    </w:p>
    <w:p>
      <w:pPr>
        <w:spacing w:after="0" w:line="184" w:lineRule="exact"/>
        <w:tabs>
          <w:tab w:leader="none" w:pos="7100" w:val="left"/>
          <w:tab w:leader="none" w:pos="7720" w:val="left"/>
        </w:tabs>
        <w:rPr>
          <w:sz w:val="20"/>
          <w:szCs w:val="20"/>
          <w:color w:val="auto"/>
        </w:rPr>
      </w:pPr>
      <w:r>
        <w:rPr>
          <w:rFonts w:ascii="Arial" w:cs="Arial" w:eastAsia="Arial" w:hAnsi="Arial"/>
          <w:sz w:val="16"/>
          <w:szCs w:val="16"/>
          <w:color w:val="auto"/>
        </w:rPr>
        <w:t>Indicate by check mark whether the registrant is a shell company (as defined in Exchange Act Rule 12b-2).</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No x</w:t>
      </w:r>
    </w:p>
    <w:p>
      <w:pPr>
        <w:spacing w:after="0" w:line="186" w:lineRule="exact"/>
        <w:rPr>
          <w:sz w:val="24"/>
          <w:szCs w:val="24"/>
          <w:color w:val="auto"/>
        </w:rPr>
      </w:pPr>
    </w:p>
    <w:p>
      <w:pPr>
        <w:spacing w:after="0"/>
        <w:rPr>
          <w:sz w:val="20"/>
          <w:szCs w:val="20"/>
          <w:color w:val="auto"/>
        </w:rPr>
      </w:pPr>
      <w:r>
        <w:rPr>
          <w:rFonts w:ascii="Arial" w:cs="Arial" w:eastAsia="Arial" w:hAnsi="Arial"/>
          <w:sz w:val="16"/>
          <w:szCs w:val="16"/>
          <w:color w:val="auto"/>
        </w:rPr>
        <w:t>There were 135,338,696 shares of Common Stock outstanding as of April 26, 2019.</w:t>
      </w:r>
    </w:p>
    <w:p>
      <w:pPr>
        <w:sectPr>
          <w:pgSz w:w="11900" w:h="16838" w:orient="portrait"/>
          <w:cols w:equalWidth="0" w:num="1">
            <w:col w:w="11420"/>
          </w:cols>
          <w:pgMar w:left="240" w:top="234"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8"/>
              </w:rPr>
              <w:t>Three Months Ended</w:t>
            </w:r>
          </w:p>
        </w:tc>
      </w:tr>
      <w:tr>
        <w:trPr>
          <w:trHeight w:val="270"/>
        </w:trPr>
        <w:tc>
          <w:tcPr>
            <w:tcW w:w="60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40" w:type="dxa"/>
            <w:vAlign w:val="bottom"/>
          </w:tcPr>
          <w:p>
            <w:pPr>
              <w:spacing w:after="0"/>
              <w:rPr>
                <w:sz w:val="23"/>
                <w:szCs w:val="23"/>
                <w:color w:val="auto"/>
              </w:rPr>
            </w:pPr>
          </w:p>
        </w:tc>
      </w:tr>
      <w:tr>
        <w:trPr>
          <w:trHeight w:val="27"/>
        </w:trPr>
        <w:tc>
          <w:tcPr>
            <w:tcW w:w="60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ind w:right="27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2,755</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2,197</w:t>
            </w:r>
          </w:p>
        </w:tc>
      </w:tr>
      <w:tr>
        <w:trPr>
          <w:trHeight w:val="237"/>
        </w:trPr>
        <w:tc>
          <w:tcPr>
            <w:tcW w:w="608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 amortization</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2,210</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1,808</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122</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157</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90</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r>
      <w:tr>
        <w:trPr>
          <w:trHeight w:val="237"/>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262</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221</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early extinguishments of debt</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Other pension and postretirement</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Interest income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2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r>
      <w:tr>
        <w:trPr>
          <w:trHeight w:val="237"/>
        </w:trPr>
        <w:tc>
          <w:tcPr>
            <w:tcW w:w="6080" w:type="dxa"/>
            <w:vAlign w:val="bottom"/>
          </w:tcPr>
          <w:p>
            <w:pPr>
              <w:ind w:left="2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178</w:t>
            </w:r>
          </w:p>
        </w:tc>
        <w:tc>
          <w:tcPr>
            <w:tcW w:w="2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w:t>
            </w:r>
          </w:p>
        </w:tc>
      </w:tr>
      <w:tr>
        <w:trPr>
          <w:trHeight w:val="27"/>
        </w:trPr>
        <w:tc>
          <w:tcPr>
            <w:tcW w:w="6080" w:type="dxa"/>
            <w:vAlign w:val="bottom"/>
          </w:tcPr>
          <w:p>
            <w:pPr>
              <w:spacing w:after="0"/>
              <w:rPr>
                <w:sz w:val="2"/>
                <w:szCs w:val="2"/>
                <w:color w:val="auto"/>
              </w:rPr>
            </w:pPr>
          </w:p>
        </w:tc>
        <w:tc>
          <w:tcPr>
            <w:tcW w:w="240" w:type="dxa"/>
            <w:vAlign w:val="bottom"/>
          </w:tcPr>
          <w:p>
            <w:pPr>
              <w:spacing w:after="0"/>
              <w:rPr>
                <w:sz w:val="2"/>
                <w:szCs w:val="2"/>
                <w:color w:val="auto"/>
              </w:rPr>
            </w:pPr>
          </w:p>
        </w:tc>
        <w:tc>
          <w:tcPr>
            <w:tcW w:w="82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40" w:type="dxa"/>
            <w:vAlign w:val="bottom"/>
          </w:tcPr>
          <w:p>
            <w:pPr>
              <w:spacing w:after="0"/>
              <w:rPr>
                <w:sz w:val="2"/>
                <w:szCs w:val="2"/>
                <w:color w:val="auto"/>
              </w:rPr>
            </w:pPr>
          </w:p>
        </w:tc>
      </w:tr>
      <w:tr>
        <w:trPr>
          <w:trHeight w:val="250"/>
        </w:trPr>
        <w:tc>
          <w:tcPr>
            <w:tcW w:w="6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Equity earnings in affiliates</w:t>
            </w:r>
          </w:p>
        </w:tc>
        <w:tc>
          <w:tcPr>
            <w:tcW w:w="24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w:t>
            </w: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0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69"/>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6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50"/>
        </w:trPr>
        <w:tc>
          <w:tcPr>
            <w:tcW w:w="6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Earnings per common share attributable to Crown Holdings:</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r>
      <w:tr>
        <w:trPr>
          <w:trHeight w:val="243"/>
        </w:trPr>
        <w:tc>
          <w:tcPr>
            <w:tcW w:w="6080" w:type="dxa"/>
            <w:vAlign w:val="bottom"/>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0.77</w:t>
            </w:r>
          </w:p>
        </w:tc>
        <w:tc>
          <w:tcPr>
            <w:tcW w:w="2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0.67</w:t>
            </w:r>
          </w:p>
        </w:tc>
      </w:tr>
      <w:tr>
        <w:trPr>
          <w:trHeight w:val="67"/>
        </w:trPr>
        <w:tc>
          <w:tcPr>
            <w:tcW w:w="60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r>
      <w:tr>
        <w:trPr>
          <w:trHeight w:val="256"/>
        </w:trPr>
        <w:tc>
          <w:tcPr>
            <w:tcW w:w="60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0.77</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0.67</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121" w:right="1440"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27"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tbl>
      <w:tblPr>
        <w:tblLayout w:type="fixed"/>
        <w:tblInd w:w="280" w:type="dxa"/>
        <w:tblCellMar>
          <w:top w:w="0" w:type="dxa"/>
          <w:left w:w="0" w:type="dxa"/>
          <w:bottom w:w="0" w:type="dxa"/>
          <w:right w:w="0" w:type="dxa"/>
        </w:tblCellMar>
      </w:tblPr>
      <w:tr>
        <w:trPr>
          <w:trHeight w:val="234"/>
        </w:trPr>
        <w:tc>
          <w:tcPr>
            <w:tcW w:w="6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120" w:type="dxa"/>
            <w:vAlign w:val="bottom"/>
            <w:gridSpan w:val="4"/>
          </w:tcPr>
          <w:p>
            <w:pPr>
              <w:jc w:val="right"/>
              <w:ind w:right="250"/>
              <w:spacing w:after="0"/>
              <w:rPr>
                <w:sz w:val="20"/>
                <w:szCs w:val="20"/>
                <w:color w:val="auto"/>
              </w:rPr>
            </w:pPr>
            <w:r>
              <w:rPr>
                <w:rFonts w:ascii="Arial" w:cs="Arial" w:eastAsia="Arial" w:hAnsi="Arial"/>
                <w:sz w:val="18"/>
                <w:szCs w:val="18"/>
                <w:b w:val="1"/>
                <w:bCs w:val="1"/>
                <w:color w:val="auto"/>
                <w:w w:val="98"/>
              </w:rPr>
              <w:t>Three Months Ended</w:t>
            </w:r>
          </w:p>
        </w:tc>
      </w:tr>
      <w:tr>
        <w:trPr>
          <w:trHeight w:val="270"/>
        </w:trPr>
        <w:tc>
          <w:tcPr>
            <w:tcW w:w="6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March 31,</w:t>
            </w:r>
          </w:p>
        </w:tc>
        <w:tc>
          <w:tcPr>
            <w:tcW w:w="720" w:type="dxa"/>
            <w:vAlign w:val="bottom"/>
          </w:tcPr>
          <w:p>
            <w:pPr>
              <w:spacing w:after="0"/>
              <w:rPr>
                <w:sz w:val="23"/>
                <w:szCs w:val="23"/>
                <w:color w:val="auto"/>
              </w:rPr>
            </w:pPr>
          </w:p>
        </w:tc>
      </w:tr>
      <w:tr>
        <w:trPr>
          <w:trHeight w:val="27"/>
        </w:trPr>
        <w:tc>
          <w:tcPr>
            <w:tcW w:w="6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37"/>
        </w:trPr>
        <w:tc>
          <w:tcPr>
            <w:tcW w:w="6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2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2018</w:t>
            </w:r>
          </w:p>
        </w:tc>
      </w:tr>
      <w:tr>
        <w:trPr>
          <w:trHeight w:val="27"/>
        </w:trPr>
        <w:tc>
          <w:tcPr>
            <w:tcW w:w="6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131</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318"/>
        </w:trPr>
        <w:tc>
          <w:tcPr>
            <w:tcW w:w="6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net of tax:</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82</w:t>
            </w:r>
          </w:p>
        </w:tc>
      </w:tr>
      <w:tr>
        <w:trPr>
          <w:trHeight w:val="27"/>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5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Pension and other postretirement benefits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Derivatives qualifying as hedges</w:t>
            </w:r>
          </w:p>
        </w:tc>
        <w:tc>
          <w:tcPr>
            <w:tcW w:w="2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7"/>
        </w:trPr>
        <w:tc>
          <w:tcPr>
            <w:tcW w:w="6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1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b w:val="1"/>
                <w:bCs w:val="1"/>
                <w:color w:val="auto"/>
              </w:rPr>
              <w:t>Total other comprehensive income</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c>
          <w:tcPr>
            <w:tcW w:w="2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318"/>
        </w:trPr>
        <w:tc>
          <w:tcPr>
            <w:tcW w:w="6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840" w:type="dxa"/>
            <w:vAlign w:val="bottom"/>
            <w:tcBorders>
              <w:top w:val="single" w:sz="8" w:color="auto"/>
            </w:tcBorders>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spacing w:after="0"/>
              <w:rPr>
                <w:sz w:val="24"/>
                <w:szCs w:val="24"/>
                <w:color w:val="auto"/>
              </w:rPr>
            </w:pPr>
          </w:p>
        </w:tc>
      </w:tr>
      <w:tr>
        <w:trPr>
          <w:trHeight w:val="250"/>
        </w:trPr>
        <w:tc>
          <w:tcPr>
            <w:tcW w:w="6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216</w:t>
            </w:r>
          </w:p>
        </w:tc>
        <w:tc>
          <w:tcPr>
            <w:tcW w:w="2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174</w:t>
            </w:r>
          </w:p>
        </w:tc>
      </w:tr>
      <w:tr>
        <w:trPr>
          <w:trHeight w:val="243"/>
        </w:trPr>
        <w:tc>
          <w:tcPr>
            <w:tcW w:w="6120" w:type="dxa"/>
            <w:vAlign w:val="bottom"/>
          </w:tcPr>
          <w:p>
            <w:pPr>
              <w:ind w:left="28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(28)</w:t>
            </w:r>
          </w:p>
        </w:tc>
        <w:tc>
          <w:tcPr>
            <w:tcW w:w="2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6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1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Translation adjustments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37"/>
        </w:trPr>
        <w:tc>
          <w:tcPr>
            <w:tcW w:w="6120" w:type="dxa"/>
            <w:vAlign w:val="bottom"/>
          </w:tcPr>
          <w:p>
            <w:pPr>
              <w:ind w:left="2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188</w:t>
            </w:r>
          </w:p>
        </w:tc>
        <w:tc>
          <w:tcPr>
            <w:tcW w:w="24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w:t>
            </w:r>
          </w:p>
        </w:tc>
      </w:tr>
      <w:tr>
        <w:trPr>
          <w:trHeight w:val="27"/>
        </w:trPr>
        <w:tc>
          <w:tcPr>
            <w:tcW w:w="6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6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9019"/>
          </w:cols>
          <w:pgMar w:left="1440" w:top="12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91"/>
              </w:rPr>
              <w:t>Crown Holdings, Inc.</w:t>
            </w: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819"/>
        </w:trPr>
        <w:tc>
          <w:tcPr>
            <w:tcW w:w="3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740" w:type="dxa"/>
            <w:vAlign w:val="bottom"/>
            <w:gridSpan w:val="4"/>
          </w:tcPr>
          <w:p>
            <w:pPr>
              <w:jc w:val="center"/>
              <w:ind w:right="1560"/>
              <w:spacing w:after="0"/>
              <w:rPr>
                <w:sz w:val="20"/>
                <w:szCs w:val="20"/>
                <w:color w:val="auto"/>
              </w:rPr>
            </w:pPr>
            <w:r>
              <w:rPr>
                <w:rFonts w:ascii="Arial" w:cs="Arial" w:eastAsia="Arial" w:hAnsi="Arial"/>
                <w:sz w:val="18"/>
                <w:szCs w:val="18"/>
                <w:b w:val="1"/>
                <w:bCs w:val="1"/>
                <w:color w:val="auto"/>
                <w:w w:val="96"/>
              </w:rPr>
              <w:t>CONSOLIDATED BALANCE SHEETS (Condensed)</w:t>
            </w: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216"/>
        </w:trPr>
        <w:tc>
          <w:tcPr>
            <w:tcW w:w="30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3"/>
              </w:rPr>
              <w:t>(In millions)</w:t>
            </w:r>
          </w:p>
        </w:tc>
        <w:tc>
          <w:tcPr>
            <w:tcW w:w="1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234"/>
        </w:trPr>
        <w:tc>
          <w:tcPr>
            <w:tcW w:w="3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0" w:type="dxa"/>
            <w:vAlign w:val="bottom"/>
            <w:gridSpan w:val="2"/>
          </w:tcPr>
          <w:p>
            <w:pPr>
              <w:jc w:val="center"/>
              <w:ind w:left="90"/>
              <w:spacing w:after="0"/>
              <w:rPr>
                <w:sz w:val="20"/>
                <w:szCs w:val="20"/>
                <w:color w:val="auto"/>
              </w:rPr>
            </w:pPr>
            <w:r>
              <w:rPr>
                <w:rFonts w:ascii="Arial" w:cs="Arial" w:eastAsia="Arial" w:hAnsi="Arial"/>
                <w:sz w:val="18"/>
                <w:szCs w:val="18"/>
                <w:b w:val="1"/>
                <w:bCs w:val="1"/>
                <w:color w:val="auto"/>
                <w:w w:val="93"/>
              </w:rPr>
              <w:t>(Unaudited)</w:t>
            </w:r>
          </w:p>
        </w:tc>
        <w:tc>
          <w:tcPr>
            <w:tcW w:w="1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spacing w:after="0"/>
              <w:rPr>
                <w:sz w:val="20"/>
                <w:szCs w:val="20"/>
                <w:color w:val="auto"/>
              </w:rPr>
            </w:pPr>
          </w:p>
        </w:tc>
      </w:tr>
      <w:tr>
        <w:trPr>
          <w:trHeight w:val="576"/>
        </w:trPr>
        <w:tc>
          <w:tcPr>
            <w:tcW w:w="3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40" w:type="dxa"/>
            <w:vAlign w:val="bottom"/>
            <w:gridSpan w:val="2"/>
          </w:tcPr>
          <w:p>
            <w:pPr>
              <w:ind w:left="120"/>
              <w:spacing w:after="0"/>
              <w:rPr>
                <w:sz w:val="20"/>
                <w:szCs w:val="20"/>
                <w:color w:val="auto"/>
              </w:rPr>
            </w:pPr>
            <w:r>
              <w:rPr>
                <w:rFonts w:ascii="Arial" w:cs="Arial" w:eastAsia="Arial" w:hAnsi="Arial"/>
                <w:sz w:val="18"/>
                <w:szCs w:val="18"/>
                <w:b w:val="1"/>
                <w:bCs w:val="1"/>
                <w:color w:val="auto"/>
              </w:rPr>
              <w:t>March 31,</w:t>
            </w:r>
          </w:p>
        </w:tc>
        <w:tc>
          <w:tcPr>
            <w:tcW w:w="160" w:type="dxa"/>
            <w:vAlign w:val="bottom"/>
          </w:tcPr>
          <w:p>
            <w:pPr>
              <w:spacing w:after="0"/>
              <w:rPr>
                <w:sz w:val="24"/>
                <w:szCs w:val="24"/>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w:t>
            </w:r>
          </w:p>
        </w:tc>
      </w:tr>
      <w:tr>
        <w:trPr>
          <w:trHeight w:val="234"/>
        </w:trPr>
        <w:tc>
          <w:tcPr>
            <w:tcW w:w="30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7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2018</w:t>
            </w:r>
          </w:p>
        </w:tc>
      </w:tr>
      <w:tr>
        <w:trPr>
          <w:trHeight w:val="27"/>
        </w:trPr>
        <w:tc>
          <w:tcPr>
            <w:tcW w:w="30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3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gridSpan w:val="3"/>
          </w:tcPr>
          <w:p>
            <w:pPr>
              <w:ind w:left="40"/>
              <w:spacing w:after="0"/>
              <w:rPr>
                <w:sz w:val="20"/>
                <w:szCs w:val="20"/>
                <w:color w:val="auto"/>
              </w:rPr>
            </w:pPr>
            <w:r>
              <w:rPr>
                <w:rFonts w:ascii="Arial" w:cs="Arial" w:eastAsia="Arial" w:hAnsi="Arial"/>
                <w:sz w:val="18"/>
                <w:szCs w:val="18"/>
                <w:b w:val="1"/>
                <w:bCs w:val="1"/>
                <w:color w:val="auto"/>
              </w:rPr>
              <w:t>Current assets</w:t>
            </w:r>
          </w:p>
        </w:tc>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4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607</w:t>
            </w:r>
          </w:p>
        </w:tc>
      </w:tr>
      <w:tr>
        <w:trPr>
          <w:trHeight w:val="243"/>
        </w:trPr>
        <w:tc>
          <w:tcPr>
            <w:tcW w:w="3620" w:type="dxa"/>
            <w:vAlign w:val="bottom"/>
            <w:gridSpan w:val="3"/>
          </w:tcPr>
          <w:p>
            <w:pPr>
              <w:ind w:left="380"/>
              <w:spacing w:after="0"/>
              <w:rPr>
                <w:sz w:val="20"/>
                <w:szCs w:val="20"/>
                <w:color w:val="auto"/>
              </w:rPr>
            </w:pPr>
            <w:r>
              <w:rPr>
                <w:rFonts w:ascii="Arial" w:cs="Arial" w:eastAsia="Arial" w:hAnsi="Arial"/>
                <w:sz w:val="18"/>
                <w:szCs w:val="18"/>
                <w:color w:val="auto"/>
              </w:rPr>
              <w:t>Receivables, net</w:t>
            </w:r>
          </w:p>
        </w:tc>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1,686</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1,602</w:t>
            </w:r>
          </w:p>
        </w:tc>
      </w:tr>
      <w:tr>
        <w:trPr>
          <w:trHeight w:val="27"/>
        </w:trPr>
        <w:tc>
          <w:tcPr>
            <w:tcW w:w="3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1,851</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1,690</w:t>
            </w:r>
          </w:p>
        </w:tc>
      </w:tr>
      <w:tr>
        <w:trPr>
          <w:trHeight w:val="243"/>
        </w:trPr>
        <w:tc>
          <w:tcPr>
            <w:tcW w:w="3620" w:type="dxa"/>
            <w:vAlign w:val="bottom"/>
            <w:gridSpan w:val="3"/>
          </w:tcPr>
          <w:p>
            <w:pPr>
              <w:ind w:left="380"/>
              <w:spacing w:after="0"/>
              <w:rPr>
                <w:sz w:val="20"/>
                <w:szCs w:val="20"/>
                <w:color w:val="auto"/>
              </w:rPr>
            </w:pPr>
            <w:r>
              <w:rPr>
                <w:rFonts w:ascii="Arial" w:cs="Arial" w:eastAsia="Arial" w:hAnsi="Arial"/>
                <w:sz w:val="18"/>
                <w:szCs w:val="18"/>
                <w:color w:val="auto"/>
                <w:w w:val="93"/>
              </w:rPr>
              <w:t>Prepaid expenses and other current assets</w:t>
            </w:r>
          </w:p>
        </w:tc>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186</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180</w:t>
            </w:r>
          </w:p>
        </w:tc>
      </w:tr>
      <w:tr>
        <w:trPr>
          <w:trHeight w:val="27"/>
        </w:trPr>
        <w:tc>
          <w:tcPr>
            <w:tcW w:w="30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362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4,024</w:t>
            </w: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4,079</w:t>
            </w:r>
          </w:p>
        </w:tc>
      </w:tr>
      <w:tr>
        <w:trPr>
          <w:trHeight w:val="318"/>
        </w:trPr>
        <w:tc>
          <w:tcPr>
            <w:tcW w:w="3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3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4,418</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4,442</w:t>
            </w:r>
          </w:p>
        </w:tc>
      </w:tr>
      <w:tr>
        <w:trPr>
          <w:trHeight w:val="243"/>
        </w:trPr>
        <w:tc>
          <w:tcPr>
            <w:tcW w:w="3620" w:type="dxa"/>
            <w:vAlign w:val="bottom"/>
            <w:gridSpan w:val="3"/>
          </w:tcPr>
          <w:p>
            <w:pPr>
              <w:ind w:left="40"/>
              <w:spacing w:after="0"/>
              <w:rPr>
                <w:sz w:val="20"/>
                <w:szCs w:val="20"/>
                <w:color w:val="auto"/>
              </w:rPr>
            </w:pPr>
            <w:r>
              <w:rPr>
                <w:rFonts w:ascii="Arial" w:cs="Arial" w:eastAsia="Arial" w:hAnsi="Arial"/>
                <w:sz w:val="18"/>
                <w:szCs w:val="18"/>
                <w:color w:val="auto"/>
              </w:rPr>
              <w:t>Intangible assets, net</w:t>
            </w:r>
          </w:p>
        </w:tc>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2,136</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2,193</w:t>
            </w:r>
          </w:p>
        </w:tc>
      </w:tr>
      <w:tr>
        <w:trPr>
          <w:trHeight w:val="27"/>
        </w:trPr>
        <w:tc>
          <w:tcPr>
            <w:tcW w:w="3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3,734</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3,745</w:t>
            </w:r>
          </w:p>
        </w:tc>
      </w:tr>
      <w:tr>
        <w:trPr>
          <w:trHeight w:val="243"/>
        </w:trPr>
        <w:tc>
          <w:tcPr>
            <w:tcW w:w="3620" w:type="dxa"/>
            <w:vAlign w:val="bottom"/>
            <w:gridSpan w:val="3"/>
          </w:tcPr>
          <w:p>
            <w:pPr>
              <w:ind w:left="40"/>
              <w:spacing w:after="0"/>
              <w:rPr>
                <w:sz w:val="20"/>
                <w:szCs w:val="20"/>
                <w:color w:val="auto"/>
              </w:rPr>
            </w:pPr>
            <w:r>
              <w:rPr>
                <w:rFonts w:ascii="Arial" w:cs="Arial" w:eastAsia="Arial" w:hAnsi="Arial"/>
                <w:sz w:val="18"/>
                <w:szCs w:val="18"/>
                <w:color w:val="auto"/>
              </w:rPr>
              <w:t>Operating lease right-of-use assets, net</w:t>
            </w:r>
          </w:p>
        </w:tc>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7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832</w:t>
            </w:r>
          </w:p>
        </w:tc>
        <w:tc>
          <w:tcPr>
            <w:tcW w:w="4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803</w:t>
            </w:r>
          </w:p>
        </w:tc>
      </w:tr>
      <w:tr>
        <w:trPr>
          <w:trHeight w:val="237"/>
        </w:trPr>
        <w:tc>
          <w:tcPr>
            <w:tcW w:w="3620" w:type="dxa"/>
            <w:vAlign w:val="bottom"/>
            <w:gridSpan w:val="3"/>
          </w:tcPr>
          <w:p>
            <w:pPr>
              <w:ind w:left="720"/>
              <w:spacing w:after="0"/>
              <w:rPr>
                <w:sz w:val="20"/>
                <w:szCs w:val="20"/>
                <w:color w:val="auto"/>
              </w:rPr>
            </w:pPr>
            <w:r>
              <w:rPr>
                <w:rFonts w:ascii="Arial" w:cs="Arial" w:eastAsia="Arial" w:hAnsi="Arial"/>
                <w:sz w:val="18"/>
                <w:szCs w:val="18"/>
                <w:b w:val="1"/>
                <w:bCs w:val="1"/>
                <w:color w:val="auto"/>
              </w:rPr>
              <w:t>Total</w:t>
            </w:r>
          </w:p>
        </w:tc>
        <w:tc>
          <w:tcPr>
            <w:tcW w:w="378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15,357</w:t>
            </w:r>
          </w:p>
        </w:tc>
        <w:tc>
          <w:tcPr>
            <w:tcW w:w="44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15,262</w:t>
            </w:r>
          </w:p>
        </w:tc>
      </w:tr>
      <w:tr>
        <w:trPr>
          <w:trHeight w:val="67"/>
        </w:trPr>
        <w:tc>
          <w:tcPr>
            <w:tcW w:w="3020" w:type="dxa"/>
            <w:vAlign w:val="bottom"/>
            <w:tcBorders>
              <w:bottom w:val="single" w:sz="8" w:color="CCEEFF"/>
            </w:tcBorders>
          </w:tcPr>
          <w:p>
            <w:pPr>
              <w:spacing w:after="0"/>
              <w:rPr>
                <w:sz w:val="5"/>
                <w:szCs w:val="5"/>
                <w:color w:val="auto"/>
              </w:rPr>
            </w:pPr>
          </w:p>
        </w:tc>
        <w:tc>
          <w:tcPr>
            <w:tcW w:w="500" w:type="dxa"/>
            <w:vAlign w:val="bottom"/>
            <w:tcBorders>
              <w:bottom w:val="single" w:sz="8" w:color="CCEEFF"/>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78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30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360" w:type="dxa"/>
            <w:vAlign w:val="bottom"/>
            <w:tcBorders>
              <w:bottom w:val="single" w:sz="8" w:color="auto"/>
            </w:tcBorders>
          </w:tcPr>
          <w:p>
            <w:pPr>
              <w:spacing w:after="0"/>
              <w:rPr>
                <w:sz w:val="5"/>
                <w:szCs w:val="5"/>
                <w:color w:val="auto"/>
              </w:rPr>
            </w:pPr>
          </w:p>
        </w:tc>
      </w:tr>
      <w:tr>
        <w:trPr>
          <w:trHeight w:val="278"/>
        </w:trPr>
        <w:tc>
          <w:tcPr>
            <w:tcW w:w="30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60" w:type="dxa"/>
            <w:vAlign w:val="bottom"/>
            <w:shd w:val="clear" w:color="auto" w:fill="CCEEFF"/>
          </w:tcPr>
          <w:p>
            <w:pPr>
              <w:spacing w:after="0"/>
              <w:rPr>
                <w:sz w:val="24"/>
                <w:szCs w:val="24"/>
                <w:color w:val="auto"/>
              </w:rPr>
            </w:pPr>
          </w:p>
        </w:tc>
      </w:tr>
      <w:tr>
        <w:trPr>
          <w:trHeight w:val="243"/>
        </w:trPr>
        <w:tc>
          <w:tcPr>
            <w:tcW w:w="3620" w:type="dxa"/>
            <w:vAlign w:val="bottom"/>
            <w:gridSpan w:val="3"/>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spacing w:after="0"/>
              <w:rPr>
                <w:sz w:val="21"/>
                <w:szCs w:val="21"/>
                <w:color w:val="auto"/>
              </w:rPr>
            </w:pPr>
          </w:p>
        </w:tc>
      </w:tr>
      <w:tr>
        <w:trPr>
          <w:trHeight w:val="27"/>
        </w:trPr>
        <w:tc>
          <w:tcPr>
            <w:tcW w:w="3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r>
      <w:tr>
        <w:trPr>
          <w:trHeight w:val="243"/>
        </w:trPr>
        <w:tc>
          <w:tcPr>
            <w:tcW w:w="3620" w:type="dxa"/>
            <w:vAlign w:val="bottom"/>
            <w:gridSpan w:val="3"/>
          </w:tcPr>
          <w:p>
            <w:pPr>
              <w:ind w:left="380"/>
              <w:spacing w:after="0"/>
              <w:rPr>
                <w:sz w:val="20"/>
                <w:szCs w:val="20"/>
                <w:color w:val="auto"/>
              </w:rPr>
            </w:pPr>
            <w:r>
              <w:rPr>
                <w:rFonts w:ascii="Arial" w:cs="Arial" w:eastAsia="Arial" w:hAnsi="Arial"/>
                <w:sz w:val="18"/>
                <w:szCs w:val="18"/>
                <w:color w:val="auto"/>
              </w:rPr>
              <w:t>Short-term debt</w:t>
            </w:r>
          </w:p>
        </w:tc>
        <w:tc>
          <w:tcPr>
            <w:tcW w:w="4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44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89</w:t>
            </w:r>
          </w:p>
        </w:tc>
      </w:tr>
      <w:tr>
        <w:trPr>
          <w:trHeight w:val="27"/>
        </w:trPr>
        <w:tc>
          <w:tcPr>
            <w:tcW w:w="3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3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r>
      <w:tr>
        <w:trPr>
          <w:trHeight w:val="243"/>
        </w:trPr>
        <w:tc>
          <w:tcPr>
            <w:tcW w:w="3620" w:type="dxa"/>
            <w:vAlign w:val="bottom"/>
            <w:gridSpan w:val="3"/>
          </w:tcPr>
          <w:p>
            <w:pPr>
              <w:ind w:left="380"/>
              <w:spacing w:after="0"/>
              <w:rPr>
                <w:sz w:val="20"/>
                <w:szCs w:val="20"/>
                <w:color w:val="auto"/>
              </w:rPr>
            </w:pPr>
            <w:r>
              <w:rPr>
                <w:rFonts w:ascii="Arial" w:cs="Arial" w:eastAsia="Arial" w:hAnsi="Arial"/>
                <w:sz w:val="18"/>
                <w:szCs w:val="18"/>
                <w:color w:val="auto"/>
                <w:w w:val="94"/>
              </w:rPr>
              <w:t>Current portion of operating lease liabilities</w:t>
            </w:r>
          </w:p>
        </w:tc>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3"/>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2,223</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2,732</w:t>
            </w:r>
          </w:p>
        </w:tc>
      </w:tr>
      <w:tr>
        <w:trPr>
          <w:trHeight w:val="243"/>
        </w:trPr>
        <w:tc>
          <w:tcPr>
            <w:tcW w:w="3620" w:type="dxa"/>
            <w:vAlign w:val="bottom"/>
            <w:gridSpan w:val="3"/>
          </w:tcPr>
          <w:p>
            <w:pPr>
              <w:ind w:left="380"/>
              <w:spacing w:after="0"/>
              <w:rPr>
                <w:sz w:val="20"/>
                <w:szCs w:val="20"/>
                <w:color w:val="auto"/>
              </w:rPr>
            </w:pPr>
            <w:r>
              <w:rPr>
                <w:rFonts w:ascii="Arial" w:cs="Arial" w:eastAsia="Arial" w:hAnsi="Arial"/>
                <w:sz w:val="18"/>
                <w:szCs w:val="18"/>
                <w:color w:val="auto"/>
              </w:rPr>
              <w:t>Accrued liabilities</w:t>
            </w:r>
          </w:p>
        </w:tc>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864</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1,011</w:t>
            </w:r>
          </w:p>
        </w:tc>
      </w:tr>
      <w:tr>
        <w:trPr>
          <w:trHeight w:val="27"/>
        </w:trPr>
        <w:tc>
          <w:tcPr>
            <w:tcW w:w="30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4"/>
        </w:trPr>
        <w:tc>
          <w:tcPr>
            <w:tcW w:w="362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78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3,342</w:t>
            </w: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3,913</w:t>
            </w:r>
          </w:p>
        </w:tc>
      </w:tr>
      <w:tr>
        <w:trPr>
          <w:trHeight w:val="318"/>
        </w:trPr>
        <w:tc>
          <w:tcPr>
            <w:tcW w:w="30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30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360" w:type="dxa"/>
            <w:vAlign w:val="bottom"/>
            <w:tcBorders>
              <w:top w:val="single" w:sz="8" w:color="auto"/>
            </w:tcBorders>
          </w:tcPr>
          <w:p>
            <w:pPr>
              <w:spacing w:after="0"/>
              <w:rPr>
                <w:sz w:val="24"/>
                <w:szCs w:val="24"/>
                <w:color w:val="auto"/>
              </w:rPr>
            </w:pPr>
          </w:p>
        </w:tc>
      </w:tr>
      <w:tr>
        <w:trPr>
          <w:trHeight w:val="250"/>
        </w:trPr>
        <w:tc>
          <w:tcPr>
            <w:tcW w:w="3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3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8,814</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8,493</w:t>
            </w:r>
          </w:p>
        </w:tc>
      </w:tr>
      <w:tr>
        <w:trPr>
          <w:trHeight w:val="243"/>
        </w:trPr>
        <w:tc>
          <w:tcPr>
            <w:tcW w:w="3620" w:type="dxa"/>
            <w:vAlign w:val="bottom"/>
            <w:gridSpan w:val="3"/>
          </w:tcPr>
          <w:p>
            <w:pPr>
              <w:ind w:left="40"/>
              <w:spacing w:after="0"/>
              <w:rPr>
                <w:sz w:val="20"/>
                <w:szCs w:val="20"/>
                <w:color w:val="auto"/>
              </w:rPr>
            </w:pPr>
            <w:r>
              <w:rPr>
                <w:rFonts w:ascii="Arial" w:cs="Arial" w:eastAsia="Arial" w:hAnsi="Arial"/>
                <w:sz w:val="18"/>
                <w:szCs w:val="18"/>
                <w:color w:val="auto"/>
                <w:w w:val="94"/>
              </w:rPr>
              <w:t>Non-current portion of operating lease liabilities</w:t>
            </w:r>
          </w:p>
        </w:tc>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Postretirement and pension liabilities</w:t>
            </w:r>
          </w:p>
        </w:tc>
        <w:tc>
          <w:tcPr>
            <w:tcW w:w="3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671</w:t>
            </w:r>
          </w:p>
        </w:tc>
        <w:tc>
          <w:tcPr>
            <w:tcW w:w="4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683</w:t>
            </w:r>
          </w:p>
        </w:tc>
      </w:tr>
      <w:tr>
        <w:trPr>
          <w:trHeight w:val="243"/>
        </w:trPr>
        <w:tc>
          <w:tcPr>
            <w:tcW w:w="3620" w:type="dxa"/>
            <w:vAlign w:val="bottom"/>
            <w:gridSpan w:val="3"/>
          </w:tcPr>
          <w:p>
            <w:pPr>
              <w:ind w:left="40"/>
              <w:spacing w:after="0"/>
              <w:rPr>
                <w:sz w:val="20"/>
                <w:szCs w:val="20"/>
                <w:color w:val="auto"/>
              </w:rPr>
            </w:pPr>
            <w:r>
              <w:rPr>
                <w:rFonts w:ascii="Arial" w:cs="Arial" w:eastAsia="Arial" w:hAnsi="Arial"/>
                <w:sz w:val="18"/>
                <w:szCs w:val="18"/>
                <w:color w:val="auto"/>
              </w:rPr>
              <w:t>Other non-current liabilities</w:t>
            </w:r>
          </w:p>
        </w:tc>
        <w:tc>
          <w:tcPr>
            <w:tcW w:w="3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861</w:t>
            </w:r>
          </w:p>
        </w:tc>
        <w:tc>
          <w:tcPr>
            <w:tcW w:w="4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887</w:t>
            </w:r>
          </w:p>
        </w:tc>
      </w:tr>
      <w:tr>
        <w:trPr>
          <w:trHeight w:val="27"/>
        </w:trPr>
        <w:tc>
          <w:tcPr>
            <w:tcW w:w="3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3620" w:type="dxa"/>
            <w:vAlign w:val="bottom"/>
            <w:gridSpan w:val="3"/>
            <w:shd w:val="clear" w:color="auto" w:fill="CCEEFF"/>
          </w:tcPr>
          <w:p>
            <w:pPr>
              <w:ind w:left="40"/>
              <w:spacing w:after="0" w:line="202" w:lineRule="exact"/>
              <w:rPr>
                <w:rFonts w:ascii="Arial" w:cs="Arial" w:eastAsia="Arial" w:hAnsi="Arial"/>
                <w:sz w:val="18"/>
                <w:szCs w:val="18"/>
                <w:color w:val="auto"/>
                <w:w w:val="93"/>
              </w:rPr>
            </w:pPr>
            <w:r>
              <w:rPr>
                <w:rFonts w:ascii="Arial" w:cs="Arial" w:eastAsia="Arial" w:hAnsi="Arial"/>
                <w:sz w:val="18"/>
                <w:szCs w:val="18"/>
                <w:color w:val="auto"/>
                <w:w w:val="93"/>
              </w:rPr>
              <w:t xml:space="preserve">Commitments and contingent liabilities </w:t>
            </w:r>
            <w:r>
              <w:rPr>
                <w:rFonts w:ascii="Arial" w:cs="Arial" w:eastAsia="Arial" w:hAnsi="Arial"/>
                <w:sz w:val="18"/>
                <w:szCs w:val="18"/>
                <w:i w:val="1"/>
                <w:iCs w:val="1"/>
                <w:color w:val="auto"/>
                <w:w w:val="93"/>
              </w:rPr>
              <w:t>(</w:t>
            </w:r>
            <w:r>
              <w:rPr>
                <w:rFonts w:ascii="Arial" w:cs="Arial" w:eastAsia="Arial" w:hAnsi="Arial"/>
                <w:sz w:val="18"/>
                <w:szCs w:val="18"/>
                <w:color w:val="auto"/>
                <w:w w:val="93"/>
              </w:rPr>
              <w:t xml:space="preserve"> </w:t>
            </w:r>
            <w:hyperlink w:anchor="page14">
              <w:r>
                <w:rPr>
                  <w:rFonts w:ascii="Arial" w:cs="Arial" w:eastAsia="Arial" w:hAnsi="Arial"/>
                  <w:sz w:val="18"/>
                  <w:szCs w:val="18"/>
                  <w:i w:val="1"/>
                  <w:iCs w:val="1"/>
                  <w:color w:val="0000EE"/>
                  <w:w w:val="93"/>
                </w:rPr>
                <w:t>Note L</w:t>
              </w:r>
            </w:hyperlink>
            <w:r>
              <w:rPr>
                <w:rFonts w:ascii="Arial" w:cs="Arial" w:eastAsia="Arial" w:hAnsi="Arial"/>
                <w:sz w:val="18"/>
                <w:szCs w:val="18"/>
                <w:i w:val="1"/>
                <w:iCs w:val="1"/>
                <w:color w:val="auto"/>
                <w:w w:val="93"/>
              </w:rPr>
              <w:t>)</w:t>
            </w:r>
          </w:p>
        </w:tc>
        <w:tc>
          <w:tcPr>
            <w:tcW w:w="37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43"/>
        </w:trPr>
        <w:tc>
          <w:tcPr>
            <w:tcW w:w="3020" w:type="dxa"/>
            <w:vAlign w:val="bottom"/>
            <w:tcBorders>
              <w:top w:val="single" w:sz="8" w:color="CCEEFF"/>
            </w:tcBorders>
          </w:tcPr>
          <w:p>
            <w:pPr>
              <w:ind w:left="40"/>
              <w:spacing w:after="0"/>
              <w:rPr>
                <w:sz w:val="20"/>
                <w:szCs w:val="20"/>
                <w:color w:val="auto"/>
              </w:rPr>
            </w:pPr>
            <w:r>
              <w:rPr>
                <w:rFonts w:ascii="Arial" w:cs="Arial" w:eastAsia="Arial" w:hAnsi="Arial"/>
                <w:sz w:val="18"/>
                <w:szCs w:val="18"/>
                <w:color w:val="auto"/>
              </w:rPr>
              <w:t>Noncontrolling interests</w:t>
            </w:r>
          </w:p>
        </w:tc>
        <w:tc>
          <w:tcPr>
            <w:tcW w:w="500" w:type="dxa"/>
            <w:vAlign w:val="bottom"/>
            <w:tcBorders>
              <w:top w:val="single" w:sz="8" w:color="0000EE"/>
            </w:tcBorders>
          </w:tcPr>
          <w:p>
            <w:pPr>
              <w:spacing w:after="0"/>
              <w:rPr>
                <w:sz w:val="21"/>
                <w:szCs w:val="21"/>
                <w:color w:val="auto"/>
              </w:rPr>
            </w:pPr>
          </w:p>
        </w:tc>
        <w:tc>
          <w:tcPr>
            <w:tcW w:w="100" w:type="dxa"/>
            <w:vAlign w:val="bottom"/>
            <w:tcBorders>
              <w:top w:val="single" w:sz="8" w:color="CCEEFF"/>
            </w:tcBorders>
          </w:tcPr>
          <w:p>
            <w:pPr>
              <w:spacing w:after="0"/>
              <w:rPr>
                <w:sz w:val="21"/>
                <w:szCs w:val="21"/>
                <w:color w:val="auto"/>
              </w:rPr>
            </w:pPr>
          </w:p>
        </w:tc>
        <w:tc>
          <w:tcPr>
            <w:tcW w:w="3780" w:type="dxa"/>
            <w:vAlign w:val="bottom"/>
            <w:tcBorders>
              <w:top w:val="single" w:sz="8" w:color="CCEEFF"/>
            </w:tcBorders>
          </w:tcPr>
          <w:p>
            <w:pPr>
              <w:spacing w:after="0"/>
              <w:rPr>
                <w:sz w:val="21"/>
                <w:szCs w:val="21"/>
                <w:color w:val="auto"/>
              </w:rPr>
            </w:pPr>
          </w:p>
        </w:tc>
        <w:tc>
          <w:tcPr>
            <w:tcW w:w="220" w:type="dxa"/>
            <w:vAlign w:val="bottom"/>
            <w:tcBorders>
              <w:top w:val="single" w:sz="8" w:color="CCEEFF"/>
            </w:tcBorders>
          </w:tcPr>
          <w:p>
            <w:pPr>
              <w:spacing w:after="0"/>
              <w:rPr>
                <w:sz w:val="21"/>
                <w:szCs w:val="21"/>
                <w:color w:val="auto"/>
              </w:rPr>
            </w:pPr>
          </w:p>
        </w:tc>
        <w:tc>
          <w:tcPr>
            <w:tcW w:w="130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368</w:t>
            </w:r>
          </w:p>
        </w:tc>
        <w:tc>
          <w:tcPr>
            <w:tcW w:w="440" w:type="dxa"/>
            <w:vAlign w:val="bottom"/>
            <w:tcBorders>
              <w:top w:val="single" w:sz="8" w:color="CCEEFF"/>
            </w:tcBorders>
          </w:tcPr>
          <w:p>
            <w:pPr>
              <w:spacing w:after="0"/>
              <w:rPr>
                <w:sz w:val="21"/>
                <w:szCs w:val="21"/>
                <w:color w:val="auto"/>
              </w:rPr>
            </w:pPr>
          </w:p>
        </w:tc>
        <w:tc>
          <w:tcPr>
            <w:tcW w:w="160" w:type="dxa"/>
            <w:vAlign w:val="bottom"/>
            <w:tcBorders>
              <w:top w:val="single" w:sz="8" w:color="CCEEFF"/>
            </w:tcBorders>
          </w:tcPr>
          <w:p>
            <w:pPr>
              <w:spacing w:after="0"/>
              <w:rPr>
                <w:sz w:val="21"/>
                <w:szCs w:val="21"/>
                <w:color w:val="auto"/>
              </w:rPr>
            </w:pPr>
          </w:p>
        </w:tc>
        <w:tc>
          <w:tcPr>
            <w:tcW w:w="1360" w:type="dxa"/>
            <w:vAlign w:val="bottom"/>
            <w:tcBorders>
              <w:top w:val="single" w:sz="8" w:color="CCEEFF"/>
            </w:tcBorders>
          </w:tcPr>
          <w:p>
            <w:pPr>
              <w:jc w:val="right"/>
              <w:ind w:right="10"/>
              <w:spacing w:after="0"/>
              <w:rPr>
                <w:sz w:val="20"/>
                <w:szCs w:val="20"/>
                <w:color w:val="auto"/>
              </w:rPr>
            </w:pPr>
            <w:r>
              <w:rPr>
                <w:rFonts w:ascii="Arial" w:cs="Arial" w:eastAsia="Arial" w:hAnsi="Arial"/>
                <w:sz w:val="18"/>
                <w:szCs w:val="18"/>
                <w:color w:val="auto"/>
              </w:rPr>
              <w:t>349</w:t>
            </w:r>
          </w:p>
        </w:tc>
      </w:tr>
      <w:tr>
        <w:trPr>
          <w:trHeight w:val="27"/>
        </w:trPr>
        <w:tc>
          <w:tcPr>
            <w:tcW w:w="30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36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Crown Holdings shareholders’ equity</w:t>
            </w:r>
          </w:p>
        </w:tc>
        <w:tc>
          <w:tcPr>
            <w:tcW w:w="37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1,134</w:t>
            </w:r>
          </w:p>
        </w:tc>
        <w:tc>
          <w:tcPr>
            <w:tcW w:w="4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r>
      <w:tr>
        <w:trPr>
          <w:trHeight w:val="237"/>
        </w:trPr>
        <w:tc>
          <w:tcPr>
            <w:tcW w:w="3620" w:type="dxa"/>
            <w:vAlign w:val="bottom"/>
            <w:gridSpan w:val="3"/>
          </w:tcPr>
          <w:p>
            <w:pPr>
              <w:ind w:left="720"/>
              <w:spacing w:after="0"/>
              <w:rPr>
                <w:sz w:val="20"/>
                <w:szCs w:val="20"/>
                <w:color w:val="auto"/>
              </w:rPr>
            </w:pPr>
            <w:r>
              <w:rPr>
                <w:rFonts w:ascii="Arial" w:cs="Arial" w:eastAsia="Arial" w:hAnsi="Arial"/>
                <w:sz w:val="18"/>
                <w:szCs w:val="18"/>
                <w:b w:val="1"/>
                <w:bCs w:val="1"/>
                <w:color w:val="auto"/>
              </w:rPr>
              <w:t>Total equity</w:t>
            </w:r>
          </w:p>
        </w:tc>
        <w:tc>
          <w:tcPr>
            <w:tcW w:w="37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1,502</w:t>
            </w:r>
          </w:p>
        </w:tc>
        <w:tc>
          <w:tcPr>
            <w:tcW w:w="4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1,286</w:t>
            </w:r>
          </w:p>
        </w:tc>
      </w:tr>
      <w:tr>
        <w:trPr>
          <w:trHeight w:val="27"/>
        </w:trPr>
        <w:tc>
          <w:tcPr>
            <w:tcW w:w="30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3620" w:type="dxa"/>
            <w:vAlign w:val="bottom"/>
            <w:tcBorders>
              <w:bottom w:val="single" w:sz="8" w:color="CCEEFF"/>
            </w:tcBorders>
            <w:gridSpan w:val="3"/>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4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15,357</w:t>
            </w:r>
          </w:p>
        </w:tc>
        <w:tc>
          <w:tcPr>
            <w:tcW w:w="44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15,262</w:t>
            </w: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880"/>
          </w:cols>
          <w:pgMar w:left="240" w:top="121" w:right="77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8340" w:type="dxa"/>
            <w:vAlign w:val="bottom"/>
          </w:tcPr>
          <w:p>
            <w:pPr>
              <w:jc w:val="center"/>
              <w:ind w:left="3010"/>
              <w:spacing w:after="0"/>
              <w:rPr>
                <w:sz w:val="20"/>
                <w:szCs w:val="20"/>
                <w:color w:val="auto"/>
              </w:rPr>
            </w:pPr>
            <w:r>
              <w:rPr>
                <w:rFonts w:ascii="Arial" w:cs="Arial" w:eastAsia="Arial" w:hAnsi="Arial"/>
                <w:sz w:val="18"/>
                <w:szCs w:val="18"/>
                <w:b w:val="1"/>
                <w:bCs w:val="1"/>
                <w:color w:val="auto"/>
                <w:w w:val="91"/>
              </w:rPr>
              <w:t>Crown Holdings, Inc.</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819"/>
        </w:trPr>
        <w:tc>
          <w:tcPr>
            <w:tcW w:w="8340" w:type="dxa"/>
            <w:vAlign w:val="bottom"/>
          </w:tcPr>
          <w:p>
            <w:pPr>
              <w:jc w:val="center"/>
              <w:ind w:left="3010"/>
              <w:spacing w:after="0"/>
              <w:rPr>
                <w:sz w:val="20"/>
                <w:szCs w:val="20"/>
                <w:color w:val="auto"/>
              </w:rPr>
            </w:pPr>
            <w:r>
              <w:rPr>
                <w:rFonts w:ascii="Arial" w:cs="Arial" w:eastAsia="Arial" w:hAnsi="Arial"/>
                <w:sz w:val="18"/>
                <w:szCs w:val="18"/>
                <w:b w:val="1"/>
                <w:bCs w:val="1"/>
                <w:color w:val="auto"/>
                <w:w w:val="96"/>
              </w:rPr>
              <w:t>CONSOLIDATED STATEMENTS OF CASH FLOWS (Condensed)</w:t>
            </w:r>
          </w:p>
        </w:tc>
        <w:tc>
          <w:tcPr>
            <w:tcW w:w="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6"/>
        </w:trPr>
        <w:tc>
          <w:tcPr>
            <w:tcW w:w="8340" w:type="dxa"/>
            <w:vAlign w:val="bottom"/>
          </w:tcPr>
          <w:p>
            <w:pPr>
              <w:jc w:val="center"/>
              <w:ind w:left="2990"/>
              <w:spacing w:after="0"/>
              <w:rPr>
                <w:sz w:val="20"/>
                <w:szCs w:val="20"/>
                <w:color w:val="auto"/>
              </w:rPr>
            </w:pPr>
            <w:r>
              <w:rPr>
                <w:rFonts w:ascii="Arial" w:cs="Arial" w:eastAsia="Arial" w:hAnsi="Arial"/>
                <w:sz w:val="18"/>
                <w:szCs w:val="18"/>
                <w:b w:val="1"/>
                <w:bCs w:val="1"/>
                <w:color w:val="auto"/>
                <w:w w:val="93"/>
              </w:rPr>
              <w:t>(In millions)</w:t>
            </w:r>
          </w:p>
        </w:tc>
        <w:tc>
          <w:tcPr>
            <w:tcW w:w="8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r>
      <w:tr>
        <w:trPr>
          <w:trHeight w:val="234"/>
        </w:trPr>
        <w:tc>
          <w:tcPr>
            <w:tcW w:w="8340" w:type="dxa"/>
            <w:vAlign w:val="bottom"/>
          </w:tcPr>
          <w:p>
            <w:pPr>
              <w:jc w:val="center"/>
              <w:ind w:left="2990"/>
              <w:spacing w:after="0"/>
              <w:rPr>
                <w:sz w:val="20"/>
                <w:szCs w:val="20"/>
                <w:color w:val="auto"/>
              </w:rPr>
            </w:pPr>
            <w:r>
              <w:rPr>
                <w:rFonts w:ascii="Arial" w:cs="Arial" w:eastAsia="Arial" w:hAnsi="Arial"/>
                <w:sz w:val="18"/>
                <w:szCs w:val="18"/>
                <w:b w:val="1"/>
                <w:bCs w:val="1"/>
                <w:color w:val="auto"/>
                <w:w w:val="93"/>
              </w:rPr>
              <w:t>(Unaudited)</w:t>
            </w:r>
          </w:p>
        </w:tc>
        <w:tc>
          <w:tcPr>
            <w:tcW w:w="8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378"/>
        </w:trPr>
        <w:tc>
          <w:tcPr>
            <w:tcW w:w="8340" w:type="dxa"/>
            <w:vAlign w:val="bottom"/>
          </w:tcPr>
          <w:p>
            <w:pPr>
              <w:spacing w:after="0"/>
              <w:rPr>
                <w:sz w:val="24"/>
                <w:szCs w:val="24"/>
                <w:color w:val="auto"/>
              </w:rPr>
            </w:pPr>
          </w:p>
        </w:tc>
        <w:tc>
          <w:tcPr>
            <w:tcW w:w="2920" w:type="dxa"/>
            <w:vAlign w:val="bottom"/>
            <w:gridSpan w:val="5"/>
          </w:tcPr>
          <w:p>
            <w:pPr>
              <w:jc w:val="right"/>
              <w:ind w:right="530"/>
              <w:spacing w:after="0"/>
              <w:rPr>
                <w:sz w:val="20"/>
                <w:szCs w:val="20"/>
                <w:color w:val="auto"/>
              </w:rPr>
            </w:pPr>
            <w:r>
              <w:rPr>
                <w:rFonts w:ascii="Arial" w:cs="Arial" w:eastAsia="Arial" w:hAnsi="Arial"/>
                <w:sz w:val="18"/>
                <w:szCs w:val="18"/>
                <w:b w:val="1"/>
                <w:bCs w:val="1"/>
                <w:color w:val="auto"/>
              </w:rPr>
              <w:t>Three Months Ended</w:t>
            </w:r>
          </w:p>
        </w:tc>
      </w:tr>
      <w:tr>
        <w:trPr>
          <w:trHeight w:val="270"/>
        </w:trPr>
        <w:tc>
          <w:tcPr>
            <w:tcW w:w="834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200" w:type="dxa"/>
            <w:vAlign w:val="bottom"/>
            <w:gridSpan w:val="3"/>
          </w:tcPr>
          <w:p>
            <w:pPr>
              <w:jc w:val="right"/>
              <w:ind w:right="50"/>
              <w:spacing w:after="0"/>
              <w:rPr>
                <w:sz w:val="20"/>
                <w:szCs w:val="20"/>
                <w:color w:val="auto"/>
              </w:rPr>
            </w:pPr>
            <w:r>
              <w:rPr>
                <w:rFonts w:ascii="Arial" w:cs="Arial" w:eastAsia="Arial" w:hAnsi="Arial"/>
                <w:sz w:val="18"/>
                <w:szCs w:val="18"/>
                <w:b w:val="1"/>
                <w:bCs w:val="1"/>
                <w:color w:val="auto"/>
              </w:rPr>
              <w:t>March 31,</w:t>
            </w:r>
          </w:p>
        </w:tc>
        <w:tc>
          <w:tcPr>
            <w:tcW w:w="920" w:type="dxa"/>
            <w:vAlign w:val="bottom"/>
          </w:tcPr>
          <w:p>
            <w:pPr>
              <w:spacing w:after="0"/>
              <w:rPr>
                <w:sz w:val="23"/>
                <w:szCs w:val="23"/>
                <w:color w:val="auto"/>
              </w:rPr>
            </w:pPr>
          </w:p>
        </w:tc>
      </w:tr>
      <w:tr>
        <w:trPr>
          <w:trHeight w:val="27"/>
        </w:trPr>
        <w:tc>
          <w:tcPr>
            <w:tcW w:w="834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4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b w:val="1"/>
                <w:bCs w:val="1"/>
                <w:color w:val="auto"/>
              </w:rPr>
              <w:t>2018</w:t>
            </w:r>
          </w:p>
        </w:tc>
      </w:tr>
      <w:tr>
        <w:trPr>
          <w:trHeight w:val="27"/>
        </w:trPr>
        <w:tc>
          <w:tcPr>
            <w:tcW w:w="8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131</w:t>
            </w:r>
          </w:p>
        </w:tc>
        <w:tc>
          <w:tcPr>
            <w:tcW w:w="44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113</w:t>
            </w:r>
          </w:p>
        </w:tc>
      </w:tr>
      <w:tr>
        <w:trPr>
          <w:trHeight w:val="27"/>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Adjustments to reconcile net income to net cash used for operating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8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122</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65</w:t>
            </w:r>
          </w:p>
        </w:tc>
      </w:tr>
      <w:tr>
        <w:trPr>
          <w:trHeight w:val="27"/>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Restructuring and other</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Foreign exchange</w:t>
            </w:r>
          </w:p>
        </w:tc>
        <w:tc>
          <w:tcPr>
            <w:tcW w:w="8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w:t>
            </w:r>
          </w:p>
        </w:tc>
      </w:tr>
      <w:tr>
        <w:trPr>
          <w:trHeight w:val="27"/>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Pension (benefit) / expense</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Pension contributions</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Changes in assets and liabilities:</w:t>
            </w:r>
          </w:p>
        </w:tc>
        <w:tc>
          <w:tcPr>
            <w:tcW w:w="8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Receivables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(364)</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Inventories</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0"/>
              </w:rPr>
              <w:t>(171)</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(169)</w:t>
            </w:r>
          </w:p>
        </w:tc>
      </w:tr>
      <w:tr>
        <w:trPr>
          <w:trHeight w:val="27"/>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Accounts payable and accrued liabilities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(612)</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(445)</w:t>
            </w:r>
          </w:p>
        </w:tc>
      </w:tr>
      <w:tr>
        <w:trPr>
          <w:trHeight w:val="243"/>
        </w:trPr>
        <w:tc>
          <w:tcPr>
            <w:tcW w:w="8340" w:type="dxa"/>
            <w:vAlign w:val="bottom"/>
          </w:tcPr>
          <w:p>
            <w:pPr>
              <w:ind w:left="1140"/>
              <w:spacing w:after="0"/>
              <w:rPr>
                <w:sz w:val="20"/>
                <w:szCs w:val="20"/>
                <w:color w:val="auto"/>
              </w:rPr>
            </w:pPr>
            <w:r>
              <w:rPr>
                <w:rFonts w:ascii="Arial" w:cs="Arial" w:eastAsia="Arial" w:hAnsi="Arial"/>
                <w:sz w:val="18"/>
                <w:szCs w:val="18"/>
                <w:color w:val="auto"/>
              </w:rPr>
              <w:t>Other, net</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(49)</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w:t>
            </w:r>
          </w:p>
        </w:tc>
      </w:tr>
      <w:tr>
        <w:trPr>
          <w:trHeight w:val="27"/>
        </w:trPr>
        <w:tc>
          <w:tcPr>
            <w:tcW w:w="8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b w:val="1"/>
                <w:bCs w:val="1"/>
                <w:color w:val="auto"/>
              </w:rPr>
              <w:t>Net cash used for operating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(666)</w:t>
            </w: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r>
      <w:tr>
        <w:trPr>
          <w:trHeight w:val="22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spacing w:after="0"/>
              <w:rPr>
                <w:sz w:val="19"/>
                <w:szCs w:val="19"/>
                <w:color w:val="auto"/>
              </w:rPr>
            </w:pPr>
          </w:p>
        </w:tc>
        <w:tc>
          <w:tcPr>
            <w:tcW w:w="44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spacing w:after="0"/>
              <w:rPr>
                <w:sz w:val="19"/>
                <w:szCs w:val="19"/>
                <w:color w:val="auto"/>
              </w:rPr>
            </w:pPr>
          </w:p>
        </w:tc>
      </w:tr>
      <w:tr>
        <w:trPr>
          <w:trHeight w:val="41"/>
        </w:trPr>
        <w:tc>
          <w:tcPr>
            <w:tcW w:w="8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320" w:type="dxa"/>
            <w:vAlign w:val="bottom"/>
          </w:tcPr>
          <w:p>
            <w:pPr>
              <w:spacing w:after="0"/>
              <w:rPr>
                <w:sz w:val="3"/>
                <w:szCs w:val="3"/>
                <w:color w:val="auto"/>
              </w:rPr>
            </w:pPr>
          </w:p>
        </w:tc>
        <w:tc>
          <w:tcPr>
            <w:tcW w:w="920" w:type="dxa"/>
            <w:vAlign w:val="bottom"/>
          </w:tcPr>
          <w:p>
            <w:pPr>
              <w:spacing w:after="0"/>
              <w:rPr>
                <w:sz w:val="3"/>
                <w:szCs w:val="3"/>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Capital expenditures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Beneficial interests in transferred receivables</w:t>
            </w:r>
          </w:p>
        </w:tc>
        <w:tc>
          <w:tcPr>
            <w:tcW w:w="800" w:type="dxa"/>
            <w:vAlign w:val="bottom"/>
          </w:tcPr>
          <w:p>
            <w:pPr>
              <w:spacing w:after="0"/>
              <w:rPr>
                <w:sz w:val="21"/>
                <w:szCs w:val="21"/>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175</w:t>
            </w:r>
          </w:p>
        </w:tc>
      </w:tr>
      <w:tr>
        <w:trPr>
          <w:trHeight w:val="27"/>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Proceeds from sale of property, plant and equipment</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Foreign exchange derivatives related to acquisitions</w:t>
            </w:r>
          </w:p>
        </w:tc>
        <w:tc>
          <w:tcPr>
            <w:tcW w:w="800" w:type="dxa"/>
            <w:vAlign w:val="bottom"/>
          </w:tcPr>
          <w:p>
            <w:pPr>
              <w:spacing w:after="0"/>
              <w:rPr>
                <w:sz w:val="21"/>
                <w:szCs w:val="21"/>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7"/>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investment hedge</w:t>
            </w:r>
          </w:p>
        </w:tc>
        <w:tc>
          <w:tcPr>
            <w:tcW w:w="8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4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37"/>
        </w:trPr>
        <w:tc>
          <w:tcPr>
            <w:tcW w:w="8340" w:type="dxa"/>
            <w:vAlign w:val="bottom"/>
          </w:tcPr>
          <w:p>
            <w:pPr>
              <w:ind w:left="1460"/>
              <w:spacing w:after="0"/>
              <w:rPr>
                <w:sz w:val="20"/>
                <w:szCs w:val="20"/>
                <w:color w:val="auto"/>
              </w:rPr>
            </w:pPr>
            <w:r>
              <w:rPr>
                <w:rFonts w:ascii="Arial" w:cs="Arial" w:eastAsia="Arial" w:hAnsi="Arial"/>
                <w:sz w:val="18"/>
                <w:szCs w:val="18"/>
                <w:b w:val="1"/>
                <w:bCs w:val="1"/>
                <w:color w:val="auto"/>
              </w:rPr>
              <w:t>Net cash (used for) provided by investing activities</w:t>
            </w:r>
          </w:p>
        </w:tc>
        <w:tc>
          <w:tcPr>
            <w:tcW w:w="8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4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58</w:t>
            </w:r>
          </w:p>
        </w:tc>
      </w:tr>
      <w:tr>
        <w:trPr>
          <w:trHeight w:val="27"/>
        </w:trPr>
        <w:tc>
          <w:tcPr>
            <w:tcW w:w="8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Proceeds from long-term debt</w:t>
            </w:r>
          </w:p>
        </w:tc>
        <w:tc>
          <w:tcPr>
            <w:tcW w:w="800" w:type="dxa"/>
            <w:vAlign w:val="bottom"/>
          </w:tcPr>
          <w:p>
            <w:pPr>
              <w:spacing w:after="0"/>
              <w:rPr>
                <w:sz w:val="21"/>
                <w:szCs w:val="21"/>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1,912</w:t>
            </w:r>
          </w:p>
        </w:tc>
      </w:tr>
      <w:tr>
        <w:trPr>
          <w:trHeight w:val="27"/>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of long-term debt</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(281)</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Net change in revolving credit facility and short-term debt</w:t>
            </w:r>
          </w:p>
        </w:tc>
        <w:tc>
          <w:tcPr>
            <w:tcW w:w="8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731</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576</w:t>
            </w:r>
          </w:p>
        </w:tc>
      </w:tr>
      <w:tr>
        <w:trPr>
          <w:trHeight w:val="27"/>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Payments of finance leases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Debt issue costs</w:t>
            </w:r>
          </w:p>
        </w:tc>
        <w:tc>
          <w:tcPr>
            <w:tcW w:w="800" w:type="dxa"/>
            <w:vAlign w:val="bottom"/>
          </w:tcPr>
          <w:p>
            <w:pPr>
              <w:spacing w:after="0"/>
              <w:rPr>
                <w:sz w:val="21"/>
                <w:szCs w:val="21"/>
                <w:color w:val="auto"/>
              </w:rPr>
            </w:pPr>
          </w:p>
        </w:tc>
        <w:tc>
          <w:tcPr>
            <w:tcW w:w="880" w:type="dxa"/>
            <w:vAlign w:val="bottom"/>
            <w:gridSpan w:val="2"/>
          </w:tcPr>
          <w:p>
            <w:pPr>
              <w:jc w:val="right"/>
              <w:ind w:right="54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(29)</w:t>
            </w:r>
          </w:p>
        </w:tc>
      </w:tr>
      <w:tr>
        <w:trPr>
          <w:trHeight w:val="27"/>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Common stock issued</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Common stock repurchased</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8340" w:type="dxa"/>
            <w:vAlign w:val="bottom"/>
          </w:tcPr>
          <w:p>
            <w:pPr>
              <w:spacing w:after="0"/>
              <w:rPr>
                <w:sz w:val="2"/>
                <w:szCs w:val="2"/>
                <w:color w:val="auto"/>
              </w:rPr>
            </w:pPr>
          </w:p>
        </w:tc>
        <w:tc>
          <w:tcPr>
            <w:tcW w:w="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Dividends paid to noncontrolling interests</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Foreign exchange derivatives related to debt</w:t>
            </w:r>
          </w:p>
        </w:tc>
        <w:tc>
          <w:tcPr>
            <w:tcW w:w="800" w:type="dxa"/>
            <w:vAlign w:val="bottom"/>
          </w:tcPr>
          <w:p>
            <w:pPr>
              <w:spacing w:after="0"/>
              <w:rPr>
                <w:sz w:val="21"/>
                <w:szCs w:val="21"/>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(11)</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10</w:t>
            </w:r>
          </w:p>
        </w:tc>
      </w:tr>
      <w:tr>
        <w:trPr>
          <w:trHeight w:val="27"/>
        </w:trPr>
        <w:tc>
          <w:tcPr>
            <w:tcW w:w="8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4"/>
        </w:trPr>
        <w:tc>
          <w:tcPr>
            <w:tcW w:w="8340" w:type="dxa"/>
            <w:vAlign w:val="bottom"/>
            <w:tcBorders>
              <w:bottom w:val="single" w:sz="8" w:color="CCEEFF"/>
            </w:tcBorders>
            <w:shd w:val="clear" w:color="auto" w:fill="CCEEFF"/>
          </w:tcPr>
          <w:p>
            <w:pPr>
              <w:ind w:left="1460"/>
              <w:spacing w:after="0"/>
              <w:rPr>
                <w:sz w:val="20"/>
                <w:szCs w:val="20"/>
                <w:color w:val="auto"/>
              </w:rPr>
            </w:pPr>
            <w:r>
              <w:rPr>
                <w:rFonts w:ascii="Arial" w:cs="Arial" w:eastAsia="Arial" w:hAnsi="Arial"/>
                <w:sz w:val="18"/>
                <w:szCs w:val="18"/>
                <w:b w:val="1"/>
                <w:bCs w:val="1"/>
                <w:color w:val="auto"/>
              </w:rPr>
              <w:t>Net cash provided by financing activities</w:t>
            </w:r>
          </w:p>
        </w:tc>
        <w:tc>
          <w:tcPr>
            <w:tcW w:w="8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417</w:t>
            </w: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2,455</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80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44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r>
      <w:tr>
        <w:trPr>
          <w:trHeight w:val="27"/>
        </w:trPr>
        <w:tc>
          <w:tcPr>
            <w:tcW w:w="8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change in cash, cash equivalents and restricted cash</w:t>
            </w:r>
          </w:p>
        </w:tc>
        <w:tc>
          <w:tcPr>
            <w:tcW w:w="8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(311)</w:t>
            </w:r>
          </w:p>
        </w:tc>
        <w:tc>
          <w:tcPr>
            <w:tcW w:w="4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1,776</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cash equivalents and restricted cash at January 1</w:t>
            </w:r>
          </w:p>
        </w:tc>
        <w:tc>
          <w:tcPr>
            <w:tcW w:w="800" w:type="dxa"/>
            <w:vAlign w:val="bottom"/>
          </w:tcPr>
          <w:p>
            <w:pPr>
              <w:spacing w:after="0"/>
              <w:rPr>
                <w:sz w:val="21"/>
                <w:szCs w:val="21"/>
                <w:color w:val="auto"/>
              </w:rPr>
            </w:pPr>
          </w:p>
        </w:tc>
        <w:tc>
          <w:tcPr>
            <w:tcW w:w="440" w:type="dxa"/>
            <w:vAlign w:val="bottom"/>
          </w:tcPr>
          <w:p>
            <w:pPr>
              <w:jc w:val="right"/>
              <w:ind w:right="10"/>
              <w:spacing w:after="0"/>
              <w:rPr>
                <w:sz w:val="20"/>
                <w:szCs w:val="20"/>
                <w:color w:val="auto"/>
              </w:rPr>
            </w:pPr>
            <w:r>
              <w:rPr>
                <w:rFonts w:ascii="Arial" w:cs="Arial" w:eastAsia="Arial" w:hAnsi="Arial"/>
                <w:sz w:val="18"/>
                <w:szCs w:val="18"/>
                <w:color w:val="auto"/>
              </w:rPr>
              <w:t>659</w:t>
            </w:r>
          </w:p>
        </w:tc>
        <w:tc>
          <w:tcPr>
            <w:tcW w:w="4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435</w:t>
            </w:r>
          </w:p>
        </w:tc>
      </w:tr>
      <w:tr>
        <w:trPr>
          <w:trHeight w:val="27"/>
        </w:trPr>
        <w:tc>
          <w:tcPr>
            <w:tcW w:w="834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cash equivalents and restricted cash at March 31</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44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2,211</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260"/>
          </w:cols>
          <w:pgMar w:left="240" w:top="121" w:right="399" w:bottom="1440" w:gutter="0" w:footer="0" w:header="0"/>
        </w:sectPr>
      </w:pPr>
    </w:p>
    <w:p>
      <w:pPr>
        <w:spacing w:after="0" w:line="252" w:lineRule="exact"/>
        <w:rPr>
          <w:sz w:val="20"/>
          <w:szCs w:val="20"/>
          <w:color w:val="auto"/>
        </w:rPr>
      </w:pPr>
    </w:p>
    <w:p>
      <w:pPr>
        <w:jc w:val="center"/>
        <w:ind w:right="-159"/>
        <w:spacing w:after="0"/>
        <w:rPr>
          <w:sz w:val="20"/>
          <w:szCs w:val="20"/>
          <w:color w:val="auto"/>
        </w:rPr>
      </w:pPr>
      <w:r>
        <w:rPr>
          <w:rFonts w:ascii="Arial" w:cs="Arial" w:eastAsia="Arial" w:hAnsi="Arial"/>
          <w:sz w:val="17"/>
          <w:szCs w:val="17"/>
          <w:color w:val="auto"/>
        </w:rPr>
        <w:t>5</w:t>
      </w:r>
    </w:p>
    <w:p>
      <w:pPr>
        <w:sectPr>
          <w:pgSz w:w="11900" w:h="16838" w:orient="portrait"/>
          <w:cols w:equalWidth="0" w:num="1">
            <w:col w:w="11260"/>
          </w:cols>
          <w:pgMar w:left="240" w:top="121" w:right="399" w:bottom="1440" w:gutter="0" w:footer="0" w:header="0"/>
          <w:type w:val="continuous"/>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SHAREHOLDERS’ EQUITY</w:t>
      </w:r>
    </w:p>
    <w:p>
      <w:pPr>
        <w:spacing w:after="0" w:line="27"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(In millions)</w:t>
      </w:r>
    </w:p>
    <w:p>
      <w:pPr>
        <w:spacing w:after="0" w:line="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(Unaudited)</w:t>
      </w:r>
    </w:p>
    <w:p>
      <w:pPr>
        <w:spacing w:after="0" w:line="369" w:lineRule="exact"/>
        <w:rPr>
          <w:sz w:val="20"/>
          <w:szCs w:val="20"/>
          <w:color w:val="auto"/>
        </w:rPr>
      </w:pPr>
    </w:p>
    <w:p>
      <w:pPr>
        <w:ind w:left="4980"/>
        <w:spacing w:after="0"/>
        <w:rPr>
          <w:sz w:val="20"/>
          <w:szCs w:val="20"/>
          <w:color w:val="auto"/>
        </w:rPr>
      </w:pPr>
      <w:r>
        <w:rPr>
          <w:rFonts w:ascii="Arial" w:cs="Arial" w:eastAsia="Arial" w:hAnsi="Arial"/>
          <w:sz w:val="18"/>
          <w:szCs w:val="18"/>
          <w:b w:val="1"/>
          <w:bCs w:val="1"/>
          <w:color w:val="auto"/>
        </w:rPr>
        <w:t>Crown Holdings, Inc. Shareholders’ 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2397760</wp:posOffset>
            </wp:positionH>
            <wp:positionV relativeFrom="paragraph">
              <wp:posOffset>34290</wp:posOffset>
            </wp:positionV>
            <wp:extent cx="36360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636010" cy="8890"/>
                    </a:xfrm>
                    <a:prstGeom prst="rect">
                      <a:avLst/>
                    </a:prstGeom>
                    <a:noFill/>
                  </pic:spPr>
                </pic:pic>
              </a:graphicData>
            </a:graphic>
          </wp:anchor>
        </w:drawing>
      </w:r>
    </w:p>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w w:val="90"/>
              </w:rPr>
              <w:t>Accumulated</w:t>
            </w:r>
          </w:p>
        </w:tc>
        <w:tc>
          <w:tcPr>
            <w:tcW w:w="1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6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5"/>
              </w:rPr>
              <w:t>Total</w:t>
            </w:r>
          </w:p>
        </w:tc>
        <w:tc>
          <w:tcPr>
            <w:tcW w:w="1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w w:val="92"/>
              </w:rPr>
              <w:t>Common</w:t>
            </w:r>
          </w:p>
        </w:tc>
        <w:tc>
          <w:tcPr>
            <w:tcW w:w="140" w:type="dxa"/>
            <w:vAlign w:val="bottom"/>
          </w:tcPr>
          <w:p>
            <w:pPr>
              <w:spacing w:after="0"/>
              <w:rPr>
                <w:sz w:val="12"/>
                <w:szCs w:val="12"/>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Paid-in</w:t>
            </w:r>
          </w:p>
        </w:tc>
        <w:tc>
          <w:tcPr>
            <w:tcW w:w="10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w:t>
            </w:r>
          </w:p>
        </w:tc>
        <w:tc>
          <w:tcPr>
            <w:tcW w:w="220" w:type="dxa"/>
            <w:vAlign w:val="bottom"/>
          </w:tcPr>
          <w:p>
            <w:pPr>
              <w:spacing w:after="0"/>
              <w:rPr>
                <w:sz w:val="12"/>
                <w:szCs w:val="12"/>
                <w:color w:val="auto"/>
              </w:rPr>
            </w:pPr>
          </w:p>
        </w:tc>
        <w:tc>
          <w:tcPr>
            <w:tcW w:w="92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6"/>
              </w:rPr>
              <w:t>Other</w:t>
            </w:r>
          </w:p>
        </w:tc>
        <w:tc>
          <w:tcPr>
            <w:tcW w:w="120" w:type="dxa"/>
            <w:vAlign w:val="bottom"/>
          </w:tcPr>
          <w:p>
            <w:pPr>
              <w:spacing w:after="0"/>
              <w:rPr>
                <w:sz w:val="12"/>
                <w:szCs w:val="12"/>
                <w:color w:val="auto"/>
              </w:rPr>
            </w:pPr>
          </w:p>
        </w:tc>
        <w:tc>
          <w:tcPr>
            <w:tcW w:w="78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4"/>
              </w:rPr>
              <w:t>Treasury</w:t>
            </w:r>
          </w:p>
        </w:tc>
        <w:tc>
          <w:tcPr>
            <w:tcW w:w="16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11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140" w:type="dxa"/>
            <w:vAlign w:val="bottom"/>
            <w:gridSpan w:val="3"/>
          </w:tcPr>
          <w:p>
            <w:pPr>
              <w:ind w:left="40"/>
              <w:spacing w:after="0" w:line="149" w:lineRule="exact"/>
              <w:rPr>
                <w:sz w:val="20"/>
                <w:szCs w:val="20"/>
                <w:color w:val="auto"/>
              </w:rPr>
            </w:pPr>
            <w:r>
              <w:rPr>
                <w:rFonts w:ascii="Arial" w:cs="Arial" w:eastAsia="Arial" w:hAnsi="Arial"/>
                <w:sz w:val="14"/>
                <w:szCs w:val="14"/>
                <w:b w:val="1"/>
                <w:bCs w:val="1"/>
                <w:color w:val="auto"/>
              </w:rPr>
              <w:t>Comprehensive</w:t>
            </w:r>
          </w:p>
        </w:tc>
        <w:tc>
          <w:tcPr>
            <w:tcW w:w="12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6"/>
              </w:rPr>
              <w:t>Crown</w:t>
            </w: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vMerge w:val="restart"/>
          </w:tcPr>
          <w:p>
            <w:pPr>
              <w:jc w:val="right"/>
              <w:ind w:right="9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37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Stock</w:t>
            </w:r>
          </w:p>
        </w:tc>
        <w:tc>
          <w:tcPr>
            <w:tcW w:w="140" w:type="dxa"/>
            <w:vAlign w:val="bottom"/>
          </w:tcPr>
          <w:p>
            <w:pPr>
              <w:spacing w:after="0"/>
              <w:rPr>
                <w:sz w:val="16"/>
                <w:szCs w:val="16"/>
                <w:color w:val="auto"/>
              </w:rPr>
            </w:pPr>
          </w:p>
        </w:tc>
        <w:tc>
          <w:tcPr>
            <w:tcW w:w="780" w:type="dxa"/>
            <w:vAlign w:val="bottom"/>
            <w:gridSpan w:val="2"/>
          </w:tcPr>
          <w:p>
            <w:pPr>
              <w:ind w:left="40"/>
              <w:spacing w:after="0"/>
              <w:rPr>
                <w:sz w:val="20"/>
                <w:szCs w:val="20"/>
                <w:color w:val="auto"/>
              </w:rPr>
            </w:pPr>
            <w:r>
              <w:rPr>
                <w:rFonts w:ascii="Arial" w:cs="Arial" w:eastAsia="Arial" w:hAnsi="Arial"/>
                <w:sz w:val="14"/>
                <w:szCs w:val="14"/>
                <w:b w:val="1"/>
                <w:bCs w:val="1"/>
                <w:color w:val="auto"/>
              </w:rPr>
              <w:t>Capital</w:t>
            </w:r>
          </w:p>
        </w:tc>
        <w:tc>
          <w:tcPr>
            <w:tcW w:w="140" w:type="dxa"/>
            <w:vAlign w:val="bottom"/>
          </w:tcPr>
          <w:p>
            <w:pPr>
              <w:spacing w:after="0"/>
              <w:rPr>
                <w:sz w:val="16"/>
                <w:szCs w:val="16"/>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Earnings</w:t>
            </w:r>
          </w:p>
        </w:tc>
        <w:tc>
          <w:tcPr>
            <w:tcW w:w="220" w:type="dxa"/>
            <w:vAlign w:val="bottom"/>
          </w:tcPr>
          <w:p>
            <w:pPr>
              <w:spacing w:after="0"/>
              <w:rPr>
                <w:sz w:val="16"/>
                <w:szCs w:val="16"/>
                <w:color w:val="auto"/>
              </w:rPr>
            </w:pPr>
          </w:p>
        </w:tc>
        <w:tc>
          <w:tcPr>
            <w:tcW w:w="9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5"/>
              </w:rPr>
              <w:t>Loss</w:t>
            </w:r>
          </w:p>
        </w:tc>
        <w:tc>
          <w:tcPr>
            <w:tcW w:w="120" w:type="dxa"/>
            <w:vAlign w:val="bottom"/>
          </w:tcPr>
          <w:p>
            <w:pPr>
              <w:spacing w:after="0"/>
              <w:rPr>
                <w:sz w:val="16"/>
                <w:szCs w:val="16"/>
                <w:color w:val="auto"/>
              </w:rPr>
            </w:pPr>
          </w:p>
        </w:tc>
        <w:tc>
          <w:tcPr>
            <w:tcW w:w="7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4"/>
              </w:rPr>
              <w:t>Stock</w:t>
            </w:r>
          </w:p>
        </w:tc>
        <w:tc>
          <w:tcPr>
            <w:tcW w:w="160" w:type="dxa"/>
            <w:vAlign w:val="bottom"/>
          </w:tcPr>
          <w:p>
            <w:pPr>
              <w:spacing w:after="0"/>
              <w:rPr>
                <w:sz w:val="16"/>
                <w:szCs w:val="16"/>
                <w:color w:val="auto"/>
              </w:rPr>
            </w:pPr>
          </w:p>
        </w:tc>
        <w:tc>
          <w:tcPr>
            <w:tcW w:w="7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Equity</w:t>
            </w:r>
          </w:p>
        </w:tc>
        <w:tc>
          <w:tcPr>
            <w:tcW w:w="180" w:type="dxa"/>
            <w:vAlign w:val="bottom"/>
          </w:tcPr>
          <w:p>
            <w:pPr>
              <w:spacing w:after="0"/>
              <w:rPr>
                <w:sz w:val="16"/>
                <w:szCs w:val="16"/>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9"/>
              </w:rPr>
              <w:t>Interests</w:t>
            </w:r>
          </w:p>
        </w:tc>
        <w:tc>
          <w:tcPr>
            <w:tcW w:w="14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37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2018</w:t>
            </w: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601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923</w:t>
            </w:r>
          </w:p>
        </w:tc>
        <w:tc>
          <w:tcPr>
            <w:tcW w:w="0" w:type="dxa"/>
            <w:vAlign w:val="bottom"/>
          </w:tcPr>
          <w:p>
            <w:pPr>
              <w:spacing w:after="0"/>
              <w:rPr>
                <w:sz w:val="1"/>
                <w:szCs w:val="1"/>
                <w:color w:val="auto"/>
              </w:rPr>
            </w:pPr>
          </w:p>
        </w:tc>
      </w:tr>
      <w:tr>
        <w:trPr>
          <w:trHeight w:val="229"/>
        </w:trPr>
        <w:tc>
          <w:tcPr>
            <w:tcW w:w="3780" w:type="dxa"/>
            <w:vAlign w:val="bottom"/>
          </w:tcPr>
          <w:p>
            <w:pPr>
              <w:ind w:left="40"/>
              <w:spacing w:after="0"/>
              <w:rPr>
                <w:sz w:val="20"/>
                <w:szCs w:val="20"/>
                <w:color w:val="auto"/>
              </w:rPr>
            </w:pPr>
            <w:r>
              <w:rPr>
                <w:rFonts w:ascii="Arial" w:cs="Arial" w:eastAsia="Arial" w:hAnsi="Arial"/>
                <w:sz w:val="18"/>
                <w:szCs w:val="18"/>
                <w:color w:val="auto"/>
              </w:rPr>
              <w:t>Cumulative effect of change in accounting</w:t>
            </w: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780" w:type="dxa"/>
            <w:vAlign w:val="bottom"/>
          </w:tcPr>
          <w:p>
            <w:pPr>
              <w:ind w:left="40"/>
              <w:spacing w:after="0"/>
              <w:rPr>
                <w:sz w:val="20"/>
                <w:szCs w:val="20"/>
                <w:color w:val="auto"/>
              </w:rPr>
            </w:pPr>
            <w:r>
              <w:rPr>
                <w:rFonts w:ascii="Arial" w:cs="Arial" w:eastAsia="Arial" w:hAnsi="Arial"/>
                <w:sz w:val="18"/>
                <w:szCs w:val="18"/>
                <w:color w:val="auto"/>
              </w:rPr>
              <w:t>principle</w:t>
            </w: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ind w:right="34"/>
              <w:spacing w:after="0"/>
              <w:rPr>
                <w:sz w:val="20"/>
                <w:szCs w:val="20"/>
                <w:color w:val="auto"/>
              </w:rPr>
            </w:pPr>
            <w:r>
              <w:rPr>
                <w:rFonts w:ascii="Arial" w:cs="Arial" w:eastAsia="Arial" w:hAnsi="Arial"/>
                <w:sz w:val="18"/>
                <w:szCs w:val="18"/>
                <w:color w:val="auto"/>
              </w:rPr>
              <w:t>60</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Common stock repurchased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3,100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(3,178)</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765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1,112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3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January 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3,449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1,286</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ind w:right="12"/>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jc w:val="right"/>
              <w:ind w:right="3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Dividends paid to noncontrolling interests</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Restricted stock awarded</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Stock-based compensation</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ind w:right="13"/>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ind w:right="11"/>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Common stock issued</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Common stock repurchased</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37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929</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3,552</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(3,289)</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3"/>
              </w:rPr>
              <w:t>1,502</w:t>
            </w:r>
          </w:p>
        </w:tc>
        <w:tc>
          <w:tcPr>
            <w:tcW w:w="0" w:type="dxa"/>
            <w:vAlign w:val="bottom"/>
          </w:tcPr>
          <w:p>
            <w:pPr>
              <w:spacing w:after="0"/>
              <w:rPr>
                <w:sz w:val="1"/>
                <w:szCs w:val="1"/>
                <w:color w:val="auto"/>
              </w:rPr>
            </w:pPr>
          </w:p>
        </w:tc>
      </w:tr>
      <w:tr>
        <w:trPr>
          <w:trHeight w:val="20"/>
        </w:trPr>
        <w:tc>
          <w:tcPr>
            <w:tcW w:w="37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(In millions, except per share and statistical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(Unaudited)</w:t>
      </w:r>
    </w:p>
    <w:p>
      <w:pPr>
        <w:spacing w:after="0" w:line="388"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Statement of Information Furnished</w:t>
      </w:r>
    </w:p>
    <w:p>
      <w:pPr>
        <w:spacing w:after="0" w:line="229" w:lineRule="exact"/>
        <w:rPr>
          <w:rFonts w:ascii="Arial" w:cs="Arial" w:eastAsia="Arial" w:hAnsi="Arial"/>
          <w:sz w:val="18"/>
          <w:szCs w:val="18"/>
          <w:b w:val="1"/>
          <w:bCs w:val="1"/>
          <w:color w:val="auto"/>
        </w:rPr>
      </w:pPr>
    </w:p>
    <w:p>
      <w:pPr>
        <w:jc w:val="both"/>
        <w:ind w:left="660"/>
        <w:spacing w:after="0" w:line="272" w:lineRule="auto"/>
        <w:rPr>
          <w:rFonts w:ascii="Arial" w:cs="Arial" w:eastAsia="Arial" w:hAnsi="Arial"/>
          <w:sz w:val="18"/>
          <w:szCs w:val="18"/>
          <w:b w:val="1"/>
          <w:bCs w:val="1"/>
          <w:color w:val="auto"/>
        </w:rPr>
      </w:pPr>
      <w:r>
        <w:rPr>
          <w:rFonts w:ascii="Arial" w:cs="Arial" w:eastAsia="Arial" w:hAnsi="Arial"/>
          <w:sz w:val="17"/>
          <w:szCs w:val="17"/>
          <w:color w:val="auto"/>
        </w:rPr>
        <w:t>The consolidated financial statements include the accounts of Crown Holdings, Inc. and its consolidated subsidiaries (the “Company”). The accompanying unaudited interim consolidated financial statements have been prepared in accordance with Form 10-Q instructions. In the opinion of management, these consolidated financial statements contain all adjustments of a normal and recurring nature necessary for a fair statement of the financial position of the Company as of March 31, 2019 and the results of its operations for the three months ended March 31, 2019 and 2018 and of its cash flows for the three months ended March 31, 2019 and 2018. The results reported in these consolidated financial statements are not necessarily indicative of the results that may be expected for the entire year. These results have been determined on the basis of accounting principles generally accepted in the United States of America (“GAAP”).</w:t>
      </w:r>
    </w:p>
    <w:p>
      <w:pPr>
        <w:spacing w:after="0" w:line="177"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Certain information and footnote disclosures normally included in financial statements presented in accordance with GAAP have been condensed or omitted. The year-end condensed balance sheet data was derived from audited financial statements, but does not include all disclosures required by GAAP. The accompanying consolidated financial statements should be read in conjunction with the consolidated financial statements and notes thereto included in the Company's Annual Report on Form 10-K for the year ended December 31, 2018.</w:t>
      </w:r>
    </w:p>
    <w:p>
      <w:pPr>
        <w:spacing w:after="0" w:line="383" w:lineRule="exact"/>
        <w:rPr>
          <w:rFonts w:ascii="Arial" w:cs="Arial" w:eastAsia="Arial" w:hAnsi="Arial"/>
          <w:sz w:val="18"/>
          <w:szCs w:val="18"/>
          <w:b w:val="1"/>
          <w:bCs w:val="1"/>
          <w:color w:val="auto"/>
        </w:rPr>
      </w:pPr>
    </w:p>
    <w:p>
      <w:pPr>
        <w:ind w:left="660" w:right="7600" w:hanging="652"/>
        <w:spacing w:after="0" w:line="522" w:lineRule="auto"/>
        <w:tabs>
          <w:tab w:leader="none" w:pos="660" w:val="left"/>
        </w:tabs>
        <w:numPr>
          <w:ilvl w:val="0"/>
          <w:numId w:val="3"/>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 xml:space="preserve">Accounting and Reporting Developments </w:t>
      </w:r>
      <w:r>
        <w:rPr>
          <w:rFonts w:ascii="Arial" w:cs="Arial" w:eastAsia="Arial" w:hAnsi="Arial"/>
          <w:sz w:val="16"/>
          <w:szCs w:val="16"/>
          <w:u w:val="single" w:color="auto"/>
          <w:color w:val="auto"/>
        </w:rPr>
        <w:t>Recently Adopted Accounting Standards</w:t>
      </w:r>
    </w:p>
    <w:p>
      <w:pPr>
        <w:jc w:val="both"/>
        <w:ind w:left="660"/>
        <w:spacing w:after="0" w:line="270" w:lineRule="auto"/>
        <w:rPr>
          <w:rFonts w:ascii="Arial" w:cs="Arial" w:eastAsia="Arial" w:hAnsi="Arial"/>
          <w:sz w:val="17"/>
          <w:szCs w:val="17"/>
          <w:color w:val="0000EE"/>
        </w:rPr>
      </w:pPr>
      <w:r>
        <w:rPr>
          <w:rFonts w:ascii="Arial" w:cs="Arial" w:eastAsia="Arial" w:hAnsi="Arial"/>
          <w:sz w:val="17"/>
          <w:szCs w:val="17"/>
          <w:color w:val="auto"/>
        </w:rPr>
        <w:t xml:space="preserve">In February 2016, the FASB issued new guidance on lease accounting. Under the new guidance, lease classification criteria and income statement recognition are similar to previous guidance; however, all leases with a term longer than one year are recorded on the balance sheet through a right-of-use asset and a corresponding lease liability. The Company adopted the standard on a modified retrospective basis on January 1, 2019. In addition, the Company elected the package of practical expedients, which allowed the Company to carryforward its historical assessments of whether contracts are or contain leases, lease classification and initial direct costs. Adoption of this standard resulted in the recording of operating right-of-use assets and corresponding operating lease liabilities of approximately $220. Finance leases were already recorded on the balance sheet under the previous guidance in current and long-term maturities of long-term debt. Upon adoption of this standard $5 was reclassified to accrued liabilities and $24 was reclassified to other non-current liabilities. The Company reclassified prior period amounts to conform to the current year presentation. See </w:t>
      </w:r>
      <w:hyperlink w:anchor="page8">
        <w:r>
          <w:rPr>
            <w:rFonts w:ascii="Arial" w:cs="Arial" w:eastAsia="Arial" w:hAnsi="Arial"/>
            <w:sz w:val="17"/>
            <w:szCs w:val="17"/>
            <w:u w:val="single" w:color="auto"/>
            <w:color w:val="0000EE"/>
          </w:rPr>
          <w:t>Note C</w:t>
        </w:r>
        <w:r>
          <w:rPr>
            <w:rFonts w:ascii="Arial" w:cs="Arial" w:eastAsia="Arial" w:hAnsi="Arial"/>
            <w:sz w:val="17"/>
            <w:szCs w:val="17"/>
            <w:color w:val="0000EE"/>
          </w:rPr>
          <w:t xml:space="preserve"> </w:t>
        </w:r>
      </w:hyperlink>
      <w:r>
        <w:rPr>
          <w:rFonts w:ascii="Arial" w:cs="Arial" w:eastAsia="Arial" w:hAnsi="Arial"/>
          <w:sz w:val="17"/>
          <w:szCs w:val="17"/>
          <w:color w:val="000000"/>
        </w:rPr>
        <w:t>for</w:t>
      </w:r>
      <w:r>
        <w:rPr>
          <w:rFonts w:ascii="Arial" w:cs="Arial" w:eastAsia="Arial" w:hAnsi="Arial"/>
          <w:sz w:val="17"/>
          <w:szCs w:val="17"/>
          <w:color w:val="0000EE"/>
        </w:rPr>
        <w:t xml:space="preserve"> </w:t>
      </w:r>
      <w:r>
        <w:rPr>
          <w:rFonts w:ascii="Arial" w:cs="Arial" w:eastAsia="Arial" w:hAnsi="Arial"/>
          <w:sz w:val="17"/>
          <w:szCs w:val="17"/>
          <w:color w:val="000000"/>
        </w:rPr>
        <w:t>further information on the Company's lease arrangements.</w:t>
      </w:r>
    </w:p>
    <w:p>
      <w:pPr>
        <w:spacing w:after="0" w:line="181" w:lineRule="exact"/>
        <w:rPr>
          <w:rFonts w:ascii="Arial" w:cs="Arial" w:eastAsia="Arial" w:hAnsi="Arial"/>
          <w:sz w:val="17"/>
          <w:szCs w:val="17"/>
          <w:color w:val="0000EE"/>
        </w:rPr>
      </w:pPr>
    </w:p>
    <w:p>
      <w:pPr>
        <w:ind w:left="660" w:right="240"/>
        <w:spacing w:after="0" w:line="264" w:lineRule="auto"/>
        <w:rPr>
          <w:rFonts w:ascii="Arial" w:cs="Arial" w:eastAsia="Arial" w:hAnsi="Arial"/>
          <w:sz w:val="17"/>
          <w:szCs w:val="17"/>
          <w:color w:val="0000EE"/>
        </w:rPr>
      </w:pPr>
      <w:r>
        <w:rPr>
          <w:rFonts w:ascii="Arial" w:cs="Arial" w:eastAsia="Arial" w:hAnsi="Arial"/>
          <w:sz w:val="18"/>
          <w:szCs w:val="18"/>
          <w:color w:val="auto"/>
        </w:rPr>
        <w:t>In February 2018, the FASB issued new accounting guidance to permit the reclassification from accumulated other comprehensive earnings to retained earnings of stranded tax effects resulting from the Tax Cuts and Jobs Act of 2017 (the "Tax Act"). The Company adopted the guidance on January 1, 2019 and elected not to reclassify stranded tax effects resulting from the Tax Act.</w:t>
      </w:r>
    </w:p>
    <w:p>
      <w:pPr>
        <w:spacing w:after="0" w:line="181" w:lineRule="exact"/>
        <w:rPr>
          <w:rFonts w:ascii="Arial" w:cs="Arial" w:eastAsia="Arial" w:hAnsi="Arial"/>
          <w:sz w:val="17"/>
          <w:szCs w:val="17"/>
          <w:color w:val="0000EE"/>
        </w:rPr>
      </w:pPr>
    </w:p>
    <w:p>
      <w:pPr>
        <w:ind w:left="660"/>
        <w:spacing w:after="0"/>
        <w:rPr>
          <w:rFonts w:ascii="Arial" w:cs="Arial" w:eastAsia="Arial" w:hAnsi="Arial"/>
          <w:sz w:val="17"/>
          <w:szCs w:val="17"/>
          <w:color w:val="0000EE"/>
        </w:rPr>
      </w:pPr>
      <w:r>
        <w:rPr>
          <w:rFonts w:ascii="Arial" w:cs="Arial" w:eastAsia="Arial" w:hAnsi="Arial"/>
          <w:sz w:val="18"/>
          <w:szCs w:val="18"/>
          <w:u w:val="single" w:color="auto"/>
          <w:color w:val="auto"/>
        </w:rPr>
        <w:t>Recently Issued Accounting Standards</w:t>
      </w:r>
    </w:p>
    <w:p>
      <w:pPr>
        <w:spacing w:after="0" w:line="306" w:lineRule="exact"/>
        <w:rPr>
          <w:rFonts w:ascii="Arial" w:cs="Arial" w:eastAsia="Arial" w:hAnsi="Arial"/>
          <w:sz w:val="17"/>
          <w:szCs w:val="17"/>
          <w:color w:val="0000EE"/>
        </w:rPr>
      </w:pPr>
    </w:p>
    <w:p>
      <w:pPr>
        <w:jc w:val="both"/>
        <w:ind w:left="660"/>
        <w:spacing w:after="0" w:line="297" w:lineRule="auto"/>
        <w:rPr>
          <w:rFonts w:ascii="Arial" w:cs="Arial" w:eastAsia="Arial" w:hAnsi="Arial"/>
          <w:sz w:val="17"/>
          <w:szCs w:val="17"/>
          <w:color w:val="0000EE"/>
        </w:rPr>
      </w:pPr>
      <w:r>
        <w:rPr>
          <w:rFonts w:ascii="Arial" w:cs="Arial" w:eastAsia="Arial" w:hAnsi="Arial"/>
          <w:sz w:val="16"/>
          <w:szCs w:val="16"/>
          <w:color w:val="auto"/>
        </w:rPr>
        <w:t>In June 2016, the FASB issued new guidance on the accounting for credit losses on financial instruments. The new standard introduces an approach, based on expected losses, to estimate credit losses on certain types of financial instruments. The new approach to estimating credit losses (referred to as the current expected credit losses model) applies to most financial assets measured at amortized cost and certain other instruments, including trade and other receivables, loans, held-to-maturity debt securities, net investments in leases and off-balance-sheet credit exposures. This guidance is effective for the Company on January 1, 2020. The Company is currently evaluating the impact of adopting this standard.</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2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400" w:hanging="392"/>
        <w:spacing w:after="0"/>
        <w:tabs>
          <w:tab w:leader="none" w:pos="4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Leases</w:t>
      </w:r>
    </w:p>
    <w:p>
      <w:pPr>
        <w:spacing w:after="0" w:line="229" w:lineRule="exact"/>
        <w:rPr>
          <w:sz w:val="20"/>
          <w:szCs w:val="20"/>
          <w:color w:val="auto"/>
        </w:rPr>
      </w:pPr>
    </w:p>
    <w:p>
      <w:pPr>
        <w:jc w:val="both"/>
        <w:ind w:left="660"/>
        <w:spacing w:after="0" w:line="287" w:lineRule="auto"/>
        <w:rPr>
          <w:sz w:val="20"/>
          <w:szCs w:val="20"/>
          <w:color w:val="auto"/>
        </w:rPr>
      </w:pPr>
      <w:r>
        <w:rPr>
          <w:rFonts w:ascii="Arial" w:cs="Arial" w:eastAsia="Arial" w:hAnsi="Arial"/>
          <w:sz w:val="16"/>
          <w:szCs w:val="16"/>
          <w:color w:val="auto"/>
        </w:rPr>
        <w:t>The Company has operating and finance leases for land and buildings related to certain manufacturing facilities, warehouses and corporate offices, vehicle fleets and certain office and manufacturing equipment. Leases with an initial term of 12 months or less are not recorded on the balance sheet. The Company's lease terms include options to extend the lease when it is reasonably certain that the Company will exercise the option. Variable lease payment amounts that cannot be determined at commencement of the lease, such as increases in index rates, are not included in the measurement of the lease liabilities and corresponding right-of-use assets and are recognized in the period those payments are incurred. The Company separates lease and non-lease components of lease arrangements and allocates contract consideration based on standalone selling prices. Variable consideration is allocated to the lease and non-lease components to which the variable payments specifically relate to. The discount rate implicit within the Company's leases is often not determinable and therefore the Company generally uses its incremental borrowing rate based on the information available at the commencement date in determining the present value of the lease payments. The incremental borrowing rate is determined based on lease term and currency in which lease payments are made. The Company's leases do not contain any material residual value guarantees or material restrictive covenants. At March 31, 2019, the Company does not have material lease commitments that have not commenced.</w:t>
      </w:r>
    </w:p>
    <w:p>
      <w:pPr>
        <w:spacing w:after="0" w:line="1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components of lease expense were as follows:</w:t>
      </w:r>
    </w:p>
    <w:p>
      <w:pPr>
        <w:spacing w:after="0" w:line="34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080" w:type="dxa"/>
            <w:vAlign w:val="bottom"/>
          </w:tcPr>
          <w:p>
            <w:pPr>
              <w:spacing w:after="0"/>
              <w:rPr>
                <w:sz w:val="18"/>
                <w:szCs w:val="18"/>
                <w:color w:val="auto"/>
              </w:rPr>
            </w:pPr>
          </w:p>
        </w:tc>
        <w:tc>
          <w:tcPr>
            <w:tcW w:w="2040" w:type="dxa"/>
            <w:vAlign w:val="bottom"/>
            <w:gridSpan w:val="2"/>
          </w:tcPr>
          <w:p>
            <w:pPr>
              <w:ind w:left="20"/>
              <w:spacing w:after="0"/>
              <w:rPr>
                <w:sz w:val="20"/>
                <w:szCs w:val="20"/>
                <w:color w:val="auto"/>
              </w:rPr>
            </w:pPr>
            <w:r>
              <w:rPr>
                <w:rFonts w:ascii="Arial" w:cs="Arial" w:eastAsia="Arial" w:hAnsi="Arial"/>
                <w:sz w:val="18"/>
                <w:szCs w:val="18"/>
                <w:color w:val="auto"/>
                <w:w w:val="90"/>
              </w:rPr>
              <w:t>Three months ended March</w:t>
            </w:r>
          </w:p>
        </w:tc>
      </w:tr>
      <w:tr>
        <w:trPr>
          <w:trHeight w:val="230"/>
        </w:trPr>
        <w:tc>
          <w:tcPr>
            <w:tcW w:w="50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640" w:type="dxa"/>
            <w:vAlign w:val="bottom"/>
          </w:tcPr>
          <w:p>
            <w:pPr>
              <w:jc w:val="right"/>
              <w:ind w:right="630"/>
              <w:spacing w:after="0"/>
              <w:rPr>
                <w:sz w:val="20"/>
                <w:szCs w:val="20"/>
                <w:color w:val="auto"/>
              </w:rPr>
            </w:pPr>
            <w:r>
              <w:rPr>
                <w:rFonts w:ascii="Arial" w:cs="Arial" w:eastAsia="Arial" w:hAnsi="Arial"/>
                <w:sz w:val="18"/>
                <w:szCs w:val="18"/>
                <w:color w:val="auto"/>
              </w:rPr>
              <w:t>31, 2019</w:t>
            </w:r>
          </w:p>
        </w:tc>
      </w:tr>
      <w:tr>
        <w:trPr>
          <w:trHeight w:val="27"/>
        </w:trPr>
        <w:tc>
          <w:tcPr>
            <w:tcW w:w="50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50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4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5080" w:type="dxa"/>
            <w:vAlign w:val="bottom"/>
          </w:tcPr>
          <w:p>
            <w:pPr>
              <w:ind w:left="260"/>
              <w:spacing w:after="0"/>
              <w:rPr>
                <w:sz w:val="20"/>
                <w:szCs w:val="20"/>
                <w:color w:val="auto"/>
              </w:rPr>
            </w:pPr>
            <w:r>
              <w:rPr>
                <w:rFonts w:ascii="Arial" w:cs="Arial" w:eastAsia="Arial" w:hAnsi="Arial"/>
                <w:sz w:val="18"/>
                <w:szCs w:val="18"/>
                <w:color w:val="auto"/>
              </w:rPr>
              <w:t>Operating lease cost</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5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508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Short-term lease cost</w:t>
            </w:r>
          </w:p>
        </w:tc>
        <w:tc>
          <w:tcPr>
            <w:tcW w:w="40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r>
      <w:tr>
        <w:trPr>
          <w:trHeight w:val="297"/>
        </w:trPr>
        <w:tc>
          <w:tcPr>
            <w:tcW w:w="50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lease costs</w:t>
            </w:r>
          </w:p>
        </w:tc>
        <w:tc>
          <w:tcPr>
            <w:tcW w:w="40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311"/>
        </w:trPr>
        <w:tc>
          <w:tcPr>
            <w:tcW w:w="50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r>
      <w:tr>
        <w:trPr>
          <w:trHeight w:val="243"/>
        </w:trPr>
        <w:tc>
          <w:tcPr>
            <w:tcW w:w="5080" w:type="dxa"/>
            <w:vAlign w:val="bottom"/>
          </w:tcPr>
          <w:p>
            <w:pPr>
              <w:ind w:left="20"/>
              <w:spacing w:after="0"/>
              <w:rPr>
                <w:sz w:val="20"/>
                <w:szCs w:val="20"/>
                <w:color w:val="auto"/>
              </w:rPr>
            </w:pPr>
            <w:r>
              <w:rPr>
                <w:rFonts w:ascii="Arial" w:cs="Arial" w:eastAsia="Arial" w:hAnsi="Arial"/>
                <w:sz w:val="18"/>
                <w:szCs w:val="18"/>
                <w:color w:val="auto"/>
              </w:rPr>
              <w:t>Finance lease cost:</w:t>
            </w:r>
          </w:p>
        </w:tc>
        <w:tc>
          <w:tcPr>
            <w:tcW w:w="40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5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508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Amortization of right-of-use assets</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7"/>
        </w:trPr>
        <w:tc>
          <w:tcPr>
            <w:tcW w:w="508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Variable operating lease costs and interest on finance lease liabilities were less than $1 for the three months ended March 31, 2019.</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cash flow information related to leases was as follows:</w:t>
      </w:r>
    </w:p>
    <w:p>
      <w:pPr>
        <w:spacing w:after="0" w:line="347"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4820" w:type="dxa"/>
            <w:vAlign w:val="bottom"/>
          </w:tcPr>
          <w:p>
            <w:pPr>
              <w:spacing w:after="0"/>
              <w:rPr>
                <w:sz w:val="18"/>
                <w:szCs w:val="18"/>
                <w:color w:val="auto"/>
              </w:rPr>
            </w:pPr>
          </w:p>
        </w:tc>
        <w:tc>
          <w:tcPr>
            <w:tcW w:w="2300" w:type="dxa"/>
            <w:vAlign w:val="bottom"/>
            <w:gridSpan w:val="2"/>
          </w:tcPr>
          <w:p>
            <w:pPr>
              <w:ind w:left="280"/>
              <w:spacing w:after="0"/>
              <w:rPr>
                <w:sz w:val="20"/>
                <w:szCs w:val="20"/>
                <w:color w:val="auto"/>
              </w:rPr>
            </w:pPr>
            <w:r>
              <w:rPr>
                <w:rFonts w:ascii="Arial" w:cs="Arial" w:eastAsia="Arial" w:hAnsi="Arial"/>
                <w:sz w:val="18"/>
                <w:szCs w:val="18"/>
                <w:color w:val="auto"/>
                <w:w w:val="90"/>
              </w:rPr>
              <w:t>Three months ended March</w:t>
            </w:r>
          </w:p>
        </w:tc>
      </w:tr>
      <w:tr>
        <w:trPr>
          <w:trHeight w:val="230"/>
        </w:trPr>
        <w:tc>
          <w:tcPr>
            <w:tcW w:w="48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640" w:type="dxa"/>
            <w:vAlign w:val="bottom"/>
          </w:tcPr>
          <w:p>
            <w:pPr>
              <w:jc w:val="right"/>
              <w:ind w:right="630"/>
              <w:spacing w:after="0"/>
              <w:rPr>
                <w:sz w:val="20"/>
                <w:szCs w:val="20"/>
                <w:color w:val="auto"/>
              </w:rPr>
            </w:pPr>
            <w:r>
              <w:rPr>
                <w:rFonts w:ascii="Arial" w:cs="Arial" w:eastAsia="Arial" w:hAnsi="Arial"/>
                <w:sz w:val="18"/>
                <w:szCs w:val="18"/>
                <w:color w:val="auto"/>
              </w:rPr>
              <w:t>31, 2019</w:t>
            </w:r>
          </w:p>
        </w:tc>
      </w:tr>
      <w:tr>
        <w:trPr>
          <w:trHeight w:val="27"/>
        </w:trPr>
        <w:tc>
          <w:tcPr>
            <w:tcW w:w="48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22"/>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Cash paid for amounts included in the measurement of lease</w:t>
            </w:r>
          </w:p>
        </w:tc>
        <w:tc>
          <w:tcPr>
            <w:tcW w:w="660" w:type="dxa"/>
            <w:vAlign w:val="bottom"/>
            <w:shd w:val="clear" w:color="auto" w:fill="CCEEFF"/>
          </w:tcPr>
          <w:p>
            <w:pPr>
              <w:spacing w:after="0"/>
              <w:rPr>
                <w:sz w:val="19"/>
                <w:szCs w:val="19"/>
                <w:color w:val="auto"/>
              </w:rPr>
            </w:pPr>
          </w:p>
        </w:tc>
        <w:tc>
          <w:tcPr>
            <w:tcW w:w="1640" w:type="dxa"/>
            <w:vAlign w:val="bottom"/>
            <w:shd w:val="clear" w:color="auto" w:fill="CCEEFF"/>
          </w:tcPr>
          <w:p>
            <w:pPr>
              <w:spacing w:after="0"/>
              <w:rPr>
                <w:sz w:val="19"/>
                <w:szCs w:val="19"/>
                <w:color w:val="auto"/>
              </w:rPr>
            </w:pPr>
          </w:p>
        </w:tc>
      </w:tr>
      <w:tr>
        <w:trPr>
          <w:trHeight w:val="237"/>
        </w:trPr>
        <w:tc>
          <w:tcPr>
            <w:tcW w:w="4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liabilities:</w:t>
            </w:r>
          </w:p>
        </w:tc>
        <w:tc>
          <w:tcPr>
            <w:tcW w:w="6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r>
      <w:tr>
        <w:trPr>
          <w:trHeight w:val="243"/>
        </w:trPr>
        <w:tc>
          <w:tcPr>
            <w:tcW w:w="4820" w:type="dxa"/>
            <w:vAlign w:val="bottom"/>
          </w:tcPr>
          <w:p>
            <w:pPr>
              <w:ind w:left="240"/>
              <w:spacing w:after="0"/>
              <w:rPr>
                <w:sz w:val="20"/>
                <w:szCs w:val="20"/>
                <w:color w:val="auto"/>
              </w:rPr>
            </w:pPr>
            <w:r>
              <w:rPr>
                <w:rFonts w:ascii="Arial" w:cs="Arial" w:eastAsia="Arial" w:hAnsi="Arial"/>
                <w:sz w:val="18"/>
                <w:szCs w:val="18"/>
                <w:color w:val="auto"/>
              </w:rPr>
              <w:t>Operating cash flows from operating leases</w:t>
            </w:r>
          </w:p>
        </w:tc>
        <w:tc>
          <w:tcPr>
            <w:tcW w:w="660" w:type="dxa"/>
            <w:vAlign w:val="bottom"/>
          </w:tcPr>
          <w:p>
            <w:pPr>
              <w:ind w:left="280"/>
              <w:spacing w:after="0"/>
              <w:rPr>
                <w:sz w:val="20"/>
                <w:szCs w:val="20"/>
                <w:color w:val="auto"/>
              </w:rPr>
            </w:pPr>
            <w:r>
              <w:rPr>
                <w:rFonts w:ascii="Arial" w:cs="Arial" w:eastAsia="Arial" w:hAnsi="Arial"/>
                <w:sz w:val="18"/>
                <w:szCs w:val="18"/>
                <w:color w:val="auto"/>
              </w:rPr>
              <w:t>$</w:t>
            </w:r>
          </w:p>
        </w:tc>
        <w:tc>
          <w:tcPr>
            <w:tcW w:w="16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4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48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Financing cash flows from finance leases</w:t>
            </w:r>
          </w:p>
        </w:tc>
        <w:tc>
          <w:tcPr>
            <w:tcW w:w="6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w w:val="95"/>
              </w:rPr>
              <w:t>Right-of-use assets obtained in exchange for lease obligations:</w:t>
            </w:r>
          </w:p>
        </w:tc>
        <w:tc>
          <w:tcPr>
            <w:tcW w:w="660" w:type="dxa"/>
            <w:vAlign w:val="bottom"/>
          </w:tcPr>
          <w:p>
            <w:pPr>
              <w:spacing w:after="0"/>
              <w:rPr>
                <w:sz w:val="21"/>
                <w:szCs w:val="21"/>
                <w:color w:val="auto"/>
              </w:rPr>
            </w:pPr>
          </w:p>
        </w:tc>
        <w:tc>
          <w:tcPr>
            <w:tcW w:w="1640" w:type="dxa"/>
            <w:vAlign w:val="bottom"/>
          </w:tcPr>
          <w:p>
            <w:pPr>
              <w:spacing w:after="0"/>
              <w:rPr>
                <w:sz w:val="21"/>
                <w:szCs w:val="21"/>
                <w:color w:val="auto"/>
              </w:rPr>
            </w:pPr>
          </w:p>
        </w:tc>
      </w:tr>
      <w:tr>
        <w:trPr>
          <w:trHeight w:val="27"/>
        </w:trPr>
        <w:tc>
          <w:tcPr>
            <w:tcW w:w="48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43"/>
        </w:trPr>
        <w:tc>
          <w:tcPr>
            <w:tcW w:w="48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66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48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Operating cash flows from finance leases were less than $1 for the three months ended March 31, 2019.</w:t>
      </w:r>
    </w:p>
    <w:p>
      <w:pPr>
        <w:spacing w:after="0" w:line="18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Supplemental balance sheet information related to leases was as follows:</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3120" w:type="dxa"/>
            <w:vAlign w:val="bottom"/>
            <w:gridSpan w:val="3"/>
          </w:tcPr>
          <w:p>
            <w:pPr>
              <w:jc w:val="center"/>
              <w:ind w:right="910"/>
              <w:spacing w:after="0"/>
              <w:rPr>
                <w:sz w:val="20"/>
                <w:szCs w:val="20"/>
                <w:color w:val="auto"/>
              </w:rPr>
            </w:pPr>
            <w:r>
              <w:rPr>
                <w:rFonts w:ascii="Arial" w:cs="Arial" w:eastAsia="Arial" w:hAnsi="Arial"/>
                <w:sz w:val="18"/>
                <w:szCs w:val="18"/>
                <w:b w:val="1"/>
                <w:bCs w:val="1"/>
                <w:color w:val="auto"/>
                <w:w w:val="91"/>
              </w:rPr>
              <w:t>Crown Holdings, Inc.</w:t>
            </w:r>
          </w:p>
        </w:tc>
      </w:tr>
      <w:tr>
        <w:trPr>
          <w:trHeight w:val="837"/>
        </w:trPr>
        <w:tc>
          <w:tcPr>
            <w:tcW w:w="40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40" w:type="dxa"/>
            <w:vAlign w:val="bottom"/>
          </w:tcPr>
          <w:p>
            <w:pPr>
              <w:jc w:val="right"/>
              <w:ind w:right="410"/>
              <w:spacing w:after="0"/>
              <w:rPr>
                <w:sz w:val="20"/>
                <w:szCs w:val="20"/>
                <w:color w:val="auto"/>
              </w:rPr>
            </w:pPr>
            <w:r>
              <w:rPr>
                <w:rFonts w:ascii="Arial" w:cs="Arial" w:eastAsia="Arial" w:hAnsi="Arial"/>
                <w:sz w:val="18"/>
                <w:szCs w:val="18"/>
                <w:color w:val="auto"/>
              </w:rPr>
              <w:t>March 31, 2019</w:t>
            </w:r>
          </w:p>
        </w:tc>
      </w:tr>
      <w:tr>
        <w:trPr>
          <w:trHeight w:val="27"/>
        </w:trPr>
        <w:tc>
          <w:tcPr>
            <w:tcW w:w="40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44"/>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Leases:</w:t>
            </w: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260"/>
              <w:spacing w:after="0"/>
              <w:rPr>
                <w:sz w:val="20"/>
                <w:szCs w:val="20"/>
                <w:color w:val="auto"/>
              </w:rPr>
            </w:pPr>
            <w:r>
              <w:rPr>
                <w:rFonts w:ascii="Arial" w:cs="Arial" w:eastAsia="Arial" w:hAnsi="Arial"/>
                <w:sz w:val="18"/>
                <w:szCs w:val="18"/>
                <w:color w:val="auto"/>
              </w:rPr>
              <w:t>Operating lease right-of-use assets</w:t>
            </w:r>
          </w:p>
        </w:tc>
        <w:tc>
          <w:tcPr>
            <w:tcW w:w="1280" w:type="dxa"/>
            <w:vAlign w:val="bottom"/>
            <w:gridSpan w:val="2"/>
          </w:tcPr>
          <w:p>
            <w:pPr>
              <w:jc w:val="center"/>
              <w:ind w:left="7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213</w:t>
            </w:r>
          </w:p>
        </w:tc>
      </w:tr>
      <w:tr>
        <w:trPr>
          <w:trHeight w:val="27"/>
        </w:trPr>
        <w:tc>
          <w:tcPr>
            <w:tcW w:w="4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324"/>
        </w:trPr>
        <w:tc>
          <w:tcPr>
            <w:tcW w:w="40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r>
        <w:trPr>
          <w:trHeight w:val="243"/>
        </w:trPr>
        <w:tc>
          <w:tcPr>
            <w:tcW w:w="4000" w:type="dxa"/>
            <w:vAlign w:val="bottom"/>
          </w:tcPr>
          <w:p>
            <w:pPr>
              <w:ind w:left="260"/>
              <w:spacing w:after="0"/>
              <w:rPr>
                <w:sz w:val="20"/>
                <w:szCs w:val="20"/>
                <w:color w:val="auto"/>
              </w:rPr>
            </w:pPr>
            <w:r>
              <w:rPr>
                <w:rFonts w:ascii="Arial" w:cs="Arial" w:eastAsia="Arial" w:hAnsi="Arial"/>
                <w:sz w:val="18"/>
                <w:szCs w:val="18"/>
                <w:color w:val="auto"/>
              </w:rPr>
              <w:t>Current portion of operating lease liabilities</w:t>
            </w:r>
          </w:p>
        </w:tc>
        <w:tc>
          <w:tcPr>
            <w:tcW w:w="1280" w:type="dxa"/>
            <w:vAlign w:val="bottom"/>
            <w:gridSpan w:val="2"/>
          </w:tcPr>
          <w:p>
            <w:pPr>
              <w:jc w:val="center"/>
              <w:ind w:left="7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47</w:t>
            </w:r>
          </w:p>
        </w:tc>
      </w:tr>
      <w:tr>
        <w:trPr>
          <w:trHeight w:val="27"/>
        </w:trPr>
        <w:tc>
          <w:tcPr>
            <w:tcW w:w="4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w w:val="98"/>
              </w:rPr>
              <w:t>Non-current portion of operating lease liabilities</w:t>
            </w:r>
          </w:p>
        </w:tc>
        <w:tc>
          <w:tcPr>
            <w:tcW w:w="9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167</w:t>
            </w:r>
          </w:p>
        </w:tc>
      </w:tr>
      <w:tr>
        <w:trPr>
          <w:trHeight w:val="297"/>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operating lease liabilities</w:t>
            </w:r>
          </w:p>
        </w:tc>
        <w:tc>
          <w:tcPr>
            <w:tcW w:w="98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214</w:t>
            </w:r>
          </w:p>
        </w:tc>
      </w:tr>
      <w:tr>
        <w:trPr>
          <w:trHeight w:val="237"/>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Finance leases:</w:t>
            </w:r>
          </w:p>
        </w:tc>
        <w:tc>
          <w:tcPr>
            <w:tcW w:w="9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840" w:type="dxa"/>
            <w:vAlign w:val="bottom"/>
            <w:tcBorders>
              <w:bottom w:val="single" w:sz="8" w:color="CCEEFF"/>
            </w:tcBorders>
            <w:shd w:val="clear" w:color="auto" w:fill="CCEEFF"/>
          </w:tcPr>
          <w:p>
            <w:pPr>
              <w:spacing w:after="0"/>
              <w:rPr>
                <w:sz w:val="20"/>
                <w:szCs w:val="20"/>
                <w:color w:val="auto"/>
              </w:rPr>
            </w:pPr>
          </w:p>
        </w:tc>
      </w:tr>
      <w:tr>
        <w:trPr>
          <w:trHeight w:val="243"/>
        </w:trPr>
        <w:tc>
          <w:tcPr>
            <w:tcW w:w="4000" w:type="dxa"/>
            <w:vAlign w:val="bottom"/>
          </w:tcPr>
          <w:p>
            <w:pPr>
              <w:ind w:left="260"/>
              <w:spacing w:after="0"/>
              <w:rPr>
                <w:sz w:val="20"/>
                <w:szCs w:val="20"/>
                <w:color w:val="auto"/>
              </w:rPr>
            </w:pPr>
            <w:r>
              <w:rPr>
                <w:rFonts w:ascii="Arial" w:cs="Arial" w:eastAsia="Arial" w:hAnsi="Arial"/>
                <w:sz w:val="18"/>
                <w:szCs w:val="18"/>
                <w:color w:val="auto"/>
              </w:rPr>
              <w:t>Property, plant and equipment</w:t>
            </w:r>
          </w:p>
        </w:tc>
        <w:tc>
          <w:tcPr>
            <w:tcW w:w="1280" w:type="dxa"/>
            <w:vAlign w:val="bottom"/>
            <w:gridSpan w:val="2"/>
          </w:tcPr>
          <w:p>
            <w:pPr>
              <w:jc w:val="center"/>
              <w:ind w:left="7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28</w:t>
            </w:r>
          </w:p>
        </w:tc>
      </w:tr>
      <w:tr>
        <w:trPr>
          <w:trHeight w:val="27"/>
        </w:trPr>
        <w:tc>
          <w:tcPr>
            <w:tcW w:w="4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Accumulated depreciation</w:t>
            </w:r>
          </w:p>
        </w:tc>
        <w:tc>
          <w:tcPr>
            <w:tcW w:w="9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w:t>
            </w:r>
          </w:p>
        </w:tc>
      </w:tr>
      <w:tr>
        <w:trPr>
          <w:trHeight w:val="297"/>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Property, plant and equipment, net</w:t>
            </w:r>
          </w:p>
        </w:tc>
        <w:tc>
          <w:tcPr>
            <w:tcW w:w="98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26</w:t>
            </w:r>
          </w:p>
        </w:tc>
      </w:tr>
      <w:tr>
        <w:trPr>
          <w:trHeight w:val="311"/>
        </w:trPr>
        <w:tc>
          <w:tcPr>
            <w:tcW w:w="40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r>
        <w:trPr>
          <w:trHeight w:val="243"/>
        </w:trPr>
        <w:tc>
          <w:tcPr>
            <w:tcW w:w="4000" w:type="dxa"/>
            <w:vAlign w:val="bottom"/>
          </w:tcPr>
          <w:p>
            <w:pPr>
              <w:ind w:left="260"/>
              <w:spacing w:after="0"/>
              <w:rPr>
                <w:sz w:val="20"/>
                <w:szCs w:val="20"/>
                <w:color w:val="auto"/>
              </w:rPr>
            </w:pPr>
            <w:r>
              <w:rPr>
                <w:rFonts w:ascii="Arial" w:cs="Arial" w:eastAsia="Arial" w:hAnsi="Arial"/>
                <w:sz w:val="18"/>
                <w:szCs w:val="18"/>
                <w:color w:val="auto"/>
              </w:rPr>
              <w:t>Accrued liabilities</w:t>
            </w:r>
          </w:p>
        </w:tc>
        <w:tc>
          <w:tcPr>
            <w:tcW w:w="1280" w:type="dxa"/>
            <w:vAlign w:val="bottom"/>
            <w:gridSpan w:val="2"/>
          </w:tcPr>
          <w:p>
            <w:pPr>
              <w:jc w:val="center"/>
              <w:ind w:left="730"/>
              <w:spacing w:after="0"/>
              <w:rPr>
                <w:sz w:val="20"/>
                <w:szCs w:val="20"/>
                <w:color w:val="auto"/>
              </w:rPr>
            </w:pPr>
            <w:r>
              <w:rPr>
                <w:rFonts w:ascii="Arial" w:cs="Arial" w:eastAsia="Arial" w:hAnsi="Arial"/>
                <w:sz w:val="18"/>
                <w:szCs w:val="18"/>
                <w:color w:val="auto"/>
                <w:w w:val="99"/>
              </w:rPr>
              <w:t>$</w:t>
            </w: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2</w:t>
            </w:r>
          </w:p>
        </w:tc>
      </w:tr>
      <w:tr>
        <w:trPr>
          <w:trHeight w:val="27"/>
        </w:trPr>
        <w:tc>
          <w:tcPr>
            <w:tcW w:w="4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70"/>
        </w:trPr>
        <w:tc>
          <w:tcPr>
            <w:tcW w:w="400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Other non-current liabilities</w:t>
            </w:r>
          </w:p>
        </w:tc>
        <w:tc>
          <w:tcPr>
            <w:tcW w:w="98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13</w:t>
            </w:r>
          </w:p>
        </w:tc>
      </w:tr>
      <w:tr>
        <w:trPr>
          <w:trHeight w:val="297"/>
        </w:trPr>
        <w:tc>
          <w:tcPr>
            <w:tcW w:w="4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finance lease liabilities</w:t>
            </w:r>
          </w:p>
        </w:tc>
        <w:tc>
          <w:tcPr>
            <w:tcW w:w="98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color w:val="auto"/>
                <w:w w:val="99"/>
              </w:rPr>
              <w:t>$</w:t>
            </w:r>
          </w:p>
        </w:tc>
        <w:tc>
          <w:tcPr>
            <w:tcW w:w="184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rPr>
              <w:t>15</w:t>
            </w:r>
          </w:p>
        </w:tc>
      </w:tr>
      <w:tr>
        <w:trPr>
          <w:trHeight w:val="311"/>
        </w:trPr>
        <w:tc>
          <w:tcPr>
            <w:tcW w:w="400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40" w:type="dxa"/>
            <w:vAlign w:val="bottom"/>
            <w:shd w:val="clear" w:color="auto" w:fill="CCEEFF"/>
          </w:tcPr>
          <w:p>
            <w:pPr>
              <w:spacing w:after="0"/>
              <w:rPr>
                <w:sz w:val="24"/>
                <w:szCs w:val="24"/>
                <w:color w:val="auto"/>
              </w:rPr>
            </w:pPr>
          </w:p>
        </w:tc>
      </w:tr>
      <w:tr>
        <w:trPr>
          <w:trHeight w:val="243"/>
        </w:trPr>
        <w:tc>
          <w:tcPr>
            <w:tcW w:w="400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spacing w:after="0"/>
              <w:rPr>
                <w:sz w:val="21"/>
                <w:szCs w:val="21"/>
                <w:color w:val="auto"/>
              </w:rPr>
            </w:pPr>
          </w:p>
        </w:tc>
      </w:tr>
      <w:tr>
        <w:trPr>
          <w:trHeight w:val="27"/>
        </w:trPr>
        <w:tc>
          <w:tcPr>
            <w:tcW w:w="4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Operating leases</w:t>
            </w: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9.6 years</w:t>
            </w:r>
          </w:p>
        </w:tc>
      </w:tr>
      <w:tr>
        <w:trPr>
          <w:trHeight w:val="243"/>
        </w:trPr>
        <w:tc>
          <w:tcPr>
            <w:tcW w:w="4000" w:type="dxa"/>
            <w:vAlign w:val="bottom"/>
          </w:tcPr>
          <w:p>
            <w:pPr>
              <w:ind w:left="240"/>
              <w:spacing w:after="0"/>
              <w:rPr>
                <w:sz w:val="20"/>
                <w:szCs w:val="20"/>
                <w:color w:val="auto"/>
              </w:rPr>
            </w:pPr>
            <w:r>
              <w:rPr>
                <w:rFonts w:ascii="Arial" w:cs="Arial" w:eastAsia="Arial" w:hAnsi="Arial"/>
                <w:sz w:val="18"/>
                <w:szCs w:val="18"/>
                <w:color w:val="auto"/>
              </w:rPr>
              <w:t>Finance leases</w:t>
            </w: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jc w:val="right"/>
              <w:ind w:right="110"/>
              <w:spacing w:after="0"/>
              <w:rPr>
                <w:sz w:val="20"/>
                <w:szCs w:val="20"/>
                <w:color w:val="auto"/>
              </w:rPr>
            </w:pPr>
            <w:r>
              <w:rPr>
                <w:rFonts w:ascii="Arial" w:cs="Arial" w:eastAsia="Arial" w:hAnsi="Arial"/>
                <w:sz w:val="18"/>
                <w:szCs w:val="18"/>
                <w:color w:val="auto"/>
              </w:rPr>
              <w:t>7.6 years</w:t>
            </w:r>
          </w:p>
        </w:tc>
      </w:tr>
      <w:tr>
        <w:trPr>
          <w:trHeight w:val="27"/>
        </w:trPr>
        <w:tc>
          <w:tcPr>
            <w:tcW w:w="4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50"/>
        </w:trPr>
        <w:tc>
          <w:tcPr>
            <w:tcW w:w="4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Weighted average discount rate:</w:t>
            </w:r>
          </w:p>
        </w:tc>
        <w:tc>
          <w:tcPr>
            <w:tcW w:w="98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r>
      <w:tr>
        <w:trPr>
          <w:trHeight w:val="243"/>
        </w:trPr>
        <w:tc>
          <w:tcPr>
            <w:tcW w:w="4000" w:type="dxa"/>
            <w:vAlign w:val="bottom"/>
          </w:tcPr>
          <w:p>
            <w:pPr>
              <w:ind w:left="240"/>
              <w:spacing w:after="0"/>
              <w:rPr>
                <w:sz w:val="20"/>
                <w:szCs w:val="20"/>
                <w:color w:val="auto"/>
              </w:rPr>
            </w:pPr>
            <w:r>
              <w:rPr>
                <w:rFonts w:ascii="Arial" w:cs="Arial" w:eastAsia="Arial" w:hAnsi="Arial"/>
                <w:sz w:val="18"/>
                <w:szCs w:val="18"/>
                <w:color w:val="auto"/>
              </w:rPr>
              <w:t>Operating leases</w:t>
            </w:r>
          </w:p>
        </w:tc>
        <w:tc>
          <w:tcPr>
            <w:tcW w:w="98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7"/>
        </w:trPr>
        <w:tc>
          <w:tcPr>
            <w:tcW w:w="40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40" w:type="dxa"/>
            <w:vAlign w:val="bottom"/>
          </w:tcPr>
          <w:p>
            <w:pPr>
              <w:spacing w:after="0"/>
              <w:rPr>
                <w:sz w:val="2"/>
                <w:szCs w:val="2"/>
                <w:color w:val="auto"/>
              </w:rPr>
            </w:pPr>
          </w:p>
        </w:tc>
      </w:tr>
      <w:tr>
        <w:trPr>
          <w:trHeight w:val="243"/>
        </w:trPr>
        <w:tc>
          <w:tcPr>
            <w:tcW w:w="40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Finance leases</w:t>
            </w:r>
          </w:p>
        </w:tc>
        <w:tc>
          <w:tcPr>
            <w:tcW w:w="98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r>
      <w:tr>
        <w:trPr>
          <w:trHeight w:val="27"/>
        </w:trPr>
        <w:tc>
          <w:tcPr>
            <w:tcW w:w="400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840" w:type="dxa"/>
            <w:vAlign w:val="bottom"/>
            <w:shd w:val="clear" w:color="auto" w:fill="CCEEFF"/>
          </w:tcPr>
          <w:p>
            <w:pPr>
              <w:spacing w:after="0"/>
              <w:rPr>
                <w:sz w:val="2"/>
                <w:szCs w:val="2"/>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March 31, 2019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0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Operating Leases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700" w:type="dxa"/>
            <w:vAlign w:val="bottom"/>
          </w:tcPr>
          <w:p>
            <w:pPr>
              <w:jc w:val="right"/>
              <w:ind w:right="350"/>
              <w:spacing w:after="0"/>
              <w:rPr>
                <w:sz w:val="20"/>
                <w:szCs w:val="20"/>
                <w:color w:val="auto"/>
              </w:rPr>
            </w:pPr>
            <w:r>
              <w:rPr>
                <w:rFonts w:ascii="Arial" w:cs="Arial" w:eastAsia="Arial" w:hAnsi="Arial"/>
                <w:sz w:val="18"/>
                <w:szCs w:val="18"/>
                <w:color w:val="auto"/>
                <w:w w:val="97"/>
              </w:rPr>
              <w:t>Finance Leases</w:t>
            </w:r>
          </w:p>
        </w:tc>
      </w:tr>
      <w:tr>
        <w:trPr>
          <w:trHeight w:val="27"/>
        </w:trPr>
        <w:tc>
          <w:tcPr>
            <w:tcW w:w="52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620" w:type="dxa"/>
            <w:vAlign w:val="bottom"/>
            <w:tcBorders>
              <w:bottom w:val="single" w:sz="8" w:color="CCEEFF"/>
            </w:tcBorders>
            <w:shd w:val="clear" w:color="auto" w:fill="CCEEFF"/>
          </w:tcPr>
          <w:p>
            <w:pPr>
              <w:jc w:val="right"/>
              <w:ind w:right="14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2020</w:t>
            </w:r>
          </w:p>
        </w:tc>
        <w:tc>
          <w:tcPr>
            <w:tcW w:w="16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5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2022</w:t>
            </w:r>
          </w:p>
        </w:tc>
        <w:tc>
          <w:tcPr>
            <w:tcW w:w="16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
        </w:trPr>
        <w:tc>
          <w:tcPr>
            <w:tcW w:w="52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20" w:type="dxa"/>
            <w:vAlign w:val="bottom"/>
          </w:tcPr>
          <w:p>
            <w:pPr>
              <w:spacing w:after="0"/>
              <w:rPr>
                <w:sz w:val="21"/>
                <w:szCs w:val="21"/>
                <w:color w:val="auto"/>
              </w:rPr>
            </w:pPr>
          </w:p>
        </w:tc>
        <w:tc>
          <w:tcPr>
            <w:tcW w:w="360" w:type="dxa"/>
            <w:vAlign w:val="bottom"/>
          </w:tcPr>
          <w:p>
            <w:pPr>
              <w:jc w:val="right"/>
              <w:ind w:right="10"/>
              <w:spacing w:after="0"/>
              <w:rPr>
                <w:sz w:val="20"/>
                <w:szCs w:val="20"/>
                <w:color w:val="auto"/>
              </w:rPr>
            </w:pPr>
            <w:r>
              <w:rPr>
                <w:rFonts w:ascii="Arial" w:cs="Arial" w:eastAsia="Arial" w:hAnsi="Arial"/>
                <w:sz w:val="18"/>
                <w:szCs w:val="18"/>
                <w:color w:val="auto"/>
                <w:w w:val="79"/>
              </w:rPr>
              <w:t>115</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52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payments</w:t>
            </w:r>
          </w:p>
        </w:tc>
        <w:tc>
          <w:tcPr>
            <w:tcW w:w="1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276</w:t>
            </w:r>
          </w:p>
        </w:tc>
        <w:tc>
          <w:tcPr>
            <w:tcW w:w="1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520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16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93"/>
              </w:rPr>
              <w:t>(62)</w:t>
            </w:r>
          </w:p>
        </w:tc>
        <w:tc>
          <w:tcPr>
            <w:tcW w:w="1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27"/>
        </w:trPr>
        <w:tc>
          <w:tcPr>
            <w:tcW w:w="52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520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620" w:type="dxa"/>
            <w:vAlign w:val="bottom"/>
            <w:tcBorders>
              <w:bottom w:val="single" w:sz="8" w:color="auto"/>
            </w:tcBorders>
            <w:shd w:val="clear" w:color="auto" w:fill="CCEEFF"/>
          </w:tcPr>
          <w:p>
            <w:pPr>
              <w:jc w:val="right"/>
              <w:ind w:right="14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214</w:t>
            </w:r>
          </w:p>
        </w:tc>
        <w:tc>
          <w:tcPr>
            <w:tcW w:w="18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r>
      <w:tr>
        <w:trPr>
          <w:trHeight w:val="20"/>
        </w:trPr>
        <w:tc>
          <w:tcPr>
            <w:tcW w:w="52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Maturities of lease liabilities as of December 31, 2018 were as follows:</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22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Operating Leases</w:t>
            </w:r>
          </w:p>
        </w:tc>
        <w:tc>
          <w:tcPr>
            <w:tcW w:w="3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00" w:type="dxa"/>
            <w:vAlign w:val="bottom"/>
          </w:tcPr>
          <w:p>
            <w:pPr>
              <w:jc w:val="right"/>
              <w:ind w:right="350"/>
              <w:spacing w:after="0"/>
              <w:rPr>
                <w:sz w:val="20"/>
                <w:szCs w:val="20"/>
                <w:color w:val="auto"/>
              </w:rPr>
            </w:pPr>
            <w:r>
              <w:rPr>
                <w:rFonts w:ascii="Arial" w:cs="Arial" w:eastAsia="Arial" w:hAnsi="Arial"/>
                <w:sz w:val="18"/>
                <w:szCs w:val="18"/>
                <w:color w:val="auto"/>
                <w:w w:val="97"/>
              </w:rPr>
              <w:t>Finance Leases</w:t>
            </w:r>
          </w:p>
        </w:tc>
      </w:tr>
      <w:tr>
        <w:trPr>
          <w:trHeight w:val="27"/>
        </w:trPr>
        <w:tc>
          <w:tcPr>
            <w:tcW w:w="52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2019</w:t>
            </w:r>
          </w:p>
        </w:tc>
        <w:tc>
          <w:tcPr>
            <w:tcW w:w="1620" w:type="dxa"/>
            <w:vAlign w:val="bottom"/>
            <w:tcBorders>
              <w:bottom w:val="single" w:sz="8" w:color="CCEEFF"/>
            </w:tcBorders>
            <w:shd w:val="clear" w:color="auto" w:fill="CCEEFF"/>
          </w:tcPr>
          <w:p>
            <w:pPr>
              <w:jc w:val="right"/>
              <w:ind w:right="14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2020</w:t>
            </w:r>
          </w:p>
        </w:tc>
        <w:tc>
          <w:tcPr>
            <w:tcW w:w="16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42</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7"/>
        </w:trPr>
        <w:tc>
          <w:tcPr>
            <w:tcW w:w="5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2022</w:t>
            </w:r>
          </w:p>
        </w:tc>
        <w:tc>
          <w:tcPr>
            <w:tcW w:w="16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7"/>
        </w:trPr>
        <w:tc>
          <w:tcPr>
            <w:tcW w:w="5220" w:type="dxa"/>
            <w:vAlign w:val="bottom"/>
          </w:tcPr>
          <w:p>
            <w:pPr>
              <w:spacing w:after="0"/>
              <w:rPr>
                <w:sz w:val="2"/>
                <w:szCs w:val="2"/>
                <w:color w:val="auto"/>
              </w:rPr>
            </w:pPr>
          </w:p>
        </w:tc>
        <w:tc>
          <w:tcPr>
            <w:tcW w:w="16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5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162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117</w:t>
            </w:r>
          </w:p>
        </w:tc>
        <w:tc>
          <w:tcPr>
            <w:tcW w:w="1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7"/>
        </w:trPr>
        <w:tc>
          <w:tcPr>
            <w:tcW w:w="522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57"/>
        </w:trPr>
        <w:tc>
          <w:tcPr>
            <w:tcW w:w="52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lease payments</w:t>
            </w:r>
          </w:p>
        </w:tc>
        <w:tc>
          <w:tcPr>
            <w:tcW w:w="1620" w:type="dxa"/>
            <w:vAlign w:val="bottom"/>
            <w:tcBorders>
              <w:bottom w:val="single" w:sz="8" w:color="auto"/>
            </w:tcBorders>
            <w:shd w:val="clear" w:color="auto" w:fill="CCEEFF"/>
          </w:tcPr>
          <w:p>
            <w:pPr>
              <w:jc w:val="right"/>
              <w:ind w:right="141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294</w:t>
            </w:r>
          </w:p>
        </w:tc>
        <w:tc>
          <w:tcPr>
            <w:tcW w:w="18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r>
      <w:tr>
        <w:trPr>
          <w:trHeight w:val="20"/>
        </w:trPr>
        <w:tc>
          <w:tcPr>
            <w:tcW w:w="522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559"/>
          </w:cols>
          <w:pgMar w:left="900" w:top="121" w:right="1440" w:bottom="1440" w:gutter="0" w:footer="0" w:header="0"/>
        </w:sectPr>
      </w:pPr>
    </w:p>
    <w:p>
      <w:pPr>
        <w:spacing w:after="0" w:line="204" w:lineRule="exact"/>
        <w:rPr>
          <w:sz w:val="20"/>
          <w:szCs w:val="20"/>
          <w:color w:val="auto"/>
        </w:rPr>
      </w:pPr>
    </w:p>
    <w:p>
      <w:pPr>
        <w:ind w:left="5000"/>
        <w:spacing w:after="0"/>
        <w:rPr>
          <w:sz w:val="20"/>
          <w:szCs w:val="20"/>
          <w:color w:val="auto"/>
        </w:rPr>
      </w:pPr>
      <w:r>
        <w:rPr>
          <w:rFonts w:ascii="Arial" w:cs="Arial" w:eastAsia="Arial" w:hAnsi="Arial"/>
          <w:sz w:val="17"/>
          <w:szCs w:val="17"/>
          <w:color w:val="auto"/>
        </w:rPr>
        <w:t>9</w:t>
      </w:r>
    </w:p>
    <w:p>
      <w:pPr>
        <w:sectPr>
          <w:pgSz w:w="11900" w:h="16838" w:orient="portrait"/>
          <w:cols w:equalWidth="0" w:num="1">
            <w:col w:w="9559"/>
          </w:cols>
          <w:pgMar w:left="900" w:top="121" w:right="1440"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00" w:hanging="392"/>
        <w:spacing w:after="0"/>
        <w:tabs>
          <w:tab w:leader="none" w:pos="4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Acquisition of Signode</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On April 3, 2018, the Company completed its acquisition of Signode Industrial Group Holdings (Bermuda) Ltd. (“Signode”), a leading global provider of transit packaging systems and solutions, thereby broadening and diversifying its customer base and product offerings. The Company paid a purchase price of $3.9 billion.</w:t>
      </w:r>
    </w:p>
    <w:p>
      <w:pPr>
        <w:spacing w:after="0" w:line="181"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The company finalized its purchase accounting for the Signode acquisition in the first quarter of 2019. There were no material adjustments to the preliminary valuation of identifiable assets acquired and liabilities assumed as compared to the amounts disclosed in the Company's Annual Report on Form 10-K for the year ended December 31, 2018.</w:t>
      </w:r>
    </w:p>
    <w:p>
      <w:pPr>
        <w:spacing w:after="0" w:line="393"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Revenue</w:t>
      </w:r>
    </w:p>
    <w:p>
      <w:pPr>
        <w:spacing w:after="0" w:line="229" w:lineRule="exact"/>
        <w:rPr>
          <w:sz w:val="20"/>
          <w:szCs w:val="20"/>
          <w:color w:val="auto"/>
        </w:rPr>
      </w:pPr>
    </w:p>
    <w:p>
      <w:pPr>
        <w:jc w:val="both"/>
        <w:ind w:left="660" w:right="2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For the three months ended March 31, 2019 and 2018, the Company recognized revenue of $1,365 and $1,428 over time and $1,390 and $769 at a point in time. See </w:t>
      </w:r>
      <w:hyperlink w:anchor="page24">
        <w:r>
          <w:rPr>
            <w:rFonts w:ascii="Arial" w:cs="Arial" w:eastAsia="Arial" w:hAnsi="Arial"/>
            <w:sz w:val="18"/>
            <w:szCs w:val="18"/>
            <w:u w:val="single" w:color="auto"/>
            <w:color w:val="0000EE"/>
          </w:rPr>
          <w:t>Note S</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disaggregation of the Company's revenue. The Company has applied the practical expedient to exclude disclosure of remaining performance obligations as its binding orders typically have a term of one year or less.</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Contract Assets and Contract Liabilities</w:t>
      </w:r>
    </w:p>
    <w:p>
      <w:pPr>
        <w:spacing w:after="0" w:line="18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Contract assets are recorded for revenue recognized over time when the Company has determined that control for a performance obligation has passed to the customer, but the right to invoice the customer is contingent upon the completion of the performance obligations included in the contract.</w:t>
      </w:r>
    </w:p>
    <w:p>
      <w:pPr>
        <w:spacing w:after="0" w:line="14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Contract liabilities are established if the Company must defer the recognition of a portion of consideration received because it has to satisfy a future obligation.</w:t>
      </w:r>
    </w:p>
    <w:p>
      <w:pPr>
        <w:spacing w:after="0" w:line="13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Contract assets are typically recognized for work in process related to the Company's three-piece printed products. The Company's equipment business may record contract assets or contract liabilities depending on the timing of satisfaction of performance obligations and receipt of consideration from the customer.</w:t>
      </w:r>
    </w:p>
    <w:p>
      <w:pPr>
        <w:spacing w:after="0" w:line="14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Contract assets and liabilities are reported in a net position on a contract-by-contract basis. Net contract assets were as follows:</w:t>
      </w:r>
    </w:p>
    <w:p>
      <w:pPr>
        <w:spacing w:after="0" w:line="34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22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March 31, 2019</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w w:val="92"/>
              </w:rPr>
              <w:t>December 31, 2018</w:t>
            </w:r>
          </w:p>
        </w:tc>
      </w:tr>
      <w:tr>
        <w:trPr>
          <w:trHeight w:val="27"/>
        </w:trPr>
        <w:tc>
          <w:tcPr>
            <w:tcW w:w="52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assets included in prepaid and other current assets</w:t>
            </w:r>
          </w:p>
        </w:tc>
        <w:tc>
          <w:tcPr>
            <w:tcW w:w="1540" w:type="dxa"/>
            <w:vAlign w:val="bottom"/>
            <w:tcBorders>
              <w:bottom w:val="single" w:sz="8" w:color="CCEEFF"/>
            </w:tcBorders>
            <w:shd w:val="clear" w:color="auto" w:fill="CCEEFF"/>
          </w:tcPr>
          <w:p>
            <w:pPr>
              <w:jc w:val="right"/>
              <w:ind w:right="133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7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43"/>
        </w:trPr>
        <w:tc>
          <w:tcPr>
            <w:tcW w:w="5220" w:type="dxa"/>
            <w:vAlign w:val="bottom"/>
          </w:tcPr>
          <w:p>
            <w:pPr>
              <w:ind w:left="20"/>
              <w:spacing w:after="0"/>
              <w:rPr>
                <w:sz w:val="20"/>
                <w:szCs w:val="20"/>
                <w:color w:val="auto"/>
              </w:rPr>
            </w:pPr>
            <w:r>
              <w:rPr>
                <w:rFonts w:ascii="Arial" w:cs="Arial" w:eastAsia="Arial" w:hAnsi="Arial"/>
                <w:sz w:val="18"/>
                <w:szCs w:val="18"/>
                <w:color w:val="auto"/>
              </w:rPr>
              <w:t>Contract liabilities included in accrued liabilities</w:t>
            </w:r>
          </w:p>
        </w:tc>
        <w:tc>
          <w:tcPr>
            <w:tcW w:w="15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c>
          <w:tcPr>
            <w:tcW w:w="7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52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5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Contract liabilities included in other non-current liabilities</w:t>
            </w:r>
          </w:p>
        </w:tc>
        <w:tc>
          <w:tcPr>
            <w:tcW w:w="154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7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57"/>
        </w:trPr>
        <w:tc>
          <w:tcPr>
            <w:tcW w:w="5220" w:type="dxa"/>
            <w:vAlign w:val="bottom"/>
          </w:tcPr>
          <w:p>
            <w:pPr>
              <w:ind w:left="20"/>
              <w:spacing w:after="0"/>
              <w:rPr>
                <w:sz w:val="20"/>
                <w:szCs w:val="20"/>
                <w:color w:val="auto"/>
              </w:rPr>
            </w:pPr>
            <w:r>
              <w:rPr>
                <w:rFonts w:ascii="Arial" w:cs="Arial" w:eastAsia="Arial" w:hAnsi="Arial"/>
                <w:sz w:val="18"/>
                <w:szCs w:val="18"/>
                <w:color w:val="auto"/>
              </w:rPr>
              <w:t>Net contract asset</w:t>
            </w:r>
          </w:p>
        </w:tc>
        <w:tc>
          <w:tcPr>
            <w:tcW w:w="1540" w:type="dxa"/>
            <w:vAlign w:val="bottom"/>
            <w:tcBorders>
              <w:top w:val="single" w:sz="8" w:color="auto"/>
              <w:bottom w:val="single" w:sz="8" w:color="auto"/>
            </w:tcBorders>
          </w:tcPr>
          <w:p>
            <w:pPr>
              <w:jc w:val="right"/>
              <w:ind w:right="1330"/>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7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w:t>
            </w:r>
          </w:p>
        </w:tc>
      </w:tr>
      <w:tr>
        <w:trPr>
          <w:trHeight w:val="20"/>
        </w:trPr>
        <w:tc>
          <w:tcPr>
            <w:tcW w:w="522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right="480"/>
        <w:spacing w:after="0" w:line="277" w:lineRule="auto"/>
        <w:rPr>
          <w:sz w:val="20"/>
          <w:szCs w:val="20"/>
          <w:color w:val="auto"/>
        </w:rPr>
      </w:pPr>
      <w:r>
        <w:rPr>
          <w:rFonts w:ascii="Arial" w:cs="Arial" w:eastAsia="Arial" w:hAnsi="Arial"/>
          <w:sz w:val="18"/>
          <w:szCs w:val="18"/>
          <w:color w:val="auto"/>
        </w:rPr>
        <w:t>During the three months ended March 31, 2018, the Company recognized revenue of $1 related to contract liabilities at December 31, 2018 for performance obligations satisfied during the period.</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20"/>
                <w:szCs w:val="20"/>
                <w:color w:val="auto"/>
              </w:rPr>
            </w:pPr>
            <w:r>
              <w:rPr>
                <w:rFonts w:ascii="Arial" w:cs="Arial" w:eastAsia="Arial" w:hAnsi="Arial"/>
                <w:sz w:val="18"/>
                <w:szCs w:val="18"/>
                <w:b w:val="1"/>
                <w:bCs w:val="1"/>
                <w:color w:val="auto"/>
              </w:rPr>
              <w:t>F.</w:t>
            </w:r>
          </w:p>
        </w:tc>
        <w:tc>
          <w:tcPr>
            <w:tcW w:w="5680" w:type="dxa"/>
            <w:vAlign w:val="bottom"/>
            <w:gridSpan w:val="3"/>
          </w:tcPr>
          <w:p>
            <w:pPr>
              <w:ind w:left="260"/>
              <w:spacing w:after="0"/>
              <w:rPr>
                <w:sz w:val="20"/>
                <w:szCs w:val="20"/>
                <w:color w:val="auto"/>
              </w:rPr>
            </w:pPr>
            <w:r>
              <w:rPr>
                <w:rFonts w:ascii="Arial" w:cs="Arial" w:eastAsia="Arial" w:hAnsi="Arial"/>
                <w:sz w:val="18"/>
                <w:szCs w:val="18"/>
                <w:b w:val="1"/>
                <w:bCs w:val="1"/>
                <w:color w:val="auto"/>
              </w:rPr>
              <w:t>Receivables</w:t>
            </w:r>
          </w:p>
        </w:tc>
        <w:tc>
          <w:tcPr>
            <w:tcW w:w="2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spacing w:after="0"/>
              <w:rPr>
                <w:sz w:val="18"/>
                <w:szCs w:val="18"/>
                <w:color w:val="auto"/>
              </w:rPr>
            </w:pPr>
          </w:p>
        </w:tc>
      </w:tr>
      <w:tr>
        <w:trPr>
          <w:trHeight w:val="615"/>
        </w:trPr>
        <w:tc>
          <w:tcPr>
            <w:tcW w:w="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4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March 31, 2019</w:t>
            </w:r>
          </w:p>
        </w:tc>
        <w:tc>
          <w:tcPr>
            <w:tcW w:w="180" w:type="dxa"/>
            <w:vAlign w:val="bottom"/>
          </w:tcPr>
          <w:p>
            <w:pPr>
              <w:spacing w:after="0"/>
              <w:rPr>
                <w:sz w:val="24"/>
                <w:szCs w:val="24"/>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2"/>
              </w:rPr>
              <w:t>December 31, 2018</w:t>
            </w:r>
          </w:p>
        </w:tc>
      </w:tr>
      <w:tr>
        <w:trPr>
          <w:trHeight w:val="27"/>
        </w:trPr>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1,330</w:t>
            </w: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1,303</w:t>
            </w:r>
          </w:p>
        </w:tc>
      </w:tr>
      <w:tr>
        <w:trPr>
          <w:trHeight w:val="243"/>
        </w:trPr>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Less: allowance for doubtful accounts</w:t>
            </w:r>
          </w:p>
        </w:tc>
        <w:tc>
          <w:tcPr>
            <w:tcW w:w="260" w:type="dxa"/>
            <w:vAlign w:val="bottom"/>
          </w:tcPr>
          <w:p>
            <w:pPr>
              <w:spacing w:after="0"/>
              <w:rPr>
                <w:sz w:val="21"/>
                <w:szCs w:val="21"/>
                <w:color w:val="auto"/>
              </w:rPr>
            </w:pPr>
          </w:p>
        </w:tc>
        <w:tc>
          <w:tcPr>
            <w:tcW w:w="1640" w:type="dxa"/>
            <w:vAlign w:val="bottom"/>
          </w:tcPr>
          <w:p>
            <w:pPr>
              <w:jc w:val="right"/>
              <w:spacing w:after="0"/>
              <w:rPr>
                <w:sz w:val="20"/>
                <w:szCs w:val="20"/>
                <w:color w:val="auto"/>
              </w:rPr>
            </w:pPr>
            <w:r>
              <w:rPr>
                <w:rFonts w:ascii="Arial" w:cs="Arial" w:eastAsia="Arial" w:hAnsi="Arial"/>
                <w:sz w:val="18"/>
                <w:szCs w:val="18"/>
                <w:color w:val="auto"/>
              </w:rPr>
              <w:t>(64)</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45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trade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1,266</w:t>
            </w: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1,238</w:t>
            </w:r>
          </w:p>
        </w:tc>
      </w:tr>
      <w:tr>
        <w:trPr>
          <w:trHeight w:val="243"/>
        </w:trPr>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Unbilled receivables</w:t>
            </w:r>
          </w:p>
        </w:tc>
        <w:tc>
          <w:tcPr>
            <w:tcW w:w="26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217</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181</w:t>
            </w:r>
          </w:p>
        </w:tc>
      </w:tr>
      <w:tr>
        <w:trPr>
          <w:trHeight w:val="27"/>
        </w:trPr>
        <w:tc>
          <w:tcPr>
            <w:tcW w:w="4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45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54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Miscellaneous receivables</w:t>
            </w: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w:t>
            </w:r>
          </w:p>
        </w:tc>
        <w:tc>
          <w:tcPr>
            <w:tcW w:w="6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183</w:t>
            </w:r>
          </w:p>
        </w:tc>
      </w:tr>
      <w:tr>
        <w:trPr>
          <w:trHeight w:val="257"/>
        </w:trPr>
        <w:tc>
          <w:tcPr>
            <w:tcW w:w="4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5420" w:type="dxa"/>
            <w:vAlign w:val="bottom"/>
            <w:gridSpan w:val="2"/>
          </w:tcPr>
          <w:p>
            <w:pPr>
              <w:ind w:left="20"/>
              <w:spacing w:after="0"/>
              <w:rPr>
                <w:sz w:val="20"/>
                <w:szCs w:val="20"/>
                <w:color w:val="auto"/>
              </w:rPr>
            </w:pPr>
            <w:r>
              <w:rPr>
                <w:rFonts w:ascii="Arial" w:cs="Arial" w:eastAsia="Arial" w:hAnsi="Arial"/>
                <w:sz w:val="18"/>
                <w:szCs w:val="18"/>
                <w:color w:val="auto"/>
              </w:rPr>
              <w:t>Receivables, net</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1,686</w:t>
            </w:r>
          </w:p>
        </w:tc>
        <w:tc>
          <w:tcPr>
            <w:tcW w:w="68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1,602</w:t>
            </w:r>
          </w:p>
        </w:tc>
      </w:tr>
      <w:tr>
        <w:trPr>
          <w:trHeight w:val="20"/>
        </w:trPr>
        <w:tc>
          <w:tcPr>
            <w:tcW w:w="4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45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11420"/>
          </w:cols>
          <w:pgMar w:left="240" w:top="121" w:right="239" w:bottom="1440" w:gutter="0" w:footer="0" w:header="0"/>
          <w:type w:val="continuous"/>
        </w:sectPr>
      </w:pPr>
    </w:p>
    <w:bookmarkStart w:id="10" w:name="page11"/>
    <w:bookmarkEnd w:id="10"/>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Inventories</w:t>
      </w:r>
    </w:p>
    <w:p>
      <w:pPr>
        <w:spacing w:after="0" w:line="94"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Inventories are stated at the lower of cost or market, with cost for U.S. inventories principally determined under the first-in, first-out (“FIFO”) method. Non-U.S. inventories are principally determined under the FIFO or average cost method.</w:t>
      </w:r>
    </w:p>
    <w:p>
      <w:pPr>
        <w:spacing w:after="0" w:line="11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20" w:type="dxa"/>
            <w:vAlign w:val="bottom"/>
            <w:gridSpan w:val="2"/>
          </w:tcPr>
          <w:p>
            <w:pPr>
              <w:ind w:left="120"/>
              <w:spacing w:after="0"/>
              <w:rPr>
                <w:sz w:val="20"/>
                <w:szCs w:val="20"/>
                <w:color w:val="auto"/>
              </w:rPr>
            </w:pPr>
            <w:r>
              <w:rPr>
                <w:rFonts w:ascii="Arial" w:cs="Arial" w:eastAsia="Arial" w:hAnsi="Arial"/>
                <w:sz w:val="18"/>
                <w:szCs w:val="18"/>
                <w:color w:val="auto"/>
              </w:rPr>
              <w:t>March 31, 2019</w:t>
            </w:r>
          </w:p>
        </w:tc>
        <w:tc>
          <w:tcPr>
            <w:tcW w:w="180" w:type="dxa"/>
            <w:vAlign w:val="bottom"/>
          </w:tcPr>
          <w:p>
            <w:pPr>
              <w:spacing w:after="0"/>
              <w:rPr>
                <w:sz w:val="20"/>
                <w:szCs w:val="20"/>
                <w:color w:val="auto"/>
              </w:rPr>
            </w:pPr>
          </w:p>
        </w:tc>
        <w:tc>
          <w:tcPr>
            <w:tcW w:w="1720" w:type="dxa"/>
            <w:vAlign w:val="bottom"/>
          </w:tcPr>
          <w:p>
            <w:pPr>
              <w:jc w:val="right"/>
              <w:ind w:right="150"/>
              <w:spacing w:after="0"/>
              <w:rPr>
                <w:sz w:val="20"/>
                <w:szCs w:val="20"/>
                <w:color w:val="auto"/>
              </w:rPr>
            </w:pPr>
            <w:r>
              <w:rPr>
                <w:rFonts w:ascii="Arial" w:cs="Arial" w:eastAsia="Arial" w:hAnsi="Arial"/>
                <w:sz w:val="18"/>
                <w:szCs w:val="18"/>
                <w:color w:val="auto"/>
                <w:w w:val="92"/>
              </w:rPr>
              <w:t>December 31, 2018</w:t>
            </w:r>
          </w:p>
        </w:tc>
      </w:tr>
      <w:tr>
        <w:trPr>
          <w:trHeight w:val="27"/>
        </w:trPr>
        <w:tc>
          <w:tcPr>
            <w:tcW w:w="54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 and supplies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959</w:t>
            </w:r>
          </w:p>
        </w:tc>
        <w:tc>
          <w:tcPr>
            <w:tcW w:w="6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937</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260" w:type="dxa"/>
            <w:vAlign w:val="bottom"/>
          </w:tcPr>
          <w:p>
            <w:pPr>
              <w:spacing w:after="0"/>
              <w:rPr>
                <w:sz w:val="21"/>
                <w:szCs w:val="21"/>
                <w:color w:val="auto"/>
              </w:rPr>
            </w:pPr>
          </w:p>
        </w:tc>
        <w:tc>
          <w:tcPr>
            <w:tcW w:w="1640" w:type="dxa"/>
            <w:vAlign w:val="bottom"/>
          </w:tcPr>
          <w:p>
            <w:pPr>
              <w:jc w:val="right"/>
              <w:ind w:right="10"/>
              <w:spacing w:after="0"/>
              <w:rPr>
                <w:sz w:val="20"/>
                <w:szCs w:val="20"/>
                <w:color w:val="auto"/>
              </w:rPr>
            </w:pPr>
            <w:r>
              <w:rPr>
                <w:rFonts w:ascii="Arial" w:cs="Arial" w:eastAsia="Arial" w:hAnsi="Arial"/>
                <w:sz w:val="18"/>
                <w:szCs w:val="18"/>
                <w:color w:val="auto"/>
              </w:rPr>
              <w:t>167</w:t>
            </w:r>
          </w:p>
        </w:tc>
        <w:tc>
          <w:tcPr>
            <w:tcW w:w="6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20" w:type="dxa"/>
            <w:vAlign w:val="bottom"/>
          </w:tcPr>
          <w:p>
            <w:pPr>
              <w:jc w:val="right"/>
              <w:ind w:right="10"/>
              <w:spacing w:after="0"/>
              <w:rPr>
                <w:sz w:val="20"/>
                <w:szCs w:val="20"/>
                <w:color w:val="auto"/>
              </w:rPr>
            </w:pPr>
            <w:r>
              <w:rPr>
                <w:rFonts w:ascii="Arial" w:cs="Arial" w:eastAsia="Arial" w:hAnsi="Arial"/>
                <w:sz w:val="18"/>
                <w:szCs w:val="18"/>
                <w:color w:val="auto"/>
              </w:rPr>
              <w:t>144</w:t>
            </w:r>
          </w:p>
        </w:tc>
      </w:tr>
      <w:tr>
        <w:trPr>
          <w:trHeight w:val="27"/>
        </w:trPr>
        <w:tc>
          <w:tcPr>
            <w:tcW w:w="54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70"/>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60" w:type="dxa"/>
            <w:vAlign w:val="bottom"/>
            <w:tcBorders>
              <w:bottom w:val="single" w:sz="8" w:color="CCEEFF"/>
            </w:tcBorders>
            <w:shd w:val="clear" w:color="auto" w:fill="CCEEFF"/>
          </w:tcPr>
          <w:p>
            <w:pPr>
              <w:spacing w:after="0"/>
              <w:rPr>
                <w:sz w:val="23"/>
                <w:szCs w:val="23"/>
                <w:color w:val="auto"/>
              </w:rPr>
            </w:pPr>
          </w:p>
        </w:tc>
        <w:tc>
          <w:tcPr>
            <w:tcW w:w="1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725</w:t>
            </w:r>
          </w:p>
        </w:tc>
        <w:tc>
          <w:tcPr>
            <w:tcW w:w="68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609</w:t>
            </w:r>
          </w:p>
        </w:tc>
      </w:tr>
      <w:tr>
        <w:trPr>
          <w:trHeight w:val="237"/>
        </w:trPr>
        <w:tc>
          <w:tcPr>
            <w:tcW w:w="54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1,851</w:t>
            </w:r>
          </w:p>
        </w:tc>
        <w:tc>
          <w:tcPr>
            <w:tcW w:w="68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1,690</w:t>
            </w:r>
          </w:p>
        </w:tc>
      </w:tr>
      <w:tr>
        <w:trPr>
          <w:trHeight w:val="27"/>
        </w:trPr>
        <w:tc>
          <w:tcPr>
            <w:tcW w:w="54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68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0"/>
        </w:trPr>
        <w:tc>
          <w:tcPr>
            <w:tcW w:w="54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Restricted Cash</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Restricted cash included in the Company's Consolidated Balance Sheets was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544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March 31, 2019</w:t>
            </w:r>
          </w:p>
        </w:tc>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00" w:type="dxa"/>
            <w:vAlign w:val="bottom"/>
          </w:tcPr>
          <w:p>
            <w:pPr>
              <w:jc w:val="right"/>
              <w:ind w:right="130"/>
              <w:spacing w:after="0"/>
              <w:rPr>
                <w:sz w:val="20"/>
                <w:szCs w:val="20"/>
                <w:color w:val="auto"/>
              </w:rPr>
            </w:pPr>
            <w:r>
              <w:rPr>
                <w:rFonts w:ascii="Arial" w:cs="Arial" w:eastAsia="Arial" w:hAnsi="Arial"/>
                <w:sz w:val="18"/>
                <w:szCs w:val="18"/>
                <w:color w:val="auto"/>
                <w:w w:val="92"/>
              </w:rPr>
              <w:t>December 31, 2018</w:t>
            </w:r>
          </w:p>
        </w:tc>
      </w:tr>
      <w:tr>
        <w:trPr>
          <w:trHeight w:val="27"/>
        </w:trPr>
        <w:tc>
          <w:tcPr>
            <w:tcW w:w="54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6"/>
              </w:rPr>
              <w:t>Restricted cash included in prepaid expenses and other current assets</w:t>
            </w:r>
          </w:p>
        </w:tc>
        <w:tc>
          <w:tcPr>
            <w:tcW w:w="15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7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5440" w:type="dxa"/>
            <w:vAlign w:val="bottom"/>
          </w:tcPr>
          <w:p>
            <w:pPr>
              <w:ind w:left="20"/>
              <w:spacing w:after="0"/>
              <w:rPr>
                <w:sz w:val="20"/>
                <w:szCs w:val="20"/>
                <w:color w:val="auto"/>
              </w:rPr>
            </w:pPr>
            <w:r>
              <w:rPr>
                <w:rFonts w:ascii="Arial" w:cs="Arial" w:eastAsia="Arial" w:hAnsi="Arial"/>
                <w:sz w:val="18"/>
                <w:szCs w:val="18"/>
                <w:color w:val="auto"/>
              </w:rPr>
              <w:t>Restricted cash included in other non-current assets</w:t>
            </w:r>
          </w:p>
        </w:tc>
        <w:tc>
          <w:tcPr>
            <w:tcW w:w="156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7</w:t>
            </w: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7"/>
        </w:trPr>
        <w:tc>
          <w:tcPr>
            <w:tcW w:w="544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69"/>
        </w:trPr>
        <w:tc>
          <w:tcPr>
            <w:tcW w:w="5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restricted cash</w:t>
            </w:r>
          </w:p>
        </w:tc>
        <w:tc>
          <w:tcPr>
            <w:tcW w:w="1560" w:type="dxa"/>
            <w:vAlign w:val="bottom"/>
            <w:tcBorders>
              <w:bottom w:val="single" w:sz="8" w:color="CCEEFF"/>
            </w:tcBorders>
            <w:shd w:val="clear" w:color="auto" w:fill="CCEEFF"/>
          </w:tcPr>
          <w:p>
            <w:pPr>
              <w:jc w:val="right"/>
              <w:ind w:right="135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7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7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Amounts included in restricted cash primarily represent amounts required to be segregated by certain of the Company's receivables securitization agreements.</w:t>
      </w:r>
    </w:p>
    <w:p>
      <w:pPr>
        <w:spacing w:after="0" w:line="383" w:lineRule="exact"/>
        <w:rPr>
          <w:sz w:val="20"/>
          <w:szCs w:val="20"/>
          <w:color w:val="auto"/>
        </w:rPr>
      </w:pPr>
    </w:p>
    <w:p>
      <w:pPr>
        <w:ind w:left="300" w:hanging="292"/>
        <w:spacing w:after="0"/>
        <w:tabs>
          <w:tab w:leader="none" w:pos="3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Intangible Assets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Gross carrying amounts and accumulated amortization of finite-lived intangible assets by major class were as follows:</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80" w:type="dxa"/>
            <w:vAlign w:val="bottom"/>
            <w:gridSpan w:val="3"/>
          </w:tcPr>
          <w:p>
            <w:pPr>
              <w:jc w:val="center"/>
              <w:ind w:right="240"/>
              <w:spacing w:after="0"/>
              <w:rPr>
                <w:sz w:val="20"/>
                <w:szCs w:val="20"/>
                <w:color w:val="auto"/>
              </w:rPr>
            </w:pPr>
            <w:r>
              <w:rPr>
                <w:rFonts w:ascii="Arial" w:cs="Arial" w:eastAsia="Arial" w:hAnsi="Arial"/>
                <w:sz w:val="18"/>
                <w:szCs w:val="18"/>
                <w:color w:val="auto"/>
                <w:w w:val="91"/>
              </w:rPr>
              <w:t>March 31, 2019</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color w:val="auto"/>
              </w:rPr>
              <w:t>December 31, 2018</w:t>
            </w:r>
          </w:p>
        </w:tc>
        <w:tc>
          <w:tcPr>
            <w:tcW w:w="200" w:type="dxa"/>
            <w:vAlign w:val="bottom"/>
          </w:tcPr>
          <w:p>
            <w:pPr>
              <w:spacing w:after="0"/>
              <w:rPr>
                <w:sz w:val="20"/>
                <w:szCs w:val="20"/>
                <w:color w:val="auto"/>
              </w:rPr>
            </w:pPr>
          </w:p>
        </w:tc>
        <w:tc>
          <w:tcPr>
            <w:tcW w:w="640" w:type="dxa"/>
            <w:vAlign w:val="bottom"/>
          </w:tcPr>
          <w:p>
            <w:pPr>
              <w:spacing w:after="0"/>
              <w:rPr>
                <w:sz w:val="20"/>
                <w:szCs w:val="20"/>
                <w:color w:val="auto"/>
              </w:rPr>
            </w:pPr>
          </w:p>
        </w:tc>
      </w:tr>
      <w:tr>
        <w:trPr>
          <w:trHeight w:val="27"/>
        </w:trPr>
        <w:tc>
          <w:tcPr>
            <w:tcW w:w="3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22"/>
        </w:trPr>
        <w:tc>
          <w:tcPr>
            <w:tcW w:w="30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6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Accumulated</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0"/>
        </w:trPr>
        <w:tc>
          <w:tcPr>
            <w:tcW w:w="30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gridSpan w:val="2"/>
          </w:tcPr>
          <w:p>
            <w:pPr>
              <w:ind w:left="60"/>
              <w:spacing w:after="0"/>
              <w:rPr>
                <w:sz w:val="20"/>
                <w:szCs w:val="20"/>
                <w:color w:val="auto"/>
              </w:rPr>
            </w:pPr>
            <w:r>
              <w:rPr>
                <w:rFonts w:ascii="Arial" w:cs="Arial" w:eastAsia="Arial" w:hAnsi="Arial"/>
                <w:sz w:val="18"/>
                <w:szCs w:val="18"/>
                <w:color w:val="auto"/>
              </w:rPr>
              <w:t>Gross</w:t>
            </w:r>
          </w:p>
        </w:tc>
        <w:tc>
          <w:tcPr>
            <w:tcW w:w="16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color w:val="auto"/>
                <w:w w:val="91"/>
              </w:rPr>
              <w:t>amortization</w:t>
            </w:r>
          </w:p>
        </w:tc>
        <w:tc>
          <w:tcPr>
            <w:tcW w:w="200" w:type="dxa"/>
            <w:vAlign w:val="bottom"/>
          </w:tcPr>
          <w:p>
            <w:pPr>
              <w:spacing w:after="0"/>
              <w:rPr>
                <w:sz w:val="20"/>
                <w:szCs w:val="20"/>
                <w:color w:val="auto"/>
              </w:rPr>
            </w:pPr>
          </w:p>
        </w:tc>
        <w:tc>
          <w:tcPr>
            <w:tcW w:w="1060" w:type="dxa"/>
            <w:vAlign w:val="bottom"/>
            <w:gridSpan w:val="2"/>
          </w:tcPr>
          <w:p>
            <w:pPr>
              <w:ind w:left="80"/>
              <w:spacing w:after="0"/>
              <w:rPr>
                <w:sz w:val="20"/>
                <w:szCs w:val="20"/>
                <w:color w:val="auto"/>
              </w:rPr>
            </w:pPr>
            <w:r>
              <w:rPr>
                <w:rFonts w:ascii="Arial" w:cs="Arial" w:eastAsia="Arial" w:hAnsi="Arial"/>
                <w:sz w:val="18"/>
                <w:szCs w:val="18"/>
                <w:color w:val="auto"/>
              </w:rPr>
              <w:t>Net</w:t>
            </w:r>
          </w:p>
        </w:tc>
        <w:tc>
          <w:tcPr>
            <w:tcW w:w="160" w:type="dxa"/>
            <w:vAlign w:val="bottom"/>
          </w:tcPr>
          <w:p>
            <w:pPr>
              <w:spacing w:after="0"/>
              <w:rPr>
                <w:sz w:val="20"/>
                <w:szCs w:val="20"/>
                <w:color w:val="auto"/>
              </w:rPr>
            </w:pPr>
          </w:p>
        </w:tc>
        <w:tc>
          <w:tcPr>
            <w:tcW w:w="780" w:type="dxa"/>
            <w:vAlign w:val="bottom"/>
            <w:gridSpan w:val="2"/>
          </w:tcPr>
          <w:p>
            <w:pPr>
              <w:ind w:left="40"/>
              <w:spacing w:after="0"/>
              <w:rPr>
                <w:sz w:val="20"/>
                <w:szCs w:val="20"/>
                <w:color w:val="auto"/>
              </w:rPr>
            </w:pPr>
            <w:r>
              <w:rPr>
                <w:rFonts w:ascii="Arial" w:cs="Arial" w:eastAsia="Arial" w:hAnsi="Arial"/>
                <w:sz w:val="18"/>
                <w:szCs w:val="18"/>
                <w:color w:val="auto"/>
              </w:rPr>
              <w:t>Gross</w:t>
            </w:r>
          </w:p>
        </w:tc>
        <w:tc>
          <w:tcPr>
            <w:tcW w:w="120" w:type="dxa"/>
            <w:vAlign w:val="bottom"/>
          </w:tcPr>
          <w:p>
            <w:pPr>
              <w:spacing w:after="0"/>
              <w:rPr>
                <w:sz w:val="20"/>
                <w:szCs w:val="20"/>
                <w:color w:val="auto"/>
              </w:rPr>
            </w:pPr>
          </w:p>
        </w:tc>
        <w:tc>
          <w:tcPr>
            <w:tcW w:w="1660" w:type="dxa"/>
            <w:vAlign w:val="bottom"/>
            <w:gridSpan w:val="2"/>
          </w:tcPr>
          <w:p>
            <w:pPr>
              <w:jc w:val="center"/>
              <w:ind w:right="320"/>
              <w:spacing w:after="0"/>
              <w:rPr>
                <w:sz w:val="20"/>
                <w:szCs w:val="20"/>
                <w:color w:val="auto"/>
              </w:rPr>
            </w:pPr>
            <w:r>
              <w:rPr>
                <w:rFonts w:ascii="Arial" w:cs="Arial" w:eastAsia="Arial" w:hAnsi="Arial"/>
                <w:sz w:val="18"/>
                <w:szCs w:val="18"/>
                <w:color w:val="auto"/>
                <w:w w:val="91"/>
              </w:rPr>
              <w:t>amortization</w:t>
            </w:r>
          </w:p>
        </w:tc>
        <w:tc>
          <w:tcPr>
            <w:tcW w:w="200" w:type="dxa"/>
            <w:vAlign w:val="bottom"/>
          </w:tcPr>
          <w:p>
            <w:pPr>
              <w:spacing w:after="0"/>
              <w:rPr>
                <w:sz w:val="20"/>
                <w:szCs w:val="20"/>
                <w:color w:val="auto"/>
              </w:rPr>
            </w:pPr>
          </w:p>
        </w:tc>
        <w:tc>
          <w:tcPr>
            <w:tcW w:w="640" w:type="dxa"/>
            <w:vAlign w:val="bottom"/>
          </w:tcPr>
          <w:p>
            <w:pPr>
              <w:jc w:val="right"/>
              <w:ind w:right="210"/>
              <w:spacing w:after="0"/>
              <w:rPr>
                <w:sz w:val="20"/>
                <w:szCs w:val="20"/>
                <w:color w:val="auto"/>
              </w:rPr>
            </w:pPr>
            <w:r>
              <w:rPr>
                <w:rFonts w:ascii="Arial" w:cs="Arial" w:eastAsia="Arial" w:hAnsi="Arial"/>
                <w:sz w:val="18"/>
                <w:szCs w:val="18"/>
                <w:color w:val="auto"/>
              </w:rPr>
              <w:t>Net</w:t>
            </w:r>
          </w:p>
        </w:tc>
      </w:tr>
      <w:tr>
        <w:trPr>
          <w:trHeight w:val="27"/>
        </w:trPr>
        <w:tc>
          <w:tcPr>
            <w:tcW w:w="30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44"/>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1,607</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1,371</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1,409</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Trade names</w:t>
            </w:r>
          </w:p>
        </w:tc>
        <w:tc>
          <w:tcPr>
            <w:tcW w:w="16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541</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518</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530</w:t>
            </w:r>
          </w:p>
        </w:tc>
      </w:tr>
      <w:tr>
        <w:trPr>
          <w:trHeight w:val="27"/>
        </w:trPr>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5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Technology</w:t>
            </w: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w:t>
            </w:r>
          </w:p>
        </w:tc>
        <w:tc>
          <w:tcPr>
            <w:tcW w:w="2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w:t>
            </w:r>
          </w:p>
        </w:tc>
        <w:tc>
          <w:tcPr>
            <w:tcW w:w="4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w:t>
            </w:r>
          </w:p>
        </w:tc>
      </w:tr>
      <w:tr>
        <w:trPr>
          <w:trHeight w:val="243"/>
        </w:trPr>
        <w:tc>
          <w:tcPr>
            <w:tcW w:w="3080" w:type="dxa"/>
            <w:vAlign w:val="bottom"/>
          </w:tcPr>
          <w:p>
            <w:pPr>
              <w:ind w:left="40"/>
              <w:spacing w:after="0"/>
              <w:rPr>
                <w:sz w:val="20"/>
                <w:szCs w:val="20"/>
                <w:color w:val="auto"/>
              </w:rPr>
            </w:pPr>
            <w:r>
              <w:rPr>
                <w:rFonts w:ascii="Arial" w:cs="Arial" w:eastAsia="Arial" w:hAnsi="Arial"/>
                <w:sz w:val="18"/>
                <w:szCs w:val="18"/>
                <w:color w:val="auto"/>
              </w:rPr>
              <w:t>Long term supply contracts</w:t>
            </w:r>
          </w:p>
        </w:tc>
        <w:tc>
          <w:tcPr>
            <w:tcW w:w="160" w:type="dxa"/>
            <w:vAlign w:val="bottom"/>
          </w:tcPr>
          <w:p>
            <w:pPr>
              <w:spacing w:after="0"/>
              <w:rPr>
                <w:sz w:val="21"/>
                <w:szCs w:val="21"/>
                <w:color w:val="auto"/>
              </w:rPr>
            </w:pPr>
          </w:p>
        </w:tc>
        <w:tc>
          <w:tcPr>
            <w:tcW w:w="720" w:type="dxa"/>
            <w:vAlign w:val="bottom"/>
          </w:tcPr>
          <w:p>
            <w:pPr>
              <w:jc w:val="right"/>
              <w:ind w:right="30"/>
              <w:spacing w:after="0"/>
              <w:rPr>
                <w:sz w:val="20"/>
                <w:szCs w:val="20"/>
                <w:color w:val="auto"/>
              </w:rPr>
            </w:pPr>
            <w:r>
              <w:rPr>
                <w:rFonts w:ascii="Arial" w:cs="Arial" w:eastAsia="Arial" w:hAnsi="Arial"/>
                <w:sz w:val="18"/>
                <w:szCs w:val="18"/>
                <w:color w:val="auto"/>
              </w:rPr>
              <w:t>146</w:t>
            </w:r>
          </w:p>
        </w:tc>
        <w:tc>
          <w:tcPr>
            <w:tcW w:w="2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106</w:t>
            </w:r>
          </w:p>
        </w:tc>
        <w:tc>
          <w:tcPr>
            <w:tcW w:w="4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(37)</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40" w:type="dxa"/>
            <w:vAlign w:val="bottom"/>
          </w:tcPr>
          <w:p>
            <w:pPr>
              <w:jc w:val="right"/>
              <w:ind w:right="10"/>
              <w:spacing w:after="0"/>
              <w:rPr>
                <w:sz w:val="20"/>
                <w:szCs w:val="20"/>
                <w:color w:val="auto"/>
              </w:rPr>
            </w:pPr>
            <w:r>
              <w:rPr>
                <w:rFonts w:ascii="Arial" w:cs="Arial" w:eastAsia="Arial" w:hAnsi="Arial"/>
                <w:sz w:val="18"/>
                <w:szCs w:val="18"/>
                <w:color w:val="auto"/>
              </w:rPr>
              <w:t>106</w:t>
            </w:r>
          </w:p>
        </w:tc>
      </w:tr>
      <w:tr>
        <w:trPr>
          <w:trHeight w:val="27"/>
        </w:trPr>
        <w:tc>
          <w:tcPr>
            <w:tcW w:w="3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70"/>
        </w:trPr>
        <w:tc>
          <w:tcPr>
            <w:tcW w:w="3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Patents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4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r>
      <w:tr>
        <w:trPr>
          <w:trHeight w:val="237"/>
        </w:trPr>
        <w:tc>
          <w:tcPr>
            <w:tcW w:w="30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2,466</w:t>
            </w:r>
          </w:p>
        </w:tc>
        <w:tc>
          <w:tcPr>
            <w:tcW w:w="2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(330)</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2,136</w:t>
            </w:r>
          </w:p>
        </w:tc>
        <w:tc>
          <w:tcPr>
            <w:tcW w:w="4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2,479</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2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6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2,193</w:t>
            </w:r>
          </w:p>
        </w:tc>
      </w:tr>
      <w:tr>
        <w:trPr>
          <w:trHeight w:val="27"/>
        </w:trPr>
        <w:tc>
          <w:tcPr>
            <w:tcW w:w="30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4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0"/>
        </w:trPr>
        <w:tc>
          <w:tcPr>
            <w:tcW w:w="30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Total amortization expense of intangible assets was $47 and $11 for the three months ended March 31, 2019 and 2018.</w:t>
      </w:r>
    </w:p>
    <w:p>
      <w:pPr>
        <w:spacing w:after="0" w:line="200" w:lineRule="exact"/>
        <w:rPr>
          <w:sz w:val="20"/>
          <w:szCs w:val="20"/>
          <w:color w:val="auto"/>
        </w:rPr>
      </w:pPr>
    </w:p>
    <w:p>
      <w:pPr>
        <w:spacing w:after="0" w:line="237"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Restructuring and Other</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recorded restructuring and other charges / (benefits)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120" w:type="dxa"/>
            <w:vAlign w:val="bottom"/>
            <w:gridSpan w:val="4"/>
          </w:tcPr>
          <w:p>
            <w:pPr>
              <w:jc w:val="right"/>
              <w:ind w:right="30"/>
              <w:spacing w:after="0"/>
              <w:rPr>
                <w:sz w:val="20"/>
                <w:szCs w:val="20"/>
                <w:color w:val="auto"/>
              </w:rPr>
            </w:pPr>
            <w:r>
              <w:rPr>
                <w:rFonts w:ascii="Arial" w:cs="Arial" w:eastAsia="Arial" w:hAnsi="Arial"/>
                <w:sz w:val="18"/>
                <w:szCs w:val="18"/>
                <w:color w:val="auto"/>
              </w:rPr>
              <w:t>Three Months Ended</w:t>
            </w:r>
          </w:p>
        </w:tc>
        <w:tc>
          <w:tcPr>
            <w:tcW w:w="320" w:type="dxa"/>
            <w:vAlign w:val="bottom"/>
          </w:tcPr>
          <w:p>
            <w:pPr>
              <w:spacing w:after="0"/>
              <w:rPr>
                <w:sz w:val="20"/>
                <w:szCs w:val="20"/>
                <w:color w:val="auto"/>
              </w:rPr>
            </w:pPr>
          </w:p>
        </w:tc>
      </w:tr>
      <w:tr>
        <w:trPr>
          <w:trHeight w:val="270"/>
        </w:trPr>
        <w:tc>
          <w:tcPr>
            <w:tcW w:w="4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1320" w:type="dxa"/>
            <w:vAlign w:val="bottom"/>
            <w:gridSpan w:val="3"/>
          </w:tcPr>
          <w:p>
            <w:pPr>
              <w:jc w:val="right"/>
              <w:ind w:right="430"/>
              <w:spacing w:after="0"/>
              <w:rPr>
                <w:sz w:val="20"/>
                <w:szCs w:val="20"/>
                <w:color w:val="auto"/>
              </w:rPr>
            </w:pPr>
            <w:r>
              <w:rPr>
                <w:rFonts w:ascii="Arial" w:cs="Arial" w:eastAsia="Arial" w:hAnsi="Arial"/>
                <w:sz w:val="18"/>
                <w:szCs w:val="18"/>
                <w:color w:val="auto"/>
                <w:w w:val="97"/>
              </w:rPr>
              <w:t>March 31,</w:t>
            </w:r>
          </w:p>
        </w:tc>
        <w:tc>
          <w:tcPr>
            <w:tcW w:w="32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2019</w:t>
            </w:r>
          </w:p>
        </w:tc>
        <w:tc>
          <w:tcPr>
            <w:tcW w:w="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2018</w:t>
            </w:r>
          </w:p>
        </w:tc>
        <w:tc>
          <w:tcPr>
            <w:tcW w:w="32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Asset impairments and sales</w:t>
            </w: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Restructuring</w:t>
            </w:r>
          </w:p>
        </w:tc>
        <w:tc>
          <w:tcPr>
            <w:tcW w:w="800" w:type="dxa"/>
            <w:vAlign w:val="bottom"/>
          </w:tcPr>
          <w:p>
            <w:pPr>
              <w:spacing w:after="0"/>
              <w:rPr>
                <w:sz w:val="21"/>
                <w:szCs w:val="21"/>
                <w:color w:val="auto"/>
              </w:rPr>
            </w:pPr>
          </w:p>
        </w:tc>
        <w:tc>
          <w:tcPr>
            <w:tcW w:w="3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
        </w:trPr>
        <w:tc>
          <w:tcPr>
            <w:tcW w:w="47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780" w:type="dxa"/>
            <w:vAlign w:val="bottom"/>
          </w:tcPr>
          <w:p>
            <w:pPr>
              <w:spacing w:after="0"/>
              <w:rPr>
                <w:sz w:val="2"/>
                <w:szCs w:val="2"/>
                <w:color w:val="auto"/>
              </w:rPr>
            </w:pPr>
          </w:p>
        </w:tc>
        <w:tc>
          <w:tcPr>
            <w:tcW w:w="320" w:type="dxa"/>
            <w:vAlign w:val="bottom"/>
          </w:tcPr>
          <w:p>
            <w:pPr>
              <w:spacing w:after="0"/>
              <w:rPr>
                <w:sz w:val="2"/>
                <w:szCs w:val="2"/>
                <w:color w:val="auto"/>
              </w:rPr>
            </w:pPr>
          </w:p>
        </w:tc>
      </w:tr>
      <w:tr>
        <w:trPr>
          <w:trHeight w:val="25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Transaction costs</w:t>
            </w:r>
          </w:p>
        </w:tc>
        <w:tc>
          <w:tcPr>
            <w:tcW w:w="8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80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c>
          <w:tcPr>
            <w:tcW w:w="2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47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r>
      <w:tr>
        <w:trPr>
          <w:trHeight w:val="269"/>
        </w:trPr>
        <w:tc>
          <w:tcPr>
            <w:tcW w:w="47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21" w:right="239" w:bottom="1440" w:gutter="0" w:footer="0" w:header="0"/>
          <w:type w:val="continuous"/>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For the three months ended March 31, 2019, asset impairments and sales included an impairment charge of $6 related to a fire at a production facility in Asia and restructuring included a charge of $8 related to headcount reductions across the Company's European Division.</w:t>
      </w:r>
    </w:p>
    <w:p>
      <w:pPr>
        <w:spacing w:after="0" w:line="147"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Other income related to a favorable court ruling in a lawsuit brought by one of the Company's Brazilian subsidiaries claiming it was overcharged by the local tax authorities for indirect taxes paid in prior years. Certain other Brazilian subsidiaries of the Company have similar suits pending in other jurisdictions.</w:t>
      </w:r>
    </w:p>
    <w:p>
      <w:pPr>
        <w:spacing w:after="0" w:line="18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At March 31, 2019, the Company had restructuring accruals of $25, primarily related to current and prior year actions to reduce manufacturing capacity and headcount in its European businesses. The Company expects to pay these amounts over the next twelve months. The Company continues to review its supply and demand profile and long-term plans in its businesses, and it is possible that the Company may record additional restructuring charges in the future.</w:t>
      </w:r>
    </w:p>
    <w:p>
      <w:pPr>
        <w:spacing w:after="0" w:line="399" w:lineRule="exact"/>
        <w:rPr>
          <w:sz w:val="20"/>
          <w:szCs w:val="20"/>
          <w:color w:val="auto"/>
        </w:rPr>
      </w:pPr>
    </w:p>
    <w:p>
      <w:pPr>
        <w:ind w:left="660" w:hanging="652"/>
        <w:spacing w:after="0"/>
        <w:tabs>
          <w:tab w:leader="none" w:pos="66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Asbestos-Related Liabilities</w:t>
      </w:r>
    </w:p>
    <w:p>
      <w:pPr>
        <w:spacing w:after="0" w:line="229" w:lineRule="exact"/>
        <w:rPr>
          <w:rFonts w:ascii="Arial" w:cs="Arial" w:eastAsia="Arial" w:hAnsi="Arial"/>
          <w:sz w:val="18"/>
          <w:szCs w:val="18"/>
          <w:b w:val="1"/>
          <w:bCs w:val="1"/>
          <w:color w:val="auto"/>
        </w:rPr>
      </w:pPr>
    </w:p>
    <w:p>
      <w:pPr>
        <w:jc w:val="both"/>
        <w:ind w:left="660"/>
        <w:spacing w:after="0" w:line="259" w:lineRule="auto"/>
        <w:rPr>
          <w:rFonts w:ascii="Arial" w:cs="Arial" w:eastAsia="Arial" w:hAnsi="Arial"/>
          <w:sz w:val="18"/>
          <w:szCs w:val="18"/>
          <w:b w:val="1"/>
          <w:bCs w:val="1"/>
          <w:color w:val="auto"/>
        </w:rPr>
      </w:pPr>
      <w:r>
        <w:rPr>
          <w:rFonts w:ascii="Arial" w:cs="Arial" w:eastAsia="Arial" w:hAnsi="Arial"/>
          <w:sz w:val="18"/>
          <w:szCs w:val="18"/>
          <w:color w:val="auto"/>
        </w:rPr>
        <w:t>Crown Cork &amp; Seal Company, Inc. (“Crown Cork”) is one of many defendants in a substantial number of lawsuits filed throughout the U.S. by persons alleging bodily injury as a result of exposure to asbestos. These claims arose from the insulation operations of a U.S. company, the majority of whose stock Crown Cork purchased in 1963. Approximately ninety days after the stock purchase, this U.S. company sold its insulation assets and was later merged into Crown Cork.</w:t>
      </w:r>
    </w:p>
    <w:p>
      <w:pPr>
        <w:spacing w:after="0" w:line="186"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Prior to 1998, amounts paid to asbestos claimants were covered by a fund made available to Crown Cork under a 1985 settlement with carriers insuring Crown Cork through 1976, when Crown Cork became self-insured. The fund was depleted in 1998 and the Company has no remaining coverage for asbestos-related costs.</w:t>
      </w:r>
    </w:p>
    <w:p>
      <w:pPr>
        <w:spacing w:after="0" w:line="181"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December 2001, the Commonwealth of Pennsylvania enacted legislation that limits the asbestos-related liabilities of Pennsylvania corporations that are successors by corporate merger to companies involved with asbestos. The legislation limits the successor’s liability for asbestos to the acquired company’s asset value adjusted for inflation. Crown Cork has paid significantly more for asbestos-related claims than the acquired company’s adjusted asset value. In November 2004, the legislation was amended to address a Pennsylvania Supreme Court decision (Ieropoli v. AC&amp;S Corporation, et. al., No. 117 EM 2002) which held that the statute violated the Pennsylvania Constitution due to retroactive application. The Company cautions that the limitations of the statute, as amended, are subject to litigation and may not be upheld.</w:t>
      </w:r>
    </w:p>
    <w:p>
      <w:pPr>
        <w:spacing w:after="0" w:line="178" w:lineRule="exact"/>
        <w:rPr>
          <w:rFonts w:ascii="Arial" w:cs="Arial" w:eastAsia="Arial" w:hAnsi="Arial"/>
          <w:sz w:val="18"/>
          <w:szCs w:val="18"/>
          <w:b w:val="1"/>
          <w:bCs w:val="1"/>
          <w:color w:val="auto"/>
        </w:rPr>
      </w:pPr>
    </w:p>
    <w:p>
      <w:pPr>
        <w:jc w:val="both"/>
        <w:ind w:left="660"/>
        <w:spacing w:after="0" w:line="302" w:lineRule="auto"/>
        <w:rPr>
          <w:rFonts w:ascii="Arial" w:cs="Arial" w:eastAsia="Arial" w:hAnsi="Arial"/>
          <w:sz w:val="18"/>
          <w:szCs w:val="18"/>
          <w:b w:val="1"/>
          <w:bCs w:val="1"/>
          <w:color w:val="auto"/>
        </w:rPr>
      </w:pPr>
      <w:r>
        <w:rPr>
          <w:rFonts w:ascii="Arial" w:cs="Arial" w:eastAsia="Arial" w:hAnsi="Arial"/>
          <w:sz w:val="16"/>
          <w:szCs w:val="16"/>
          <w:color w:val="auto"/>
        </w:rPr>
        <w:t>In June 2003, the state of Texas enacted legislation that limits the asbestos-related liabilities in Texas courts of companies such as Crown Cork that allegedly incurred these liabilities because they are successors by corporate merger to companies that had been involved with asbestos. The Texas legislation, which applies to future claims and pending claims, caps asbestos-related liabilities at the total gross value of the predecessor’s assets adjusted for inflation. Crown Cork has paid significantly more for asbestos-related claims than the total adjusted value of its predecessor’s assets.</w:t>
      </w:r>
    </w:p>
    <w:p>
      <w:pPr>
        <w:spacing w:after="0" w:line="154"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In October 2010, the Texas Supreme Court held that the Texas legislation was unconstitutional under the Texas Constitution when applied to asbestos-related claims pending against Crown Cork when the legislation was enacted in June 2003. The Company believes that the decision of the Texas Supreme Court is limited to retroactive application of the Texas legislation to asbestos-related cases that were pending against Crown Cork in Texas on June 11, 2003 and therefore, in its accrual, continues to assign no value to claims filed after June 11, 2003.</w:t>
      </w:r>
    </w:p>
    <w:p>
      <w:pPr>
        <w:spacing w:after="0" w:line="171" w:lineRule="exact"/>
        <w:rPr>
          <w:rFonts w:ascii="Arial" w:cs="Arial" w:eastAsia="Arial" w:hAnsi="Arial"/>
          <w:sz w:val="18"/>
          <w:szCs w:val="18"/>
          <w:b w:val="1"/>
          <w:bCs w:val="1"/>
          <w:color w:val="auto"/>
        </w:rPr>
      </w:pPr>
    </w:p>
    <w:p>
      <w:pPr>
        <w:jc w:val="both"/>
        <w:ind w:left="660"/>
        <w:spacing w:after="0" w:line="291" w:lineRule="auto"/>
        <w:rPr>
          <w:rFonts w:ascii="Arial" w:cs="Arial" w:eastAsia="Arial" w:hAnsi="Arial"/>
          <w:sz w:val="18"/>
          <w:szCs w:val="18"/>
          <w:b w:val="1"/>
          <w:bCs w:val="1"/>
          <w:color w:val="auto"/>
        </w:rPr>
      </w:pPr>
      <w:r>
        <w:rPr>
          <w:rFonts w:ascii="Arial" w:cs="Arial" w:eastAsia="Arial" w:hAnsi="Arial"/>
          <w:sz w:val="16"/>
          <w:szCs w:val="16"/>
          <w:color w:val="auto"/>
        </w:rPr>
        <w:t>In recent years, the states of Alabama, Arizona, Arkansas, Florida, Georgia, Idaho, Indiana, Iowa, Kansas, Michigan, Mississippi, Nebraska, North Carolina, North Dakota, Ohio, Oklahoma, South Carolina, South Dakota, Tennessee, Utah, West Virginia, Wisconsin and Wyoming enacted legislation that limits asbestos-related liabilities under state law of companies such as Crown Cork that allegedly incurred these liabilities because they are successors by corporate merger to companies that had been involved with asbestos. The legislation, which applies to future and, with the exception of Arkansas, Georgia, South Carolina, South Dakota, West Virginia and Wyoming, pending claims, caps asbestos-related liabilities at the fair market value of the predecessor's total gross assets adjusted for inflation. Crown Cork has paid significantly more for asbestos-related claims than the total value of its predecessor's assets adjusted for inflation. Crown Cork has integrated the legislation into its claims defense strategy.</w:t>
      </w:r>
    </w:p>
    <w:p>
      <w:pPr>
        <w:spacing w:after="0" w:line="167" w:lineRule="exact"/>
        <w:rPr>
          <w:rFonts w:ascii="Arial" w:cs="Arial" w:eastAsia="Arial" w:hAnsi="Arial"/>
          <w:sz w:val="18"/>
          <w:szCs w:val="18"/>
          <w:b w:val="1"/>
          <w:bCs w:val="1"/>
          <w:color w:val="auto"/>
        </w:rPr>
      </w:pPr>
    </w:p>
    <w:p>
      <w:pPr>
        <w:ind w:left="660"/>
        <w:spacing w:after="0" w:line="308" w:lineRule="auto"/>
        <w:rPr>
          <w:rFonts w:ascii="Arial" w:cs="Arial" w:eastAsia="Arial" w:hAnsi="Arial"/>
          <w:sz w:val="18"/>
          <w:szCs w:val="18"/>
          <w:b w:val="1"/>
          <w:bCs w:val="1"/>
          <w:color w:val="auto"/>
        </w:rPr>
      </w:pPr>
      <w:r>
        <w:rPr>
          <w:rFonts w:ascii="Arial" w:cs="Arial" w:eastAsia="Arial" w:hAnsi="Arial"/>
          <w:sz w:val="17"/>
          <w:szCs w:val="17"/>
          <w:color w:val="auto"/>
        </w:rPr>
        <w:t>The Company further cautions that an adverse ruling in any litigation relating to the constitutionality or applicability to Crown Cork of one or more statutes that limits the asbestos-related liability of alleged defendants like Crown Cork could have a material impact on the Company.</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121" w:right="239" w:bottom="1440" w:gutter="0" w:footer="0" w:header="0"/>
        </w:sectPr>
      </w:pPr>
    </w:p>
    <w:bookmarkStart w:id="12" w:name="page13"/>
    <w:bookmarkEnd w:id="12"/>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March 31, 2019, the Company paid $1 to settle outstanding claims and had claims activity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Beginning claims</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56,000</w:t>
            </w:r>
          </w:p>
        </w:tc>
      </w:tr>
      <w:tr>
        <w:trPr>
          <w:trHeight w:val="243"/>
        </w:trPr>
        <w:tc>
          <w:tcPr>
            <w:tcW w:w="8540" w:type="dxa"/>
            <w:vAlign w:val="bottom"/>
          </w:tcPr>
          <w:p>
            <w:pPr>
              <w:ind w:left="20"/>
              <w:spacing w:after="0"/>
              <w:rPr>
                <w:sz w:val="20"/>
                <w:szCs w:val="20"/>
                <w:color w:val="auto"/>
              </w:rPr>
            </w:pPr>
            <w:r>
              <w:rPr>
                <w:rFonts w:ascii="Arial" w:cs="Arial" w:eastAsia="Arial" w:hAnsi="Arial"/>
                <w:sz w:val="18"/>
                <w:szCs w:val="18"/>
                <w:color w:val="auto"/>
              </w:rPr>
              <w:t>New claims</w:t>
            </w:r>
          </w:p>
        </w:tc>
        <w:tc>
          <w:tcPr>
            <w:tcW w:w="136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7"/>
        </w:trPr>
        <w:tc>
          <w:tcPr>
            <w:tcW w:w="8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70"/>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 or dismissals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r>
      <w:tr>
        <w:trPr>
          <w:trHeight w:val="237"/>
        </w:trPr>
        <w:tc>
          <w:tcPr>
            <w:tcW w:w="8540" w:type="dxa"/>
            <w:vAlign w:val="bottom"/>
          </w:tcPr>
          <w:p>
            <w:pPr>
              <w:ind w:left="20"/>
              <w:spacing w:after="0"/>
              <w:rPr>
                <w:sz w:val="20"/>
                <w:szCs w:val="20"/>
                <w:color w:val="auto"/>
              </w:rPr>
            </w:pPr>
            <w:r>
              <w:rPr>
                <w:rFonts w:ascii="Arial" w:cs="Arial" w:eastAsia="Arial" w:hAnsi="Arial"/>
                <w:sz w:val="18"/>
                <w:szCs w:val="18"/>
                <w:color w:val="auto"/>
              </w:rPr>
              <w:t>Ending claims</w:t>
            </w: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56,000</w:t>
            </w:r>
          </w:p>
        </w:tc>
      </w:tr>
      <w:tr>
        <w:trPr>
          <w:trHeight w:val="27"/>
        </w:trPr>
        <w:tc>
          <w:tcPr>
            <w:tcW w:w="854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0"/>
        </w:trPr>
        <w:tc>
          <w:tcPr>
            <w:tcW w:w="854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the fourth quarter of each year, the Company performs an analysis of outstanding claims and categorizes these claims by year of exposure and state filed. As of December 31, 2018, the Company's outstanding claims were:</w:t>
      </w: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8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Claimants alleging first exposure after 1964</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16,500</w:t>
            </w:r>
          </w:p>
        </w:tc>
      </w:tr>
      <w:tr>
        <w:trPr>
          <w:trHeight w:val="243"/>
        </w:trPr>
        <w:tc>
          <w:tcPr>
            <w:tcW w:w="8540" w:type="dxa"/>
            <w:vAlign w:val="bottom"/>
          </w:tcPr>
          <w:p>
            <w:pPr>
              <w:ind w:left="20"/>
              <w:spacing w:after="0"/>
              <w:rPr>
                <w:sz w:val="20"/>
                <w:szCs w:val="20"/>
                <w:color w:val="auto"/>
              </w:rPr>
            </w:pPr>
            <w:r>
              <w:rPr>
                <w:rFonts w:ascii="Arial" w:cs="Arial" w:eastAsia="Arial" w:hAnsi="Arial"/>
                <w:sz w:val="18"/>
                <w:szCs w:val="18"/>
                <w:color w:val="auto"/>
              </w:rPr>
              <w:t>Claimants alleging first exposure before or during 1964 filed in:</w:t>
            </w:r>
          </w:p>
        </w:tc>
        <w:tc>
          <w:tcPr>
            <w:tcW w:w="1360" w:type="dxa"/>
            <w:vAlign w:val="bottom"/>
          </w:tcPr>
          <w:p>
            <w:pPr>
              <w:spacing w:after="0"/>
              <w:rPr>
                <w:sz w:val="21"/>
                <w:szCs w:val="21"/>
                <w:color w:val="auto"/>
              </w:rPr>
            </w:pPr>
          </w:p>
        </w:tc>
      </w:tr>
      <w:tr>
        <w:trPr>
          <w:trHeight w:val="27"/>
        </w:trPr>
        <w:tc>
          <w:tcPr>
            <w:tcW w:w="8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Texas</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13,000</w:t>
            </w: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Pennsylvania</w:t>
            </w:r>
          </w:p>
        </w:tc>
        <w:tc>
          <w:tcPr>
            <w:tcW w:w="1360" w:type="dxa"/>
            <w:vAlign w:val="bottom"/>
          </w:tcPr>
          <w:p>
            <w:pPr>
              <w:jc w:val="right"/>
              <w:spacing w:after="0"/>
              <w:rPr>
                <w:sz w:val="20"/>
                <w:szCs w:val="20"/>
                <w:color w:val="auto"/>
              </w:rPr>
            </w:pPr>
            <w:r>
              <w:rPr>
                <w:rFonts w:ascii="Arial" w:cs="Arial" w:eastAsia="Arial" w:hAnsi="Arial"/>
                <w:sz w:val="18"/>
                <w:szCs w:val="18"/>
                <w:color w:val="auto"/>
              </w:rPr>
              <w:t>1,500</w:t>
            </w:r>
          </w:p>
        </w:tc>
      </w:tr>
      <w:tr>
        <w:trPr>
          <w:trHeight w:val="27"/>
        </w:trPr>
        <w:tc>
          <w:tcPr>
            <w:tcW w:w="854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8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states that have enacted asbestos legislation</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r>
      <w:tr>
        <w:trPr>
          <w:trHeight w:val="243"/>
        </w:trPr>
        <w:tc>
          <w:tcPr>
            <w:tcW w:w="8540" w:type="dxa"/>
            <w:vAlign w:val="bottom"/>
          </w:tcPr>
          <w:p>
            <w:pPr>
              <w:ind w:left="380"/>
              <w:spacing w:after="0"/>
              <w:rPr>
                <w:sz w:val="20"/>
                <w:szCs w:val="20"/>
                <w:color w:val="auto"/>
              </w:rPr>
            </w:pPr>
            <w:r>
              <w:rPr>
                <w:rFonts w:ascii="Arial" w:cs="Arial" w:eastAsia="Arial" w:hAnsi="Arial"/>
                <w:sz w:val="18"/>
                <w:szCs w:val="18"/>
                <w:color w:val="auto"/>
              </w:rPr>
              <w:t>Other states</w:t>
            </w:r>
          </w:p>
        </w:tc>
        <w:tc>
          <w:tcPr>
            <w:tcW w:w="1360" w:type="dxa"/>
            <w:vAlign w:val="bottom"/>
          </w:tcPr>
          <w:p>
            <w:pPr>
              <w:jc w:val="right"/>
              <w:spacing w:after="0"/>
              <w:rPr>
                <w:sz w:val="20"/>
                <w:szCs w:val="20"/>
                <w:color w:val="auto"/>
              </w:rPr>
            </w:pPr>
            <w:r>
              <w:rPr>
                <w:rFonts w:ascii="Arial" w:cs="Arial" w:eastAsia="Arial" w:hAnsi="Arial"/>
                <w:sz w:val="18"/>
                <w:szCs w:val="18"/>
                <w:color w:val="auto"/>
              </w:rPr>
              <w:t>19,000</w:t>
            </w:r>
          </w:p>
        </w:tc>
      </w:tr>
      <w:tr>
        <w:trPr>
          <w:trHeight w:val="27"/>
        </w:trPr>
        <w:tc>
          <w:tcPr>
            <w:tcW w:w="854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9"/>
        </w:trPr>
        <w:tc>
          <w:tcPr>
            <w:tcW w:w="8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 outstanding</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56,000</w:t>
            </w:r>
          </w:p>
        </w:tc>
      </w:tr>
      <w:tr>
        <w:trPr>
          <w:trHeight w:val="20"/>
        </w:trPr>
        <w:tc>
          <w:tcPr>
            <w:tcW w:w="85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outstanding claims in each period exclude approximately 19,000 inactive claims. Due to the passage of time, the Company considers it unlikely that the plaintiffs in these cases will pursue further action against the Company. The exclusion of these inactive claims had no effect on the calculation of the Company’s accrual as the claims were filed in states, as described above, where the Company’s liability is limited by statute.</w:t>
      </w:r>
    </w:p>
    <w:p>
      <w:pPr>
        <w:spacing w:after="0" w:line="14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With respect to claimants alleging first exposure to asbestos before or during 1964, the Company does not include in its accrual any amounts for settlements in states where the Company’s liability is limited by statute except for certain pending claims in Texas as described earlier.</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With respect to post-1964 claims, regardless of the existence of asbestos legislation, the Company does not include in its accrual any amounts for settlement of these claims because of increased difficulty of establishing identification of relevant insulation products as the cause of injury. Given the Company's settlement experience with post-1964 claims, it does not believe that an adverse ruling in the Texas or Pennsylvania asbestos litigation cases, or in any other state that has enacted asbestos legislation, would have a material impact on the Company with respect to such claims.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the percentage of outstanding claims related to claimants alleging serious diseases (primarily mesothelioma and other malignancies) were as follows: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2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2018</w:t>
            </w:r>
          </w:p>
        </w:tc>
        <w:tc>
          <w:tcPr>
            <w:tcW w:w="48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2017</w:t>
            </w:r>
          </w:p>
        </w:tc>
        <w:tc>
          <w:tcPr>
            <w:tcW w:w="480" w:type="dxa"/>
            <w:vAlign w:val="bottom"/>
          </w:tcPr>
          <w:p>
            <w:pPr>
              <w:spacing w:after="0"/>
              <w:rPr>
                <w:sz w:val="20"/>
                <w:szCs w:val="20"/>
                <w:color w:val="auto"/>
              </w:rPr>
            </w:pPr>
          </w:p>
        </w:tc>
        <w:tc>
          <w:tcPr>
            <w:tcW w:w="1160" w:type="dxa"/>
            <w:vAlign w:val="bottom"/>
          </w:tcPr>
          <w:p>
            <w:pPr>
              <w:jc w:val="right"/>
              <w:ind w:right="90"/>
              <w:spacing w:after="0"/>
              <w:rPr>
                <w:sz w:val="20"/>
                <w:szCs w:val="20"/>
                <w:color w:val="auto"/>
              </w:rPr>
            </w:pPr>
            <w:r>
              <w:rPr>
                <w:rFonts w:ascii="Arial" w:cs="Arial" w:eastAsia="Arial" w:hAnsi="Arial"/>
                <w:sz w:val="18"/>
                <w:szCs w:val="18"/>
                <w:color w:val="auto"/>
              </w:rPr>
              <w:t>2016</w:t>
            </w:r>
          </w:p>
        </w:tc>
      </w:tr>
      <w:tr>
        <w:trPr>
          <w:trHeight w:val="27"/>
        </w:trPr>
        <w:tc>
          <w:tcPr>
            <w:tcW w:w="542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4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claims</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Pre-1964 claims in states without asbestos legislation</w:t>
            </w: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c>
          <w:tcPr>
            <w:tcW w:w="4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41%</w:t>
            </w:r>
          </w:p>
        </w:tc>
      </w:tr>
    </w:tbl>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Crown Cork has entered into arrangements with plaintiffs’ counsel in certain jurisdictions with respect to claims which are not yet filed, or asserted, against it. However, Crown Cork expects claims under these arrangements to be filed or asserted against Crown Cork in the future. The projected value of these claims is included in the Company’s estimated liability as of March 31, 2019.</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2019, the Company’s accrual for pending and future asbestos-related claims and related legal costs was $292, including $244 for unasserted claims. The Company determines its accrual without limitation to a specific time period.</w:t>
      </w:r>
    </w:p>
    <w:p>
      <w:pPr>
        <w:spacing w:after="0" w:line="17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It is reasonably possible that the actual loss could be in excess of the Company’s accrual. However, the Company is unable to estimate the reasonably possible loss in excess of its accrual due to uncertainty in the following assumptions that underlie the Company’s accrual and the possibility of losses in excess of such accrual: the amount of damages sought by the claimant (which was not specified for approximately 81% of the claims outstanding at the end of 2018), the Company and claimant’s willingness to negotiate a settlement, the terms of settlements of other defendants with asbestos-related liabilities, the bankruptcy filings of other defendants (which may result in additional claims and higher settlements for non-bankrupt defendants), the nature of pending and future claims (including the seriousness of alleged disease,</w:t>
      </w:r>
    </w:p>
    <w:p>
      <w:pPr>
        <w:spacing w:after="0" w:line="20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0760"/>
          </w:cols>
          <w:pgMar w:left="900" w:top="12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whether claimants allege first exposure to asbestos before or during 1964 and the claimant’s ability to demonstrate the alleged link to Crown Cork), the volatility of the litigation environment, the defense strategies available to the Company, the level of future claims, the rate of receipt of claims, the jurisdiction in which claims are filed, and the effect of state asbestos legislation (including the validity and applicability of the Pennsylvania legislation to non-Pennsylvania jurisdictions, where the substantial majority of the Company’s asbestos cases are filed).</w:t>
      </w:r>
    </w:p>
    <w:p>
      <w:pPr>
        <w:spacing w:after="0" w:line="384" w:lineRule="exact"/>
        <w:rPr>
          <w:sz w:val="20"/>
          <w:szCs w:val="20"/>
          <w:color w:val="auto"/>
        </w:rPr>
      </w:pPr>
    </w:p>
    <w:p>
      <w:pPr>
        <w:ind w:left="660" w:hanging="652"/>
        <w:spacing w:after="0"/>
        <w:tabs>
          <w:tab w:leader="none" w:pos="66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Commitments and Contingent Liabilities</w:t>
      </w:r>
    </w:p>
    <w:p>
      <w:pPr>
        <w:spacing w:after="0" w:line="229"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The Company, along with others in most cases, has been identified by the EPA or a comparable state environmental agency as a Potentially Responsible Party (“PRP”) at a number of sites and has recorded aggregate accruals of $7 for its share of estimated future remediation costs at these sites. The Company has been identified as having either directly or indirectly disposed of commercial or industrial waste at the sites subject to the accrual, and where appropriate and supported by available information, generally has agreed to be responsible for a percentage of future remediation costs based on an estimated volume of materials disposed in proportion to the total materials disposed at each site. The Company has not had monetary sanctions imposed nor has the Company been notified of any potential monetary sanctions at any of the sites.</w:t>
      </w:r>
    </w:p>
    <w:p>
      <w:pPr>
        <w:spacing w:after="0" w:line="178" w:lineRule="exact"/>
        <w:rPr>
          <w:rFonts w:ascii="Arial" w:cs="Arial" w:eastAsia="Arial" w:hAnsi="Arial"/>
          <w:sz w:val="18"/>
          <w:szCs w:val="18"/>
          <w:b w:val="1"/>
          <w:bCs w:val="1"/>
          <w:color w:val="auto"/>
        </w:rPr>
      </w:pPr>
    </w:p>
    <w:p>
      <w:pPr>
        <w:ind w:left="660"/>
        <w:spacing w:after="0" w:line="258" w:lineRule="auto"/>
        <w:rPr>
          <w:rFonts w:ascii="Arial" w:cs="Arial" w:eastAsia="Arial" w:hAnsi="Arial"/>
          <w:sz w:val="18"/>
          <w:szCs w:val="18"/>
          <w:b w:val="1"/>
          <w:bCs w:val="1"/>
          <w:color w:val="auto"/>
        </w:rPr>
      </w:pPr>
      <w:r>
        <w:rPr>
          <w:rFonts w:ascii="Arial" w:cs="Arial" w:eastAsia="Arial" w:hAnsi="Arial"/>
          <w:sz w:val="18"/>
          <w:szCs w:val="18"/>
          <w:color w:val="auto"/>
        </w:rPr>
        <w:t>The Company has also recorded aggregate accruals of $8 for remediation activities at various worldwide locations that are owned by the Company and for which the Company is not a member of a PRP group. Although the Company believes</w:t>
      </w:r>
    </w:p>
    <w:p>
      <w:pPr>
        <w:spacing w:after="0" w:line="1" w:lineRule="exact"/>
        <w:rPr>
          <w:rFonts w:ascii="Arial" w:cs="Arial" w:eastAsia="Arial" w:hAnsi="Arial"/>
          <w:sz w:val="18"/>
          <w:szCs w:val="18"/>
          <w:b w:val="1"/>
          <w:bCs w:val="1"/>
          <w:color w:val="auto"/>
        </w:rPr>
      </w:pPr>
    </w:p>
    <w:p>
      <w:pPr>
        <w:jc w:val="both"/>
        <w:ind w:left="660"/>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its accruals are adequate to cover its portion of future remediation costs, there can be no assurance that the ultimate payments will not exceed the amount of the Company’s accruals and will not have a material effect on its results of operations, financial position and cash flow. Any possible loss or range of potential loss that may be incurred in excess of the recorded accruals cannot be estimated.</w:t>
      </w:r>
    </w:p>
    <w:p>
      <w:pPr>
        <w:spacing w:after="0" w:line="190" w:lineRule="exact"/>
        <w:rPr>
          <w:rFonts w:ascii="Arial" w:cs="Arial" w:eastAsia="Arial" w:hAnsi="Arial"/>
          <w:sz w:val="18"/>
          <w:szCs w:val="18"/>
          <w:b w:val="1"/>
          <w:bCs w:val="1"/>
          <w:color w:val="auto"/>
        </w:rPr>
      </w:pPr>
    </w:p>
    <w:p>
      <w:pPr>
        <w:jc w:val="both"/>
        <w:ind w:left="66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March 2015, the Bundeskartellamt, or German Federal Cartel Office (“FCO”), conducted unannounced inspections of the premises of several metal packaging manufacturers, including a German subsidiary of the Company. The local court order authorizing the inspection cited FCO suspicions of anti-competitive agreements in the German market for the supply of metal packaging products. The Company conducted an internal investigation into the matter and discovered instances of inappropriate conduct by certain employees of German subsidiaries of the Company. The Company cooperated with the FCO and submitted a leniency application with the FCO which disclosed the findings of its internal investigation to date. In April 2018, the FCO discontinued its national investigation and referred the matter to the European Commission (the “Commission”). Following the referral, Commission officials conducted unannounced inspections of the premises of several metal packaging manufacturers, including Company subsidiaries in Germany, France and the United Kingdom.</w:t>
      </w:r>
    </w:p>
    <w:p>
      <w:pPr>
        <w:spacing w:after="0" w:line="178" w:lineRule="exact"/>
        <w:rPr>
          <w:rFonts w:ascii="Arial" w:cs="Arial" w:eastAsia="Arial" w:hAnsi="Arial"/>
          <w:sz w:val="18"/>
          <w:szCs w:val="18"/>
          <w:b w:val="1"/>
          <w:bCs w:val="1"/>
          <w:color w:val="auto"/>
        </w:rPr>
      </w:pPr>
    </w:p>
    <w:p>
      <w:pPr>
        <w:jc w:val="both"/>
        <w:ind w:left="6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Commission's investigation is ongoing and, to date, the Commission has not officially charged the Company or any of its subsidiaries with violations of competition law. The Company is cooperating with the Commission and submitted a leniency application with the Commission with respect to the findings of the investigation in Germany referenced above. This application may lead to the reduction of possible future penalties. At this stage of the investigation the Company believes that a loss is probable but is unable to predict the ultimate outcome of the Commission’s investigation and is unable to estimate the loss or possible range of losses that could be incurred, and has therefore not recorded a charge in connection with the actions by the Commission. If the Commission finds that the Company or any of its subsidiaries violated competition law, fines levied by the Commission could be material to the Company's operating results and cash flows for the periods in which they are resolved or become reasonably estimable.</w:t>
      </w:r>
    </w:p>
    <w:p>
      <w:pPr>
        <w:spacing w:after="0" w:line="192" w:lineRule="exact"/>
        <w:rPr>
          <w:rFonts w:ascii="Arial" w:cs="Arial" w:eastAsia="Arial" w:hAnsi="Arial"/>
          <w:sz w:val="18"/>
          <w:szCs w:val="18"/>
          <w:b w:val="1"/>
          <w:bCs w:val="1"/>
          <w:color w:val="auto"/>
        </w:rPr>
      </w:pPr>
    </w:p>
    <w:p>
      <w:pPr>
        <w:jc w:val="both"/>
        <w:ind w:left="660"/>
        <w:spacing w:after="0" w:line="273" w:lineRule="auto"/>
        <w:rPr>
          <w:rFonts w:ascii="Arial" w:cs="Arial" w:eastAsia="Arial" w:hAnsi="Arial"/>
          <w:sz w:val="18"/>
          <w:szCs w:val="18"/>
          <w:b w:val="1"/>
          <w:bCs w:val="1"/>
          <w:color w:val="auto"/>
        </w:rPr>
      </w:pPr>
      <w:r>
        <w:rPr>
          <w:rFonts w:ascii="Arial" w:cs="Arial" w:eastAsia="Arial" w:hAnsi="Arial"/>
          <w:sz w:val="17"/>
          <w:szCs w:val="17"/>
          <w:color w:val="auto"/>
        </w:rPr>
        <w:t>In March 2017, U.S. Customs and Border Protection (“CBP”) at the Port of Milwaukee issued a penalty notification alleging that certain of the Company’s subsidiaries intentionally misclassified the importation of certain goods into the U.S. during the period 2004-2009. CBP initially assessed a penalty of $18 and subsequently mitigated to $6. The Company has acknowledged to CBP that the goods were misclassified and has paid all related duties. The Company has asserted that the misclassification was unintentional and disputes the penalty assessment. At the present time, based on the information available, the Company does not believe that a loss for the alleged intentional misclassification is probable. There can be no assurance the Company will be successful in contesting the assessed penalty.</w:t>
      </w:r>
    </w:p>
    <w:p>
      <w:pPr>
        <w:spacing w:after="0" w:line="178" w:lineRule="exact"/>
        <w:rPr>
          <w:rFonts w:ascii="Arial" w:cs="Arial" w:eastAsia="Arial" w:hAnsi="Arial"/>
          <w:sz w:val="18"/>
          <w:szCs w:val="18"/>
          <w:b w:val="1"/>
          <w:bCs w:val="1"/>
          <w:color w:val="auto"/>
        </w:rPr>
      </w:pPr>
    </w:p>
    <w:p>
      <w:pPr>
        <w:jc w:val="both"/>
        <w:ind w:left="660"/>
        <w:spacing w:after="0" w:line="279" w:lineRule="auto"/>
        <w:rPr>
          <w:rFonts w:ascii="Arial" w:cs="Arial" w:eastAsia="Arial" w:hAnsi="Arial"/>
          <w:sz w:val="18"/>
          <w:szCs w:val="18"/>
          <w:b w:val="1"/>
          <w:bCs w:val="1"/>
          <w:color w:val="auto"/>
        </w:rPr>
      </w:pPr>
      <w:r>
        <w:rPr>
          <w:rFonts w:ascii="Arial" w:cs="Arial" w:eastAsia="Arial" w:hAnsi="Arial"/>
          <w:sz w:val="17"/>
          <w:szCs w:val="17"/>
          <w:color w:val="auto"/>
        </w:rPr>
        <w:t>The Company and its subsidiaries are also subject to various other lawsuits and claims with respect to governmental, labor, environmental, securities, vendor and other matters arising out of the Company’s normal course of business. While the impact on future financial results is not subject to reasonable estimation because considerable uncertainty exists, management believes that the ultimate liabilities resulting from such lawsuits and claims will not materially affect the Company’s consolidated earnings, financial position or cash flow.</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21"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 has various commitments to purchase materials, supplies and utilities as part of the ordinary course of business. The Company’s basic raw materials for its products are steel and aluminum, both of which are purchased from multiple sources. The Company is subject to fluctuations in the cost of these raw materials (including in connection with tariffs recently imposed in the U.S., which may increase costs) and has periodically adjusted its selling prices to reflect these movements. There can be no assurance that the Company will be able to fully recover any increases or fluctuations in raw material costs from its customers. The Company also has commitments for standby letters of credit and for purchases of capital assets.</w:t>
      </w:r>
    </w:p>
    <w:p>
      <w:pPr>
        <w:spacing w:after="0" w:line="166"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At March 31, 2019, the Company was party to certain indemnification agreements covering environmental remediation, lease payments and other potential costs associated with properties sold or businesses divested. The Company accrues for costs related to these items when it is probable that a liability has been incurred and the amount can be reasonably estimated.</w:t>
      </w:r>
    </w:p>
    <w:p>
      <w:pPr>
        <w:spacing w:after="0" w:line="393" w:lineRule="exact"/>
        <w:rPr>
          <w:sz w:val="20"/>
          <w:szCs w:val="20"/>
          <w:color w:val="auto"/>
        </w:rPr>
      </w:pPr>
    </w:p>
    <w:p>
      <w:pPr>
        <w:ind w:left="660" w:right="7380" w:hanging="652"/>
        <w:spacing w:after="0" w:line="503" w:lineRule="auto"/>
        <w:tabs>
          <w:tab w:leader="none" w:pos="66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 xml:space="preserve">Derivative and Other Financial Instruments </w:t>
      </w:r>
      <w:r>
        <w:rPr>
          <w:rFonts w:ascii="Arial" w:cs="Arial" w:eastAsia="Arial" w:hAnsi="Arial"/>
          <w:sz w:val="18"/>
          <w:szCs w:val="18"/>
          <w:u w:val="single" w:color="auto"/>
          <w:color w:val="auto"/>
        </w:rPr>
        <w:t>Fair Value Measurements</w:t>
      </w:r>
    </w:p>
    <w:p>
      <w:pPr>
        <w:jc w:val="both"/>
        <w:ind w:left="660"/>
        <w:spacing w:after="0" w:line="276" w:lineRule="auto"/>
        <w:rPr>
          <w:rFonts w:ascii="Arial" w:cs="Arial" w:eastAsia="Arial" w:hAnsi="Arial"/>
          <w:sz w:val="18"/>
          <w:szCs w:val="18"/>
          <w:b w:val="1"/>
          <w:bCs w:val="1"/>
          <w:color w:val="auto"/>
        </w:rPr>
      </w:pPr>
      <w:r>
        <w:rPr>
          <w:rFonts w:ascii="Arial" w:cs="Arial" w:eastAsia="Arial" w:hAnsi="Arial"/>
          <w:sz w:val="17"/>
          <w:szCs w:val="17"/>
          <w:color w:val="auto"/>
        </w:rPr>
        <w:t>Under GAAP a framework exists for measuring fair value, providing a three-tier hierarchy of pricing inputs used to report assets and liabilities that are adjusted to fair value. Level 1 includes inputs such as quoted prices which are available in active markets for identical assets or liabilities as of the report date. Level 2 includes inputs other than those available in active markets included in Level 1, which are either directly or indirectly observable as of the reporting date. Level 3 includes unobservable pricing inputs that are not corroborated by market data or other objective sources. The Company has no recurring items valued using Level 3 inputs other than certain pension plan assets.</w:t>
      </w:r>
    </w:p>
    <w:p>
      <w:pPr>
        <w:spacing w:after="0" w:line="172"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utilizes market data or assumptions that market participants would use in pricing the asset or liability. The Company’s assessment of the significance of a particular input to the fair value measurement requires judgment and may affect the valuation of assets and liabilities measured at fair value and their placement within the fair value hierarchy.</w:t>
      </w:r>
    </w:p>
    <w:p>
      <w:pPr>
        <w:spacing w:after="0" w:line="181" w:lineRule="exact"/>
        <w:rPr>
          <w:rFonts w:ascii="Arial" w:cs="Arial" w:eastAsia="Arial" w:hAnsi="Arial"/>
          <w:sz w:val="18"/>
          <w:szCs w:val="18"/>
          <w:b w:val="1"/>
          <w:bCs w:val="1"/>
          <w:color w:val="auto"/>
        </w:rPr>
      </w:pPr>
    </w:p>
    <w:p>
      <w:pPr>
        <w:jc w:val="both"/>
        <w:ind w:left="660"/>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The Company applies a market approach to value its commodity price hedge contracts. Prices from observable markets are used to develop the fair value of these financial instruments and they are reported under Level 2. The Company uses an income approach to value its foreign exchange forward contracts. These contracts are valued using a discounted cash flow model that calculates the present value of future cash flows under the terms of the contracts using market information as of the reporting date, such as foreign exchange spot and forward rates, and are reported under Level 2 of the fair value hierarchy.</w:t>
      </w:r>
    </w:p>
    <w:p>
      <w:pPr>
        <w:spacing w:after="0" w:line="188"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color w:val="auto"/>
        </w:rPr>
      </w:pPr>
      <w:r>
        <w:rPr>
          <w:rFonts w:ascii="Arial" w:cs="Arial" w:eastAsia="Arial" w:hAnsi="Arial"/>
          <w:sz w:val="18"/>
          <w:szCs w:val="18"/>
          <w:color w:val="auto"/>
        </w:rPr>
        <w:t xml:space="preserve">Fair value disclosures for financial assets and liabilities that were accounted for at fair value on a recurring basis are provided later in this note. In addition, see </w:t>
      </w:r>
      <w:hyperlink w:anchor="page20">
        <w:r>
          <w:rPr>
            <w:rFonts w:ascii="Arial" w:cs="Arial" w:eastAsia="Arial" w:hAnsi="Arial"/>
            <w:sz w:val="18"/>
            <w:szCs w:val="18"/>
            <w:u w:val="single" w:color="auto"/>
            <w:color w:val="0000EE"/>
          </w:rPr>
          <w:t>Note N</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fair value disclosures related to debt.</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u w:val="single" w:color="auto"/>
          <w:color w:val="auto"/>
        </w:rPr>
        <w:t>Derivative Financial Instruments</w:t>
      </w:r>
    </w:p>
    <w:p>
      <w:pPr>
        <w:spacing w:after="0" w:line="225" w:lineRule="exact"/>
        <w:rPr>
          <w:rFonts w:ascii="Arial" w:cs="Arial" w:eastAsia="Arial" w:hAnsi="Arial"/>
          <w:sz w:val="18"/>
          <w:szCs w:val="18"/>
          <w:color w:val="auto"/>
        </w:rPr>
      </w:pPr>
    </w:p>
    <w:p>
      <w:pPr>
        <w:jc w:val="both"/>
        <w:ind w:left="660"/>
        <w:spacing w:after="0" w:line="279" w:lineRule="auto"/>
        <w:rPr>
          <w:rFonts w:ascii="Arial" w:cs="Arial" w:eastAsia="Arial" w:hAnsi="Arial"/>
          <w:sz w:val="18"/>
          <w:szCs w:val="18"/>
          <w:color w:val="auto"/>
        </w:rPr>
      </w:pPr>
      <w:r>
        <w:rPr>
          <w:rFonts w:ascii="Arial" w:cs="Arial" w:eastAsia="Arial" w:hAnsi="Arial"/>
          <w:sz w:val="17"/>
          <w:szCs w:val="17"/>
          <w:color w:val="auto"/>
        </w:rPr>
        <w:t>In the normal course of business the Company is subject to risk from adverse fluctuations in currency exchange rates,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these counterparties. The Company does not use derivative instruments for trading or speculative purposes.</w:t>
      </w:r>
    </w:p>
    <w:p>
      <w:pPr>
        <w:spacing w:after="0" w:line="171" w:lineRule="exact"/>
        <w:rPr>
          <w:rFonts w:ascii="Arial" w:cs="Arial" w:eastAsia="Arial" w:hAnsi="Arial"/>
          <w:sz w:val="18"/>
          <w:szCs w:val="18"/>
          <w:color w:val="auto"/>
        </w:rPr>
      </w:pPr>
    </w:p>
    <w:p>
      <w:pPr>
        <w:jc w:val="both"/>
        <w:ind w:left="660"/>
        <w:spacing w:after="0" w:line="259" w:lineRule="auto"/>
        <w:rPr>
          <w:rFonts w:ascii="Arial" w:cs="Arial" w:eastAsia="Arial" w:hAnsi="Arial"/>
          <w:sz w:val="18"/>
          <w:szCs w:val="18"/>
          <w:color w:val="auto"/>
        </w:rPr>
      </w:pPr>
      <w:r>
        <w:rPr>
          <w:rFonts w:ascii="Arial" w:cs="Arial" w:eastAsia="Arial" w:hAnsi="Arial"/>
          <w:sz w:val="18"/>
          <w:szCs w:val="18"/>
          <w:color w:val="auto"/>
        </w:rPr>
        <w:t>The Company’s objective in managing exposure to market risk is to limit the impact on earnings and cash flow. The extent to which the Company uses such instruments is dependent upon its access to these contracts in the financial markets and its success using other methods, such as netting exposures in the same currencies to mitigate foreign exchange risk and using sales agreements that permit the pass-through of commodity price and foreign exchange rate risk to customers.</w:t>
      </w:r>
    </w:p>
    <w:p>
      <w:pPr>
        <w:spacing w:after="0" w:line="186" w:lineRule="exact"/>
        <w:rPr>
          <w:rFonts w:ascii="Arial" w:cs="Arial" w:eastAsia="Arial" w:hAnsi="Arial"/>
          <w:sz w:val="18"/>
          <w:szCs w:val="18"/>
          <w:color w:val="auto"/>
        </w:rPr>
      </w:pPr>
    </w:p>
    <w:p>
      <w:pPr>
        <w:jc w:val="both"/>
        <w:ind w:left="660"/>
        <w:spacing w:after="0" w:line="273" w:lineRule="auto"/>
        <w:rPr>
          <w:rFonts w:ascii="Arial" w:cs="Arial" w:eastAsia="Arial" w:hAnsi="Arial"/>
          <w:sz w:val="18"/>
          <w:szCs w:val="18"/>
          <w:color w:val="auto"/>
        </w:rPr>
      </w:pPr>
      <w:r>
        <w:rPr>
          <w:rFonts w:ascii="Arial" w:cs="Arial" w:eastAsia="Arial" w:hAnsi="Arial"/>
          <w:sz w:val="17"/>
          <w:szCs w:val="17"/>
          <w:color w:val="auto"/>
        </w:rPr>
        <w:t>For derivative financial instruments accounted for in hedging relationships, the Company formally designates and documents, at inception, the financial instrument as a hedge of a specific underlying exposure, the risk management objective and the manner in which effectiveness will be assessed. The Company formally assesses, both at inception and at least quarterly thereafter, whether the hedging relationships are effective in offsetting changes in fair value or cash flows of the related underlying exposures. When a hedge no longer qualifies for hedge accounting, the change in fair value from the date of the last effectiveness test is recognized in earnings. Any gain or loss which has accumulated in other comprehensive income at the date of the last effectiveness test is reclassified into earnings at the same time of the underlying exposure.</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21" w:right="239" w:bottom="1440" w:gutter="0" w:footer="0" w:header="0"/>
        </w:sectPr>
      </w:pPr>
    </w:p>
    <w:bookmarkStart w:id="15" w:name="page16"/>
    <w:bookmarkEnd w:id="15"/>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Cash Flow Hedges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designates certain derivative financial instruments as cash flow hedges. No components of the hedging instruments are excluded from the assessment of hedge effectiveness. Changes in fair value of outstanding derivatives accounted for as cash flow hedges are recorded in other comprehensive income until earnings are impacted by the hedged transaction. Classification of the gain or loss in the Consolidated Statements of Operations upon reclassification from comprehensive income is the same as that of the underlying exposure. Contracts outstanding at March 31, 2019 mature between one and thirty-six months.</w:t>
      </w:r>
    </w:p>
    <w:p>
      <w:pPr>
        <w:spacing w:after="0" w:line="18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When the Company discontinues hedge accounting because it is no longer probable that an anticipated transaction will occur in the originally specified period, changes to the fair value accumulated in other comprehensive income are recognized immediately in earnings.</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uses forward contracts to hedge anticipated purchases of various commodities, including aluminum, fuel oil and natural gas, and these exposures are hedged by a central treasury unit.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also designates certain foreign exchange contracts as cash flow hedges of anticipated foreign currency denominated sales or purchases. The Company manages these risks at the operating unit level. Often, foreign currency risk is hedged together with the related commodity price risk.</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tables set forth financial information about the impact on other comprehensive income ("OCI"), accumulated other comprehensive income (“AOCI”) and earnings from changes in the fair value of derivative instruments.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ind w:left="140"/>
              <w:spacing w:after="0"/>
              <w:rPr>
                <w:sz w:val="20"/>
                <w:szCs w:val="20"/>
                <w:color w:val="auto"/>
              </w:rPr>
            </w:pPr>
            <w:r>
              <w:rPr>
                <w:rFonts w:ascii="Arial" w:cs="Arial" w:eastAsia="Arial" w:hAnsi="Arial"/>
                <w:sz w:val="18"/>
                <w:szCs w:val="18"/>
                <w:color w:val="auto"/>
              </w:rPr>
              <w:t>Amount of gain/(loss)</w:t>
            </w:r>
          </w:p>
        </w:tc>
        <w:tc>
          <w:tcPr>
            <w:tcW w:w="2840" w:type="dxa"/>
            <w:vAlign w:val="bottom"/>
          </w:tcPr>
          <w:p>
            <w:pPr>
              <w:spacing w:after="0"/>
              <w:rPr>
                <w:sz w:val="20"/>
                <w:szCs w:val="20"/>
                <w:color w:val="auto"/>
              </w:rPr>
            </w:pPr>
          </w:p>
        </w:tc>
      </w:tr>
      <w:tr>
        <w:trPr>
          <w:trHeight w:val="270"/>
        </w:trPr>
        <w:tc>
          <w:tcPr>
            <w:tcW w:w="4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00" w:type="dxa"/>
            <w:vAlign w:val="bottom"/>
            <w:gridSpan w:val="5"/>
          </w:tcPr>
          <w:p>
            <w:pPr>
              <w:jc w:val="center"/>
              <w:ind w:right="280"/>
              <w:spacing w:after="0"/>
              <w:rPr>
                <w:sz w:val="20"/>
                <w:szCs w:val="20"/>
                <w:color w:val="auto"/>
              </w:rPr>
            </w:pPr>
            <w:r>
              <w:rPr>
                <w:rFonts w:ascii="Arial" w:cs="Arial" w:eastAsia="Arial" w:hAnsi="Arial"/>
                <w:sz w:val="18"/>
                <w:szCs w:val="18"/>
                <w:color w:val="auto"/>
                <w:w w:val="92"/>
              </w:rPr>
              <w:t>recognized in OCI</w:t>
            </w:r>
          </w:p>
        </w:tc>
        <w:tc>
          <w:tcPr>
            <w:tcW w:w="2840" w:type="dxa"/>
            <w:vAlign w:val="bottom"/>
          </w:tcPr>
          <w:p>
            <w:pPr>
              <w:spacing w:after="0"/>
              <w:rPr>
                <w:sz w:val="23"/>
                <w:szCs w:val="23"/>
                <w:color w:val="auto"/>
              </w:rPr>
            </w:pPr>
          </w:p>
        </w:tc>
      </w:tr>
      <w:tr>
        <w:trPr>
          <w:trHeight w:val="27"/>
        </w:trPr>
        <w:tc>
          <w:tcPr>
            <w:tcW w:w="4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2840" w:type="dxa"/>
            <w:vAlign w:val="bottom"/>
          </w:tcPr>
          <w:p>
            <w:pPr>
              <w:spacing w:after="0"/>
              <w:rPr>
                <w:sz w:val="20"/>
                <w:szCs w:val="20"/>
                <w:color w:val="auto"/>
              </w:rPr>
            </w:pPr>
          </w:p>
        </w:tc>
      </w:tr>
      <w:tr>
        <w:trPr>
          <w:trHeight w:val="270"/>
        </w:trPr>
        <w:tc>
          <w:tcPr>
            <w:tcW w:w="4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gridSpan w:val="3"/>
          </w:tcPr>
          <w:p>
            <w:pPr>
              <w:jc w:val="center"/>
              <w:ind w:left="430"/>
              <w:spacing w:after="0"/>
              <w:rPr>
                <w:sz w:val="20"/>
                <w:szCs w:val="20"/>
                <w:color w:val="auto"/>
              </w:rPr>
            </w:pPr>
            <w:r>
              <w:rPr>
                <w:rFonts w:ascii="Arial" w:cs="Arial" w:eastAsia="Arial" w:hAnsi="Arial"/>
                <w:sz w:val="18"/>
                <w:szCs w:val="18"/>
                <w:color w:val="auto"/>
                <w:w w:val="92"/>
              </w:rPr>
              <w:t>March 31,</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40" w:type="dxa"/>
            <w:vAlign w:val="bottom"/>
          </w:tcPr>
          <w:p>
            <w:pPr>
              <w:spacing w:after="0"/>
              <w:rPr>
                <w:sz w:val="23"/>
                <w:szCs w:val="23"/>
                <w:color w:val="auto"/>
              </w:rPr>
            </w:pPr>
          </w:p>
        </w:tc>
      </w:tr>
      <w:tr>
        <w:trPr>
          <w:trHeight w:val="27"/>
        </w:trPr>
        <w:tc>
          <w:tcPr>
            <w:tcW w:w="4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Derivatives in cash flow hedges</w:t>
            </w: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2840" w:type="dxa"/>
            <w:vAlign w:val="bottom"/>
          </w:tcPr>
          <w:p>
            <w:pPr>
              <w:spacing w:after="0"/>
              <w:rPr>
                <w:sz w:val="20"/>
                <w:szCs w:val="20"/>
                <w:color w:val="auto"/>
              </w:rPr>
            </w:pP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shd w:val="clear" w:color="auto" w:fill="CCEEFF"/>
          </w:tcPr>
          <w:p>
            <w:pPr>
              <w:spacing w:after="0"/>
              <w:rPr>
                <w:sz w:val="21"/>
                <w:szCs w:val="21"/>
                <w:color w:val="auto"/>
              </w:rPr>
            </w:pPr>
          </w:p>
        </w:tc>
        <w:tc>
          <w:tcPr>
            <w:tcW w:w="2840" w:type="dxa"/>
            <w:vAlign w:val="bottom"/>
          </w:tcPr>
          <w:p>
            <w:pPr>
              <w:spacing w:after="0"/>
              <w:rPr>
                <w:sz w:val="21"/>
                <w:szCs w:val="21"/>
                <w:color w:val="auto"/>
              </w:rPr>
            </w:pP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Commodities</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2840" w:type="dxa"/>
            <w:vAlign w:val="bottom"/>
          </w:tcPr>
          <w:p>
            <w:pPr>
              <w:spacing w:after="0"/>
              <w:rPr>
                <w:sz w:val="21"/>
                <w:szCs w:val="21"/>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40" w:type="dxa"/>
            <w:vAlign w:val="bottom"/>
          </w:tcPr>
          <w:p>
            <w:pPr>
              <w:spacing w:after="0"/>
              <w:rPr>
                <w:sz w:val="2"/>
                <w:szCs w:val="2"/>
                <w:color w:val="auto"/>
              </w:rPr>
            </w:pPr>
          </w:p>
        </w:tc>
      </w:tr>
      <w:tr>
        <w:trPr>
          <w:trHeight w:val="269"/>
        </w:trPr>
        <w:tc>
          <w:tcPr>
            <w:tcW w:w="4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840" w:type="dxa"/>
            <w:vAlign w:val="bottom"/>
          </w:tcPr>
          <w:p>
            <w:pPr>
              <w:spacing w:after="0"/>
              <w:rPr>
                <w:sz w:val="22"/>
                <w:szCs w:val="22"/>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r>
        <w:trPr>
          <w:trHeight w:val="548"/>
        </w:trPr>
        <w:tc>
          <w:tcPr>
            <w:tcW w:w="4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00" w:type="dxa"/>
            <w:vAlign w:val="bottom"/>
            <w:gridSpan w:val="5"/>
          </w:tcPr>
          <w:p>
            <w:pPr>
              <w:jc w:val="center"/>
              <w:ind w:right="280"/>
              <w:spacing w:after="0"/>
              <w:rPr>
                <w:sz w:val="20"/>
                <w:szCs w:val="20"/>
                <w:color w:val="auto"/>
              </w:rPr>
            </w:pPr>
            <w:r>
              <w:rPr>
                <w:rFonts w:ascii="Arial" w:cs="Arial" w:eastAsia="Arial" w:hAnsi="Arial"/>
                <w:sz w:val="18"/>
                <w:szCs w:val="18"/>
                <w:color w:val="auto"/>
                <w:w w:val="93"/>
              </w:rPr>
              <w:t>Amount of gain/</w:t>
            </w:r>
          </w:p>
        </w:tc>
        <w:tc>
          <w:tcPr>
            <w:tcW w:w="2840" w:type="dxa"/>
            <w:vAlign w:val="bottom"/>
          </w:tcPr>
          <w:p>
            <w:pPr>
              <w:spacing w:after="0"/>
              <w:rPr>
                <w:sz w:val="24"/>
                <w:szCs w:val="24"/>
                <w:color w:val="auto"/>
              </w:rPr>
            </w:pPr>
          </w:p>
        </w:tc>
      </w:tr>
      <w:tr>
        <w:trPr>
          <w:trHeight w:val="270"/>
        </w:trPr>
        <w:tc>
          <w:tcPr>
            <w:tcW w:w="4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00" w:type="dxa"/>
            <w:vAlign w:val="bottom"/>
            <w:gridSpan w:val="5"/>
          </w:tcPr>
          <w:p>
            <w:pPr>
              <w:jc w:val="center"/>
              <w:ind w:right="280"/>
              <w:spacing w:after="0"/>
              <w:rPr>
                <w:sz w:val="20"/>
                <w:szCs w:val="20"/>
                <w:color w:val="auto"/>
              </w:rPr>
            </w:pPr>
            <w:r>
              <w:rPr>
                <w:rFonts w:ascii="Arial" w:cs="Arial" w:eastAsia="Arial" w:hAnsi="Arial"/>
                <w:sz w:val="18"/>
                <w:szCs w:val="18"/>
                <w:color w:val="auto"/>
                <w:w w:val="92"/>
              </w:rPr>
              <w:t>(loss) reclassified from</w:t>
            </w:r>
          </w:p>
        </w:tc>
        <w:tc>
          <w:tcPr>
            <w:tcW w:w="2840" w:type="dxa"/>
            <w:vAlign w:val="bottom"/>
          </w:tcPr>
          <w:p>
            <w:pPr>
              <w:spacing w:after="0"/>
              <w:rPr>
                <w:sz w:val="23"/>
                <w:szCs w:val="23"/>
                <w:color w:val="auto"/>
              </w:rPr>
            </w:pPr>
          </w:p>
        </w:tc>
      </w:tr>
      <w:tr>
        <w:trPr>
          <w:trHeight w:val="270"/>
        </w:trPr>
        <w:tc>
          <w:tcPr>
            <w:tcW w:w="4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00" w:type="dxa"/>
            <w:vAlign w:val="bottom"/>
            <w:gridSpan w:val="5"/>
          </w:tcPr>
          <w:p>
            <w:pPr>
              <w:jc w:val="center"/>
              <w:ind w:right="280"/>
              <w:spacing w:after="0"/>
              <w:rPr>
                <w:sz w:val="20"/>
                <w:szCs w:val="20"/>
                <w:color w:val="auto"/>
              </w:rPr>
            </w:pPr>
            <w:r>
              <w:rPr>
                <w:rFonts w:ascii="Arial" w:cs="Arial" w:eastAsia="Arial" w:hAnsi="Arial"/>
                <w:sz w:val="18"/>
                <w:szCs w:val="18"/>
                <w:color w:val="auto"/>
                <w:w w:val="94"/>
              </w:rPr>
              <w:t>AOCI into income</w:t>
            </w:r>
          </w:p>
        </w:tc>
        <w:tc>
          <w:tcPr>
            <w:tcW w:w="2840" w:type="dxa"/>
            <w:vAlign w:val="bottom"/>
          </w:tcPr>
          <w:p>
            <w:pPr>
              <w:spacing w:after="0"/>
              <w:rPr>
                <w:sz w:val="23"/>
                <w:szCs w:val="23"/>
                <w:color w:val="auto"/>
              </w:rPr>
            </w:pPr>
          </w:p>
        </w:tc>
      </w:tr>
      <w:tr>
        <w:trPr>
          <w:trHeight w:val="27"/>
        </w:trPr>
        <w:tc>
          <w:tcPr>
            <w:tcW w:w="4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gridSpan w:val="4"/>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100" w:type="dxa"/>
            <w:vAlign w:val="bottom"/>
            <w:gridSpan w:val="5"/>
          </w:tcPr>
          <w:p>
            <w:pPr>
              <w:jc w:val="center"/>
              <w:ind w:right="260"/>
              <w:spacing w:after="0"/>
              <w:rPr>
                <w:sz w:val="20"/>
                <w:szCs w:val="20"/>
                <w:color w:val="auto"/>
              </w:rPr>
            </w:pPr>
            <w:r>
              <w:rPr>
                <w:rFonts w:ascii="Arial" w:cs="Arial" w:eastAsia="Arial" w:hAnsi="Arial"/>
                <w:sz w:val="18"/>
                <w:szCs w:val="18"/>
                <w:color w:val="auto"/>
                <w:w w:val="90"/>
              </w:rPr>
              <w:t>Three Months Ended</w:t>
            </w:r>
          </w:p>
        </w:tc>
        <w:tc>
          <w:tcPr>
            <w:tcW w:w="2840" w:type="dxa"/>
            <w:vAlign w:val="bottom"/>
          </w:tcPr>
          <w:p>
            <w:pPr>
              <w:spacing w:after="0"/>
              <w:rPr>
                <w:sz w:val="20"/>
                <w:szCs w:val="20"/>
                <w:color w:val="auto"/>
              </w:rPr>
            </w:pPr>
          </w:p>
        </w:tc>
      </w:tr>
      <w:tr>
        <w:trPr>
          <w:trHeight w:val="270"/>
        </w:trPr>
        <w:tc>
          <w:tcPr>
            <w:tcW w:w="47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300" w:type="dxa"/>
            <w:vAlign w:val="bottom"/>
            <w:gridSpan w:val="3"/>
          </w:tcPr>
          <w:p>
            <w:pPr>
              <w:jc w:val="center"/>
              <w:ind w:left="430"/>
              <w:spacing w:after="0"/>
              <w:rPr>
                <w:sz w:val="20"/>
                <w:szCs w:val="20"/>
                <w:color w:val="auto"/>
              </w:rPr>
            </w:pPr>
            <w:r>
              <w:rPr>
                <w:rFonts w:ascii="Arial" w:cs="Arial" w:eastAsia="Arial" w:hAnsi="Arial"/>
                <w:sz w:val="18"/>
                <w:szCs w:val="18"/>
                <w:color w:val="auto"/>
                <w:w w:val="92"/>
              </w:rPr>
              <w:t>March 31,</w:t>
            </w: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40" w:type="dxa"/>
            <w:vAlign w:val="bottom"/>
          </w:tcPr>
          <w:p>
            <w:pPr>
              <w:ind w:left="520"/>
              <w:spacing w:after="0"/>
              <w:rPr>
                <w:sz w:val="20"/>
                <w:szCs w:val="20"/>
                <w:color w:val="auto"/>
              </w:rPr>
            </w:pPr>
            <w:r>
              <w:rPr>
                <w:rFonts w:ascii="Arial" w:cs="Arial" w:eastAsia="Arial" w:hAnsi="Arial"/>
                <w:sz w:val="18"/>
                <w:szCs w:val="18"/>
                <w:color w:val="auto"/>
              </w:rPr>
              <w:t>Affected line items in the</w:t>
            </w:r>
          </w:p>
        </w:tc>
      </w:tr>
      <w:tr>
        <w:trPr>
          <w:trHeight w:val="27"/>
        </w:trPr>
        <w:tc>
          <w:tcPr>
            <w:tcW w:w="47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40" w:type="dxa"/>
            <w:vAlign w:val="bottom"/>
          </w:tcPr>
          <w:p>
            <w:pPr>
              <w:spacing w:after="0"/>
              <w:rPr>
                <w:sz w:val="2"/>
                <w:szCs w:val="2"/>
                <w:color w:val="auto"/>
              </w:rPr>
            </w:pP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Derivatives in cash flow hedges</w:t>
            </w:r>
          </w:p>
        </w:tc>
        <w:tc>
          <w:tcPr>
            <w:tcW w:w="200" w:type="dxa"/>
            <w:vAlign w:val="bottom"/>
          </w:tcPr>
          <w:p>
            <w:pPr>
              <w:spacing w:after="0"/>
              <w:rPr>
                <w:sz w:val="20"/>
                <w:szCs w:val="20"/>
                <w:color w:val="auto"/>
              </w:rPr>
            </w:pPr>
          </w:p>
        </w:tc>
        <w:tc>
          <w:tcPr>
            <w:tcW w:w="800" w:type="dxa"/>
            <w:vAlign w:val="bottom"/>
          </w:tcPr>
          <w:p>
            <w:pPr>
              <w:jc w:val="right"/>
              <w:ind w:right="23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color w:val="auto"/>
                <w:w w:val="89"/>
              </w:rPr>
              <w:t>2018</w:t>
            </w:r>
          </w:p>
        </w:tc>
        <w:tc>
          <w:tcPr>
            <w:tcW w:w="100" w:type="dxa"/>
            <w:vAlign w:val="bottom"/>
          </w:tcPr>
          <w:p>
            <w:pPr>
              <w:spacing w:after="0"/>
              <w:rPr>
                <w:sz w:val="20"/>
                <w:szCs w:val="20"/>
                <w:color w:val="auto"/>
              </w:rPr>
            </w:pPr>
          </w:p>
        </w:tc>
        <w:tc>
          <w:tcPr>
            <w:tcW w:w="2840" w:type="dxa"/>
            <w:vAlign w:val="bottom"/>
          </w:tcPr>
          <w:p>
            <w:pPr>
              <w:ind w:left="540"/>
              <w:spacing w:after="0"/>
              <w:rPr>
                <w:sz w:val="20"/>
                <w:szCs w:val="20"/>
                <w:color w:val="auto"/>
              </w:rPr>
            </w:pPr>
            <w:r>
              <w:rPr>
                <w:rFonts w:ascii="Arial" w:cs="Arial" w:eastAsia="Arial" w:hAnsi="Arial"/>
                <w:sz w:val="18"/>
                <w:szCs w:val="18"/>
                <w:color w:val="auto"/>
              </w:rPr>
              <w:t>Statement of Operations</w:t>
            </w:r>
          </w:p>
        </w:tc>
      </w:tr>
      <w:tr>
        <w:trPr>
          <w:trHeight w:val="27"/>
        </w:trPr>
        <w:tc>
          <w:tcPr>
            <w:tcW w:w="4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Commodities</w:t>
            </w:r>
          </w:p>
        </w:tc>
        <w:tc>
          <w:tcPr>
            <w:tcW w:w="20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Net sales</w:t>
            </w:r>
          </w:p>
        </w:tc>
      </w:tr>
      <w:tr>
        <w:trPr>
          <w:trHeight w:val="27"/>
        </w:trPr>
        <w:tc>
          <w:tcPr>
            <w:tcW w:w="47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00" w:type="dxa"/>
            <w:vAlign w:val="bottom"/>
          </w:tcPr>
          <w:p>
            <w:pPr>
              <w:spacing w:after="0"/>
              <w:rPr>
                <w:sz w:val="2"/>
                <w:szCs w:val="2"/>
                <w:color w:val="auto"/>
              </w:rPr>
            </w:pPr>
          </w:p>
        </w:tc>
        <w:tc>
          <w:tcPr>
            <w:tcW w:w="2940" w:type="dxa"/>
            <w:vAlign w:val="bottom"/>
            <w:gridSpan w:val="2"/>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3640" w:type="dxa"/>
            <w:vAlign w:val="bottom"/>
            <w:tcBorders>
              <w:bottom w:val="single" w:sz="8" w:color="CCEEFF"/>
            </w:tcBorders>
            <w:gridSpan w:val="3"/>
            <w:shd w:val="clear" w:color="auto" w:fill="CCEEFF"/>
          </w:tcPr>
          <w:p>
            <w:pPr>
              <w:ind w:left="420"/>
              <w:spacing w:after="0"/>
              <w:rPr>
                <w:sz w:val="20"/>
                <w:szCs w:val="20"/>
                <w:color w:val="auto"/>
              </w:rPr>
            </w:pPr>
            <w:r>
              <w:rPr>
                <w:rFonts w:ascii="Arial" w:cs="Arial" w:eastAsia="Arial" w:hAnsi="Arial"/>
                <w:sz w:val="18"/>
                <w:szCs w:val="18"/>
                <w:color w:val="auto"/>
              </w:rPr>
              <w:t>—   Cost of products sold</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Commodities</w:t>
            </w:r>
          </w:p>
        </w:tc>
        <w:tc>
          <w:tcPr>
            <w:tcW w:w="2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w:t>
            </w:r>
          </w:p>
        </w:tc>
        <w:tc>
          <w:tcPr>
            <w:tcW w:w="2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3640" w:type="dxa"/>
            <w:vAlign w:val="bottom"/>
            <w:gridSpan w:val="3"/>
          </w:tcPr>
          <w:p>
            <w:pPr>
              <w:ind w:left="420"/>
              <w:spacing w:after="0"/>
              <w:rPr>
                <w:sz w:val="20"/>
                <w:szCs w:val="20"/>
                <w:color w:val="auto"/>
              </w:rPr>
            </w:pPr>
            <w:r>
              <w:rPr>
                <w:rFonts w:ascii="Arial" w:cs="Arial" w:eastAsia="Arial" w:hAnsi="Arial"/>
                <w:sz w:val="18"/>
                <w:szCs w:val="18"/>
                <w:color w:val="auto"/>
              </w:rPr>
              <w:t>10   Cost of products sold</w:t>
            </w:r>
          </w:p>
        </w:tc>
      </w:tr>
      <w:tr>
        <w:trPr>
          <w:trHeight w:val="27"/>
        </w:trPr>
        <w:tc>
          <w:tcPr>
            <w:tcW w:w="4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r>
      <w:tr>
        <w:trPr>
          <w:trHeight w:val="264"/>
        </w:trPr>
        <w:tc>
          <w:tcPr>
            <w:tcW w:w="4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before taxes</w:t>
            </w:r>
          </w:p>
        </w:tc>
      </w:tr>
      <w:tr>
        <w:trPr>
          <w:trHeight w:val="237"/>
        </w:trPr>
        <w:tc>
          <w:tcPr>
            <w:tcW w:w="47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84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r>
      <w:tr>
        <w:trPr>
          <w:trHeight w:val="27"/>
        </w:trPr>
        <w:tc>
          <w:tcPr>
            <w:tcW w:w="47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40" w:type="dxa"/>
            <w:vAlign w:val="bottom"/>
            <w:tcBorders>
              <w:bottom w:val="single" w:sz="8" w:color="CCEEFF"/>
            </w:tcBorders>
          </w:tcPr>
          <w:p>
            <w:pPr>
              <w:spacing w:after="0"/>
              <w:rPr>
                <w:sz w:val="2"/>
                <w:szCs w:val="2"/>
                <w:color w:val="auto"/>
              </w:rPr>
            </w:pPr>
          </w:p>
        </w:tc>
      </w:tr>
      <w:tr>
        <w:trPr>
          <w:trHeight w:val="257"/>
        </w:trPr>
        <w:tc>
          <w:tcPr>
            <w:tcW w:w="47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r>
      <w:tr>
        <w:trPr>
          <w:trHeight w:val="20"/>
        </w:trPr>
        <w:tc>
          <w:tcPr>
            <w:tcW w:w="47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For the twelve-month period ending March 31, 2020, a net loss of $12 ($10, net of tax) is expected to be reclassified to earnings. No amounts were reclassified during the three months ended March 31, 2019 and 2018 in connection with anticipated transactions that were no longer considered probable.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 Hedges and Contracts Not Designated as Hedges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designates certain derivative financial instruments as fair value hedges of recognized foreign-denominated assets and liabilities, generally trade accounts receivable and payable and unrecognized firm commitments. The notional values and</w:t>
      </w:r>
    </w:p>
    <w:p>
      <w:pPr>
        <w:sectPr>
          <w:pgSz w:w="11900" w:h="16838" w:orient="portrait"/>
          <w:cols w:equalWidth="0" w:num="1">
            <w:col w:w="10760"/>
          </w:cols>
          <w:pgMar w:left="900" w:top="121" w:right="239" w:bottom="1440" w:gutter="0" w:footer="0" w:header="0"/>
        </w:sectPr>
      </w:pPr>
    </w:p>
    <w:p>
      <w:pPr>
        <w:spacing w:after="0" w:line="197"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0760"/>
          </w:cols>
          <w:pgMar w:left="900" w:top="121" w:right="239" w:bottom="1440" w:gutter="0" w:footer="0" w:header="0"/>
          <w:type w:val="continuous"/>
        </w:sectPr>
      </w:pPr>
    </w:p>
    <w:bookmarkStart w:id="16" w:name="page17"/>
    <w:bookmarkEnd w:id="16"/>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maturity dates of the derivative instruments coincide with those of the hedged items. Changes in fair value of the derivative financial instruments, excluding time value, are offset by changes in fair value of the related hedged items.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Certain derivative financial instruments, including foreign exchange contracts related to intercompany debt, were not designated in hedge relationships; however, they are effective economic hedges as the changes in their fair value, except for time value, are offset by changes arising from re-measurement of the related hedged items. The Company’s primary use of these derivative instruments is to offset the earnings impact that fluctuations in foreign exchange rates have on certain monetary assets and liabilities denominated in currencies other than the entity's functional currency.</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three months ended March 31, 2019, the Company recorded a gain of less than $1 from foreign exchange contracts designated as fair value hedges. For the three months ended March 31, 2018, the Company recorded a loss of less than $1 from foreign exchange contracts designated as fair value hedges. These adjustments were reported within foreign exchange in the Consolidated Statements of Operations.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impact on earnings from derivatives not designated as hedges.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3"/>
          </w:tcPr>
          <w:p>
            <w:pPr>
              <w:jc w:val="center"/>
              <w:ind w:left="30"/>
              <w:spacing w:after="0"/>
              <w:rPr>
                <w:sz w:val="20"/>
                <w:szCs w:val="20"/>
                <w:color w:val="auto"/>
              </w:rPr>
            </w:pPr>
            <w:r>
              <w:rPr>
                <w:rFonts w:ascii="Arial" w:cs="Arial" w:eastAsia="Arial" w:hAnsi="Arial"/>
                <w:sz w:val="18"/>
                <w:szCs w:val="18"/>
                <w:color w:val="auto"/>
                <w:w w:val="90"/>
              </w:rPr>
              <w:t>Pre-tax amount of gain/</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270"/>
        </w:trPr>
        <w:tc>
          <w:tcPr>
            <w:tcW w:w="4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20" w:type="dxa"/>
            <w:vAlign w:val="bottom"/>
            <w:gridSpan w:val="3"/>
          </w:tcPr>
          <w:p>
            <w:pPr>
              <w:jc w:val="center"/>
              <w:spacing w:after="0"/>
              <w:rPr>
                <w:sz w:val="20"/>
                <w:szCs w:val="20"/>
                <w:color w:val="auto"/>
              </w:rPr>
            </w:pPr>
            <w:r>
              <w:rPr>
                <w:rFonts w:ascii="Arial" w:cs="Arial" w:eastAsia="Arial" w:hAnsi="Arial"/>
                <w:sz w:val="18"/>
                <w:szCs w:val="18"/>
                <w:color w:val="auto"/>
                <w:w w:val="90"/>
              </w:rPr>
              <w:t>(loss) recognized in</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40" w:type="dxa"/>
            <w:vAlign w:val="bottom"/>
          </w:tcPr>
          <w:p>
            <w:pPr>
              <w:spacing w:after="0"/>
              <w:rPr>
                <w:sz w:val="23"/>
                <w:szCs w:val="23"/>
                <w:color w:val="auto"/>
              </w:rPr>
            </w:pPr>
          </w:p>
        </w:tc>
      </w:tr>
      <w:tr>
        <w:trPr>
          <w:trHeight w:val="270"/>
        </w:trPr>
        <w:tc>
          <w:tcPr>
            <w:tcW w:w="4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20" w:type="dxa"/>
            <w:vAlign w:val="bottom"/>
            <w:gridSpan w:val="3"/>
          </w:tcPr>
          <w:p>
            <w:pPr>
              <w:jc w:val="center"/>
              <w:spacing w:after="0"/>
              <w:rPr>
                <w:sz w:val="20"/>
                <w:szCs w:val="20"/>
                <w:color w:val="auto"/>
              </w:rPr>
            </w:pPr>
            <w:r>
              <w:rPr>
                <w:rFonts w:ascii="Arial" w:cs="Arial" w:eastAsia="Arial" w:hAnsi="Arial"/>
                <w:sz w:val="18"/>
                <w:szCs w:val="18"/>
                <w:color w:val="auto"/>
                <w:w w:val="92"/>
              </w:rPr>
              <w:t>income on derivative</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40" w:type="dxa"/>
            <w:vAlign w:val="bottom"/>
          </w:tcPr>
          <w:p>
            <w:pPr>
              <w:spacing w:after="0"/>
              <w:rPr>
                <w:sz w:val="23"/>
                <w:szCs w:val="23"/>
                <w:color w:val="auto"/>
              </w:rPr>
            </w:pP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gridSpan w:val="3"/>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37"/>
        </w:trPr>
        <w:tc>
          <w:tcPr>
            <w:tcW w:w="4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20" w:type="dxa"/>
            <w:vAlign w:val="bottom"/>
            <w:gridSpan w:val="3"/>
          </w:tcPr>
          <w:p>
            <w:pPr>
              <w:jc w:val="center"/>
              <w:spacing w:after="0"/>
              <w:rPr>
                <w:sz w:val="20"/>
                <w:szCs w:val="20"/>
                <w:color w:val="auto"/>
              </w:rPr>
            </w:pPr>
            <w:r>
              <w:rPr>
                <w:rFonts w:ascii="Arial" w:cs="Arial" w:eastAsia="Arial" w:hAnsi="Arial"/>
                <w:sz w:val="18"/>
                <w:szCs w:val="18"/>
                <w:color w:val="auto"/>
                <w:w w:val="90"/>
              </w:rPr>
              <w:t>Three Months Ended</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tcPr>
          <w:p>
            <w:pPr>
              <w:spacing w:after="0"/>
              <w:rPr>
                <w:sz w:val="20"/>
                <w:szCs w:val="20"/>
                <w:color w:val="auto"/>
              </w:rPr>
            </w:pPr>
          </w:p>
        </w:tc>
      </w:tr>
      <w:tr>
        <w:trPr>
          <w:trHeight w:val="270"/>
        </w:trPr>
        <w:tc>
          <w:tcPr>
            <w:tcW w:w="4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820" w:type="dxa"/>
            <w:vAlign w:val="bottom"/>
            <w:gridSpan w:val="3"/>
          </w:tcPr>
          <w:p>
            <w:pPr>
              <w:jc w:val="center"/>
              <w:spacing w:after="0"/>
              <w:rPr>
                <w:sz w:val="20"/>
                <w:szCs w:val="20"/>
                <w:color w:val="auto"/>
              </w:rPr>
            </w:pPr>
            <w:r>
              <w:rPr>
                <w:rFonts w:ascii="Arial" w:cs="Arial" w:eastAsia="Arial" w:hAnsi="Arial"/>
                <w:sz w:val="18"/>
                <w:szCs w:val="18"/>
                <w:color w:val="auto"/>
                <w:w w:val="92"/>
              </w:rPr>
              <w:t>March 31,</w:t>
            </w:r>
          </w:p>
        </w:tc>
        <w:tc>
          <w:tcPr>
            <w:tcW w:w="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540" w:type="dxa"/>
            <w:vAlign w:val="bottom"/>
          </w:tcPr>
          <w:p>
            <w:pPr>
              <w:ind w:left="400"/>
              <w:spacing w:after="0"/>
              <w:rPr>
                <w:sz w:val="20"/>
                <w:szCs w:val="20"/>
                <w:color w:val="auto"/>
              </w:rPr>
            </w:pPr>
            <w:r>
              <w:rPr>
                <w:rFonts w:ascii="Arial" w:cs="Arial" w:eastAsia="Arial" w:hAnsi="Arial"/>
                <w:sz w:val="18"/>
                <w:szCs w:val="18"/>
                <w:color w:val="auto"/>
              </w:rPr>
              <w:t>Affected line item in the</w:t>
            </w:r>
          </w:p>
        </w:tc>
      </w:tr>
      <w:tr>
        <w:trPr>
          <w:trHeight w:val="27"/>
        </w:trPr>
        <w:tc>
          <w:tcPr>
            <w:tcW w:w="4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37"/>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Derivatives not designated as hedges</w:t>
            </w:r>
          </w:p>
        </w:tc>
        <w:tc>
          <w:tcPr>
            <w:tcW w:w="220" w:type="dxa"/>
            <w:vAlign w:val="bottom"/>
          </w:tcPr>
          <w:p>
            <w:pPr>
              <w:spacing w:after="0"/>
              <w:rPr>
                <w:sz w:val="20"/>
                <w:szCs w:val="20"/>
                <w:color w:val="auto"/>
              </w:rPr>
            </w:pPr>
          </w:p>
        </w:tc>
        <w:tc>
          <w:tcPr>
            <w:tcW w:w="840" w:type="dxa"/>
            <w:vAlign w:val="bottom"/>
          </w:tcPr>
          <w:p>
            <w:pPr>
              <w:jc w:val="right"/>
              <w:ind w:right="270"/>
              <w:spacing w:after="0"/>
              <w:rPr>
                <w:sz w:val="20"/>
                <w:szCs w:val="20"/>
                <w:color w:val="auto"/>
              </w:rPr>
            </w:pPr>
            <w:r>
              <w:rPr>
                <w:rFonts w:ascii="Arial" w:cs="Arial" w:eastAsia="Arial" w:hAnsi="Arial"/>
                <w:sz w:val="18"/>
                <w:szCs w:val="18"/>
                <w:color w:val="auto"/>
              </w:rPr>
              <w:t>2019</w:t>
            </w:r>
          </w:p>
        </w:tc>
        <w:tc>
          <w:tcPr>
            <w:tcW w:w="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2018</w:t>
            </w: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40" w:type="dxa"/>
            <w:vAlign w:val="bottom"/>
          </w:tcPr>
          <w:p>
            <w:pPr>
              <w:ind w:left="400"/>
              <w:spacing w:after="0"/>
              <w:rPr>
                <w:sz w:val="20"/>
                <w:szCs w:val="20"/>
                <w:color w:val="auto"/>
              </w:rPr>
            </w:pPr>
            <w:r>
              <w:rPr>
                <w:rFonts w:ascii="Arial" w:cs="Arial" w:eastAsia="Arial" w:hAnsi="Arial"/>
                <w:sz w:val="18"/>
                <w:szCs w:val="18"/>
                <w:color w:val="auto"/>
              </w:rPr>
              <w:t>Statement of Operations</w:t>
            </w:r>
          </w:p>
        </w:tc>
      </w:tr>
      <w:tr>
        <w:trPr>
          <w:trHeight w:val="27"/>
        </w:trPr>
        <w:tc>
          <w:tcPr>
            <w:tcW w:w="4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r>
      <w:tr>
        <w:trPr>
          <w:trHeight w:val="237"/>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800" w:type="dxa"/>
            <w:vAlign w:val="bottom"/>
          </w:tcPr>
          <w:p>
            <w:pPr>
              <w:jc w:val="right"/>
              <w:ind w:right="590"/>
              <w:spacing w:after="0"/>
              <w:rPr>
                <w:sz w:val="20"/>
                <w:szCs w:val="20"/>
                <w:color w:val="auto"/>
              </w:rPr>
            </w:pPr>
            <w:r>
              <w:rPr>
                <w:rFonts w:ascii="Arial" w:cs="Arial" w:eastAsia="Arial" w:hAnsi="Arial"/>
                <w:sz w:val="18"/>
                <w:szCs w:val="18"/>
                <w:color w:val="auto"/>
                <w:w w:val="99"/>
              </w:rPr>
              <w:t>$</w:t>
            </w:r>
          </w:p>
        </w:tc>
        <w:tc>
          <w:tcPr>
            <w:tcW w:w="280" w:type="dxa"/>
            <w:vAlign w:val="bottom"/>
          </w:tcPr>
          <w:p>
            <w:pPr>
              <w:jc w:val="right"/>
              <w:ind w:right="10"/>
              <w:spacing w:after="0"/>
              <w:rPr>
                <w:sz w:val="20"/>
                <w:szCs w:val="20"/>
                <w:color w:val="auto"/>
              </w:rPr>
            </w:pPr>
            <w:r>
              <w:rPr>
                <w:rFonts w:ascii="Arial" w:cs="Arial" w:eastAsia="Arial" w:hAnsi="Arial"/>
                <w:sz w:val="18"/>
                <w:szCs w:val="18"/>
                <w:color w:val="auto"/>
                <w:w w:val="88"/>
              </w:rPr>
              <w:t>—</w:t>
            </w:r>
          </w:p>
        </w:tc>
        <w:tc>
          <w:tcPr>
            <w:tcW w:w="100" w:type="dxa"/>
            <w:vAlign w:val="bottom"/>
          </w:tcPr>
          <w:p>
            <w:pPr>
              <w:spacing w:after="0"/>
              <w:rPr>
                <w:sz w:val="20"/>
                <w:szCs w:val="20"/>
                <w:color w:val="auto"/>
              </w:rPr>
            </w:pPr>
          </w:p>
        </w:tc>
        <w:tc>
          <w:tcPr>
            <w:tcW w:w="2540" w:type="dxa"/>
            <w:vAlign w:val="bottom"/>
          </w:tcPr>
          <w:p>
            <w:pPr>
              <w:ind w:left="40"/>
              <w:spacing w:after="0"/>
              <w:rPr>
                <w:sz w:val="20"/>
                <w:szCs w:val="20"/>
                <w:color w:val="auto"/>
              </w:rPr>
            </w:pPr>
            <w:r>
              <w:rPr>
                <w:rFonts w:ascii="Arial" w:cs="Arial" w:eastAsia="Arial" w:hAnsi="Arial"/>
                <w:sz w:val="18"/>
                <w:szCs w:val="18"/>
                <w:color w:val="auto"/>
              </w:rPr>
              <w:t>Net sales</w:t>
            </w:r>
          </w:p>
        </w:tc>
      </w:tr>
      <w:tr>
        <w:trPr>
          <w:trHeight w:val="27"/>
        </w:trPr>
        <w:tc>
          <w:tcPr>
            <w:tcW w:w="4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540" w:type="dxa"/>
            <w:vAlign w:val="bottom"/>
          </w:tcPr>
          <w:p>
            <w:pPr>
              <w:spacing w:after="0"/>
              <w:rPr>
                <w:sz w:val="2"/>
                <w:szCs w:val="2"/>
                <w:color w:val="auto"/>
              </w:rPr>
            </w:pPr>
          </w:p>
        </w:tc>
      </w:tr>
      <w:tr>
        <w:trPr>
          <w:trHeight w:val="250"/>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2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products sold</w:t>
            </w:r>
          </w:p>
        </w:tc>
      </w:tr>
      <w:tr>
        <w:trPr>
          <w:trHeight w:val="243"/>
        </w:trPr>
        <w:tc>
          <w:tcPr>
            <w:tcW w:w="4500" w:type="dxa"/>
            <w:vAlign w:val="bottom"/>
            <w:gridSpan w:val="2"/>
          </w:tcPr>
          <w:p>
            <w:pPr>
              <w:ind w:left="20"/>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2540" w:type="dxa"/>
            <w:vAlign w:val="bottom"/>
          </w:tcPr>
          <w:p>
            <w:pPr>
              <w:ind w:left="40"/>
              <w:spacing w:after="0"/>
              <w:rPr>
                <w:sz w:val="20"/>
                <w:szCs w:val="20"/>
                <w:color w:val="auto"/>
              </w:rPr>
            </w:pPr>
            <w:r>
              <w:rPr>
                <w:rFonts w:ascii="Arial" w:cs="Arial" w:eastAsia="Arial" w:hAnsi="Arial"/>
                <w:sz w:val="18"/>
                <w:szCs w:val="18"/>
                <w:color w:val="auto"/>
              </w:rPr>
              <w:t>Foreign exchange</w:t>
            </w:r>
          </w:p>
        </w:tc>
      </w:tr>
      <w:tr>
        <w:trPr>
          <w:trHeight w:val="27"/>
        </w:trPr>
        <w:tc>
          <w:tcPr>
            <w:tcW w:w="43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540" w:type="dxa"/>
            <w:vAlign w:val="bottom"/>
            <w:tcBorders>
              <w:bottom w:val="single" w:sz="8" w:color="CCEEFF"/>
            </w:tcBorders>
          </w:tcPr>
          <w:p>
            <w:pPr>
              <w:spacing w:after="0"/>
              <w:rPr>
                <w:sz w:val="2"/>
                <w:szCs w:val="2"/>
                <w:color w:val="auto"/>
              </w:rPr>
            </w:pPr>
          </w:p>
        </w:tc>
      </w:tr>
      <w:tr>
        <w:trPr>
          <w:trHeight w:val="269"/>
        </w:trPr>
        <w:tc>
          <w:tcPr>
            <w:tcW w:w="4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8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2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2"/>
                <w:szCs w:val="22"/>
                <w:color w:val="auto"/>
              </w:rPr>
            </w:pPr>
          </w:p>
        </w:tc>
        <w:tc>
          <w:tcPr>
            <w:tcW w:w="2540" w:type="dxa"/>
            <w:vAlign w:val="bottom"/>
            <w:tcBorders>
              <w:bottom w:val="single" w:sz="8" w:color="CCEEFF"/>
            </w:tcBorders>
            <w:shd w:val="clear" w:color="auto" w:fill="CCEEFF"/>
          </w:tcPr>
          <w:p>
            <w:pPr>
              <w:spacing w:after="0"/>
              <w:rPr>
                <w:sz w:val="22"/>
                <w:szCs w:val="22"/>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Net Investment Hedges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Company designates certain debt and derivative instruments as net investment hedges to manage foreign currency risk relating to net investments in subsidiaries denominated in foreign currencies and reduce the variability in the functional currency equivalent cash flows.</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the three months ended March 31, 2019 and 2018, the Company recorded a gain of $28 ($28, net of tax) and a loss of $35 ($31, net of tax) in other comprehensive income for certain debt instruments that are designated as hedges of its net investment in a euro-based subsidiary. As of March 31, 2019 and December 31, 2018, cumulative losses of $31 and $59 ($8 and $36, net of tax) were recognized in accumulated other comprehensive income related to these net investment hedges. As of March 31, 2019, the carrying amount of the hedged net investment was approximately €1,178 ($1,322 at March 31, 2019).</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January 2018, the Company entered into a series of cross-currency swaps with an aggregate notional of $875 (€718). The swaps were designated as a hedge of net investment for financial reporting purposes. Under the cross-currency interest rate contracts, the Company received semi-annual fixed U.S. dollar payments at a rate of 4.75% of the U.S. notional value and paid 2.50% on the euro notional value. The Company settled these swaps in November 2018.</w:t>
      </w:r>
    </w:p>
    <w:p>
      <w:pPr>
        <w:spacing w:after="0" w:line="187"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In November 2018, the Company entered into a series of cross-currency swaps with an aggregate notional value of $875 (€768). The swaps are designated as hedges of the Company's net investment in a euro-based subsidiary. Under the cross-currency contracts, the Company receives semi-annual fixed U.S. dollar payments at a rate of 4.75% of the U.S. notional value and pays 1.84% on the euro notional value.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Gains or losses on net investment hedges remain in accumulated other comprehensive income until disposal of the underlying assets.</w:t>
      </w:r>
    </w:p>
    <w:p>
      <w:pPr>
        <w:spacing w:after="0" w:line="225" w:lineRule="exact"/>
        <w:rPr>
          <w:sz w:val="20"/>
          <w:szCs w:val="20"/>
          <w:color w:val="auto"/>
        </w:rPr>
      </w:pPr>
    </w:p>
    <w:p>
      <w:pPr>
        <w:jc w:val="center"/>
        <w:ind w:right="520"/>
        <w:spacing w:after="0"/>
        <w:rPr>
          <w:sz w:val="20"/>
          <w:szCs w:val="20"/>
          <w:color w:val="auto"/>
        </w:rPr>
      </w:pPr>
      <w:r>
        <w:rPr>
          <w:rFonts w:ascii="Arial" w:cs="Arial" w:eastAsia="Arial" w:hAnsi="Arial"/>
          <w:sz w:val="16"/>
          <w:szCs w:val="16"/>
          <w:color w:val="auto"/>
        </w:rPr>
        <w:t>The following tables set forth the impact on OCI from changes in the fair value of derivative instruments designated as net investment hedges.</w:t>
      </w:r>
    </w:p>
    <w:p>
      <w:pPr>
        <w:spacing w:after="0" w:line="27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0760"/>
          </w:cols>
          <w:pgMar w:left="900" w:top="121"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3860" w:type="dxa"/>
            <w:vAlign w:val="bottom"/>
          </w:tcPr>
          <w:p>
            <w:pPr>
              <w:spacing w:after="0"/>
              <w:rPr>
                <w:sz w:val="20"/>
                <w:szCs w:val="20"/>
                <w:color w:val="auto"/>
              </w:rPr>
            </w:pPr>
          </w:p>
        </w:tc>
        <w:tc>
          <w:tcPr>
            <w:tcW w:w="2240" w:type="dxa"/>
            <w:vAlign w:val="bottom"/>
            <w:gridSpan w:val="4"/>
          </w:tcPr>
          <w:p>
            <w:pPr>
              <w:jc w:val="center"/>
              <w:ind w:left="70"/>
              <w:spacing w:after="0"/>
              <w:rPr>
                <w:sz w:val="20"/>
                <w:szCs w:val="20"/>
                <w:color w:val="auto"/>
              </w:rPr>
            </w:pPr>
            <w:r>
              <w:rPr>
                <w:rFonts w:ascii="Arial" w:cs="Arial" w:eastAsia="Arial" w:hAnsi="Arial"/>
                <w:sz w:val="18"/>
                <w:szCs w:val="18"/>
                <w:b w:val="1"/>
                <w:bCs w:val="1"/>
                <w:color w:val="auto"/>
                <w:w w:val="91"/>
              </w:rPr>
              <w:t>Crown Holdings, Inc.</w:t>
            </w:r>
          </w:p>
        </w:tc>
        <w:tc>
          <w:tcPr>
            <w:tcW w:w="780" w:type="dxa"/>
            <w:vAlign w:val="bottom"/>
          </w:tcPr>
          <w:p>
            <w:pPr>
              <w:spacing w:after="0"/>
              <w:rPr>
                <w:sz w:val="20"/>
                <w:szCs w:val="20"/>
                <w:color w:val="auto"/>
              </w:rPr>
            </w:pPr>
          </w:p>
        </w:tc>
      </w:tr>
      <w:tr>
        <w:trPr>
          <w:trHeight w:val="837"/>
        </w:trPr>
        <w:tc>
          <w:tcPr>
            <w:tcW w:w="38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gridSpan w:val="3"/>
          </w:tcPr>
          <w:p>
            <w:pPr>
              <w:jc w:val="center"/>
              <w:ind w:right="130"/>
              <w:spacing w:after="0"/>
              <w:rPr>
                <w:sz w:val="20"/>
                <w:szCs w:val="20"/>
                <w:color w:val="auto"/>
              </w:rPr>
            </w:pPr>
            <w:r>
              <w:rPr>
                <w:rFonts w:ascii="Arial" w:cs="Arial" w:eastAsia="Arial" w:hAnsi="Arial"/>
                <w:sz w:val="18"/>
                <w:szCs w:val="18"/>
                <w:color w:val="auto"/>
                <w:w w:val="94"/>
              </w:rPr>
              <w:t>Amount of gain/(loss)</w:t>
            </w:r>
          </w:p>
        </w:tc>
      </w:tr>
      <w:tr>
        <w:trPr>
          <w:trHeight w:val="270"/>
        </w:trPr>
        <w:tc>
          <w:tcPr>
            <w:tcW w:w="38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gridSpan w:val="3"/>
          </w:tcPr>
          <w:p>
            <w:pPr>
              <w:jc w:val="center"/>
              <w:ind w:right="130"/>
              <w:spacing w:after="0"/>
              <w:rPr>
                <w:sz w:val="20"/>
                <w:szCs w:val="20"/>
                <w:color w:val="auto"/>
              </w:rPr>
            </w:pPr>
            <w:r>
              <w:rPr>
                <w:rFonts w:ascii="Arial" w:cs="Arial" w:eastAsia="Arial" w:hAnsi="Arial"/>
                <w:sz w:val="18"/>
                <w:szCs w:val="18"/>
                <w:color w:val="auto"/>
                <w:w w:val="91"/>
              </w:rPr>
              <w:t>recognized in OCI</w:t>
            </w:r>
          </w:p>
        </w:tc>
      </w:tr>
      <w:tr>
        <w:trPr>
          <w:trHeight w:val="27"/>
        </w:trPr>
        <w:tc>
          <w:tcPr>
            <w:tcW w:w="3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gridSpan w:val="3"/>
          </w:tcPr>
          <w:p>
            <w:pPr>
              <w:spacing w:after="0"/>
              <w:rPr>
                <w:sz w:val="2"/>
                <w:szCs w:val="2"/>
                <w:color w:val="auto"/>
              </w:rPr>
            </w:pPr>
          </w:p>
        </w:tc>
      </w:tr>
      <w:tr>
        <w:trPr>
          <w:trHeight w:val="237"/>
        </w:trPr>
        <w:tc>
          <w:tcPr>
            <w:tcW w:w="38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40" w:type="dxa"/>
            <w:vAlign w:val="bottom"/>
            <w:gridSpan w:val="3"/>
          </w:tcPr>
          <w:p>
            <w:pPr>
              <w:jc w:val="center"/>
              <w:ind w:right="130"/>
              <w:spacing w:after="0"/>
              <w:rPr>
                <w:sz w:val="20"/>
                <w:szCs w:val="20"/>
                <w:color w:val="auto"/>
              </w:rPr>
            </w:pPr>
            <w:r>
              <w:rPr>
                <w:rFonts w:ascii="Arial" w:cs="Arial" w:eastAsia="Arial" w:hAnsi="Arial"/>
                <w:sz w:val="18"/>
                <w:szCs w:val="18"/>
                <w:color w:val="auto"/>
                <w:w w:val="89"/>
              </w:rPr>
              <w:t>Three months ended</w:t>
            </w:r>
          </w:p>
        </w:tc>
      </w:tr>
      <w:tr>
        <w:trPr>
          <w:trHeight w:val="270"/>
        </w:trPr>
        <w:tc>
          <w:tcPr>
            <w:tcW w:w="386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60" w:type="dxa"/>
            <w:vAlign w:val="bottom"/>
            <w:gridSpan w:val="2"/>
          </w:tcPr>
          <w:p>
            <w:pPr>
              <w:jc w:val="center"/>
              <w:ind w:left="490"/>
              <w:spacing w:after="0"/>
              <w:rPr>
                <w:sz w:val="20"/>
                <w:szCs w:val="20"/>
                <w:color w:val="auto"/>
              </w:rPr>
            </w:pPr>
            <w:r>
              <w:rPr>
                <w:rFonts w:ascii="Arial" w:cs="Arial" w:eastAsia="Arial" w:hAnsi="Arial"/>
                <w:sz w:val="18"/>
                <w:szCs w:val="18"/>
                <w:color w:val="auto"/>
                <w:w w:val="92"/>
              </w:rPr>
              <w:t>March 31,</w:t>
            </w:r>
          </w:p>
        </w:tc>
        <w:tc>
          <w:tcPr>
            <w:tcW w:w="780" w:type="dxa"/>
            <w:vAlign w:val="bottom"/>
          </w:tcPr>
          <w:p>
            <w:pPr>
              <w:spacing w:after="0"/>
              <w:rPr>
                <w:sz w:val="23"/>
                <w:szCs w:val="23"/>
                <w:color w:val="auto"/>
              </w:rPr>
            </w:pPr>
          </w:p>
        </w:tc>
      </w:tr>
      <w:tr>
        <w:trPr>
          <w:trHeight w:val="27"/>
        </w:trPr>
        <w:tc>
          <w:tcPr>
            <w:tcW w:w="3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3860" w:type="dxa"/>
            <w:vAlign w:val="bottom"/>
          </w:tcPr>
          <w:p>
            <w:pPr>
              <w:ind w:left="20"/>
              <w:spacing w:after="0"/>
              <w:rPr>
                <w:sz w:val="20"/>
                <w:szCs w:val="20"/>
                <w:color w:val="auto"/>
              </w:rPr>
            </w:pPr>
            <w:r>
              <w:rPr>
                <w:rFonts w:ascii="Arial" w:cs="Arial" w:eastAsia="Arial" w:hAnsi="Arial"/>
                <w:sz w:val="18"/>
                <w:szCs w:val="18"/>
                <w:color w:val="auto"/>
                <w:w w:val="97"/>
              </w:rPr>
              <w:t>Derivatives designated as net investment hedges</w:t>
            </w:r>
          </w:p>
        </w:tc>
        <w:tc>
          <w:tcPr>
            <w:tcW w:w="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color w:val="auto"/>
                <w:w w:val="94"/>
              </w:rPr>
              <w:t>2018</w:t>
            </w:r>
          </w:p>
        </w:tc>
      </w:tr>
      <w:tr>
        <w:trPr>
          <w:trHeight w:val="27"/>
        </w:trPr>
        <w:tc>
          <w:tcPr>
            <w:tcW w:w="3860" w:type="dxa"/>
            <w:vAlign w:val="bottom"/>
          </w:tcPr>
          <w:p>
            <w:pPr>
              <w:spacing w:after="0"/>
              <w:rPr>
                <w:sz w:val="2"/>
                <w:szCs w:val="2"/>
                <w:color w:val="auto"/>
              </w:rPr>
            </w:pPr>
          </w:p>
        </w:tc>
        <w:tc>
          <w:tcPr>
            <w:tcW w:w="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920" w:type="dxa"/>
            <w:vAlign w:val="bottom"/>
          </w:tcPr>
          <w:p>
            <w:pPr>
              <w:spacing w:after="0"/>
              <w:rPr>
                <w:sz w:val="2"/>
                <w:szCs w:val="2"/>
                <w:color w:val="auto"/>
              </w:rPr>
            </w:pPr>
          </w:p>
        </w:tc>
        <w:tc>
          <w:tcPr>
            <w:tcW w:w="44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43"/>
        </w:trPr>
        <w:tc>
          <w:tcPr>
            <w:tcW w:w="3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44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386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Gains and losses representing components excluded from the assessment of effectiveness on derivatives designated as net investment hedges are recognized in accumulated other comprehensive income.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Fair Values of Derivative Financial Instruments and Valuation Hierarchy</w:t>
      </w:r>
    </w:p>
    <w:p>
      <w:pPr>
        <w:spacing w:after="0" w:line="225"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 sets forth the Company's financial assets and liabilities that were accounted for at fair value on a recurring basis as of March 31, 2019 and December 31, 2018, respectively. The fair values of these financial instruments were reported under Level 2 of the fair value hierarchy.</w:t>
      </w:r>
    </w:p>
    <w:p>
      <w:pPr>
        <w:spacing w:after="0" w:line="286" w:lineRule="exact"/>
        <w:rPr>
          <w:sz w:val="20"/>
          <w:szCs w:val="20"/>
          <w:color w:val="auto"/>
        </w:rPr>
      </w:pPr>
    </w:p>
    <w:tbl>
      <w:tblPr>
        <w:tblLayout w:type="fixed"/>
        <w:tblInd w:w="3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560" w:type="dxa"/>
            <w:vAlign w:val="bottom"/>
            <w:gridSpan w:val="4"/>
          </w:tcPr>
          <w:p>
            <w:pPr>
              <w:ind w:left="240"/>
              <w:spacing w:after="0"/>
              <w:rPr>
                <w:sz w:val="20"/>
                <w:szCs w:val="20"/>
                <w:color w:val="auto"/>
              </w:rPr>
            </w:pPr>
            <w:r>
              <w:rPr>
                <w:rFonts w:ascii="Arial" w:cs="Arial" w:eastAsia="Arial" w:hAnsi="Arial"/>
                <w:sz w:val="18"/>
                <w:szCs w:val="18"/>
                <w:color w:val="auto"/>
              </w:rPr>
              <w:t>Balance Sheet</w:t>
            </w:r>
          </w:p>
        </w:tc>
        <w:tc>
          <w:tcPr>
            <w:tcW w:w="160" w:type="dxa"/>
            <w:vAlign w:val="bottom"/>
          </w:tcPr>
          <w:p>
            <w:pPr>
              <w:spacing w:after="0"/>
              <w:rPr>
                <w:sz w:val="18"/>
                <w:szCs w:val="18"/>
                <w:color w:val="auto"/>
              </w:rPr>
            </w:pPr>
          </w:p>
        </w:tc>
        <w:tc>
          <w:tcPr>
            <w:tcW w:w="1160" w:type="dxa"/>
            <w:vAlign w:val="bottom"/>
            <w:gridSpan w:val="2"/>
          </w:tcPr>
          <w:p>
            <w:pPr>
              <w:ind w:left="60"/>
              <w:spacing w:after="0"/>
              <w:rPr>
                <w:sz w:val="20"/>
                <w:szCs w:val="20"/>
                <w:color w:val="auto"/>
              </w:rPr>
            </w:pPr>
            <w:r>
              <w:rPr>
                <w:rFonts w:ascii="Arial" w:cs="Arial" w:eastAsia="Arial" w:hAnsi="Arial"/>
                <w:sz w:val="18"/>
                <w:szCs w:val="18"/>
                <w:color w:val="auto"/>
              </w:rPr>
              <w:t>March 31,</w:t>
            </w: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w w:val="95"/>
              </w:rPr>
              <w:t>December 31,</w:t>
            </w:r>
          </w:p>
        </w:tc>
        <w:tc>
          <w:tcPr>
            <w:tcW w:w="1700" w:type="dxa"/>
            <w:vAlign w:val="bottom"/>
          </w:tcPr>
          <w:p>
            <w:pPr>
              <w:ind w:left="340"/>
              <w:spacing w:after="0"/>
              <w:rPr>
                <w:sz w:val="20"/>
                <w:szCs w:val="20"/>
                <w:color w:val="auto"/>
              </w:rPr>
            </w:pPr>
            <w:r>
              <w:rPr>
                <w:rFonts w:ascii="Arial" w:cs="Arial" w:eastAsia="Arial" w:hAnsi="Arial"/>
                <w:sz w:val="18"/>
                <w:szCs w:val="18"/>
                <w:color w:val="auto"/>
              </w:rPr>
              <w:t>Balance Sheet</w:t>
            </w:r>
          </w:p>
        </w:tc>
        <w:tc>
          <w:tcPr>
            <w:tcW w:w="160" w:type="dxa"/>
            <w:vAlign w:val="bottom"/>
          </w:tcPr>
          <w:p>
            <w:pPr>
              <w:spacing w:after="0"/>
              <w:rPr>
                <w:sz w:val="18"/>
                <w:szCs w:val="18"/>
                <w:color w:val="auto"/>
              </w:rPr>
            </w:pPr>
          </w:p>
        </w:tc>
        <w:tc>
          <w:tcPr>
            <w:tcW w:w="1180" w:type="dxa"/>
            <w:vAlign w:val="bottom"/>
            <w:gridSpan w:val="2"/>
          </w:tcPr>
          <w:p>
            <w:pPr>
              <w:ind w:left="60"/>
              <w:spacing w:after="0"/>
              <w:rPr>
                <w:sz w:val="20"/>
                <w:szCs w:val="20"/>
                <w:color w:val="auto"/>
              </w:rPr>
            </w:pPr>
            <w:r>
              <w:rPr>
                <w:rFonts w:ascii="Arial" w:cs="Arial" w:eastAsia="Arial" w:hAnsi="Arial"/>
                <w:sz w:val="18"/>
                <w:szCs w:val="18"/>
                <w:color w:val="auto"/>
              </w:rPr>
              <w:t>March 31,</w:t>
            </w:r>
          </w:p>
        </w:tc>
        <w:tc>
          <w:tcPr>
            <w:tcW w:w="1200" w:type="dxa"/>
            <w:vAlign w:val="bottom"/>
            <w:gridSpan w:val="2"/>
          </w:tcPr>
          <w:p>
            <w:pPr>
              <w:jc w:val="right"/>
              <w:ind w:right="10"/>
              <w:spacing w:after="0"/>
              <w:rPr>
                <w:sz w:val="20"/>
                <w:szCs w:val="20"/>
                <w:color w:val="auto"/>
              </w:rPr>
            </w:pPr>
            <w:r>
              <w:rPr>
                <w:rFonts w:ascii="Arial" w:cs="Arial" w:eastAsia="Arial" w:hAnsi="Arial"/>
                <w:sz w:val="18"/>
                <w:szCs w:val="18"/>
                <w:color w:val="auto"/>
                <w:w w:val="95"/>
              </w:rPr>
              <w:t>December 31,</w:t>
            </w: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60" w:type="dxa"/>
            <w:vAlign w:val="bottom"/>
            <w:gridSpan w:val="4"/>
          </w:tcPr>
          <w:p>
            <w:pPr>
              <w:ind w:left="280"/>
              <w:spacing w:after="0"/>
              <w:rPr>
                <w:sz w:val="20"/>
                <w:szCs w:val="20"/>
                <w:color w:val="auto"/>
              </w:rPr>
            </w:pPr>
            <w:r>
              <w:rPr>
                <w:rFonts w:ascii="Arial" w:cs="Arial" w:eastAsia="Arial" w:hAnsi="Arial"/>
                <w:sz w:val="18"/>
                <w:szCs w:val="18"/>
                <w:color w:val="auto"/>
              </w:rPr>
              <w:t>classification</w:t>
            </w:r>
          </w:p>
        </w:tc>
        <w:tc>
          <w:tcPr>
            <w:tcW w:w="160" w:type="dxa"/>
            <w:vAlign w:val="bottom"/>
          </w:tcPr>
          <w:p>
            <w:pPr>
              <w:spacing w:after="0"/>
              <w:rPr>
                <w:sz w:val="20"/>
                <w:szCs w:val="20"/>
                <w:color w:val="auto"/>
              </w:rPr>
            </w:pPr>
          </w:p>
        </w:tc>
        <w:tc>
          <w:tcPr>
            <w:tcW w:w="1060" w:type="dxa"/>
            <w:vAlign w:val="bottom"/>
          </w:tcPr>
          <w:p>
            <w:pPr>
              <w:jc w:val="right"/>
              <w:ind w:right="350"/>
              <w:spacing w:after="0"/>
              <w:rPr>
                <w:sz w:val="20"/>
                <w:szCs w:val="20"/>
                <w:color w:val="auto"/>
              </w:rPr>
            </w:pPr>
            <w:r>
              <w:rPr>
                <w:rFonts w:ascii="Arial" w:cs="Arial" w:eastAsia="Arial" w:hAnsi="Arial"/>
                <w:sz w:val="18"/>
                <w:szCs w:val="18"/>
                <w:color w:val="auto"/>
              </w:rPr>
              <w:t>2019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color w:val="auto"/>
              </w:rPr>
              <w:t>2018</w:t>
            </w:r>
          </w:p>
        </w:tc>
        <w:tc>
          <w:tcPr>
            <w:tcW w:w="1700" w:type="dxa"/>
            <w:vAlign w:val="bottom"/>
          </w:tcPr>
          <w:p>
            <w:pPr>
              <w:ind w:left="380"/>
              <w:spacing w:after="0"/>
              <w:rPr>
                <w:sz w:val="20"/>
                <w:szCs w:val="20"/>
                <w:color w:val="auto"/>
              </w:rPr>
            </w:pPr>
            <w:r>
              <w:rPr>
                <w:rFonts w:ascii="Arial" w:cs="Arial" w:eastAsia="Arial" w:hAnsi="Arial"/>
                <w:sz w:val="18"/>
                <w:szCs w:val="18"/>
                <w:color w:val="auto"/>
              </w:rPr>
              <w:t>classification</w:t>
            </w:r>
          </w:p>
        </w:tc>
        <w:tc>
          <w:tcPr>
            <w:tcW w:w="160" w:type="dxa"/>
            <w:vAlign w:val="bottom"/>
          </w:tcPr>
          <w:p>
            <w:pPr>
              <w:spacing w:after="0"/>
              <w:rPr>
                <w:sz w:val="20"/>
                <w:szCs w:val="20"/>
                <w:color w:val="auto"/>
              </w:rPr>
            </w:pPr>
          </w:p>
        </w:tc>
        <w:tc>
          <w:tcPr>
            <w:tcW w:w="1060" w:type="dxa"/>
            <w:vAlign w:val="bottom"/>
          </w:tcPr>
          <w:p>
            <w:pPr>
              <w:jc w:val="right"/>
              <w:ind w:right="330"/>
              <w:spacing w:after="0"/>
              <w:rPr>
                <w:sz w:val="20"/>
                <w:szCs w:val="20"/>
                <w:color w:val="auto"/>
              </w:rPr>
            </w:pPr>
            <w:r>
              <w:rPr>
                <w:rFonts w:ascii="Arial" w:cs="Arial" w:eastAsia="Arial" w:hAnsi="Arial"/>
                <w:sz w:val="18"/>
                <w:szCs w:val="18"/>
                <w:color w:val="auto"/>
              </w:rPr>
              <w:t>2019</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2018</w:t>
            </w:r>
          </w:p>
        </w:tc>
      </w:tr>
      <w:tr>
        <w:trPr>
          <w:trHeight w:val="27"/>
        </w:trPr>
        <w:tc>
          <w:tcPr>
            <w:tcW w:w="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gridSpan w:val="2"/>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6"/>
        </w:trPr>
        <w:tc>
          <w:tcPr>
            <w:tcW w:w="20" w:type="dxa"/>
            <w:vAlign w:val="bottom"/>
            <w:shd w:val="clear" w:color="auto" w:fill="CCEEFF"/>
          </w:tcPr>
          <w:p>
            <w:pPr>
              <w:spacing w:after="0"/>
              <w:rPr>
                <w:sz w:val="17"/>
                <w:szCs w:val="17"/>
                <w:color w:val="auto"/>
              </w:rPr>
            </w:pPr>
          </w:p>
        </w:tc>
        <w:tc>
          <w:tcPr>
            <w:tcW w:w="3240" w:type="dxa"/>
            <w:vAlign w:val="bottom"/>
            <w:gridSpan w:val="6"/>
            <w:shd w:val="clear" w:color="auto" w:fill="CCEEFF"/>
          </w:tcPr>
          <w:p>
            <w:pPr>
              <w:spacing w:after="0" w:line="196" w:lineRule="exact"/>
              <w:rPr>
                <w:sz w:val="20"/>
                <w:szCs w:val="20"/>
                <w:color w:val="auto"/>
              </w:rPr>
            </w:pPr>
            <w:r>
              <w:rPr>
                <w:rFonts w:ascii="Arial" w:cs="Arial" w:eastAsia="Arial" w:hAnsi="Arial"/>
                <w:sz w:val="18"/>
                <w:szCs w:val="18"/>
                <w:color w:val="auto"/>
              </w:rPr>
              <w:t>Derivatives designated as hedging</w:t>
            </w: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instruments</w:t>
            </w: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29"/>
        </w:trPr>
        <w:tc>
          <w:tcPr>
            <w:tcW w:w="2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1560" w:type="dxa"/>
            <w:vAlign w:val="bottom"/>
            <w:gridSpan w:val="4"/>
          </w:tcPr>
          <w:p>
            <w:pPr>
              <w:ind w:left="100"/>
              <w:spacing w:after="0"/>
              <w:rPr>
                <w:sz w:val="20"/>
                <w:szCs w:val="20"/>
                <w:color w:val="auto"/>
              </w:rPr>
            </w:pPr>
            <w:r>
              <w:rPr>
                <w:rFonts w:ascii="Arial" w:cs="Arial" w:eastAsia="Arial" w:hAnsi="Arial"/>
                <w:sz w:val="18"/>
                <w:szCs w:val="18"/>
                <w:color w:val="auto"/>
              </w:rPr>
              <w:t>Other current</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contracts cash flow</w:t>
            </w:r>
          </w:p>
        </w:tc>
        <w:tc>
          <w:tcPr>
            <w:tcW w:w="1560" w:type="dxa"/>
            <w:vAlign w:val="bottom"/>
            <w:gridSpan w:val="4"/>
          </w:tcPr>
          <w:p>
            <w:pPr>
              <w:ind w:left="100"/>
              <w:spacing w:after="0"/>
              <w:rPr>
                <w:sz w:val="20"/>
                <w:szCs w:val="20"/>
                <w:color w:val="auto"/>
              </w:rPr>
            </w:pPr>
            <w:r>
              <w:rPr>
                <w:rFonts w:ascii="Arial" w:cs="Arial" w:eastAsia="Arial" w:hAnsi="Arial"/>
                <w:sz w:val="18"/>
                <w:szCs w:val="18"/>
                <w:color w:val="auto"/>
              </w:rPr>
              <w:t>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w:t>
            </w:r>
          </w:p>
        </w:tc>
        <w:tc>
          <w:tcPr>
            <w:tcW w:w="170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Other non-current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156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1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r>
      <w:tr>
        <w:trPr>
          <w:trHeight w:val="229"/>
        </w:trPr>
        <w:tc>
          <w:tcPr>
            <w:tcW w:w="2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1560" w:type="dxa"/>
            <w:vAlign w:val="bottom"/>
            <w:gridSpan w:val="4"/>
          </w:tcPr>
          <w:p>
            <w:pPr>
              <w:ind w:left="100"/>
              <w:spacing w:after="0"/>
              <w:rPr>
                <w:sz w:val="20"/>
                <w:szCs w:val="20"/>
                <w:color w:val="auto"/>
              </w:rPr>
            </w:pPr>
            <w:r>
              <w:rPr>
                <w:rFonts w:ascii="Arial" w:cs="Arial" w:eastAsia="Arial" w:hAnsi="Arial"/>
                <w:sz w:val="18"/>
                <w:szCs w:val="18"/>
                <w:color w:val="auto"/>
              </w:rPr>
              <w:t>Other current</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contracts fair value</w:t>
            </w:r>
          </w:p>
        </w:tc>
        <w:tc>
          <w:tcPr>
            <w:tcW w:w="1560" w:type="dxa"/>
            <w:vAlign w:val="bottom"/>
            <w:gridSpan w:val="4"/>
          </w:tcPr>
          <w:p>
            <w:pPr>
              <w:ind w:left="10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70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Commodities</w:t>
            </w:r>
          </w:p>
        </w:tc>
        <w:tc>
          <w:tcPr>
            <w:tcW w:w="15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Other current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168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contracts cash flow</w:t>
            </w:r>
          </w:p>
        </w:tc>
        <w:tc>
          <w:tcPr>
            <w:tcW w:w="156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c>
          <w:tcPr>
            <w:tcW w:w="1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w:t>
            </w:r>
          </w:p>
        </w:tc>
      </w:tr>
      <w:tr>
        <w:trPr>
          <w:trHeight w:val="229"/>
        </w:trPr>
        <w:tc>
          <w:tcPr>
            <w:tcW w:w="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560" w:type="dxa"/>
            <w:vAlign w:val="bottom"/>
            <w:gridSpan w:val="4"/>
          </w:tcPr>
          <w:p>
            <w:pPr>
              <w:ind w:left="100"/>
              <w:spacing w:after="0"/>
              <w:rPr>
                <w:sz w:val="20"/>
                <w:szCs w:val="20"/>
                <w:color w:val="auto"/>
              </w:rPr>
            </w:pPr>
            <w:r>
              <w:rPr>
                <w:rFonts w:ascii="Arial" w:cs="Arial" w:eastAsia="Arial" w:hAnsi="Arial"/>
                <w:sz w:val="18"/>
                <w:szCs w:val="18"/>
                <w:color w:val="auto"/>
              </w:rPr>
              <w:t>Other non-current</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00" w:type="dxa"/>
            <w:vAlign w:val="bottom"/>
          </w:tcPr>
          <w:p>
            <w:pPr>
              <w:ind w:left="120"/>
              <w:spacing w:after="0"/>
              <w:rPr>
                <w:sz w:val="20"/>
                <w:szCs w:val="20"/>
                <w:color w:val="auto"/>
              </w:rPr>
            </w:pPr>
            <w:r>
              <w:rPr>
                <w:rFonts w:ascii="Arial" w:cs="Arial" w:eastAsia="Arial" w:hAnsi="Arial"/>
                <w:sz w:val="18"/>
                <w:szCs w:val="18"/>
                <w:color w:val="auto"/>
              </w:rPr>
              <w:t>Other non-current</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560" w:type="dxa"/>
            <w:vAlign w:val="bottom"/>
            <w:gridSpan w:val="4"/>
          </w:tcPr>
          <w:p>
            <w:pPr>
              <w:ind w:left="100"/>
              <w:spacing w:after="0"/>
              <w:rPr>
                <w:sz w:val="20"/>
                <w:szCs w:val="20"/>
                <w:color w:val="auto"/>
              </w:rPr>
            </w:pPr>
            <w:r>
              <w:rPr>
                <w:rFonts w:ascii="Arial" w:cs="Arial" w:eastAsia="Arial" w:hAnsi="Arial"/>
                <w:sz w:val="18"/>
                <w:szCs w:val="18"/>
                <w:color w:val="auto"/>
              </w:rPr>
              <w:t>assets</w:t>
            </w: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700" w:type="dxa"/>
            <w:vAlign w:val="bottom"/>
          </w:tcPr>
          <w:p>
            <w:pPr>
              <w:ind w:left="120"/>
              <w:spacing w:after="0"/>
              <w:rPr>
                <w:sz w:val="20"/>
                <w:szCs w:val="20"/>
                <w:color w:val="auto"/>
              </w:rPr>
            </w:pPr>
            <w:r>
              <w:rPr>
                <w:rFonts w:ascii="Arial" w:cs="Arial" w:eastAsia="Arial" w:hAnsi="Arial"/>
                <w:sz w:val="18"/>
                <w:szCs w:val="18"/>
                <w:color w:val="auto"/>
              </w:rPr>
              <w:t>liabilities</w:t>
            </w:r>
          </w:p>
        </w:tc>
        <w:tc>
          <w:tcPr>
            <w:tcW w:w="160" w:type="dxa"/>
            <w:vAlign w:val="bottom"/>
          </w:tcPr>
          <w:p>
            <w:pPr>
              <w:spacing w:after="0"/>
              <w:rPr>
                <w:sz w:val="20"/>
                <w:szCs w:val="20"/>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4"/>
              </w:rPr>
              <w:t>Net investment hedge</w:t>
            </w:r>
          </w:p>
        </w:tc>
        <w:tc>
          <w:tcPr>
            <w:tcW w:w="15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Other non-current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w:t>
            </w:r>
          </w:p>
        </w:tc>
        <w:tc>
          <w:tcPr>
            <w:tcW w:w="1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43</w:t>
            </w:r>
          </w:p>
        </w:tc>
        <w:tc>
          <w:tcPr>
            <w:tcW w:w="17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1620" w:type="dxa"/>
            <w:vAlign w:val="bottom"/>
            <w:tcBorders>
              <w:bottom w:val="single" w:sz="8" w:color="CCEEFF"/>
            </w:tcBorders>
            <w:gridSpan w:val="2"/>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3240" w:type="dxa"/>
            <w:vAlign w:val="bottom"/>
            <w:gridSpan w:val="6"/>
            <w:shd w:val="clear" w:color="auto" w:fill="CCEEFF"/>
          </w:tcPr>
          <w:p>
            <w:pPr>
              <w:spacing w:after="0" w:line="182" w:lineRule="exact"/>
              <w:rPr>
                <w:sz w:val="20"/>
                <w:szCs w:val="20"/>
                <w:color w:val="auto"/>
              </w:rPr>
            </w:pPr>
            <w:r>
              <w:rPr>
                <w:rFonts w:ascii="Arial" w:cs="Arial" w:eastAsia="Arial" w:hAnsi="Arial"/>
                <w:sz w:val="18"/>
                <w:szCs w:val="18"/>
                <w:color w:val="auto"/>
              </w:rPr>
              <w:t>Derivatives not designated as hedging</w:t>
            </w: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7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r>
      <w:tr>
        <w:trPr>
          <w:trHeight w:val="196"/>
        </w:trPr>
        <w:tc>
          <w:tcPr>
            <w:tcW w:w="2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instruments</w:t>
            </w:r>
          </w:p>
        </w:tc>
        <w:tc>
          <w:tcPr>
            <w:tcW w:w="78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7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CCEEFF"/>
            </w:tcBorders>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840" w:type="dxa"/>
            <w:vAlign w:val="bottom"/>
            <w:tcBorders>
              <w:top w:val="single" w:sz="8" w:color="auto"/>
            </w:tcBorders>
            <w:shd w:val="clear" w:color="auto" w:fill="CCEEFF"/>
          </w:tcPr>
          <w:p>
            <w:pPr>
              <w:spacing w:after="0"/>
              <w:rPr>
                <w:sz w:val="4"/>
                <w:szCs w:val="4"/>
                <w:color w:val="auto"/>
              </w:rPr>
            </w:pPr>
          </w:p>
        </w:tc>
        <w:tc>
          <w:tcPr>
            <w:tcW w:w="84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17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6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940" w:type="dxa"/>
            <w:vAlign w:val="bottom"/>
            <w:tcBorders>
              <w:top w:val="single" w:sz="8" w:color="CCEEFF"/>
            </w:tcBorders>
            <w:shd w:val="clear" w:color="auto" w:fill="CCEEFF"/>
          </w:tcPr>
          <w:p>
            <w:pPr>
              <w:spacing w:after="0"/>
              <w:rPr>
                <w:sz w:val="4"/>
                <w:szCs w:val="4"/>
                <w:color w:val="auto"/>
              </w:rPr>
            </w:pPr>
          </w:p>
        </w:tc>
      </w:tr>
      <w:tr>
        <w:trPr>
          <w:trHeight w:val="229"/>
        </w:trPr>
        <w:tc>
          <w:tcPr>
            <w:tcW w:w="20" w:type="dxa"/>
            <w:vAlign w:val="bottom"/>
          </w:tcPr>
          <w:p>
            <w:pPr>
              <w:spacing w:after="0"/>
              <w:rPr>
                <w:sz w:val="19"/>
                <w:szCs w:val="19"/>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Foreign exchange</w:t>
            </w:r>
          </w:p>
        </w:tc>
        <w:tc>
          <w:tcPr>
            <w:tcW w:w="1560" w:type="dxa"/>
            <w:vAlign w:val="bottom"/>
            <w:gridSpan w:val="4"/>
          </w:tcPr>
          <w:p>
            <w:pPr>
              <w:ind w:left="100"/>
              <w:spacing w:after="0"/>
              <w:rPr>
                <w:sz w:val="20"/>
                <w:szCs w:val="20"/>
                <w:color w:val="auto"/>
              </w:rPr>
            </w:pPr>
            <w:r>
              <w:rPr>
                <w:rFonts w:ascii="Arial" w:cs="Arial" w:eastAsia="Arial" w:hAnsi="Arial"/>
                <w:sz w:val="18"/>
                <w:szCs w:val="18"/>
                <w:color w:val="auto"/>
              </w:rPr>
              <w:t>Other current</w:t>
            </w: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r>
      <w:tr>
        <w:trPr>
          <w:trHeight w:val="230"/>
        </w:trPr>
        <w:tc>
          <w:tcPr>
            <w:tcW w:w="2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contracts</w:t>
            </w:r>
          </w:p>
        </w:tc>
        <w:tc>
          <w:tcPr>
            <w:tcW w:w="1560" w:type="dxa"/>
            <w:vAlign w:val="bottom"/>
            <w:gridSpan w:val="4"/>
          </w:tcPr>
          <w:p>
            <w:pPr>
              <w:ind w:left="100"/>
              <w:spacing w:after="0"/>
              <w:rPr>
                <w:sz w:val="20"/>
                <w:szCs w:val="20"/>
                <w:color w:val="auto"/>
              </w:rPr>
            </w:pPr>
            <w:r>
              <w:rPr>
                <w:rFonts w:ascii="Arial" w:cs="Arial" w:eastAsia="Arial" w:hAnsi="Arial"/>
                <w:sz w:val="18"/>
                <w:szCs w:val="18"/>
                <w:color w:val="auto"/>
              </w:rPr>
              <w:t>assets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700" w:type="dxa"/>
            <w:vAlign w:val="bottom"/>
          </w:tcPr>
          <w:p>
            <w:pPr>
              <w:ind w:left="1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29"/>
        </w:trPr>
        <w:tc>
          <w:tcPr>
            <w:tcW w:w="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560" w:type="dxa"/>
            <w:vAlign w:val="bottom"/>
            <w:gridSpan w:val="4"/>
            <w:shd w:val="clear" w:color="auto" w:fill="CCEEFF"/>
          </w:tcPr>
          <w:p>
            <w:pPr>
              <w:ind w:left="100"/>
              <w:spacing w:after="0"/>
              <w:rPr>
                <w:sz w:val="20"/>
                <w:szCs w:val="20"/>
                <w:color w:val="auto"/>
              </w:rPr>
            </w:pPr>
            <w:r>
              <w:rPr>
                <w:rFonts w:ascii="Arial" w:cs="Arial" w:eastAsia="Arial" w:hAnsi="Arial"/>
                <w:sz w:val="18"/>
                <w:szCs w:val="18"/>
                <w:color w:val="auto"/>
              </w:rPr>
              <w:t>Other non-current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7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w:t>
            </w:r>
          </w:p>
        </w:tc>
        <w:tc>
          <w:tcPr>
            <w:tcW w:w="16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r>
      <w:tr>
        <w:trPr>
          <w:trHeight w:val="257"/>
        </w:trPr>
        <w:tc>
          <w:tcPr>
            <w:tcW w:w="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560" w:type="dxa"/>
            <w:vAlign w:val="bottom"/>
            <w:tcBorders>
              <w:bottom w:val="single" w:sz="8" w:color="CCEEFF"/>
            </w:tcBorders>
            <w:gridSpan w:val="4"/>
            <w:shd w:val="clear" w:color="auto" w:fill="CCEEFF"/>
          </w:tcPr>
          <w:p>
            <w:pPr>
              <w:ind w:left="100"/>
              <w:spacing w:after="0"/>
              <w:rPr>
                <w:sz w:val="20"/>
                <w:szCs w:val="20"/>
                <w:color w:val="auto"/>
              </w:rPr>
            </w:pPr>
            <w:r>
              <w:rPr>
                <w:rFonts w:ascii="Arial" w:cs="Arial" w:eastAsia="Arial" w:hAnsi="Arial"/>
                <w:sz w:val="18"/>
                <w:szCs w:val="18"/>
                <w:color w:val="auto"/>
              </w:rPr>
              <w:t>assets</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liabilities</w:t>
            </w:r>
          </w:p>
        </w:tc>
        <w:tc>
          <w:tcPr>
            <w:tcW w:w="16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37"/>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7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2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318"/>
        </w:trPr>
        <w:tc>
          <w:tcPr>
            <w:tcW w:w="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700" w:type="dxa"/>
            <w:vAlign w:val="bottom"/>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1060" w:type="dxa"/>
            <w:vAlign w:val="bottom"/>
            <w:tcBorders>
              <w:bottom w:val="single" w:sz="8" w:color="auto"/>
            </w:tcBorders>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tcBorders>
              <w:bottom w:val="single" w:sz="8" w:color="auto"/>
            </w:tcBorders>
            <w:shd w:val="clear" w:color="auto" w:fill="CCEEFF"/>
          </w:tcPr>
          <w:p>
            <w:pPr>
              <w:spacing w:after="0"/>
              <w:rPr>
                <w:sz w:val="24"/>
                <w:szCs w:val="24"/>
                <w:color w:val="auto"/>
              </w:rPr>
            </w:pPr>
          </w:p>
        </w:tc>
        <w:tc>
          <w:tcPr>
            <w:tcW w:w="940" w:type="dxa"/>
            <w:vAlign w:val="bottom"/>
            <w:tcBorders>
              <w:bottom w:val="single" w:sz="8" w:color="auto"/>
            </w:tcBorders>
            <w:shd w:val="clear" w:color="auto" w:fill="CCEEFF"/>
          </w:tcPr>
          <w:p>
            <w:pPr>
              <w:spacing w:after="0"/>
              <w:rPr>
                <w:sz w:val="24"/>
                <w:szCs w:val="24"/>
                <w:color w:val="auto"/>
              </w:rPr>
            </w:pPr>
          </w:p>
        </w:tc>
      </w:tr>
      <w:tr>
        <w:trPr>
          <w:trHeight w:val="237"/>
        </w:trPr>
        <w:tc>
          <w:tcPr>
            <w:tcW w:w="20" w:type="dxa"/>
            <w:vAlign w:val="bottom"/>
          </w:tcPr>
          <w:p>
            <w:pPr>
              <w:spacing w:after="0"/>
              <w:rPr>
                <w:sz w:val="20"/>
                <w:szCs w:val="20"/>
                <w:color w:val="auto"/>
              </w:rPr>
            </w:pPr>
          </w:p>
        </w:tc>
        <w:tc>
          <w:tcPr>
            <w:tcW w:w="1680" w:type="dxa"/>
            <w:vAlign w:val="bottom"/>
            <w:gridSpan w:val="2"/>
          </w:tcPr>
          <w:p>
            <w:pPr>
              <w:spacing w:after="0"/>
              <w:rPr>
                <w:sz w:val="20"/>
                <w:szCs w:val="20"/>
                <w:color w:val="auto"/>
              </w:rPr>
            </w:pPr>
            <w:r>
              <w:rPr>
                <w:rFonts w:ascii="Arial" w:cs="Arial" w:eastAsia="Arial" w:hAnsi="Arial"/>
                <w:sz w:val="18"/>
                <w:szCs w:val="18"/>
                <w:color w:val="auto"/>
              </w:rPr>
              <w:t>Total derivatives</w:t>
            </w:r>
          </w:p>
        </w:tc>
        <w:tc>
          <w:tcPr>
            <w:tcW w:w="7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47</w:t>
            </w:r>
          </w:p>
        </w:tc>
        <w:tc>
          <w:tcPr>
            <w:tcW w:w="17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59</w:t>
            </w:r>
          </w:p>
        </w:tc>
      </w:tr>
      <w:tr>
        <w:trPr>
          <w:trHeight w:val="27"/>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7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0760"/>
          </w:cols>
          <w:pgMar w:left="90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0760"/>
          </w:cols>
          <w:pgMar w:left="900" w:top="121" w:right="239" w:bottom="1440" w:gutter="0" w:footer="0" w:header="0"/>
          <w:type w:val="continuous"/>
        </w:sectPr>
      </w:pPr>
    </w:p>
    <w:bookmarkStart w:id="18" w:name="page19"/>
    <w:bookmarkEnd w:id="18"/>
    <w:tbl>
      <w:tblPr>
        <w:tblLayout w:type="fixed"/>
        <w:tblInd w:w="0" w:type="dxa"/>
        <w:tblCellMar>
          <w:top w:w="0" w:type="dxa"/>
          <w:left w:w="0" w:type="dxa"/>
          <w:bottom w:w="0" w:type="dxa"/>
          <w:right w:w="0" w:type="dxa"/>
        </w:tblCellMar>
      </w:tblPr>
      <w:tr>
        <w:trPr>
          <w:trHeight w:val="234"/>
        </w:trPr>
        <w:tc>
          <w:tcPr>
            <w:tcW w:w="66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740" w:type="dxa"/>
            <w:vAlign w:val="bottom"/>
            <w:gridSpan w:val="5"/>
          </w:tcPr>
          <w:p>
            <w:pPr>
              <w:ind w:left="100"/>
              <w:spacing w:after="0"/>
              <w:rPr>
                <w:sz w:val="20"/>
                <w:szCs w:val="20"/>
                <w:color w:val="auto"/>
              </w:rPr>
            </w:pPr>
            <w:r>
              <w:rPr>
                <w:rFonts w:ascii="Arial" w:cs="Arial" w:eastAsia="Arial" w:hAnsi="Arial"/>
                <w:sz w:val="18"/>
                <w:szCs w:val="18"/>
                <w:b w:val="1"/>
                <w:bCs w:val="1"/>
                <w:color w:val="auto"/>
                <w:w w:val="90"/>
              </w:rPr>
              <w:t>Crown Holdings, Inc.</w:t>
            </w: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635"/>
        </w:trPr>
        <w:tc>
          <w:tcPr>
            <w:tcW w:w="4800" w:type="dxa"/>
            <w:vAlign w:val="bottom"/>
            <w:gridSpan w:val="3"/>
          </w:tcPr>
          <w:p>
            <w:pPr>
              <w:ind w:left="660"/>
              <w:spacing w:after="0"/>
              <w:rPr>
                <w:sz w:val="20"/>
                <w:szCs w:val="20"/>
                <w:color w:val="auto"/>
              </w:rPr>
            </w:pPr>
            <w:r>
              <w:rPr>
                <w:rFonts w:ascii="Arial" w:cs="Arial" w:eastAsia="Arial" w:hAnsi="Arial"/>
                <w:sz w:val="18"/>
                <w:szCs w:val="18"/>
                <w:color w:val="auto"/>
              </w:rPr>
              <w:t>Fair Value Hedge Carrying Amounts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615"/>
        </w:trPr>
        <w:tc>
          <w:tcPr>
            <w:tcW w:w="660" w:type="dxa"/>
            <w:vAlign w:val="bottom"/>
          </w:tcPr>
          <w:p>
            <w:pPr>
              <w:spacing w:after="0"/>
              <w:rPr>
                <w:sz w:val="24"/>
                <w:szCs w:val="24"/>
                <w:color w:val="auto"/>
              </w:rPr>
            </w:pPr>
          </w:p>
        </w:tc>
        <w:tc>
          <w:tcPr>
            <w:tcW w:w="2640" w:type="dxa"/>
            <w:vAlign w:val="bottom"/>
            <w:tcBorders>
              <w:top w:val="single" w:sz="8" w:color="auto"/>
            </w:tcBorders>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80" w:type="dxa"/>
            <w:vAlign w:val="bottom"/>
            <w:gridSpan w:val="5"/>
          </w:tcPr>
          <w:p>
            <w:pPr>
              <w:jc w:val="right"/>
              <w:ind w:right="270"/>
              <w:spacing w:after="0"/>
              <w:rPr>
                <w:sz w:val="20"/>
                <w:szCs w:val="20"/>
                <w:color w:val="auto"/>
              </w:rPr>
            </w:pPr>
            <w:r>
              <w:rPr>
                <w:rFonts w:ascii="Arial" w:cs="Arial" w:eastAsia="Arial" w:hAnsi="Arial"/>
                <w:sz w:val="18"/>
                <w:szCs w:val="18"/>
                <w:color w:val="auto"/>
                <w:w w:val="96"/>
              </w:rPr>
              <w:t>Carrying amount of the hedged</w:t>
            </w:r>
          </w:p>
        </w:tc>
      </w:tr>
      <w:tr>
        <w:trPr>
          <w:trHeight w:val="270"/>
        </w:trPr>
        <w:tc>
          <w:tcPr>
            <w:tcW w:w="660" w:type="dxa"/>
            <w:vAlign w:val="bottom"/>
          </w:tcPr>
          <w:p>
            <w:pPr>
              <w:spacing w:after="0"/>
              <w:rPr>
                <w:sz w:val="23"/>
                <w:szCs w:val="23"/>
                <w:color w:val="auto"/>
              </w:rPr>
            </w:pPr>
          </w:p>
        </w:tc>
        <w:tc>
          <w:tcPr>
            <w:tcW w:w="2640" w:type="dxa"/>
            <w:vAlign w:val="bottom"/>
          </w:tcPr>
          <w:p>
            <w:pPr>
              <w:spacing w:after="0"/>
              <w:rPr>
                <w:sz w:val="23"/>
                <w:szCs w:val="23"/>
                <w:color w:val="auto"/>
              </w:rPr>
            </w:pPr>
          </w:p>
        </w:tc>
        <w:tc>
          <w:tcPr>
            <w:tcW w:w="1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780" w:type="dxa"/>
            <w:vAlign w:val="bottom"/>
            <w:gridSpan w:val="5"/>
          </w:tcPr>
          <w:p>
            <w:pPr>
              <w:jc w:val="right"/>
              <w:ind w:right="750"/>
              <w:spacing w:after="0"/>
              <w:rPr>
                <w:sz w:val="20"/>
                <w:szCs w:val="20"/>
                <w:color w:val="auto"/>
              </w:rPr>
            </w:pPr>
            <w:r>
              <w:rPr>
                <w:rFonts w:ascii="Arial" w:cs="Arial" w:eastAsia="Arial" w:hAnsi="Arial"/>
                <w:sz w:val="18"/>
                <w:szCs w:val="18"/>
                <w:color w:val="auto"/>
              </w:rPr>
              <w:t>assets/(liabilities)</w:t>
            </w:r>
          </w:p>
        </w:tc>
      </w:tr>
      <w:tr>
        <w:trPr>
          <w:trHeight w:val="27"/>
        </w:trPr>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gridSpan w:val="3"/>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492"/>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Line item in the Balance Sheet in which the hedged item is</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20" w:type="dxa"/>
            <w:vAlign w:val="bottom"/>
            <w:gridSpan w:val="3"/>
          </w:tcPr>
          <w:p>
            <w:pPr>
              <w:ind w:left="80"/>
              <w:spacing w:after="0"/>
              <w:rPr>
                <w:sz w:val="20"/>
                <w:szCs w:val="20"/>
                <w:color w:val="auto"/>
              </w:rPr>
            </w:pPr>
            <w:r>
              <w:rPr>
                <w:rFonts w:ascii="Arial" w:cs="Arial" w:eastAsia="Arial" w:hAnsi="Arial"/>
                <w:sz w:val="18"/>
                <w:szCs w:val="18"/>
                <w:color w:val="auto"/>
              </w:rPr>
              <w:t>March 31,</w:t>
            </w:r>
          </w:p>
        </w:tc>
        <w:tc>
          <w:tcPr>
            <w:tcW w:w="120" w:type="dxa"/>
            <w:vAlign w:val="bottom"/>
          </w:tcPr>
          <w:p>
            <w:pPr>
              <w:spacing w:after="0"/>
              <w:rPr>
                <w:sz w:val="24"/>
                <w:szCs w:val="24"/>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w w:val="90"/>
              </w:rPr>
              <w:t>December 31,</w:t>
            </w:r>
          </w:p>
        </w:tc>
      </w:tr>
      <w:tr>
        <w:trPr>
          <w:trHeight w:val="230"/>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included</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jc w:val="right"/>
              <w:ind w:right="410"/>
              <w:spacing w:after="0"/>
              <w:rPr>
                <w:sz w:val="20"/>
                <w:szCs w:val="20"/>
                <w:color w:val="auto"/>
              </w:rPr>
            </w:pPr>
            <w:r>
              <w:rPr>
                <w:rFonts w:ascii="Arial" w:cs="Arial" w:eastAsia="Arial" w:hAnsi="Arial"/>
                <w:sz w:val="18"/>
                <w:szCs w:val="18"/>
                <w:color w:val="auto"/>
              </w:rPr>
              <w:t>2019</w:t>
            </w: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jc w:val="right"/>
              <w:ind w:right="410"/>
              <w:spacing w:after="0"/>
              <w:rPr>
                <w:sz w:val="20"/>
                <w:szCs w:val="20"/>
                <w:color w:val="auto"/>
              </w:rPr>
            </w:pPr>
            <w:r>
              <w:rPr>
                <w:rFonts w:ascii="Arial" w:cs="Arial" w:eastAsia="Arial" w:hAnsi="Arial"/>
                <w:sz w:val="18"/>
                <w:szCs w:val="18"/>
                <w:color w:val="auto"/>
              </w:rPr>
              <w:t>2018</w:t>
            </w:r>
          </w:p>
        </w:tc>
      </w:tr>
      <w:tr>
        <w:trPr>
          <w:trHeight w:val="27"/>
        </w:trPr>
        <w:tc>
          <w:tcPr>
            <w:tcW w:w="660" w:type="dxa"/>
            <w:vAlign w:val="bottom"/>
            <w:tcBorders>
              <w:bottom w:val="single" w:sz="8" w:color="auto"/>
            </w:tcBorders>
          </w:tcPr>
          <w:p>
            <w:pPr>
              <w:spacing w:after="0"/>
              <w:rPr>
                <w:sz w:val="2"/>
                <w:szCs w:val="2"/>
                <w:color w:val="auto"/>
              </w:rPr>
            </w:pPr>
          </w:p>
        </w:tc>
        <w:tc>
          <w:tcPr>
            <w:tcW w:w="26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4"/>
        </w:trPr>
        <w:tc>
          <w:tcPr>
            <w:tcW w:w="480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r>
      <w:tr>
        <w:trPr>
          <w:trHeight w:val="243"/>
        </w:trPr>
        <w:tc>
          <w:tcPr>
            <w:tcW w:w="4800" w:type="dxa"/>
            <w:vAlign w:val="bottom"/>
            <w:gridSpan w:val="3"/>
          </w:tcPr>
          <w:p>
            <w:pPr>
              <w:ind w:left="40"/>
              <w:spacing w:after="0"/>
              <w:rPr>
                <w:sz w:val="20"/>
                <w:szCs w:val="20"/>
                <w:color w:val="auto"/>
              </w:rPr>
            </w:pPr>
            <w:r>
              <w:rPr>
                <w:rFonts w:ascii="Arial" w:cs="Arial" w:eastAsia="Arial" w:hAnsi="Arial"/>
                <w:sz w:val="18"/>
                <w:szCs w:val="18"/>
                <w:color w:val="auto"/>
              </w:rPr>
              <w:t>Receivables, net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660" w:type="dxa"/>
            <w:vAlign w:val="bottom"/>
          </w:tcPr>
          <w:p>
            <w:pPr>
              <w:spacing w:after="0"/>
              <w:rPr>
                <w:sz w:val="2"/>
                <w:szCs w:val="2"/>
                <w:color w:val="auto"/>
              </w:rPr>
            </w:pPr>
          </w:p>
        </w:tc>
        <w:tc>
          <w:tcPr>
            <w:tcW w:w="26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43"/>
        </w:trPr>
        <w:tc>
          <w:tcPr>
            <w:tcW w:w="4800" w:type="dxa"/>
            <w:vAlign w:val="bottom"/>
            <w:gridSpan w:val="3"/>
            <w:shd w:val="clear" w:color="auto" w:fill="CCEEFF"/>
          </w:tcPr>
          <w:p>
            <w:pPr>
              <w:ind w:left="40"/>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4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660" w:type="dxa"/>
            <w:vAlign w:val="bottom"/>
            <w:shd w:val="clear" w:color="auto" w:fill="CCEEFF"/>
          </w:tcPr>
          <w:p>
            <w:pPr>
              <w:spacing w:after="0"/>
              <w:rPr>
                <w:sz w:val="2"/>
                <w:szCs w:val="2"/>
                <w:color w:val="auto"/>
              </w:rPr>
            </w:pPr>
          </w:p>
        </w:tc>
        <w:tc>
          <w:tcPr>
            <w:tcW w:w="26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right="20"/>
        <w:spacing w:after="0" w:line="264" w:lineRule="auto"/>
        <w:rPr>
          <w:sz w:val="20"/>
          <w:szCs w:val="20"/>
          <w:color w:val="auto"/>
        </w:rPr>
      </w:pPr>
      <w:r>
        <w:rPr>
          <w:rFonts w:ascii="Arial" w:cs="Arial" w:eastAsia="Arial" w:hAnsi="Arial"/>
          <w:sz w:val="18"/>
          <w:szCs w:val="18"/>
          <w:color w:val="auto"/>
        </w:rPr>
        <w:t>As of March 31, 2019, the cumulative amounts of fair value hedging adjustments included in the carrying amount of the hedge assets and liabilities were a gain of $1. As of December 31, 2018, the cumulative amounts of fair value hedging adjustments included in the carrying amount of the hedge assets and liabilities were less than $1.</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Offsetting of Derivative Assets and Liabilities</w:t>
      </w:r>
    </w:p>
    <w:p>
      <w:pPr>
        <w:spacing w:after="0" w:line="225"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Certain derivative financial instruments are subject to agreements with counterparties similar to master netting arrangements and are eligible for offset. The Company has made an accounting policy election not to offset the fair values of these instruments within the statement of financial position. In the table below, the aggregate fair values of the Company's derivative assets and liabilities are presented on both a gross and net basis, where appropriate.</w:t>
      </w:r>
    </w:p>
    <w:p>
      <w:pPr>
        <w:spacing w:after="0" w:line="34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760" w:type="dxa"/>
            <w:vAlign w:val="bottom"/>
          </w:tcPr>
          <w:p>
            <w:pPr>
              <w:jc w:val="center"/>
              <w:ind w:left="410"/>
              <w:spacing w:after="0"/>
              <w:rPr>
                <w:sz w:val="20"/>
                <w:szCs w:val="20"/>
                <w:color w:val="auto"/>
              </w:rPr>
            </w:pPr>
            <w:r>
              <w:rPr>
                <w:rFonts w:ascii="Arial" w:cs="Arial" w:eastAsia="Arial" w:hAnsi="Arial"/>
                <w:sz w:val="18"/>
                <w:szCs w:val="18"/>
                <w:color w:val="auto"/>
                <w:w w:val="89"/>
              </w:rPr>
              <w:t>Gross amounts recognized in</w:t>
            </w:r>
          </w:p>
        </w:tc>
        <w:tc>
          <w:tcPr>
            <w:tcW w:w="2520" w:type="dxa"/>
            <w:vAlign w:val="bottom"/>
          </w:tcPr>
          <w:p>
            <w:pPr>
              <w:jc w:val="center"/>
              <w:ind w:right="30"/>
              <w:spacing w:after="0"/>
              <w:rPr>
                <w:sz w:val="20"/>
                <w:szCs w:val="20"/>
                <w:color w:val="auto"/>
              </w:rPr>
            </w:pPr>
            <w:r>
              <w:rPr>
                <w:rFonts w:ascii="Arial" w:cs="Arial" w:eastAsia="Arial" w:hAnsi="Arial"/>
                <w:sz w:val="18"/>
                <w:szCs w:val="18"/>
                <w:color w:val="auto"/>
                <w:w w:val="89"/>
              </w:rPr>
              <w:t>Gross amounts not offset in the</w:t>
            </w:r>
          </w:p>
        </w:tc>
        <w:tc>
          <w:tcPr>
            <w:tcW w:w="1380" w:type="dxa"/>
            <w:vAlign w:val="bottom"/>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760" w:type="dxa"/>
            <w:vAlign w:val="bottom"/>
          </w:tcPr>
          <w:p>
            <w:pPr>
              <w:jc w:val="center"/>
              <w:ind w:left="410"/>
              <w:spacing w:after="0"/>
              <w:rPr>
                <w:sz w:val="20"/>
                <w:szCs w:val="20"/>
                <w:color w:val="auto"/>
              </w:rPr>
            </w:pPr>
            <w:r>
              <w:rPr>
                <w:rFonts w:ascii="Arial" w:cs="Arial" w:eastAsia="Arial" w:hAnsi="Arial"/>
                <w:sz w:val="18"/>
                <w:szCs w:val="18"/>
                <w:color w:val="auto"/>
                <w:w w:val="88"/>
              </w:rPr>
              <w:t>the Balance Sheet</w:t>
            </w:r>
          </w:p>
        </w:tc>
        <w:tc>
          <w:tcPr>
            <w:tcW w:w="2520" w:type="dxa"/>
            <w:vAlign w:val="bottom"/>
          </w:tcPr>
          <w:p>
            <w:pPr>
              <w:jc w:val="center"/>
              <w:ind w:right="50"/>
              <w:spacing w:after="0"/>
              <w:rPr>
                <w:sz w:val="20"/>
                <w:szCs w:val="20"/>
                <w:color w:val="auto"/>
              </w:rPr>
            </w:pPr>
            <w:r>
              <w:rPr>
                <w:rFonts w:ascii="Arial" w:cs="Arial" w:eastAsia="Arial" w:hAnsi="Arial"/>
                <w:sz w:val="18"/>
                <w:szCs w:val="18"/>
                <w:color w:val="auto"/>
                <w:w w:val="87"/>
              </w:rPr>
              <w:t>Balance Sheet</w:t>
            </w:r>
          </w:p>
        </w:tc>
        <w:tc>
          <w:tcPr>
            <w:tcW w:w="1380" w:type="dxa"/>
            <w:vAlign w:val="bottom"/>
          </w:tcPr>
          <w:p>
            <w:pPr>
              <w:ind w:left="200"/>
              <w:spacing w:after="0"/>
              <w:rPr>
                <w:sz w:val="20"/>
                <w:szCs w:val="20"/>
                <w:color w:val="auto"/>
              </w:rPr>
            </w:pPr>
            <w:r>
              <w:rPr>
                <w:rFonts w:ascii="Arial" w:cs="Arial" w:eastAsia="Arial" w:hAnsi="Arial"/>
                <w:sz w:val="18"/>
                <w:szCs w:val="18"/>
                <w:color w:val="auto"/>
              </w:rPr>
              <w:t>Net amount</w:t>
            </w:r>
          </w:p>
        </w:tc>
      </w:tr>
      <w:tr>
        <w:trPr>
          <w:trHeight w:val="27"/>
        </w:trPr>
        <w:tc>
          <w:tcPr>
            <w:tcW w:w="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2820" w:type="dxa"/>
            <w:vAlign w:val="bottom"/>
            <w:gridSpan w:val="3"/>
          </w:tcPr>
          <w:p>
            <w:pPr>
              <w:spacing w:after="0" w:line="196" w:lineRule="exact"/>
              <w:rPr>
                <w:sz w:val="20"/>
                <w:szCs w:val="20"/>
                <w:color w:val="auto"/>
              </w:rPr>
            </w:pPr>
            <w:r>
              <w:rPr>
                <w:rFonts w:ascii="Arial" w:cs="Arial" w:eastAsia="Arial" w:hAnsi="Arial"/>
                <w:sz w:val="18"/>
                <w:szCs w:val="18"/>
                <w:color w:val="auto"/>
              </w:rPr>
              <w:t>Balance at March 31, 2019</w:t>
            </w:r>
          </w:p>
        </w:tc>
        <w:tc>
          <w:tcPr>
            <w:tcW w:w="27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40" w:type="dxa"/>
            <w:vAlign w:val="bottom"/>
            <w:tcBorders>
              <w:top w:val="single" w:sz="8" w:color="auto"/>
            </w:tcBorders>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7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6"/>
              </w:rPr>
              <w:t>$66</w:t>
            </w:r>
          </w:p>
        </w:tc>
        <w:tc>
          <w:tcPr>
            <w:tcW w:w="2520" w:type="dxa"/>
            <w:vAlign w:val="bottom"/>
            <w:tcBorders>
              <w:bottom w:val="single" w:sz="8" w:color="CCEEFF"/>
            </w:tcBorders>
            <w:shd w:val="clear" w:color="auto" w:fill="CCEEFF"/>
          </w:tcPr>
          <w:p>
            <w:pPr>
              <w:jc w:val="center"/>
              <w:ind w:right="30"/>
              <w:spacing w:after="0"/>
              <w:rPr>
                <w:sz w:val="20"/>
                <w:szCs w:val="20"/>
                <w:color w:val="auto"/>
              </w:rPr>
            </w:pPr>
            <w:r>
              <w:rPr>
                <w:rFonts w:ascii="Arial" w:cs="Arial" w:eastAsia="Arial" w:hAnsi="Arial"/>
                <w:sz w:val="18"/>
                <w:szCs w:val="18"/>
                <w:color w:val="auto"/>
                <w:w w:val="93"/>
              </w:rPr>
              <w:t>$17</w:t>
            </w:r>
          </w:p>
        </w:tc>
        <w:tc>
          <w:tcPr>
            <w:tcW w:w="13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6"/>
              </w:rPr>
              <w:t>$49</w:t>
            </w:r>
          </w:p>
        </w:tc>
      </w:tr>
      <w:tr>
        <w:trPr>
          <w:trHeight w:val="243"/>
        </w:trPr>
        <w:tc>
          <w:tcPr>
            <w:tcW w:w="20" w:type="dxa"/>
            <w:vAlign w:val="bottom"/>
          </w:tcPr>
          <w:p>
            <w:pPr>
              <w:spacing w:after="0"/>
              <w:rPr>
                <w:sz w:val="21"/>
                <w:szCs w:val="21"/>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760" w:type="dxa"/>
            <w:vAlign w:val="bottom"/>
          </w:tcPr>
          <w:p>
            <w:pPr>
              <w:jc w:val="center"/>
              <w:ind w:left="410"/>
              <w:spacing w:after="0"/>
              <w:rPr>
                <w:sz w:val="20"/>
                <w:szCs w:val="20"/>
                <w:color w:val="auto"/>
              </w:rPr>
            </w:pPr>
            <w:r>
              <w:rPr>
                <w:rFonts w:ascii="Arial" w:cs="Arial" w:eastAsia="Arial" w:hAnsi="Arial"/>
                <w:sz w:val="18"/>
                <w:szCs w:val="18"/>
                <w:color w:val="auto"/>
                <w:w w:val="89"/>
              </w:rPr>
              <w:t>45</w:t>
            </w:r>
          </w:p>
        </w:tc>
        <w:tc>
          <w:tcPr>
            <w:tcW w:w="2520" w:type="dxa"/>
            <w:vAlign w:val="bottom"/>
          </w:tcPr>
          <w:p>
            <w:pPr>
              <w:jc w:val="center"/>
              <w:ind w:right="50"/>
              <w:spacing w:after="0"/>
              <w:rPr>
                <w:sz w:val="20"/>
                <w:szCs w:val="20"/>
                <w:color w:val="auto"/>
              </w:rPr>
            </w:pPr>
            <w:r>
              <w:rPr>
                <w:rFonts w:ascii="Arial" w:cs="Arial" w:eastAsia="Arial" w:hAnsi="Arial"/>
                <w:sz w:val="18"/>
                <w:szCs w:val="18"/>
                <w:color w:val="auto"/>
                <w:w w:val="89"/>
              </w:rPr>
              <w:t>17</w:t>
            </w:r>
          </w:p>
        </w:tc>
        <w:tc>
          <w:tcPr>
            <w:tcW w:w="1380" w:type="dxa"/>
            <w:vAlign w:val="bottom"/>
          </w:tcPr>
          <w:p>
            <w:pPr>
              <w:jc w:val="center"/>
              <w:ind w:right="70"/>
              <w:spacing w:after="0"/>
              <w:rPr>
                <w:sz w:val="20"/>
                <w:szCs w:val="20"/>
                <w:color w:val="auto"/>
              </w:rPr>
            </w:pPr>
            <w:r>
              <w:rPr>
                <w:rFonts w:ascii="Arial" w:cs="Arial" w:eastAsia="Arial" w:hAnsi="Arial"/>
                <w:sz w:val="18"/>
                <w:szCs w:val="18"/>
                <w:color w:val="auto"/>
                <w:w w:val="89"/>
              </w:rPr>
              <w:t>28</w:t>
            </w:r>
          </w:p>
        </w:tc>
      </w:tr>
      <w:tr>
        <w:trPr>
          <w:trHeight w:val="27"/>
        </w:trPr>
        <w:tc>
          <w:tcPr>
            <w:tcW w:w="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760" w:type="dxa"/>
            <w:vAlign w:val="bottom"/>
          </w:tcPr>
          <w:p>
            <w:pPr>
              <w:spacing w:after="0"/>
              <w:rPr>
                <w:sz w:val="2"/>
                <w:szCs w:val="2"/>
                <w:color w:val="auto"/>
              </w:rPr>
            </w:pPr>
          </w:p>
        </w:tc>
        <w:tc>
          <w:tcPr>
            <w:tcW w:w="252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324"/>
        </w:trPr>
        <w:tc>
          <w:tcPr>
            <w:tcW w:w="20" w:type="dxa"/>
            <w:vAlign w:val="bottom"/>
            <w:shd w:val="clear" w:color="auto" w:fill="CCEEFF"/>
          </w:tcPr>
          <w:p>
            <w:pPr>
              <w:spacing w:after="0"/>
              <w:rPr>
                <w:sz w:val="24"/>
                <w:szCs w:val="24"/>
                <w:color w:val="auto"/>
              </w:rPr>
            </w:pPr>
          </w:p>
        </w:tc>
        <w:tc>
          <w:tcPr>
            <w:tcW w:w="19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600" w:type="dxa"/>
            <w:vAlign w:val="bottom"/>
            <w:shd w:val="clear" w:color="auto" w:fill="CCEEFF"/>
          </w:tcPr>
          <w:p>
            <w:pPr>
              <w:spacing w:after="0"/>
              <w:rPr>
                <w:sz w:val="24"/>
                <w:szCs w:val="24"/>
                <w:color w:val="auto"/>
              </w:rPr>
            </w:pPr>
          </w:p>
        </w:tc>
        <w:tc>
          <w:tcPr>
            <w:tcW w:w="2760" w:type="dxa"/>
            <w:vAlign w:val="bottom"/>
            <w:shd w:val="clear" w:color="auto" w:fill="CCEEFF"/>
          </w:tcPr>
          <w:p>
            <w:pPr>
              <w:spacing w:after="0"/>
              <w:rPr>
                <w:sz w:val="24"/>
                <w:szCs w:val="24"/>
                <w:color w:val="auto"/>
              </w:rPr>
            </w:pPr>
          </w:p>
        </w:tc>
        <w:tc>
          <w:tcPr>
            <w:tcW w:w="25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r>
      <w:tr>
        <w:trPr>
          <w:trHeight w:val="203"/>
        </w:trPr>
        <w:tc>
          <w:tcPr>
            <w:tcW w:w="20" w:type="dxa"/>
            <w:vAlign w:val="bottom"/>
          </w:tcPr>
          <w:p>
            <w:pPr>
              <w:spacing w:after="0"/>
              <w:rPr>
                <w:sz w:val="17"/>
                <w:szCs w:val="17"/>
                <w:color w:val="auto"/>
              </w:rPr>
            </w:pPr>
          </w:p>
        </w:tc>
        <w:tc>
          <w:tcPr>
            <w:tcW w:w="2820" w:type="dxa"/>
            <w:vAlign w:val="bottom"/>
            <w:gridSpan w:val="3"/>
          </w:tcPr>
          <w:p>
            <w:pPr>
              <w:spacing w:after="0" w:line="202" w:lineRule="exact"/>
              <w:rPr>
                <w:sz w:val="20"/>
                <w:szCs w:val="20"/>
                <w:color w:val="auto"/>
              </w:rPr>
            </w:pPr>
            <w:r>
              <w:rPr>
                <w:rFonts w:ascii="Arial" w:cs="Arial" w:eastAsia="Arial" w:hAnsi="Arial"/>
                <w:sz w:val="18"/>
                <w:szCs w:val="18"/>
                <w:color w:val="auto"/>
              </w:rPr>
              <w:t>Balance at December 31, 2018</w:t>
            </w:r>
          </w:p>
        </w:tc>
        <w:tc>
          <w:tcPr>
            <w:tcW w:w="276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380" w:type="dxa"/>
            <w:vAlign w:val="bottom"/>
          </w:tcPr>
          <w:p>
            <w:pPr>
              <w:spacing w:after="0"/>
              <w:rPr>
                <w:sz w:val="17"/>
                <w:szCs w:val="17"/>
                <w:color w:val="auto"/>
              </w:rPr>
            </w:pPr>
          </w:p>
        </w:tc>
      </w:tr>
      <w:tr>
        <w:trPr>
          <w:trHeight w:val="48"/>
        </w:trPr>
        <w:tc>
          <w:tcPr>
            <w:tcW w:w="20" w:type="dxa"/>
            <w:vAlign w:val="bottom"/>
          </w:tcPr>
          <w:p>
            <w:pPr>
              <w:spacing w:after="0"/>
              <w:rPr>
                <w:sz w:val="4"/>
                <w:szCs w:val="4"/>
                <w:color w:val="auto"/>
              </w:rPr>
            </w:pPr>
          </w:p>
        </w:tc>
        <w:tc>
          <w:tcPr>
            <w:tcW w:w="1940" w:type="dxa"/>
            <w:vAlign w:val="bottom"/>
            <w:tcBorders>
              <w:top w:val="single" w:sz="8" w:color="auto"/>
            </w:tcBorders>
          </w:tcPr>
          <w:p>
            <w:pPr>
              <w:spacing w:after="0"/>
              <w:rPr>
                <w:sz w:val="4"/>
                <w:szCs w:val="4"/>
                <w:color w:val="auto"/>
              </w:rPr>
            </w:pPr>
          </w:p>
        </w:tc>
        <w:tc>
          <w:tcPr>
            <w:tcW w:w="280" w:type="dxa"/>
            <w:vAlign w:val="bottom"/>
            <w:tcBorders>
              <w:top w:val="single" w:sz="8" w:color="auto"/>
            </w:tcBorders>
          </w:tcPr>
          <w:p>
            <w:pPr>
              <w:spacing w:after="0"/>
              <w:rPr>
                <w:sz w:val="4"/>
                <w:szCs w:val="4"/>
                <w:color w:val="auto"/>
              </w:rPr>
            </w:pPr>
          </w:p>
        </w:tc>
        <w:tc>
          <w:tcPr>
            <w:tcW w:w="600" w:type="dxa"/>
            <w:vAlign w:val="bottom"/>
          </w:tcPr>
          <w:p>
            <w:pPr>
              <w:spacing w:after="0"/>
              <w:rPr>
                <w:sz w:val="4"/>
                <w:szCs w:val="4"/>
                <w:color w:val="auto"/>
              </w:rPr>
            </w:pPr>
          </w:p>
        </w:tc>
        <w:tc>
          <w:tcPr>
            <w:tcW w:w="2760" w:type="dxa"/>
            <w:vAlign w:val="bottom"/>
          </w:tcPr>
          <w:p>
            <w:pPr>
              <w:spacing w:after="0"/>
              <w:rPr>
                <w:sz w:val="4"/>
                <w:szCs w:val="4"/>
                <w:color w:val="auto"/>
              </w:rPr>
            </w:pPr>
          </w:p>
        </w:tc>
        <w:tc>
          <w:tcPr>
            <w:tcW w:w="2520" w:type="dxa"/>
            <w:vAlign w:val="bottom"/>
          </w:tcPr>
          <w:p>
            <w:pPr>
              <w:spacing w:after="0"/>
              <w:rPr>
                <w:sz w:val="4"/>
                <w:szCs w:val="4"/>
                <w:color w:val="auto"/>
              </w:rPr>
            </w:pPr>
          </w:p>
        </w:tc>
        <w:tc>
          <w:tcPr>
            <w:tcW w:w="1380" w:type="dxa"/>
            <w:vAlign w:val="bottom"/>
          </w:tcPr>
          <w:p>
            <w:pPr>
              <w:spacing w:after="0"/>
              <w:rPr>
                <w:sz w:val="4"/>
                <w:szCs w:val="4"/>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Derivative assets</w:t>
            </w:r>
          </w:p>
        </w:tc>
        <w:tc>
          <w:tcPr>
            <w:tcW w:w="2760" w:type="dxa"/>
            <w:vAlign w:val="bottom"/>
            <w:tcBorders>
              <w:bottom w:val="single" w:sz="8" w:color="CCEEFF"/>
            </w:tcBorders>
            <w:shd w:val="clear" w:color="auto" w:fill="CCEEFF"/>
          </w:tcPr>
          <w:p>
            <w:pPr>
              <w:jc w:val="center"/>
              <w:ind w:left="410"/>
              <w:spacing w:after="0"/>
              <w:rPr>
                <w:sz w:val="20"/>
                <w:szCs w:val="20"/>
                <w:color w:val="auto"/>
              </w:rPr>
            </w:pPr>
            <w:r>
              <w:rPr>
                <w:rFonts w:ascii="Arial" w:cs="Arial" w:eastAsia="Arial" w:hAnsi="Arial"/>
                <w:sz w:val="18"/>
                <w:szCs w:val="18"/>
                <w:color w:val="auto"/>
                <w:w w:val="89"/>
              </w:rPr>
              <w:t>47</w:t>
            </w:r>
          </w:p>
        </w:tc>
        <w:tc>
          <w:tcPr>
            <w:tcW w:w="2520" w:type="dxa"/>
            <w:vAlign w:val="bottom"/>
            <w:tcBorders>
              <w:bottom w:val="single" w:sz="8" w:color="CCEEFF"/>
            </w:tcBorders>
            <w:shd w:val="clear" w:color="auto" w:fill="CCEEFF"/>
          </w:tcPr>
          <w:p>
            <w:pPr>
              <w:jc w:val="center"/>
              <w:ind w:right="50"/>
              <w:spacing w:after="0"/>
              <w:rPr>
                <w:sz w:val="20"/>
                <w:szCs w:val="20"/>
                <w:color w:val="auto"/>
              </w:rPr>
            </w:pPr>
            <w:r>
              <w:rPr>
                <w:rFonts w:ascii="Arial" w:cs="Arial" w:eastAsia="Arial" w:hAnsi="Arial"/>
                <w:sz w:val="18"/>
                <w:szCs w:val="18"/>
                <w:color w:val="auto"/>
                <w:w w:val="89"/>
              </w:rPr>
              <w:t>19</w:t>
            </w:r>
          </w:p>
        </w:tc>
        <w:tc>
          <w:tcPr>
            <w:tcW w:w="1380" w:type="dxa"/>
            <w:vAlign w:val="bottom"/>
            <w:tcBorders>
              <w:bottom w:val="single" w:sz="8" w:color="CCEEFF"/>
            </w:tcBorders>
            <w:shd w:val="clear" w:color="auto" w:fill="CCEEFF"/>
          </w:tcPr>
          <w:p>
            <w:pPr>
              <w:jc w:val="center"/>
              <w:ind w:right="70"/>
              <w:spacing w:after="0"/>
              <w:rPr>
                <w:sz w:val="20"/>
                <w:szCs w:val="20"/>
                <w:color w:val="auto"/>
              </w:rPr>
            </w:pPr>
            <w:r>
              <w:rPr>
                <w:rFonts w:ascii="Arial" w:cs="Arial" w:eastAsia="Arial" w:hAnsi="Arial"/>
                <w:sz w:val="18"/>
                <w:szCs w:val="18"/>
                <w:color w:val="auto"/>
                <w:w w:val="89"/>
              </w:rPr>
              <w:t>28</w:t>
            </w:r>
          </w:p>
        </w:tc>
      </w:tr>
      <w:tr>
        <w:trPr>
          <w:trHeight w:val="243"/>
        </w:trPr>
        <w:tc>
          <w:tcPr>
            <w:tcW w:w="20" w:type="dxa"/>
            <w:vAlign w:val="bottom"/>
          </w:tcPr>
          <w:p>
            <w:pPr>
              <w:spacing w:after="0"/>
              <w:rPr>
                <w:sz w:val="21"/>
                <w:szCs w:val="21"/>
                <w:color w:val="auto"/>
              </w:rPr>
            </w:pPr>
          </w:p>
        </w:tc>
        <w:tc>
          <w:tcPr>
            <w:tcW w:w="2820" w:type="dxa"/>
            <w:vAlign w:val="bottom"/>
            <w:gridSpan w:val="3"/>
          </w:tcPr>
          <w:p>
            <w:pPr>
              <w:spacing w:after="0"/>
              <w:rPr>
                <w:sz w:val="20"/>
                <w:szCs w:val="20"/>
                <w:color w:val="auto"/>
              </w:rPr>
            </w:pPr>
            <w:r>
              <w:rPr>
                <w:rFonts w:ascii="Arial" w:cs="Arial" w:eastAsia="Arial" w:hAnsi="Arial"/>
                <w:sz w:val="18"/>
                <w:szCs w:val="18"/>
                <w:color w:val="auto"/>
              </w:rPr>
              <w:t>Derivative liabilities</w:t>
            </w:r>
          </w:p>
        </w:tc>
        <w:tc>
          <w:tcPr>
            <w:tcW w:w="2760" w:type="dxa"/>
            <w:vAlign w:val="bottom"/>
          </w:tcPr>
          <w:p>
            <w:pPr>
              <w:jc w:val="center"/>
              <w:ind w:left="410"/>
              <w:spacing w:after="0"/>
              <w:rPr>
                <w:sz w:val="20"/>
                <w:szCs w:val="20"/>
                <w:color w:val="auto"/>
              </w:rPr>
            </w:pPr>
            <w:r>
              <w:rPr>
                <w:rFonts w:ascii="Arial" w:cs="Arial" w:eastAsia="Arial" w:hAnsi="Arial"/>
                <w:sz w:val="18"/>
                <w:szCs w:val="18"/>
                <w:color w:val="auto"/>
                <w:w w:val="89"/>
              </w:rPr>
              <w:t>59</w:t>
            </w:r>
          </w:p>
        </w:tc>
        <w:tc>
          <w:tcPr>
            <w:tcW w:w="2520" w:type="dxa"/>
            <w:vAlign w:val="bottom"/>
          </w:tcPr>
          <w:p>
            <w:pPr>
              <w:jc w:val="center"/>
              <w:ind w:right="50"/>
              <w:spacing w:after="0"/>
              <w:rPr>
                <w:sz w:val="20"/>
                <w:szCs w:val="20"/>
                <w:color w:val="auto"/>
              </w:rPr>
            </w:pPr>
            <w:r>
              <w:rPr>
                <w:rFonts w:ascii="Arial" w:cs="Arial" w:eastAsia="Arial" w:hAnsi="Arial"/>
                <w:sz w:val="18"/>
                <w:szCs w:val="18"/>
                <w:color w:val="auto"/>
                <w:w w:val="89"/>
              </w:rPr>
              <w:t>19</w:t>
            </w:r>
          </w:p>
        </w:tc>
        <w:tc>
          <w:tcPr>
            <w:tcW w:w="1380" w:type="dxa"/>
            <w:vAlign w:val="bottom"/>
          </w:tcPr>
          <w:p>
            <w:pPr>
              <w:jc w:val="center"/>
              <w:ind w:right="70"/>
              <w:spacing w:after="0"/>
              <w:rPr>
                <w:sz w:val="20"/>
                <w:szCs w:val="20"/>
                <w:color w:val="auto"/>
              </w:rPr>
            </w:pPr>
            <w:r>
              <w:rPr>
                <w:rFonts w:ascii="Arial" w:cs="Arial" w:eastAsia="Arial" w:hAnsi="Arial"/>
                <w:sz w:val="18"/>
                <w:szCs w:val="18"/>
                <w:color w:val="auto"/>
                <w:w w:val="89"/>
              </w:rPr>
              <w:t>40</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Notional Values of Outstanding Derivative Instruments</w:t>
      </w:r>
    </w:p>
    <w:p>
      <w:pPr>
        <w:spacing w:after="0" w:line="225" w:lineRule="exact"/>
        <w:rPr>
          <w:sz w:val="20"/>
          <w:szCs w:val="20"/>
          <w:color w:val="auto"/>
        </w:rPr>
      </w:pPr>
    </w:p>
    <w:p>
      <w:pPr>
        <w:ind w:left="660" w:right="280"/>
        <w:spacing w:after="0" w:line="277" w:lineRule="auto"/>
        <w:rPr>
          <w:sz w:val="20"/>
          <w:szCs w:val="20"/>
          <w:color w:val="auto"/>
        </w:rPr>
      </w:pPr>
      <w:r>
        <w:rPr>
          <w:rFonts w:ascii="Arial" w:cs="Arial" w:eastAsia="Arial" w:hAnsi="Arial"/>
          <w:sz w:val="18"/>
          <w:szCs w:val="18"/>
          <w:color w:val="auto"/>
        </w:rPr>
        <w:t>The aggregate U.S. dollar-equivalent notional values of outstanding derivative instruments in the Consolidated Balance Sheets at March 31, 2019 and December 31, 2018 were:</w:t>
      </w:r>
    </w:p>
    <w:p>
      <w:pPr>
        <w:spacing w:after="0" w:line="116"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8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380" w:type="dxa"/>
            <w:vAlign w:val="bottom"/>
            <w:gridSpan w:val="2"/>
          </w:tcPr>
          <w:p>
            <w:pPr>
              <w:ind w:left="80"/>
              <w:spacing w:after="0"/>
              <w:rPr>
                <w:sz w:val="20"/>
                <w:szCs w:val="20"/>
                <w:color w:val="auto"/>
              </w:rPr>
            </w:pPr>
            <w:r>
              <w:rPr>
                <w:rFonts w:ascii="Arial" w:cs="Arial" w:eastAsia="Arial" w:hAnsi="Arial"/>
                <w:sz w:val="18"/>
                <w:szCs w:val="18"/>
                <w:color w:val="auto"/>
              </w:rPr>
              <w:t>March 31, 2019</w:t>
            </w:r>
          </w:p>
        </w:tc>
        <w:tc>
          <w:tcPr>
            <w:tcW w:w="140" w:type="dxa"/>
            <w:vAlign w:val="bottom"/>
          </w:tcPr>
          <w:p>
            <w:pPr>
              <w:spacing w:after="0"/>
              <w:rPr>
                <w:sz w:val="20"/>
                <w:szCs w:val="20"/>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w w:val="88"/>
              </w:rPr>
              <w:t>December 31, 2018</w:t>
            </w:r>
          </w:p>
        </w:tc>
      </w:tr>
      <w:tr>
        <w:trPr>
          <w:trHeight w:val="27"/>
        </w:trPr>
        <w:tc>
          <w:tcPr>
            <w:tcW w:w="3840" w:type="dxa"/>
            <w:vAlign w:val="bottom"/>
            <w:tcBorders>
              <w:bottom w:val="single" w:sz="8" w:color="CCEEFF"/>
            </w:tcBorders>
          </w:tcPr>
          <w:p>
            <w:pPr>
              <w:spacing w:after="0"/>
              <w:rPr>
                <w:sz w:val="2"/>
                <w:szCs w:val="2"/>
                <w:color w:val="auto"/>
              </w:rPr>
            </w:pPr>
          </w:p>
        </w:tc>
        <w:tc>
          <w:tcPr>
            <w:tcW w:w="13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Derivatives in cash flow hedges:</w:t>
            </w: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384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156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520" w:type="dxa"/>
            <w:vAlign w:val="bottom"/>
          </w:tcPr>
          <w:p>
            <w:pPr>
              <w:jc w:val="right"/>
              <w:spacing w:after="0"/>
              <w:rPr>
                <w:sz w:val="20"/>
                <w:szCs w:val="20"/>
                <w:color w:val="auto"/>
              </w:rPr>
            </w:pPr>
            <w:r>
              <w:rPr>
                <w:rFonts w:ascii="Arial" w:cs="Arial" w:eastAsia="Arial" w:hAnsi="Arial"/>
                <w:sz w:val="18"/>
                <w:szCs w:val="18"/>
                <w:color w:val="auto"/>
              </w:rPr>
              <w:t>686</w:t>
            </w:r>
          </w:p>
        </w:tc>
        <w:tc>
          <w:tcPr>
            <w:tcW w:w="86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820</w:t>
            </w:r>
          </w:p>
        </w:tc>
      </w:tr>
      <w:tr>
        <w:trPr>
          <w:trHeight w:val="27"/>
        </w:trPr>
        <w:tc>
          <w:tcPr>
            <w:tcW w:w="3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Commodities</w:t>
            </w: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428</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Derivatives in fair value hedges:</w:t>
            </w: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3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74</w:t>
            </w:r>
          </w:p>
        </w:tc>
      </w:tr>
      <w:tr>
        <w:trPr>
          <w:trHeight w:val="243"/>
        </w:trPr>
        <w:tc>
          <w:tcPr>
            <w:tcW w:w="3840" w:type="dxa"/>
            <w:vAlign w:val="bottom"/>
          </w:tcPr>
          <w:p>
            <w:pPr>
              <w:ind w:left="20"/>
              <w:spacing w:after="0"/>
              <w:rPr>
                <w:sz w:val="20"/>
                <w:szCs w:val="20"/>
                <w:color w:val="auto"/>
              </w:rPr>
            </w:pPr>
            <w:r>
              <w:rPr>
                <w:rFonts w:ascii="Arial" w:cs="Arial" w:eastAsia="Arial" w:hAnsi="Arial"/>
                <w:sz w:val="18"/>
                <w:szCs w:val="18"/>
                <w:color w:val="auto"/>
              </w:rPr>
              <w:t>Derivatives not designated as hedges:</w:t>
            </w:r>
          </w:p>
        </w:tc>
        <w:tc>
          <w:tcPr>
            <w:tcW w:w="1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38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8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3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13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745</w:t>
            </w: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796</w:t>
            </w:r>
          </w:p>
        </w:tc>
      </w:tr>
      <w:tr>
        <w:trPr>
          <w:trHeight w:val="675"/>
        </w:trPr>
        <w:tc>
          <w:tcPr>
            <w:tcW w:w="3840" w:type="dxa"/>
            <w:vAlign w:val="bottom"/>
          </w:tcPr>
          <w:p>
            <w:pPr>
              <w:spacing w:after="0"/>
              <w:rPr>
                <w:sz w:val="24"/>
                <w:szCs w:val="24"/>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8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9" w:name="page20"/>
    <w:bookmarkEnd w:id="19"/>
    <w:p>
      <w:pPr>
        <w:jc w:val="center"/>
        <w:ind w:right="-11"/>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652" w:hanging="652"/>
        <w:spacing w:after="0"/>
        <w:tabs>
          <w:tab w:leader="none" w:pos="6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Debt</w:t>
      </w:r>
    </w:p>
    <w:p>
      <w:pPr>
        <w:spacing w:after="0" w:line="229" w:lineRule="exact"/>
        <w:rPr>
          <w:sz w:val="20"/>
          <w:szCs w:val="20"/>
          <w:color w:val="auto"/>
        </w:rPr>
      </w:pPr>
    </w:p>
    <w:p>
      <w:pPr>
        <w:ind w:left="1292"/>
        <w:spacing w:after="0"/>
        <w:rPr>
          <w:sz w:val="20"/>
          <w:szCs w:val="20"/>
          <w:color w:val="auto"/>
        </w:rPr>
      </w:pPr>
      <w:r>
        <w:rPr>
          <w:rFonts w:ascii="Arial" w:cs="Arial" w:eastAsia="Arial" w:hAnsi="Arial"/>
          <w:sz w:val="18"/>
          <w:szCs w:val="18"/>
          <w:color w:val="auto"/>
        </w:rPr>
        <w:t>The Company's outstanding debt was as follows:</w:t>
      </w:r>
    </w:p>
    <w:p>
      <w:pPr>
        <w:spacing w:after="0" w:line="171" w:lineRule="exact"/>
        <w:rPr>
          <w:sz w:val="20"/>
          <w:szCs w:val="20"/>
          <w:color w:val="auto"/>
        </w:rPr>
      </w:pPr>
    </w:p>
    <w:tbl>
      <w:tblPr>
        <w:tblLayout w:type="fixed"/>
        <w:tblInd w:w="332"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20" w:type="dxa"/>
            <w:vAlign w:val="bottom"/>
            <w:gridSpan w:val="5"/>
          </w:tcPr>
          <w:p>
            <w:pPr>
              <w:ind w:left="680"/>
              <w:spacing w:after="0"/>
              <w:rPr>
                <w:sz w:val="20"/>
                <w:szCs w:val="20"/>
                <w:color w:val="auto"/>
              </w:rPr>
            </w:pPr>
            <w:r>
              <w:rPr>
                <w:rFonts w:ascii="Arial" w:cs="Arial" w:eastAsia="Arial" w:hAnsi="Arial"/>
                <w:sz w:val="18"/>
                <w:szCs w:val="18"/>
                <w:color w:val="auto"/>
              </w:rPr>
              <w:t>March 31, 2019</w:t>
            </w:r>
          </w:p>
        </w:tc>
        <w:tc>
          <w:tcPr>
            <w:tcW w:w="160" w:type="dxa"/>
            <w:vAlign w:val="bottom"/>
          </w:tcPr>
          <w:p>
            <w:pPr>
              <w:spacing w:after="0"/>
              <w:rPr>
                <w:sz w:val="20"/>
                <w:szCs w:val="20"/>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color w:val="auto"/>
              </w:rPr>
              <w:t>December 31, 2018</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37"/>
        </w:trPr>
        <w:tc>
          <w:tcPr>
            <w:tcW w:w="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8"/>
                <w:szCs w:val="18"/>
                <w:color w:val="auto"/>
                <w:w w:val="92"/>
              </w:rPr>
              <w:t>Principal</w:t>
            </w:r>
          </w:p>
        </w:tc>
        <w:tc>
          <w:tcPr>
            <w:tcW w:w="180" w:type="dxa"/>
            <w:vAlign w:val="bottom"/>
          </w:tcPr>
          <w:p>
            <w:pPr>
              <w:spacing w:after="0"/>
              <w:rPr>
                <w:sz w:val="20"/>
                <w:szCs w:val="20"/>
                <w:color w:val="auto"/>
              </w:rPr>
            </w:pPr>
          </w:p>
        </w:tc>
        <w:tc>
          <w:tcPr>
            <w:tcW w:w="1360" w:type="dxa"/>
            <w:vAlign w:val="bottom"/>
            <w:gridSpan w:val="2"/>
          </w:tcPr>
          <w:p>
            <w:pPr>
              <w:jc w:val="center"/>
              <w:ind w:right="560"/>
              <w:spacing w:after="0"/>
              <w:rPr>
                <w:sz w:val="20"/>
                <w:szCs w:val="20"/>
                <w:color w:val="auto"/>
              </w:rPr>
            </w:pPr>
            <w:r>
              <w:rPr>
                <w:rFonts w:ascii="Arial" w:cs="Arial" w:eastAsia="Arial" w:hAnsi="Arial"/>
                <w:sz w:val="18"/>
                <w:szCs w:val="18"/>
                <w:color w:val="auto"/>
                <w:w w:val="94"/>
              </w:rPr>
              <w:t>Carrying</w:t>
            </w:r>
          </w:p>
        </w:tc>
        <w:tc>
          <w:tcPr>
            <w:tcW w:w="160" w:type="dxa"/>
            <w:vAlign w:val="bottom"/>
          </w:tcPr>
          <w:p>
            <w:pPr>
              <w:spacing w:after="0"/>
              <w:rPr>
                <w:sz w:val="20"/>
                <w:szCs w:val="20"/>
                <w:color w:val="auto"/>
              </w:rPr>
            </w:pPr>
          </w:p>
        </w:tc>
        <w:tc>
          <w:tcPr>
            <w:tcW w:w="1500" w:type="dxa"/>
            <w:vAlign w:val="bottom"/>
            <w:gridSpan w:val="2"/>
          </w:tcPr>
          <w:p>
            <w:pPr>
              <w:jc w:val="center"/>
              <w:ind w:right="560"/>
              <w:spacing w:after="0"/>
              <w:rPr>
                <w:sz w:val="20"/>
                <w:szCs w:val="20"/>
                <w:color w:val="auto"/>
              </w:rPr>
            </w:pPr>
            <w:r>
              <w:rPr>
                <w:rFonts w:ascii="Arial" w:cs="Arial" w:eastAsia="Arial" w:hAnsi="Arial"/>
                <w:sz w:val="18"/>
                <w:szCs w:val="18"/>
                <w:color w:val="auto"/>
                <w:w w:val="95"/>
              </w:rPr>
              <w:t>Principal</w:t>
            </w:r>
          </w:p>
        </w:tc>
        <w:tc>
          <w:tcPr>
            <w:tcW w:w="200" w:type="dxa"/>
            <w:vAlign w:val="bottom"/>
          </w:tcPr>
          <w:p>
            <w:pPr>
              <w:spacing w:after="0"/>
              <w:rPr>
                <w:sz w:val="20"/>
                <w:szCs w:val="20"/>
                <w:color w:val="auto"/>
              </w:rPr>
            </w:pPr>
          </w:p>
        </w:tc>
        <w:tc>
          <w:tcPr>
            <w:tcW w:w="1040" w:type="dxa"/>
            <w:vAlign w:val="bottom"/>
          </w:tcPr>
          <w:p>
            <w:pPr>
              <w:jc w:val="right"/>
              <w:ind w:right="210"/>
              <w:spacing w:after="0"/>
              <w:rPr>
                <w:sz w:val="20"/>
                <w:szCs w:val="20"/>
                <w:color w:val="auto"/>
              </w:rPr>
            </w:pPr>
            <w:r>
              <w:rPr>
                <w:rFonts w:ascii="Arial" w:cs="Arial" w:eastAsia="Arial" w:hAnsi="Arial"/>
                <w:sz w:val="18"/>
                <w:szCs w:val="18"/>
                <w:color w:val="auto"/>
              </w:rPr>
              <w:t>Carrying</w:t>
            </w:r>
          </w:p>
        </w:tc>
      </w:tr>
      <w:tr>
        <w:trPr>
          <w:trHeight w:val="270"/>
        </w:trPr>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48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outstanding</w:t>
            </w:r>
          </w:p>
        </w:tc>
        <w:tc>
          <w:tcPr>
            <w:tcW w:w="180" w:type="dxa"/>
            <w:vAlign w:val="bottom"/>
          </w:tcPr>
          <w:p>
            <w:pPr>
              <w:spacing w:after="0"/>
              <w:rPr>
                <w:sz w:val="23"/>
                <w:szCs w:val="23"/>
                <w:color w:val="auto"/>
              </w:rPr>
            </w:pPr>
          </w:p>
        </w:tc>
        <w:tc>
          <w:tcPr>
            <w:tcW w:w="1360" w:type="dxa"/>
            <w:vAlign w:val="bottom"/>
            <w:gridSpan w:val="2"/>
          </w:tcPr>
          <w:p>
            <w:pPr>
              <w:jc w:val="center"/>
              <w:ind w:right="580"/>
              <w:spacing w:after="0"/>
              <w:rPr>
                <w:sz w:val="20"/>
                <w:szCs w:val="20"/>
                <w:color w:val="auto"/>
              </w:rPr>
            </w:pPr>
            <w:r>
              <w:rPr>
                <w:rFonts w:ascii="Arial" w:cs="Arial" w:eastAsia="Arial" w:hAnsi="Arial"/>
                <w:sz w:val="18"/>
                <w:szCs w:val="18"/>
                <w:color w:val="auto"/>
                <w:w w:val="89"/>
              </w:rPr>
              <w:t>amount</w:t>
            </w:r>
          </w:p>
        </w:tc>
        <w:tc>
          <w:tcPr>
            <w:tcW w:w="160" w:type="dxa"/>
            <w:vAlign w:val="bottom"/>
          </w:tcPr>
          <w:p>
            <w:pPr>
              <w:spacing w:after="0"/>
              <w:rPr>
                <w:sz w:val="23"/>
                <w:szCs w:val="23"/>
                <w:color w:val="auto"/>
              </w:rPr>
            </w:pPr>
          </w:p>
        </w:tc>
        <w:tc>
          <w:tcPr>
            <w:tcW w:w="150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outstanding</w:t>
            </w:r>
          </w:p>
        </w:tc>
        <w:tc>
          <w:tcPr>
            <w:tcW w:w="200" w:type="dxa"/>
            <w:vAlign w:val="bottom"/>
          </w:tcPr>
          <w:p>
            <w:pPr>
              <w:spacing w:after="0"/>
              <w:rPr>
                <w:sz w:val="23"/>
                <w:szCs w:val="23"/>
                <w:color w:val="auto"/>
              </w:rPr>
            </w:pPr>
          </w:p>
        </w:tc>
        <w:tc>
          <w:tcPr>
            <w:tcW w:w="1040" w:type="dxa"/>
            <w:vAlign w:val="bottom"/>
          </w:tcPr>
          <w:p>
            <w:pPr>
              <w:jc w:val="right"/>
              <w:ind w:right="270"/>
              <w:spacing w:after="0"/>
              <w:rPr>
                <w:sz w:val="20"/>
                <w:szCs w:val="20"/>
                <w:color w:val="auto"/>
              </w:rPr>
            </w:pPr>
            <w:r>
              <w:rPr>
                <w:rFonts w:ascii="Arial" w:cs="Arial" w:eastAsia="Arial" w:hAnsi="Arial"/>
                <w:sz w:val="18"/>
                <w:szCs w:val="18"/>
                <w:color w:val="auto"/>
              </w:rPr>
              <w:t>amount</w:t>
            </w:r>
          </w:p>
        </w:tc>
      </w:tr>
      <w:tr>
        <w:trPr>
          <w:trHeight w:val="27"/>
        </w:trPr>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183"/>
        </w:trPr>
        <w:tc>
          <w:tcPr>
            <w:tcW w:w="20" w:type="dxa"/>
            <w:vAlign w:val="bottom"/>
            <w:shd w:val="clear" w:color="auto" w:fill="CCEEFF"/>
          </w:tcPr>
          <w:p>
            <w:pPr>
              <w:spacing w:after="0"/>
              <w:rPr>
                <w:sz w:val="15"/>
                <w:szCs w:val="15"/>
                <w:color w:val="auto"/>
              </w:rPr>
            </w:pPr>
          </w:p>
        </w:tc>
        <w:tc>
          <w:tcPr>
            <w:tcW w:w="4160" w:type="dxa"/>
            <w:vAlign w:val="bottom"/>
            <w:gridSpan w:val="3"/>
            <w:shd w:val="clear" w:color="auto" w:fill="CCEEFF"/>
          </w:tcPr>
          <w:p>
            <w:pPr>
              <w:spacing w:after="0" w:line="163" w:lineRule="exact"/>
              <w:rPr>
                <w:sz w:val="20"/>
                <w:szCs w:val="20"/>
                <w:color w:val="auto"/>
              </w:rPr>
            </w:pPr>
            <w:r>
              <w:rPr>
                <w:rFonts w:ascii="Arial" w:cs="Arial" w:eastAsia="Arial" w:hAnsi="Arial"/>
                <w:sz w:val="18"/>
                <w:szCs w:val="18"/>
                <w:color w:val="auto"/>
              </w:rPr>
              <w:t>Short-term debt</w:t>
            </w: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125</w:t>
            </w:r>
          </w:p>
        </w:tc>
        <w:tc>
          <w:tcPr>
            <w:tcW w:w="400" w:type="dxa"/>
            <w:vAlign w:val="bottom"/>
            <w:shd w:val="clear" w:color="auto" w:fill="CCEEFF"/>
          </w:tcPr>
          <w:p>
            <w:pPr>
              <w:spacing w:after="0"/>
              <w:rPr>
                <w:sz w:val="15"/>
                <w:szCs w:val="15"/>
                <w:color w:val="auto"/>
              </w:rPr>
            </w:pPr>
          </w:p>
        </w:tc>
        <w:tc>
          <w:tcPr>
            <w:tcW w:w="1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125</w:t>
            </w:r>
          </w:p>
        </w:tc>
        <w:tc>
          <w:tcPr>
            <w:tcW w:w="4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89</w:t>
            </w:r>
          </w:p>
        </w:tc>
        <w:tc>
          <w:tcPr>
            <w:tcW w:w="420" w:type="dxa"/>
            <w:vAlign w:val="bottom"/>
            <w:shd w:val="clear" w:color="auto" w:fill="CCEEFF"/>
          </w:tcPr>
          <w:p>
            <w:pPr>
              <w:spacing w:after="0"/>
              <w:rPr>
                <w:sz w:val="15"/>
                <w:szCs w:val="15"/>
                <w:color w:val="auto"/>
              </w:rPr>
            </w:pPr>
          </w:p>
        </w:tc>
        <w:tc>
          <w:tcPr>
            <w:tcW w:w="20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10"/>
              <w:spacing w:after="0" w:line="170" w:lineRule="exact"/>
              <w:rPr>
                <w:sz w:val="20"/>
                <w:szCs w:val="20"/>
                <w:color w:val="auto"/>
              </w:rPr>
            </w:pPr>
            <w:r>
              <w:rPr>
                <w:rFonts w:ascii="Arial" w:cs="Arial" w:eastAsia="Arial" w:hAnsi="Arial"/>
                <w:sz w:val="18"/>
                <w:szCs w:val="18"/>
                <w:color w:val="auto"/>
              </w:rPr>
              <w:t>89</w:t>
            </w:r>
          </w:p>
        </w:tc>
      </w:tr>
      <w:tr>
        <w:trPr>
          <w:trHeight w:val="61"/>
        </w:trPr>
        <w:tc>
          <w:tcPr>
            <w:tcW w:w="20" w:type="dxa"/>
            <w:vAlign w:val="bottom"/>
            <w:tcBorders>
              <w:top w:val="single" w:sz="8" w:color="CCEEFF"/>
            </w:tcBorders>
            <w:shd w:val="clear" w:color="auto" w:fill="CCEEFF"/>
          </w:tcPr>
          <w:p>
            <w:pPr>
              <w:spacing w:after="0"/>
              <w:rPr>
                <w:sz w:val="5"/>
                <w:szCs w:val="5"/>
                <w:color w:val="auto"/>
              </w:rPr>
            </w:pPr>
          </w:p>
        </w:tc>
        <w:tc>
          <w:tcPr>
            <w:tcW w:w="1120" w:type="dxa"/>
            <w:vAlign w:val="bottom"/>
            <w:tcBorders>
              <w:top w:val="single" w:sz="8" w:color="auto"/>
            </w:tcBorders>
            <w:shd w:val="clear" w:color="auto" w:fill="CCEEFF"/>
          </w:tcPr>
          <w:p>
            <w:pPr>
              <w:spacing w:after="0"/>
              <w:rPr>
                <w:sz w:val="5"/>
                <w:szCs w:val="5"/>
                <w:color w:val="auto"/>
              </w:rPr>
            </w:pPr>
          </w:p>
        </w:tc>
        <w:tc>
          <w:tcPr>
            <w:tcW w:w="20" w:type="dxa"/>
            <w:vAlign w:val="bottom"/>
            <w:tcBorders>
              <w:top w:val="single" w:sz="8" w:color="auto"/>
            </w:tcBorders>
            <w:shd w:val="clear" w:color="auto" w:fill="CCEEFF"/>
          </w:tcPr>
          <w:p>
            <w:pPr>
              <w:spacing w:after="0"/>
              <w:rPr>
                <w:sz w:val="5"/>
                <w:szCs w:val="5"/>
                <w:color w:val="auto"/>
              </w:rPr>
            </w:pPr>
          </w:p>
        </w:tc>
        <w:tc>
          <w:tcPr>
            <w:tcW w:w="302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80" w:type="dxa"/>
            <w:vAlign w:val="bottom"/>
            <w:tcBorders>
              <w:top w:val="single" w:sz="8" w:color="CCEEFF"/>
            </w:tcBorders>
            <w:shd w:val="clear" w:color="auto" w:fill="CCEEFF"/>
          </w:tcPr>
          <w:p>
            <w:pPr>
              <w:spacing w:after="0"/>
              <w:rPr>
                <w:sz w:val="5"/>
                <w:szCs w:val="5"/>
                <w:color w:val="auto"/>
              </w:rPr>
            </w:pPr>
          </w:p>
        </w:tc>
        <w:tc>
          <w:tcPr>
            <w:tcW w:w="960" w:type="dxa"/>
            <w:vAlign w:val="bottom"/>
            <w:tcBorders>
              <w:top w:val="single" w:sz="8" w:color="CCEEFF"/>
            </w:tcBorders>
            <w:shd w:val="clear" w:color="auto" w:fill="CCEEFF"/>
          </w:tcPr>
          <w:p>
            <w:pPr>
              <w:spacing w:after="0"/>
              <w:rPr>
                <w:sz w:val="5"/>
                <w:szCs w:val="5"/>
                <w:color w:val="auto"/>
              </w:rPr>
            </w:pPr>
          </w:p>
        </w:tc>
        <w:tc>
          <w:tcPr>
            <w:tcW w:w="400" w:type="dxa"/>
            <w:vAlign w:val="bottom"/>
            <w:tcBorders>
              <w:top w:val="single" w:sz="8" w:color="CCEEFF"/>
            </w:tcBorders>
            <w:shd w:val="clear" w:color="auto" w:fill="CCEEFF"/>
          </w:tcPr>
          <w:p>
            <w:pPr>
              <w:spacing w:after="0"/>
              <w:rPr>
                <w:sz w:val="5"/>
                <w:szCs w:val="5"/>
                <w:color w:val="auto"/>
              </w:rPr>
            </w:pPr>
          </w:p>
        </w:tc>
        <w:tc>
          <w:tcPr>
            <w:tcW w:w="160" w:type="dxa"/>
            <w:vAlign w:val="bottom"/>
            <w:tcBorders>
              <w:top w:val="single" w:sz="8" w:color="CCEEFF"/>
            </w:tcBorders>
            <w:shd w:val="clear" w:color="auto" w:fill="CCEEFF"/>
          </w:tcPr>
          <w:p>
            <w:pPr>
              <w:spacing w:after="0"/>
              <w:rPr>
                <w:sz w:val="5"/>
                <w:szCs w:val="5"/>
                <w:color w:val="auto"/>
              </w:rPr>
            </w:pPr>
          </w:p>
        </w:tc>
        <w:tc>
          <w:tcPr>
            <w:tcW w:w="1080" w:type="dxa"/>
            <w:vAlign w:val="bottom"/>
            <w:tcBorders>
              <w:top w:val="single" w:sz="8" w:color="CCEEFF"/>
            </w:tcBorders>
            <w:shd w:val="clear" w:color="auto" w:fill="CCEEFF"/>
          </w:tcPr>
          <w:p>
            <w:pPr>
              <w:spacing w:after="0"/>
              <w:rPr>
                <w:sz w:val="5"/>
                <w:szCs w:val="5"/>
                <w:color w:val="auto"/>
              </w:rPr>
            </w:pPr>
          </w:p>
        </w:tc>
        <w:tc>
          <w:tcPr>
            <w:tcW w:w="420" w:type="dxa"/>
            <w:vAlign w:val="bottom"/>
            <w:tcBorders>
              <w:top w:val="single" w:sz="8" w:color="CCEEFF"/>
            </w:tcBorders>
            <w:shd w:val="clear" w:color="auto" w:fill="CCEEFF"/>
          </w:tcPr>
          <w:p>
            <w:pPr>
              <w:spacing w:after="0"/>
              <w:rPr>
                <w:sz w:val="5"/>
                <w:szCs w:val="5"/>
                <w:color w:val="auto"/>
              </w:rPr>
            </w:pPr>
          </w:p>
        </w:tc>
        <w:tc>
          <w:tcPr>
            <w:tcW w:w="200" w:type="dxa"/>
            <w:vAlign w:val="bottom"/>
            <w:tcBorders>
              <w:top w:val="single" w:sz="8" w:color="CCEEFF"/>
            </w:tcBorders>
            <w:shd w:val="clear" w:color="auto" w:fill="CCEEFF"/>
          </w:tcPr>
          <w:p>
            <w:pPr>
              <w:spacing w:after="0"/>
              <w:rPr>
                <w:sz w:val="5"/>
                <w:szCs w:val="5"/>
                <w:color w:val="auto"/>
              </w:rPr>
            </w:pPr>
          </w:p>
        </w:tc>
        <w:tc>
          <w:tcPr>
            <w:tcW w:w="1040" w:type="dxa"/>
            <w:vAlign w:val="bottom"/>
            <w:tcBorders>
              <w:top w:val="single" w:sz="8" w:color="CCEEFF"/>
            </w:tcBorders>
            <w:shd w:val="clear" w:color="auto" w:fill="CCEEFF"/>
          </w:tcPr>
          <w:p>
            <w:pPr>
              <w:spacing w:after="0"/>
              <w:rPr>
                <w:sz w:val="5"/>
                <w:szCs w:val="5"/>
                <w:color w:val="auto"/>
              </w:rPr>
            </w:pPr>
          </w:p>
        </w:tc>
      </w:tr>
      <w:tr>
        <w:trPr>
          <w:trHeight w:val="270"/>
        </w:trPr>
        <w:tc>
          <w:tcPr>
            <w:tcW w:w="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03"/>
        </w:trPr>
        <w:tc>
          <w:tcPr>
            <w:tcW w:w="20" w:type="dxa"/>
            <w:vAlign w:val="bottom"/>
            <w:shd w:val="clear" w:color="auto" w:fill="CCEEFF"/>
          </w:tcPr>
          <w:p>
            <w:pPr>
              <w:spacing w:after="0"/>
              <w:rPr>
                <w:sz w:val="17"/>
                <w:szCs w:val="17"/>
                <w:color w:val="auto"/>
              </w:rPr>
            </w:pPr>
          </w:p>
        </w:tc>
        <w:tc>
          <w:tcPr>
            <w:tcW w:w="416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Long-term debt</w:t>
            </w: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r>
      <w:tr>
        <w:trPr>
          <w:trHeight w:val="48"/>
        </w:trPr>
        <w:tc>
          <w:tcPr>
            <w:tcW w:w="20" w:type="dxa"/>
            <w:vAlign w:val="bottom"/>
            <w:tcBorders>
              <w:top w:val="single" w:sz="8" w:color="CCEEFF"/>
            </w:tcBorders>
            <w:shd w:val="clear" w:color="auto" w:fill="CCEEFF"/>
          </w:tcPr>
          <w:p>
            <w:pPr>
              <w:spacing w:after="0"/>
              <w:rPr>
                <w:sz w:val="4"/>
                <w:szCs w:val="4"/>
                <w:color w:val="auto"/>
              </w:rPr>
            </w:pPr>
          </w:p>
        </w:tc>
        <w:tc>
          <w:tcPr>
            <w:tcW w:w="1120" w:type="dxa"/>
            <w:vAlign w:val="bottom"/>
            <w:tcBorders>
              <w:top w:val="single" w:sz="8" w:color="auto"/>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30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96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1080" w:type="dxa"/>
            <w:vAlign w:val="bottom"/>
            <w:tcBorders>
              <w:top w:val="single" w:sz="8" w:color="CCEEFF"/>
            </w:tcBorders>
            <w:shd w:val="clear" w:color="auto" w:fill="CCEEFF"/>
          </w:tcPr>
          <w:p>
            <w:pPr>
              <w:spacing w:after="0"/>
              <w:rPr>
                <w:sz w:val="4"/>
                <w:szCs w:val="4"/>
                <w:color w:val="auto"/>
              </w:rPr>
            </w:pPr>
          </w:p>
        </w:tc>
        <w:tc>
          <w:tcPr>
            <w:tcW w:w="420" w:type="dxa"/>
            <w:vAlign w:val="bottom"/>
            <w:tcBorders>
              <w:top w:val="single" w:sz="8" w:color="CCEEFF"/>
            </w:tcBorders>
            <w:shd w:val="clear" w:color="auto" w:fill="CCEEFF"/>
          </w:tcPr>
          <w:p>
            <w:pPr>
              <w:spacing w:after="0"/>
              <w:rPr>
                <w:sz w:val="4"/>
                <w:szCs w:val="4"/>
                <w:color w:val="auto"/>
              </w:rPr>
            </w:pPr>
          </w:p>
        </w:tc>
        <w:tc>
          <w:tcPr>
            <w:tcW w:w="20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r>
      <w:tr>
        <w:trPr>
          <w:trHeight w:val="243"/>
        </w:trPr>
        <w:tc>
          <w:tcPr>
            <w:tcW w:w="20" w:type="dxa"/>
            <w:vAlign w:val="bottom"/>
          </w:tcPr>
          <w:p>
            <w:pPr>
              <w:spacing w:after="0"/>
              <w:rPr>
                <w:sz w:val="21"/>
                <w:szCs w:val="21"/>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Senior secured borrowings: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Revolving credit facilities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687</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Term loan facilities</w:t>
            </w: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U.S. dollar at LIBOR + 1.75% due 2022</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810</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680"/>
              <w:spacing w:after="0"/>
              <w:rPr>
                <w:sz w:val="20"/>
                <w:szCs w:val="20"/>
                <w:color w:val="auto"/>
              </w:rPr>
            </w:pPr>
            <w:r>
              <w:rPr>
                <w:rFonts w:ascii="Arial" w:cs="Arial" w:eastAsia="Arial" w:hAnsi="Arial"/>
                <w:sz w:val="18"/>
                <w:szCs w:val="18"/>
                <w:color w:val="auto"/>
              </w:rPr>
              <w:t>U.S. dollar at LIBOR + 2.00% due 2025</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617</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607</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887</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864</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20" w:type="dxa"/>
            <w:vAlign w:val="bottom"/>
            <w:shd w:val="clear" w:color="auto" w:fill="CCEEFF"/>
          </w:tcPr>
          <w:p>
            <w:pPr>
              <w:spacing w:after="0"/>
              <w:rPr>
                <w:sz w:val="23"/>
                <w:szCs w:val="23"/>
                <w:color w:val="auto"/>
              </w:rPr>
            </w:pPr>
          </w:p>
        </w:tc>
        <w:tc>
          <w:tcPr>
            <w:tcW w:w="4160" w:type="dxa"/>
            <w:vAlign w:val="bottom"/>
            <w:gridSpan w:val="3"/>
            <w:shd w:val="clear" w:color="auto" w:fill="CCEEFF"/>
          </w:tcPr>
          <w:p>
            <w:pPr>
              <w:ind w:left="680"/>
              <w:spacing w:after="0" w:line="270" w:lineRule="exact"/>
              <w:rPr>
                <w:sz w:val="20"/>
                <w:szCs w:val="20"/>
                <w:color w:val="auto"/>
              </w:rPr>
            </w:pPr>
            <w:r>
              <w:rPr>
                <w:rFonts w:ascii="Arial" w:cs="Arial" w:eastAsia="Arial" w:hAnsi="Arial"/>
                <w:sz w:val="18"/>
                <w:szCs w:val="18"/>
                <w:color w:val="auto"/>
              </w:rPr>
              <w:t>Euro at EURIBOR + 1.75% due 2022</w:t>
            </w:r>
            <w:r>
              <w:rPr>
                <w:rFonts w:ascii="Arial" w:cs="Arial" w:eastAsia="Arial" w:hAnsi="Arial"/>
                <w:sz w:val="25"/>
                <w:szCs w:val="25"/>
                <w:color w:val="auto"/>
                <w:vertAlign w:val="superscript"/>
              </w:rPr>
              <w:t>1</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4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9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w:t>
            </w:r>
          </w:p>
        </w:tc>
        <w:tc>
          <w:tcPr>
            <w:tcW w:w="4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4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301</w:t>
            </w:r>
          </w:p>
        </w:tc>
      </w:tr>
      <w:tr>
        <w:trPr>
          <w:trHeight w:val="270"/>
        </w:trPr>
        <w:tc>
          <w:tcPr>
            <w:tcW w:w="20" w:type="dxa"/>
            <w:vAlign w:val="bottom"/>
          </w:tcPr>
          <w:p>
            <w:pPr>
              <w:spacing w:after="0"/>
              <w:rPr>
                <w:sz w:val="23"/>
                <w:szCs w:val="23"/>
                <w:color w:val="auto"/>
              </w:rPr>
            </w:pPr>
          </w:p>
        </w:tc>
        <w:tc>
          <w:tcPr>
            <w:tcW w:w="4160" w:type="dxa"/>
            <w:vAlign w:val="bottom"/>
            <w:gridSpan w:val="3"/>
          </w:tcPr>
          <w:p>
            <w:pPr>
              <w:ind w:left="680"/>
              <w:spacing w:after="0" w:line="270" w:lineRule="exact"/>
              <w:rPr>
                <w:sz w:val="20"/>
                <w:szCs w:val="20"/>
                <w:color w:val="auto"/>
              </w:rPr>
            </w:pPr>
            <w:r>
              <w:rPr>
                <w:rFonts w:ascii="Arial" w:cs="Arial" w:eastAsia="Arial" w:hAnsi="Arial"/>
                <w:sz w:val="18"/>
                <w:szCs w:val="18"/>
                <w:color w:val="auto"/>
              </w:rPr>
              <w:t>Euro at EURIBOR + 2.375% due 2025</w:t>
            </w:r>
            <w:r>
              <w:rPr>
                <w:rFonts w:ascii="Arial" w:cs="Arial" w:eastAsia="Arial" w:hAnsi="Arial"/>
                <w:sz w:val="25"/>
                <w:szCs w:val="25"/>
                <w:color w:val="auto"/>
                <w:vertAlign w:val="superscript"/>
              </w:rPr>
              <w:t>2</w:t>
            </w:r>
          </w:p>
        </w:tc>
        <w:tc>
          <w:tcPr>
            <w:tcW w:w="160" w:type="dxa"/>
            <w:vAlign w:val="bottom"/>
          </w:tcPr>
          <w:p>
            <w:pPr>
              <w:spacing w:after="0"/>
              <w:rPr>
                <w:sz w:val="23"/>
                <w:szCs w:val="23"/>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835</w:t>
            </w:r>
          </w:p>
        </w:tc>
        <w:tc>
          <w:tcPr>
            <w:tcW w:w="4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823</w:t>
            </w:r>
          </w:p>
        </w:tc>
        <w:tc>
          <w:tcPr>
            <w:tcW w:w="4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855</w:t>
            </w:r>
          </w:p>
        </w:tc>
        <w:tc>
          <w:tcPr>
            <w:tcW w:w="4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846</w:t>
            </w: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Senior notes and debentures:</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€650 at 4.0% due 2022</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729</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724</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745</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740</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 S. dollar at 4.50% due 2023</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994</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993</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€335 at 2.25% due 2023</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376</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371</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384</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380</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€600 at 2.625% due 2024</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673</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667</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688</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682</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€600 at 3.375% due 2025</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673</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667</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688</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681</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U.S. dollar at 4.25% due 2026</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394</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U.S. dollar at 4.75% due 2026</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875</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863</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875</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863</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U.S. dollar at 7.375% due 2026</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43"/>
        </w:trPr>
        <w:tc>
          <w:tcPr>
            <w:tcW w:w="20" w:type="dxa"/>
            <w:vAlign w:val="bottom"/>
          </w:tcPr>
          <w:p>
            <w:pPr>
              <w:spacing w:after="0"/>
              <w:rPr>
                <w:sz w:val="21"/>
                <w:szCs w:val="21"/>
                <w:color w:val="auto"/>
              </w:rPr>
            </w:pPr>
          </w:p>
        </w:tc>
        <w:tc>
          <w:tcPr>
            <w:tcW w:w="4160" w:type="dxa"/>
            <w:vAlign w:val="bottom"/>
            <w:gridSpan w:val="3"/>
          </w:tcPr>
          <w:p>
            <w:pPr>
              <w:ind w:left="360"/>
              <w:spacing w:after="0"/>
              <w:rPr>
                <w:sz w:val="20"/>
                <w:szCs w:val="20"/>
                <w:color w:val="auto"/>
              </w:rPr>
            </w:pPr>
            <w:r>
              <w:rPr>
                <w:rFonts w:ascii="Arial" w:cs="Arial" w:eastAsia="Arial" w:hAnsi="Arial"/>
                <w:sz w:val="18"/>
                <w:szCs w:val="18"/>
                <w:color w:val="auto"/>
              </w:rPr>
              <w:t>€500 at 2.875% due 2026</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561</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553</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573</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566</w:t>
            </w:r>
          </w:p>
        </w:tc>
      </w:tr>
      <w:tr>
        <w:trPr>
          <w:trHeight w:val="27"/>
        </w:trPr>
        <w:tc>
          <w:tcPr>
            <w:tcW w:w="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c>
          <w:tcPr>
            <w:tcW w:w="3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360"/>
              <w:spacing w:after="0"/>
              <w:rPr>
                <w:sz w:val="20"/>
                <w:szCs w:val="20"/>
                <w:color w:val="auto"/>
              </w:rPr>
            </w:pPr>
            <w:r>
              <w:rPr>
                <w:rFonts w:ascii="Arial" w:cs="Arial" w:eastAsia="Arial" w:hAnsi="Arial"/>
                <w:sz w:val="18"/>
                <w:szCs w:val="18"/>
                <w:color w:val="auto"/>
              </w:rPr>
              <w:t>U.S. dollar at 7.50% due 2096</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w:t>
            </w:r>
          </w:p>
        </w:tc>
      </w:tr>
      <w:tr>
        <w:trPr>
          <w:trHeight w:val="243"/>
        </w:trPr>
        <w:tc>
          <w:tcPr>
            <w:tcW w:w="20" w:type="dxa"/>
            <w:vAlign w:val="bottom"/>
          </w:tcPr>
          <w:p>
            <w:pPr>
              <w:spacing w:after="0"/>
              <w:rPr>
                <w:sz w:val="21"/>
                <w:szCs w:val="21"/>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Other indebtedness in various currencies</w:t>
            </w:r>
          </w:p>
        </w:tc>
        <w:tc>
          <w:tcPr>
            <w:tcW w:w="16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66</w:t>
            </w:r>
          </w:p>
        </w:tc>
      </w:tr>
      <w:tr>
        <w:trPr>
          <w:trHeight w:val="27"/>
        </w:trPr>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1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rPr>
              <w:t>Total long-term debt</w:t>
            </w: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8,979</w:t>
            </w:r>
          </w:p>
        </w:tc>
        <w:tc>
          <w:tcPr>
            <w:tcW w:w="4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8,897</w:t>
            </w:r>
          </w:p>
        </w:tc>
        <w:tc>
          <w:tcPr>
            <w:tcW w:w="4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8,667</w:t>
            </w:r>
          </w:p>
        </w:tc>
        <w:tc>
          <w:tcPr>
            <w:tcW w:w="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8,574</w:t>
            </w:r>
          </w:p>
        </w:tc>
      </w:tr>
      <w:tr>
        <w:trPr>
          <w:trHeight w:val="243"/>
        </w:trPr>
        <w:tc>
          <w:tcPr>
            <w:tcW w:w="20" w:type="dxa"/>
            <w:vAlign w:val="bottom"/>
          </w:tcPr>
          <w:p>
            <w:pPr>
              <w:spacing w:after="0"/>
              <w:rPr>
                <w:sz w:val="21"/>
                <w:szCs w:val="21"/>
                <w:color w:val="auto"/>
              </w:rPr>
            </w:pPr>
          </w:p>
        </w:tc>
        <w:tc>
          <w:tcPr>
            <w:tcW w:w="4160" w:type="dxa"/>
            <w:vAlign w:val="bottom"/>
            <w:gridSpan w:val="3"/>
          </w:tcPr>
          <w:p>
            <w:pPr>
              <w:spacing w:after="0"/>
              <w:rPr>
                <w:sz w:val="20"/>
                <w:szCs w:val="20"/>
                <w:color w:val="auto"/>
              </w:rPr>
            </w:pPr>
            <w:r>
              <w:rPr>
                <w:rFonts w:ascii="Arial" w:cs="Arial" w:eastAsia="Arial" w:hAnsi="Arial"/>
                <w:sz w:val="18"/>
                <w:szCs w:val="18"/>
                <w:color w:val="auto"/>
              </w:rPr>
              <w:t>Less current maturities</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(83)</w:t>
            </w:r>
          </w:p>
        </w:tc>
        <w:tc>
          <w:tcPr>
            <w:tcW w:w="4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(83)</w:t>
            </w:r>
          </w:p>
        </w:tc>
        <w:tc>
          <w:tcPr>
            <w:tcW w:w="4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(81)</w:t>
            </w:r>
          </w:p>
        </w:tc>
        <w:tc>
          <w:tcPr>
            <w:tcW w:w="4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7"/>
        </w:trPr>
        <w:tc>
          <w:tcPr>
            <w:tcW w:w="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0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4160" w:type="dxa"/>
            <w:vAlign w:val="bottom"/>
            <w:tcBorders>
              <w:bottom w:val="single" w:sz="8" w:color="CCEEFF"/>
            </w:tcBorders>
            <w:gridSpan w:val="3"/>
            <w:shd w:val="clear" w:color="auto" w:fill="CCEEFF"/>
          </w:tcPr>
          <w:p>
            <w:pPr>
              <w:ind w:left="680"/>
              <w:spacing w:after="0"/>
              <w:rPr>
                <w:sz w:val="20"/>
                <w:szCs w:val="20"/>
                <w:color w:val="auto"/>
              </w:rPr>
            </w:pPr>
            <w:r>
              <w:rPr>
                <w:rFonts w:ascii="Arial" w:cs="Arial" w:eastAsia="Arial" w:hAnsi="Arial"/>
                <w:sz w:val="18"/>
                <w:szCs w:val="18"/>
                <w:color w:val="auto"/>
                <w:w w:val="99"/>
              </w:rPr>
              <w:t>Total long-term debt, less current maturities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8,896</w:t>
            </w:r>
          </w:p>
        </w:tc>
        <w:tc>
          <w:tcPr>
            <w:tcW w:w="4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8,814</w:t>
            </w:r>
          </w:p>
        </w:tc>
        <w:tc>
          <w:tcPr>
            <w:tcW w:w="4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8,586</w:t>
            </w:r>
          </w:p>
        </w:tc>
        <w:tc>
          <w:tcPr>
            <w:tcW w:w="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8,493</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0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912" w:hanging="264"/>
        <w:spacing w:after="0"/>
        <w:tabs>
          <w:tab w:leader="none" w:pos="9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€261 and €263 at March 31, 2019 and December 31, 2018</w:t>
      </w:r>
    </w:p>
    <w:p>
      <w:pPr>
        <w:spacing w:after="0" w:line="23" w:lineRule="exact"/>
        <w:rPr>
          <w:rFonts w:ascii="Arial" w:cs="Arial" w:eastAsia="Arial" w:hAnsi="Arial"/>
          <w:sz w:val="18"/>
          <w:szCs w:val="18"/>
          <w:color w:val="auto"/>
        </w:rPr>
      </w:pPr>
    </w:p>
    <w:p>
      <w:pPr>
        <w:ind w:left="912" w:hanging="264"/>
        <w:spacing w:after="0"/>
        <w:tabs>
          <w:tab w:leader="none" w:pos="912" w:val="left"/>
        </w:tabs>
        <w:numPr>
          <w:ilvl w:val="0"/>
          <w:numId w:val="15"/>
        </w:numPr>
        <w:rPr>
          <w:rFonts w:ascii="Arial" w:cs="Arial" w:eastAsia="Arial" w:hAnsi="Arial"/>
          <w:sz w:val="18"/>
          <w:szCs w:val="18"/>
          <w:color w:val="auto"/>
        </w:rPr>
      </w:pPr>
      <w:r>
        <w:rPr>
          <w:rFonts w:ascii="Arial" w:cs="Arial" w:eastAsia="Arial" w:hAnsi="Arial"/>
          <w:sz w:val="18"/>
          <w:szCs w:val="18"/>
          <w:color w:val="auto"/>
        </w:rPr>
        <w:t>€744 and €746 at March 31, 2019 and December 31, 2018</w:t>
      </w:r>
    </w:p>
    <w:p>
      <w:pPr>
        <w:spacing w:after="0" w:line="211" w:lineRule="exact"/>
        <w:rPr>
          <w:sz w:val="20"/>
          <w:szCs w:val="20"/>
          <w:color w:val="auto"/>
        </w:rPr>
      </w:pPr>
    </w:p>
    <w:p>
      <w:pPr>
        <w:ind w:left="652"/>
        <w:spacing w:after="0" w:line="277" w:lineRule="auto"/>
        <w:rPr>
          <w:sz w:val="20"/>
          <w:szCs w:val="20"/>
          <w:color w:val="auto"/>
        </w:rPr>
      </w:pPr>
      <w:r>
        <w:rPr>
          <w:rFonts w:ascii="Arial" w:cs="Arial" w:eastAsia="Arial" w:hAnsi="Arial"/>
          <w:sz w:val="18"/>
          <w:szCs w:val="18"/>
          <w:color w:val="auto"/>
        </w:rPr>
        <w:t>The estimated fair value of the Company’s long-term borrowings, using a market approach incorporating Level 2 inputs such as quoted market prices for the same or similar issues, was $9,299 at March 31, 2019 and $8,735 at December 31, 2018.</w:t>
      </w:r>
    </w:p>
    <w:p>
      <w:pPr>
        <w:spacing w:after="0" w:line="200" w:lineRule="exact"/>
        <w:rPr>
          <w:sz w:val="20"/>
          <w:szCs w:val="20"/>
          <w:color w:val="auto"/>
        </w:rPr>
      </w:pPr>
    </w:p>
    <w:p>
      <w:pPr>
        <w:spacing w:after="0" w:line="21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12"/>
          </w:cols>
          <w:pgMar w:left="248" w:top="121"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Pension and Other Postretirement Benefits</w:t>
      </w:r>
    </w:p>
    <w:p>
      <w:pPr>
        <w:spacing w:after="0" w:line="229" w:lineRule="exact"/>
        <w:rPr>
          <w:rFonts w:ascii="Arial" w:cs="Arial" w:eastAsia="Arial" w:hAnsi="Arial"/>
          <w:sz w:val="18"/>
          <w:szCs w:val="18"/>
          <w:b w:val="1"/>
          <w:bCs w:val="1"/>
          <w:color w:val="auto"/>
        </w:rPr>
      </w:pPr>
    </w:p>
    <w:p>
      <w:pPr>
        <w:ind w:left="66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components of net periodic pension and other postretirement benefits costs for the three months ended March 31, 2019 and 2018 were as follows:</w:t>
      </w:r>
    </w:p>
    <w:p>
      <w:pPr>
        <w:spacing w:after="0" w:line="19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0" w:type="dxa"/>
            <w:vAlign w:val="bottom"/>
            <w:gridSpan w:val="6"/>
          </w:tcPr>
          <w:p>
            <w:pPr>
              <w:jc w:val="center"/>
              <w:ind w:right="150"/>
              <w:spacing w:after="0"/>
              <w:rPr>
                <w:sz w:val="20"/>
                <w:szCs w:val="20"/>
                <w:color w:val="auto"/>
              </w:rPr>
            </w:pPr>
            <w:r>
              <w:rPr>
                <w:rFonts w:ascii="Arial" w:cs="Arial" w:eastAsia="Arial" w:hAnsi="Arial"/>
                <w:sz w:val="18"/>
                <w:szCs w:val="18"/>
                <w:color w:val="auto"/>
                <w:w w:val="90"/>
              </w:rPr>
              <w:t>Three Months Ended</w:t>
            </w: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gridSpan w:val="5"/>
          </w:tcPr>
          <w:p>
            <w:pPr>
              <w:jc w:val="center"/>
              <w:ind w:left="49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660" w:type="dxa"/>
            <w:vAlign w:val="bottom"/>
            <w:gridSpan w:val="3"/>
          </w:tcPr>
          <w:p>
            <w:pPr>
              <w:spacing w:after="0" w:line="196" w:lineRule="exact"/>
              <w:rPr>
                <w:sz w:val="20"/>
                <w:szCs w:val="20"/>
                <w:color w:val="auto"/>
              </w:rPr>
            </w:pPr>
            <w:r>
              <w:rPr>
                <w:rFonts w:ascii="Arial" w:cs="Arial" w:eastAsia="Arial" w:hAnsi="Arial"/>
                <w:sz w:val="18"/>
                <w:szCs w:val="18"/>
                <w:color w:val="auto"/>
              </w:rPr>
              <w:t>Pension benefits – U.S. plans</w:t>
            </w:r>
          </w:p>
        </w:tc>
        <w:tc>
          <w:tcPr>
            <w:tcW w:w="260" w:type="dxa"/>
            <w:vAlign w:val="bottom"/>
          </w:tcPr>
          <w:p>
            <w:pPr>
              <w:spacing w:after="0"/>
              <w:rPr>
                <w:sz w:val="17"/>
                <w:szCs w:val="17"/>
                <w:color w:val="auto"/>
              </w:rPr>
            </w:pPr>
          </w:p>
        </w:tc>
        <w:tc>
          <w:tcPr>
            <w:tcW w:w="86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2019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99"/>
              </w:rPr>
              <w:t>2018</w:t>
            </w:r>
          </w:p>
        </w:tc>
      </w:tr>
      <w:tr>
        <w:trPr>
          <w:trHeight w:val="48"/>
        </w:trPr>
        <w:tc>
          <w:tcPr>
            <w:tcW w:w="2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r>
      <w:tr>
        <w:trPr>
          <w:trHeight w:val="243"/>
        </w:trPr>
        <w:tc>
          <w:tcPr>
            <w:tcW w:w="20" w:type="dxa"/>
            <w:vAlign w:val="bottom"/>
          </w:tcPr>
          <w:p>
            <w:pPr>
              <w:spacing w:after="0"/>
              <w:rPr>
                <w:sz w:val="21"/>
                <w:szCs w:val="21"/>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20" w:type="dxa"/>
            <w:vAlign w:val="bottom"/>
          </w:tcPr>
          <w:p>
            <w:pPr>
              <w:spacing w:after="0"/>
              <w:rPr>
                <w:sz w:val="21"/>
                <w:szCs w:val="21"/>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Recognized net loss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w:t>
            </w:r>
          </w:p>
        </w:tc>
      </w:tr>
      <w:tr>
        <w:trPr>
          <w:trHeight w:val="27"/>
        </w:trPr>
        <w:tc>
          <w:tcPr>
            <w:tcW w:w="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periodic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gridSpan w:val="2"/>
          </w:tcPr>
          <w:p>
            <w:pPr>
              <w:spacing w:after="0" w:line="20" w:lineRule="exact"/>
              <w:rPr>
                <w:sz w:val="1"/>
                <w:szCs w:val="1"/>
                <w:color w:val="auto"/>
              </w:rPr>
            </w:pPr>
          </w:p>
        </w:tc>
      </w:tr>
      <w:tr>
        <w:trPr>
          <w:trHeight w:val="440"/>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gridSpan w:val="6"/>
          </w:tcPr>
          <w:p>
            <w:pPr>
              <w:jc w:val="center"/>
              <w:ind w:right="150"/>
              <w:spacing w:after="0"/>
              <w:rPr>
                <w:sz w:val="20"/>
                <w:szCs w:val="20"/>
                <w:color w:val="auto"/>
              </w:rPr>
            </w:pPr>
            <w:r>
              <w:rPr>
                <w:rFonts w:ascii="Arial" w:cs="Arial" w:eastAsia="Arial" w:hAnsi="Arial"/>
                <w:sz w:val="18"/>
                <w:szCs w:val="18"/>
                <w:color w:val="auto"/>
                <w:w w:val="90"/>
              </w:rPr>
              <w:t>Three Months Ended</w:t>
            </w: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gridSpan w:val="5"/>
          </w:tcPr>
          <w:p>
            <w:pPr>
              <w:jc w:val="center"/>
              <w:ind w:left="49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660" w:type="dxa"/>
            <w:vAlign w:val="bottom"/>
            <w:gridSpan w:val="3"/>
          </w:tcPr>
          <w:p>
            <w:pPr>
              <w:spacing w:after="0" w:line="196" w:lineRule="exact"/>
              <w:rPr>
                <w:sz w:val="20"/>
                <w:szCs w:val="20"/>
                <w:color w:val="auto"/>
              </w:rPr>
            </w:pPr>
            <w:r>
              <w:rPr>
                <w:rFonts w:ascii="Arial" w:cs="Arial" w:eastAsia="Arial" w:hAnsi="Arial"/>
                <w:sz w:val="18"/>
                <w:szCs w:val="18"/>
                <w:color w:val="auto"/>
              </w:rPr>
              <w:t>Pension benefits – Non-U.S. plans</w:t>
            </w:r>
          </w:p>
        </w:tc>
        <w:tc>
          <w:tcPr>
            <w:tcW w:w="260" w:type="dxa"/>
            <w:vAlign w:val="bottom"/>
          </w:tcPr>
          <w:p>
            <w:pPr>
              <w:spacing w:after="0"/>
              <w:rPr>
                <w:sz w:val="17"/>
                <w:szCs w:val="17"/>
                <w:color w:val="auto"/>
              </w:rPr>
            </w:pPr>
          </w:p>
        </w:tc>
        <w:tc>
          <w:tcPr>
            <w:tcW w:w="86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2019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99"/>
              </w:rPr>
              <w:t>2018</w:t>
            </w:r>
          </w:p>
        </w:tc>
      </w:tr>
      <w:tr>
        <w:trPr>
          <w:trHeight w:val="48"/>
        </w:trPr>
        <w:tc>
          <w:tcPr>
            <w:tcW w:w="2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360" w:type="dxa"/>
            <w:vAlign w:val="bottom"/>
            <w:tcBorders>
              <w:top w:val="single" w:sz="8" w:color="auto"/>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20" w:type="dxa"/>
            <w:vAlign w:val="bottom"/>
          </w:tcPr>
          <w:p>
            <w:pPr>
              <w:spacing w:after="0"/>
              <w:rPr>
                <w:sz w:val="21"/>
                <w:szCs w:val="21"/>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19</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20" w:type="dxa"/>
            <w:vAlign w:val="bottom"/>
          </w:tcPr>
          <w:p>
            <w:pPr>
              <w:spacing w:after="0"/>
              <w:rPr>
                <w:sz w:val="21"/>
                <w:szCs w:val="21"/>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Curtailment gain</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Recognized prior service credit</w:t>
            </w:r>
          </w:p>
        </w:tc>
        <w:tc>
          <w:tcPr>
            <w:tcW w:w="2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43"/>
        </w:trPr>
        <w:tc>
          <w:tcPr>
            <w:tcW w:w="20" w:type="dxa"/>
            <w:vAlign w:val="bottom"/>
          </w:tcPr>
          <w:p>
            <w:pPr>
              <w:spacing w:after="0"/>
              <w:rPr>
                <w:sz w:val="21"/>
                <w:szCs w:val="21"/>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Recognized net loss</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periodic benefit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gridSpan w:val="2"/>
          </w:tcPr>
          <w:p>
            <w:pPr>
              <w:spacing w:after="0" w:line="20" w:lineRule="exact"/>
              <w:rPr>
                <w:sz w:val="1"/>
                <w:szCs w:val="1"/>
                <w:color w:val="auto"/>
              </w:rPr>
            </w:pPr>
          </w:p>
        </w:tc>
        <w:tc>
          <w:tcPr>
            <w:tcW w:w="1140" w:type="dxa"/>
            <w:vAlign w:val="bottom"/>
            <w:tcBorders>
              <w:top w:val="single" w:sz="8" w:color="auto"/>
              <w:bottom w:val="single" w:sz="8" w:color="auto"/>
            </w:tcBorders>
            <w:gridSpan w:val="3"/>
          </w:tcPr>
          <w:p>
            <w:pPr>
              <w:spacing w:after="0" w:line="20" w:lineRule="exact"/>
              <w:rPr>
                <w:sz w:val="1"/>
                <w:szCs w:val="1"/>
                <w:color w:val="auto"/>
              </w:rPr>
            </w:pPr>
          </w:p>
        </w:tc>
      </w:tr>
      <w:tr>
        <w:trPr>
          <w:trHeight w:val="575"/>
        </w:trPr>
        <w:tc>
          <w:tcPr>
            <w:tcW w:w="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0" w:type="dxa"/>
            <w:vAlign w:val="bottom"/>
            <w:gridSpan w:val="6"/>
          </w:tcPr>
          <w:p>
            <w:pPr>
              <w:jc w:val="center"/>
              <w:ind w:right="150"/>
              <w:spacing w:after="0"/>
              <w:rPr>
                <w:sz w:val="20"/>
                <w:szCs w:val="20"/>
                <w:color w:val="auto"/>
              </w:rPr>
            </w:pPr>
            <w:r>
              <w:rPr>
                <w:rFonts w:ascii="Arial" w:cs="Arial" w:eastAsia="Arial" w:hAnsi="Arial"/>
                <w:sz w:val="18"/>
                <w:szCs w:val="18"/>
                <w:color w:val="auto"/>
                <w:w w:val="90"/>
              </w:rPr>
              <w:t>Three Months Ended</w:t>
            </w:r>
          </w:p>
        </w:tc>
      </w:tr>
      <w:tr>
        <w:trPr>
          <w:trHeight w:val="270"/>
        </w:trPr>
        <w:tc>
          <w:tcPr>
            <w:tcW w:w="20" w:type="dxa"/>
            <w:vAlign w:val="bottom"/>
          </w:tcPr>
          <w:p>
            <w:pPr>
              <w:spacing w:after="0"/>
              <w:rPr>
                <w:sz w:val="23"/>
                <w:szCs w:val="23"/>
                <w:color w:val="auto"/>
              </w:rPr>
            </w:pPr>
          </w:p>
        </w:tc>
        <w:tc>
          <w:tcPr>
            <w:tcW w:w="2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0" w:type="dxa"/>
            <w:vAlign w:val="bottom"/>
            <w:gridSpan w:val="5"/>
          </w:tcPr>
          <w:p>
            <w:pPr>
              <w:jc w:val="center"/>
              <w:ind w:left="490"/>
              <w:spacing w:after="0"/>
              <w:rPr>
                <w:sz w:val="20"/>
                <w:szCs w:val="20"/>
                <w:color w:val="auto"/>
              </w:rPr>
            </w:pPr>
            <w:r>
              <w:rPr>
                <w:rFonts w:ascii="Arial" w:cs="Arial" w:eastAsia="Arial" w:hAnsi="Arial"/>
                <w:sz w:val="18"/>
                <w:szCs w:val="18"/>
                <w:color w:val="auto"/>
                <w:w w:val="92"/>
              </w:rPr>
              <w:t>March 31,</w:t>
            </w:r>
          </w:p>
        </w:tc>
        <w:tc>
          <w:tcPr>
            <w:tcW w:w="800" w:type="dxa"/>
            <w:vAlign w:val="bottom"/>
          </w:tcPr>
          <w:p>
            <w:pPr>
              <w:spacing w:after="0"/>
              <w:rPr>
                <w:sz w:val="23"/>
                <w:szCs w:val="23"/>
                <w:color w:val="auto"/>
              </w:rPr>
            </w:pP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196"/>
        </w:trPr>
        <w:tc>
          <w:tcPr>
            <w:tcW w:w="20" w:type="dxa"/>
            <w:vAlign w:val="bottom"/>
          </w:tcPr>
          <w:p>
            <w:pPr>
              <w:spacing w:after="0"/>
              <w:rPr>
                <w:sz w:val="17"/>
                <w:szCs w:val="17"/>
                <w:color w:val="auto"/>
              </w:rPr>
            </w:pPr>
          </w:p>
        </w:tc>
        <w:tc>
          <w:tcPr>
            <w:tcW w:w="4660" w:type="dxa"/>
            <w:vAlign w:val="bottom"/>
            <w:gridSpan w:val="3"/>
          </w:tcPr>
          <w:p>
            <w:pPr>
              <w:spacing w:after="0" w:line="196" w:lineRule="exact"/>
              <w:rPr>
                <w:sz w:val="20"/>
                <w:szCs w:val="20"/>
                <w:color w:val="auto"/>
              </w:rPr>
            </w:pPr>
            <w:r>
              <w:rPr>
                <w:rFonts w:ascii="Arial" w:cs="Arial" w:eastAsia="Arial" w:hAnsi="Arial"/>
                <w:sz w:val="18"/>
                <w:szCs w:val="18"/>
                <w:color w:val="auto"/>
              </w:rPr>
              <w:t>Other postretirement benefits</w:t>
            </w:r>
          </w:p>
        </w:tc>
        <w:tc>
          <w:tcPr>
            <w:tcW w:w="260" w:type="dxa"/>
            <w:vAlign w:val="bottom"/>
          </w:tcPr>
          <w:p>
            <w:pPr>
              <w:spacing w:after="0"/>
              <w:rPr>
                <w:sz w:val="17"/>
                <w:szCs w:val="17"/>
                <w:color w:val="auto"/>
              </w:rPr>
            </w:pPr>
          </w:p>
        </w:tc>
        <w:tc>
          <w:tcPr>
            <w:tcW w:w="860" w:type="dxa"/>
            <w:vAlign w:val="bottom"/>
          </w:tcPr>
          <w:p>
            <w:pPr>
              <w:jc w:val="right"/>
              <w:ind w:right="290"/>
              <w:spacing w:after="0" w:line="196" w:lineRule="exact"/>
              <w:rPr>
                <w:sz w:val="20"/>
                <w:szCs w:val="20"/>
                <w:color w:val="auto"/>
              </w:rPr>
            </w:pPr>
            <w:r>
              <w:rPr>
                <w:rFonts w:ascii="Arial" w:cs="Arial" w:eastAsia="Arial" w:hAnsi="Arial"/>
                <w:sz w:val="18"/>
                <w:szCs w:val="18"/>
                <w:color w:val="auto"/>
              </w:rPr>
              <w:t>2019</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0" w:type="dxa"/>
            <w:vAlign w:val="bottom"/>
          </w:tcPr>
          <w:p>
            <w:pPr>
              <w:jc w:val="right"/>
              <w:ind w:right="290"/>
              <w:spacing w:after="0" w:line="196" w:lineRule="exact"/>
              <w:rPr>
                <w:sz w:val="20"/>
                <w:szCs w:val="20"/>
                <w:color w:val="auto"/>
              </w:rPr>
            </w:pPr>
            <w:r>
              <w:rPr>
                <w:rFonts w:ascii="Arial" w:cs="Arial" w:eastAsia="Arial" w:hAnsi="Arial"/>
                <w:sz w:val="18"/>
                <w:szCs w:val="18"/>
                <w:color w:val="auto"/>
                <w:w w:val="99"/>
              </w:rPr>
              <w:t>2018</w:t>
            </w:r>
          </w:p>
        </w:tc>
      </w:tr>
      <w:tr>
        <w:trPr>
          <w:trHeight w:val="48"/>
        </w:trPr>
        <w:tc>
          <w:tcPr>
            <w:tcW w:w="20" w:type="dxa"/>
            <w:vAlign w:val="bottom"/>
            <w:tcBorders>
              <w:bottom w:val="single" w:sz="8" w:color="CCEEFF"/>
            </w:tcBorders>
          </w:tcPr>
          <w:p>
            <w:pPr>
              <w:spacing w:after="0"/>
              <w:rPr>
                <w:sz w:val="4"/>
                <w:szCs w:val="4"/>
                <w:color w:val="auto"/>
              </w:rPr>
            </w:pPr>
          </w:p>
        </w:tc>
        <w:tc>
          <w:tcPr>
            <w:tcW w:w="2120" w:type="dxa"/>
            <w:vAlign w:val="bottom"/>
            <w:tcBorders>
              <w:top w:val="single" w:sz="8" w:color="auto"/>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26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20" w:type="dxa"/>
            <w:vAlign w:val="bottom"/>
            <w:tcBorders>
              <w:bottom w:val="single" w:sz="8" w:color="CCEEFF"/>
            </w:tcBorders>
          </w:tcPr>
          <w:p>
            <w:pPr>
              <w:spacing w:after="0"/>
              <w:rPr>
                <w:sz w:val="4"/>
                <w:szCs w:val="4"/>
                <w:color w:val="auto"/>
              </w:rPr>
            </w:pPr>
          </w:p>
        </w:tc>
        <w:tc>
          <w:tcPr>
            <w:tcW w:w="180" w:type="dxa"/>
            <w:vAlign w:val="bottom"/>
            <w:tcBorders>
              <w:bottom w:val="single" w:sz="8" w:color="CCEEFF"/>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r>
      <w:tr>
        <w:trPr>
          <w:trHeight w:val="244"/>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Service cost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0" w:type="dxa"/>
            <w:vAlign w:val="bottom"/>
          </w:tcPr>
          <w:p>
            <w:pPr>
              <w:spacing w:after="0"/>
              <w:rPr>
                <w:sz w:val="21"/>
                <w:szCs w:val="21"/>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Pr>
          <w:p>
            <w:pPr>
              <w:spacing w:after="0"/>
              <w:rPr>
                <w:sz w:val="2"/>
                <w:szCs w:val="2"/>
                <w:color w:val="auto"/>
              </w:rPr>
            </w:pPr>
          </w:p>
        </w:tc>
        <w:tc>
          <w:tcPr>
            <w:tcW w:w="2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18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20" w:type="dxa"/>
            <w:vAlign w:val="bottom"/>
          </w:tcPr>
          <w:p>
            <w:pPr>
              <w:spacing w:after="0"/>
              <w:rPr>
                <w:sz w:val="2"/>
                <w:szCs w:val="2"/>
                <w:color w:val="auto"/>
              </w:rPr>
            </w:pPr>
          </w:p>
        </w:tc>
        <w:tc>
          <w:tcPr>
            <w:tcW w:w="1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4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Recognized prior service credit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43"/>
        </w:trPr>
        <w:tc>
          <w:tcPr>
            <w:tcW w:w="20" w:type="dxa"/>
            <w:vAlign w:val="bottom"/>
          </w:tcPr>
          <w:p>
            <w:pPr>
              <w:spacing w:after="0"/>
              <w:rPr>
                <w:sz w:val="21"/>
                <w:szCs w:val="21"/>
                <w:color w:val="auto"/>
              </w:rPr>
            </w:pPr>
          </w:p>
        </w:tc>
        <w:tc>
          <w:tcPr>
            <w:tcW w:w="4660" w:type="dxa"/>
            <w:vAlign w:val="bottom"/>
            <w:gridSpan w:val="3"/>
          </w:tcPr>
          <w:p>
            <w:pPr>
              <w:spacing w:after="0"/>
              <w:rPr>
                <w:sz w:val="20"/>
                <w:szCs w:val="20"/>
                <w:color w:val="auto"/>
              </w:rPr>
            </w:pPr>
            <w:r>
              <w:rPr>
                <w:rFonts w:ascii="Arial" w:cs="Arial" w:eastAsia="Arial" w:hAnsi="Arial"/>
                <w:sz w:val="18"/>
                <w:szCs w:val="18"/>
                <w:color w:val="auto"/>
              </w:rPr>
              <w:t>Recognized net loss</w:t>
            </w:r>
          </w:p>
        </w:tc>
        <w:tc>
          <w:tcPr>
            <w:tcW w:w="260" w:type="dxa"/>
            <w:vAlign w:val="bottom"/>
          </w:tcPr>
          <w:p>
            <w:pPr>
              <w:spacing w:after="0"/>
              <w:rPr>
                <w:sz w:val="21"/>
                <w:szCs w:val="21"/>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20" w:type="dxa"/>
            <w:vAlign w:val="bottom"/>
            <w:tcBorders>
              <w:bottom w:val="single" w:sz="8" w:color="CCEEFF"/>
            </w:tcBorders>
          </w:tcPr>
          <w:p>
            <w:pPr>
              <w:spacing w:after="0"/>
              <w:rPr>
                <w:sz w:val="2"/>
                <w:szCs w:val="2"/>
                <w:color w:val="auto"/>
              </w:rPr>
            </w:pPr>
          </w:p>
        </w:tc>
        <w:tc>
          <w:tcPr>
            <w:tcW w:w="21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21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20" w:type="dxa"/>
            <w:vAlign w:val="bottom"/>
            <w:tcBorders>
              <w:bottom w:val="single" w:sz="8" w:color="CCEEFF"/>
            </w:tcBorders>
            <w:shd w:val="clear" w:color="auto" w:fill="CCEEFF"/>
          </w:tcPr>
          <w:p>
            <w:pPr>
              <w:spacing w:after="0"/>
              <w:rPr>
                <w:sz w:val="22"/>
                <w:szCs w:val="22"/>
                <w:color w:val="auto"/>
              </w:rPr>
            </w:pPr>
          </w:p>
        </w:tc>
        <w:tc>
          <w:tcPr>
            <w:tcW w:w="466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Net periodic benefit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2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21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spacing w:after="0" w:line="312" w:lineRule="auto"/>
        <w:rPr>
          <w:sz w:val="20"/>
          <w:szCs w:val="20"/>
          <w:color w:val="auto"/>
        </w:rPr>
      </w:pPr>
      <w:r>
        <w:rPr>
          <w:rFonts w:ascii="Arial" w:cs="Arial" w:eastAsia="Arial" w:hAnsi="Arial"/>
          <w:sz w:val="16"/>
          <w:szCs w:val="16"/>
          <w:color w:val="auto"/>
        </w:rPr>
        <w:t>In the three months ended March 31, 2019, the Company recorded a curtailment gain to recognize prior service credits that were previously recorded in accumulated other comprehensive income in connection with the closure of a non-U.S. defined benefit pension plan. Additionally, the Company may incur future settlement charges in 2019 related to the payment of lump sum buy-outs to settle certain pension obligations using plan assets.</w:t>
      </w:r>
    </w:p>
    <w:p>
      <w:pPr>
        <w:spacing w:after="0" w:line="147"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components of net periodic cost / (benefit) other than the service cost component are included in other pension and postretirement in the Consolidated Statement of Operations.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type w:val="continuous"/>
        </w:sectPr>
      </w:pPr>
    </w:p>
    <w:bookmarkStart w:id="21" w:name="page22"/>
    <w:bookmarkEnd w:id="21"/>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information about amounts reclassified from accumulated other comprehensive income.</w:t>
      </w:r>
    </w:p>
    <w:p>
      <w:pPr>
        <w:spacing w:after="0" w:line="387" w:lineRule="exact"/>
        <w:rPr>
          <w:sz w:val="20"/>
          <w:szCs w:val="20"/>
          <w:color w:val="auto"/>
        </w:rPr>
      </w:pPr>
    </w:p>
    <w:p>
      <w:pPr>
        <w:jc w:val="center"/>
        <w:ind w:right="1860"/>
        <w:spacing w:after="0"/>
        <w:rPr>
          <w:sz w:val="20"/>
          <w:szCs w:val="20"/>
          <w:color w:val="auto"/>
        </w:rPr>
      </w:pPr>
      <w:r>
        <w:rPr>
          <w:rFonts w:ascii="Arial" w:cs="Arial" w:eastAsia="Arial" w:hAnsi="Arial"/>
          <w:sz w:val="18"/>
          <w:szCs w:val="18"/>
          <w:color w:val="auto"/>
        </w:rPr>
        <w:t>Three Months</w:t>
      </w:r>
    </w:p>
    <w:p>
      <w:pPr>
        <w:spacing w:after="0" w:line="23" w:lineRule="exact"/>
        <w:rPr>
          <w:sz w:val="20"/>
          <w:szCs w:val="20"/>
          <w:color w:val="auto"/>
        </w:rPr>
      </w:pPr>
    </w:p>
    <w:p>
      <w:pPr>
        <w:jc w:val="center"/>
        <w:ind w:right="1860"/>
        <w:spacing w:after="0"/>
        <w:rPr>
          <w:sz w:val="20"/>
          <w:szCs w:val="20"/>
          <w:color w:val="auto"/>
        </w:rPr>
      </w:pPr>
      <w:r>
        <w:rPr>
          <w:rFonts w:ascii="Arial" w:cs="Arial" w:eastAsia="Arial" w:hAnsi="Arial"/>
          <w:sz w:val="18"/>
          <w:szCs w:val="18"/>
          <w:color w:val="auto"/>
        </w:rPr>
        <w:t>Ended</w:t>
      </w:r>
    </w:p>
    <w:p>
      <w:pPr>
        <w:spacing w:after="0" w:line="49"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334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Details about accumulated other</w:t>
            </w:r>
          </w:p>
        </w:tc>
        <w:tc>
          <w:tcPr>
            <w:tcW w:w="140" w:type="dxa"/>
            <w:vAlign w:val="bottom"/>
          </w:tcPr>
          <w:p>
            <w:pPr>
              <w:spacing w:after="0"/>
              <w:rPr>
                <w:sz w:val="20"/>
                <w:szCs w:val="20"/>
                <w:color w:val="auto"/>
              </w:rPr>
            </w:pPr>
          </w:p>
        </w:tc>
        <w:tc>
          <w:tcPr>
            <w:tcW w:w="1380" w:type="dxa"/>
            <w:vAlign w:val="bottom"/>
            <w:gridSpan w:val="4"/>
          </w:tcPr>
          <w:p>
            <w:pPr>
              <w:jc w:val="right"/>
              <w:ind w:right="290"/>
              <w:spacing w:after="0"/>
              <w:rPr>
                <w:sz w:val="20"/>
                <w:szCs w:val="20"/>
                <w:color w:val="auto"/>
              </w:rPr>
            </w:pPr>
            <w:r>
              <w:rPr>
                <w:rFonts w:ascii="Arial" w:cs="Arial" w:eastAsia="Arial" w:hAnsi="Arial"/>
                <w:sz w:val="18"/>
                <w:szCs w:val="18"/>
                <w:color w:val="auto"/>
              </w:rPr>
              <w:t>March 31,</w:t>
            </w:r>
          </w:p>
        </w:tc>
        <w:tc>
          <w:tcPr>
            <w:tcW w:w="3420" w:type="dxa"/>
            <w:vAlign w:val="bottom"/>
          </w:tcPr>
          <w:p>
            <w:pPr>
              <w:ind w:left="840"/>
              <w:spacing w:after="0"/>
              <w:rPr>
                <w:sz w:val="20"/>
                <w:szCs w:val="20"/>
                <w:color w:val="auto"/>
              </w:rPr>
            </w:pPr>
            <w:r>
              <w:rPr>
                <w:rFonts w:ascii="Arial" w:cs="Arial" w:eastAsia="Arial" w:hAnsi="Arial"/>
                <w:sz w:val="18"/>
                <w:szCs w:val="18"/>
                <w:color w:val="auto"/>
              </w:rPr>
              <w:t>Affected line item in the</w:t>
            </w:r>
          </w:p>
        </w:tc>
        <w:tc>
          <w:tcPr>
            <w:tcW w:w="0" w:type="dxa"/>
            <w:vAlign w:val="bottom"/>
          </w:tcPr>
          <w:p>
            <w:pPr>
              <w:spacing w:after="0"/>
              <w:rPr>
                <w:sz w:val="1"/>
                <w:szCs w:val="1"/>
                <w:color w:val="auto"/>
              </w:rPr>
            </w:pPr>
          </w:p>
        </w:tc>
      </w:tr>
      <w:tr>
        <w:trPr>
          <w:trHeight w:val="27"/>
        </w:trPr>
        <w:tc>
          <w:tcPr>
            <w:tcW w:w="3340" w:type="dxa"/>
            <w:vAlign w:val="bottom"/>
            <w:gridSpan w:val="2"/>
            <w:vMerge w:val="restart"/>
          </w:tcPr>
          <w:p>
            <w:pPr>
              <w:jc w:val="center"/>
              <w:ind w:right="120"/>
              <w:spacing w:after="0"/>
              <w:rPr>
                <w:sz w:val="20"/>
                <w:szCs w:val="20"/>
                <w:color w:val="auto"/>
              </w:rPr>
            </w:pPr>
            <w:r>
              <w:rPr>
                <w:rFonts w:ascii="Arial" w:cs="Arial" w:eastAsia="Arial" w:hAnsi="Arial"/>
                <w:sz w:val="18"/>
                <w:szCs w:val="18"/>
                <w:color w:val="auto"/>
                <w:w w:val="89"/>
              </w:rPr>
              <w:t>comprehensive income components</w:t>
            </w: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20" w:type="dxa"/>
            <w:vAlign w:val="bottom"/>
            <w:vMerge w:val="restart"/>
          </w:tcPr>
          <w:p>
            <w:pPr>
              <w:ind w:left="880"/>
              <w:spacing w:after="0"/>
              <w:rPr>
                <w:sz w:val="20"/>
                <w:szCs w:val="20"/>
                <w:color w:val="auto"/>
              </w:rPr>
            </w:pPr>
            <w:r>
              <w:rPr>
                <w:rFonts w:ascii="Arial" w:cs="Arial" w:eastAsia="Arial" w:hAnsi="Arial"/>
                <w:sz w:val="18"/>
                <w:szCs w:val="18"/>
                <w:color w:val="auto"/>
              </w:rPr>
              <w:t>statement of operations</w:t>
            </w:r>
          </w:p>
        </w:tc>
        <w:tc>
          <w:tcPr>
            <w:tcW w:w="0" w:type="dxa"/>
            <w:vAlign w:val="bottom"/>
          </w:tcPr>
          <w:p>
            <w:pPr>
              <w:spacing w:after="0"/>
              <w:rPr>
                <w:sz w:val="1"/>
                <w:szCs w:val="1"/>
                <w:color w:val="auto"/>
              </w:rPr>
            </w:pPr>
          </w:p>
        </w:tc>
      </w:tr>
      <w:tr>
        <w:trPr>
          <w:trHeight w:val="237"/>
        </w:trPr>
        <w:tc>
          <w:tcPr>
            <w:tcW w:w="33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70"/>
              <w:spacing w:after="0"/>
              <w:rPr>
                <w:sz w:val="20"/>
                <w:szCs w:val="20"/>
                <w:color w:val="auto"/>
              </w:rPr>
            </w:pPr>
            <w:r>
              <w:rPr>
                <w:rFonts w:ascii="Arial" w:cs="Arial" w:eastAsia="Arial" w:hAnsi="Arial"/>
                <w:sz w:val="18"/>
                <w:szCs w:val="18"/>
                <w:color w:val="auto"/>
                <w:w w:val="94"/>
              </w:rPr>
              <w:t>2019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60" w:type="dxa"/>
            <w:vAlign w:val="bottom"/>
          </w:tcPr>
          <w:p>
            <w:pPr>
              <w:jc w:val="right"/>
              <w:ind w:right="90"/>
              <w:spacing w:after="0"/>
              <w:rPr>
                <w:sz w:val="20"/>
                <w:szCs w:val="20"/>
                <w:color w:val="auto"/>
              </w:rPr>
            </w:pPr>
            <w:r>
              <w:rPr>
                <w:rFonts w:ascii="Arial" w:cs="Arial" w:eastAsia="Arial" w:hAnsi="Arial"/>
                <w:sz w:val="18"/>
                <w:szCs w:val="18"/>
                <w:color w:val="auto"/>
                <w:w w:val="89"/>
              </w:rPr>
              <w:t>2018</w:t>
            </w:r>
          </w:p>
        </w:tc>
        <w:tc>
          <w:tcPr>
            <w:tcW w:w="34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3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340" w:type="dxa"/>
            <w:vAlign w:val="bottom"/>
            <w:gridSpan w:val="2"/>
          </w:tcPr>
          <w:p>
            <w:pPr>
              <w:ind w:left="200"/>
              <w:spacing w:after="0"/>
              <w:rPr>
                <w:sz w:val="20"/>
                <w:szCs w:val="20"/>
                <w:color w:val="auto"/>
              </w:rPr>
            </w:pPr>
            <w:r>
              <w:rPr>
                <w:rFonts w:ascii="Arial" w:cs="Arial" w:eastAsia="Arial" w:hAnsi="Arial"/>
                <w:sz w:val="18"/>
                <w:szCs w:val="18"/>
                <w:color w:val="auto"/>
              </w:rPr>
              <w:t>Actuarial losses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24</w:t>
            </w:r>
          </w:p>
        </w:tc>
        <w:tc>
          <w:tcPr>
            <w:tcW w:w="3420" w:type="dxa"/>
            <w:vAlign w:val="bottom"/>
          </w:tcPr>
          <w:p>
            <w:pPr>
              <w:ind w:left="20"/>
              <w:spacing w:after="0"/>
              <w:rPr>
                <w:sz w:val="20"/>
                <w:szCs w:val="20"/>
                <w:color w:val="auto"/>
              </w:rPr>
            </w:pPr>
            <w:r>
              <w:rPr>
                <w:rFonts w:ascii="Arial" w:cs="Arial" w:eastAsia="Arial" w:hAnsi="Arial"/>
                <w:sz w:val="18"/>
                <w:szCs w:val="18"/>
                <w:color w:val="auto"/>
              </w:rPr>
              <w:t>Other pension and postretirement</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Prior service credit</w:t>
            </w: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pension and postretirement</w:t>
            </w:r>
          </w:p>
        </w:tc>
        <w:tc>
          <w:tcPr>
            <w:tcW w:w="0" w:type="dxa"/>
            <w:vAlign w:val="bottom"/>
          </w:tcPr>
          <w:p>
            <w:pPr>
              <w:spacing w:after="0"/>
              <w:rPr>
                <w:sz w:val="1"/>
                <w:szCs w:val="1"/>
                <w:color w:val="auto"/>
              </w:rPr>
            </w:pPr>
          </w:p>
        </w:tc>
      </w:tr>
      <w:tr>
        <w:trPr>
          <w:trHeight w:val="237"/>
        </w:trPr>
        <w:tc>
          <w:tcPr>
            <w:tcW w:w="3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3420" w:type="dxa"/>
            <w:vAlign w:val="bottom"/>
          </w:tcPr>
          <w:p>
            <w:pPr>
              <w:ind w:left="20"/>
              <w:spacing w:after="0"/>
              <w:rPr>
                <w:sz w:val="20"/>
                <w:szCs w:val="20"/>
                <w:color w:val="auto"/>
              </w:rPr>
            </w:pPr>
            <w:r>
              <w:rPr>
                <w:rFonts w:ascii="Arial" w:cs="Arial" w:eastAsia="Arial" w:hAnsi="Arial"/>
                <w:sz w:val="18"/>
                <w:szCs w:val="18"/>
                <w:color w:val="auto"/>
              </w:rPr>
              <w:t>Income before taxes</w:t>
            </w:r>
          </w:p>
        </w:tc>
        <w:tc>
          <w:tcPr>
            <w:tcW w:w="0" w:type="dxa"/>
            <w:vAlign w:val="bottom"/>
          </w:tcPr>
          <w:p>
            <w:pPr>
              <w:spacing w:after="0"/>
              <w:rPr>
                <w:sz w:val="1"/>
                <w:szCs w:val="1"/>
                <w:color w:val="auto"/>
              </w:rPr>
            </w:pPr>
          </w:p>
        </w:tc>
      </w:tr>
      <w:tr>
        <w:trPr>
          <w:trHeight w:val="27"/>
        </w:trPr>
        <w:tc>
          <w:tcPr>
            <w:tcW w:w="3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3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57"/>
        </w:trPr>
        <w:tc>
          <w:tcPr>
            <w:tcW w:w="3340" w:type="dxa"/>
            <w:vAlign w:val="bottom"/>
            <w:gridSpan w:val="2"/>
          </w:tcPr>
          <w:p>
            <w:pPr>
              <w:ind w:left="260"/>
              <w:spacing w:after="0"/>
              <w:rPr>
                <w:sz w:val="20"/>
                <w:szCs w:val="20"/>
                <w:color w:val="auto"/>
              </w:rPr>
            </w:pPr>
            <w:r>
              <w:rPr>
                <w:rFonts w:ascii="Arial" w:cs="Arial" w:eastAsia="Arial" w:hAnsi="Arial"/>
                <w:sz w:val="18"/>
                <w:szCs w:val="18"/>
                <w:color w:val="auto"/>
              </w:rPr>
              <w:t>Total reclassified</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w:t>
            </w:r>
          </w:p>
        </w:tc>
        <w:tc>
          <w:tcPr>
            <w:tcW w:w="34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0" w:type="dxa"/>
            <w:vAlign w:val="bottom"/>
          </w:tcPr>
          <w:p>
            <w:pPr>
              <w:spacing w:after="0"/>
              <w:rPr>
                <w:sz w:val="1"/>
                <w:szCs w:val="1"/>
                <w:color w:val="auto"/>
              </w:rPr>
            </w:pPr>
          </w:p>
        </w:tc>
      </w:tr>
      <w:tr>
        <w:trPr>
          <w:trHeight w:val="20"/>
        </w:trPr>
        <w:tc>
          <w:tcPr>
            <w:tcW w:w="3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660" w:hanging="652"/>
        <w:spacing w:after="0"/>
        <w:tabs>
          <w:tab w:leader="none" w:pos="66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Accumulated Other Comprehensive Income</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provides information about the changes in each component of accumulated other comprehensive income.</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93"/>
              </w:rPr>
              <w:t>Defined</w:t>
            </w:r>
          </w:p>
        </w:tc>
        <w:tc>
          <w:tcPr>
            <w:tcW w:w="16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Foreign</w:t>
            </w:r>
          </w:p>
        </w:tc>
        <w:tc>
          <w:tcPr>
            <w:tcW w:w="120" w:type="dxa"/>
            <w:vAlign w:val="bottom"/>
          </w:tcPr>
          <w:p>
            <w:pPr>
              <w:spacing w:after="0"/>
              <w:rPr>
                <w:sz w:val="18"/>
                <w:szCs w:val="18"/>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87"/>
              </w:rPr>
              <w:t>Gains and</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16"/>
        </w:trPr>
        <w:tc>
          <w:tcPr>
            <w:tcW w:w="55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92"/>
              </w:rPr>
              <w:t>benefit</w:t>
            </w:r>
          </w:p>
        </w:tc>
        <w:tc>
          <w:tcPr>
            <w:tcW w:w="160" w:type="dxa"/>
            <w:vAlign w:val="bottom"/>
          </w:tcPr>
          <w:p>
            <w:pPr>
              <w:spacing w:after="0"/>
              <w:rPr>
                <w:sz w:val="18"/>
                <w:szCs w:val="18"/>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2"/>
              </w:rPr>
              <w:t>currency</w:t>
            </w:r>
          </w:p>
        </w:tc>
        <w:tc>
          <w:tcPr>
            <w:tcW w:w="1300" w:type="dxa"/>
            <w:vAlign w:val="bottom"/>
            <w:gridSpan w:val="3"/>
          </w:tcPr>
          <w:p>
            <w:pPr>
              <w:ind w:left="40"/>
              <w:spacing w:after="0"/>
              <w:rPr>
                <w:sz w:val="20"/>
                <w:szCs w:val="20"/>
                <w:color w:val="auto"/>
              </w:rPr>
            </w:pPr>
            <w:r>
              <w:rPr>
                <w:rFonts w:ascii="Arial" w:cs="Arial" w:eastAsia="Arial" w:hAnsi="Arial"/>
                <w:sz w:val="18"/>
                <w:szCs w:val="18"/>
                <w:color w:val="auto"/>
              </w:rPr>
              <w:t>losses on cash</w:t>
            </w:r>
          </w:p>
        </w:tc>
        <w:tc>
          <w:tcPr>
            <w:tcW w:w="20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0"/>
        </w:trPr>
        <w:tc>
          <w:tcPr>
            <w:tcW w:w="55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8"/>
                <w:szCs w:val="18"/>
                <w:color w:val="auto"/>
                <w:w w:val="88"/>
              </w:rPr>
              <w:t>plans</w:t>
            </w:r>
          </w:p>
        </w:tc>
        <w:tc>
          <w:tcPr>
            <w:tcW w:w="160" w:type="dxa"/>
            <w:vAlign w:val="bottom"/>
          </w:tcPr>
          <w:p>
            <w:pPr>
              <w:spacing w:after="0"/>
              <w:rPr>
                <w:sz w:val="20"/>
                <w:szCs w:val="20"/>
                <w:color w:val="auto"/>
              </w:rPr>
            </w:pPr>
          </w:p>
        </w:tc>
        <w:tc>
          <w:tcPr>
            <w:tcW w:w="1140" w:type="dxa"/>
            <w:vAlign w:val="bottom"/>
            <w:gridSpan w:val="2"/>
          </w:tcPr>
          <w:p>
            <w:pPr>
              <w:jc w:val="center"/>
              <w:ind w:right="340"/>
              <w:spacing w:after="0"/>
              <w:rPr>
                <w:sz w:val="20"/>
                <w:szCs w:val="20"/>
                <w:color w:val="auto"/>
              </w:rPr>
            </w:pPr>
            <w:r>
              <w:rPr>
                <w:rFonts w:ascii="Arial" w:cs="Arial" w:eastAsia="Arial" w:hAnsi="Arial"/>
                <w:sz w:val="18"/>
                <w:szCs w:val="18"/>
                <w:color w:val="auto"/>
                <w:w w:val="91"/>
              </w:rPr>
              <w:t>translation</w:t>
            </w:r>
          </w:p>
        </w:tc>
        <w:tc>
          <w:tcPr>
            <w:tcW w:w="120" w:type="dxa"/>
            <w:vAlign w:val="bottom"/>
          </w:tcPr>
          <w:p>
            <w:pPr>
              <w:spacing w:after="0"/>
              <w:rPr>
                <w:sz w:val="20"/>
                <w:szCs w:val="20"/>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8"/>
                <w:szCs w:val="18"/>
                <w:color w:val="auto"/>
                <w:w w:val="91"/>
              </w:rPr>
              <w:t>flow hedges</w:t>
            </w:r>
          </w:p>
        </w:tc>
        <w:tc>
          <w:tcPr>
            <w:tcW w:w="200" w:type="dxa"/>
            <w:vAlign w:val="bottom"/>
          </w:tcPr>
          <w:p>
            <w:pPr>
              <w:spacing w:after="0"/>
              <w:rPr>
                <w:sz w:val="20"/>
                <w:szCs w:val="20"/>
                <w:color w:val="auto"/>
              </w:rPr>
            </w:pPr>
          </w:p>
        </w:tc>
        <w:tc>
          <w:tcPr>
            <w:tcW w:w="700" w:type="dxa"/>
            <w:vAlign w:val="bottom"/>
          </w:tcPr>
          <w:p>
            <w:pPr>
              <w:jc w:val="right"/>
              <w:ind w:right="170"/>
              <w:spacing w:after="0"/>
              <w:rPr>
                <w:sz w:val="20"/>
                <w:szCs w:val="20"/>
                <w:color w:val="auto"/>
              </w:rPr>
            </w:pPr>
            <w:r>
              <w:rPr>
                <w:rFonts w:ascii="Arial" w:cs="Arial" w:eastAsia="Arial" w:hAnsi="Arial"/>
                <w:sz w:val="18"/>
                <w:szCs w:val="18"/>
                <w:color w:val="auto"/>
              </w:rPr>
              <w:t>Total</w:t>
            </w:r>
          </w:p>
        </w:tc>
      </w:tr>
      <w:tr>
        <w:trPr>
          <w:trHeight w:val="27"/>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January 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(1,681)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(3,241)</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Cumulative effect of change in accounting principle</w:t>
            </w:r>
          </w:p>
        </w:tc>
        <w:tc>
          <w:tcPr>
            <w:tcW w:w="140" w:type="dxa"/>
            <w:vAlign w:val="bottom"/>
          </w:tcPr>
          <w:p>
            <w:pPr>
              <w:spacing w:after="0"/>
              <w:rPr>
                <w:sz w:val="21"/>
                <w:szCs w:val="21"/>
                <w:color w:val="auto"/>
              </w:rPr>
            </w:pP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w w:val="99"/>
              </w:rPr>
              <w:t>Amounts reclassified from accumulated other comprehensive income</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5</w:t>
            </w:r>
          </w:p>
        </w:tc>
      </w:tr>
      <w:tr>
        <w:trPr>
          <w:trHeight w:val="27"/>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(loss)</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w:t>
            </w:r>
          </w:p>
        </w:tc>
      </w:tr>
      <w:tr>
        <w:trPr>
          <w:trHeight w:val="297"/>
        </w:trPr>
        <w:tc>
          <w:tcPr>
            <w:tcW w:w="5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Balance at March 31, 2018</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(1,572)</w:t>
            </w:r>
          </w:p>
        </w:tc>
        <w:tc>
          <w:tcPr>
            <w:tcW w:w="10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(1,600)</w:t>
            </w:r>
          </w:p>
        </w:tc>
        <w:tc>
          <w:tcPr>
            <w:tcW w:w="18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(3,178)</w:t>
            </w:r>
          </w:p>
        </w:tc>
      </w:tr>
      <w:tr>
        <w:trPr>
          <w:trHeight w:val="217"/>
        </w:trPr>
        <w:tc>
          <w:tcPr>
            <w:tcW w:w="5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rPr>
              <w:t>Balance at January 1, 2019</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(1,533)</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(1,817)</w:t>
            </w:r>
          </w:p>
        </w:tc>
        <w:tc>
          <w:tcPr>
            <w:tcW w:w="180" w:type="dxa"/>
            <w:vAlign w:val="bottom"/>
          </w:tcPr>
          <w:p>
            <w:pPr>
              <w:spacing w:after="0"/>
              <w:rPr>
                <w:sz w:val="21"/>
                <w:szCs w:val="21"/>
                <w:color w:val="auto"/>
              </w:rPr>
            </w:pP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2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(3,374)</w:t>
            </w:r>
          </w:p>
        </w:tc>
      </w:tr>
      <w:tr>
        <w:trPr>
          <w:trHeight w:val="27"/>
        </w:trPr>
        <w:tc>
          <w:tcPr>
            <w:tcW w:w="5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 before reclassifications</w:t>
            </w: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78</w:t>
            </w:r>
          </w:p>
        </w:tc>
      </w:tr>
      <w:tr>
        <w:trPr>
          <w:trHeight w:val="243"/>
        </w:trPr>
        <w:tc>
          <w:tcPr>
            <w:tcW w:w="5500" w:type="dxa"/>
            <w:vAlign w:val="bottom"/>
          </w:tcPr>
          <w:p>
            <w:pPr>
              <w:ind w:left="20"/>
              <w:spacing w:after="0"/>
              <w:rPr>
                <w:sz w:val="20"/>
                <w:szCs w:val="20"/>
                <w:color w:val="auto"/>
              </w:rPr>
            </w:pPr>
            <w:r>
              <w:rPr>
                <w:rFonts w:ascii="Arial" w:cs="Arial" w:eastAsia="Arial" w:hAnsi="Arial"/>
                <w:sz w:val="18"/>
                <w:szCs w:val="18"/>
                <w:color w:val="auto"/>
                <w:w w:val="99"/>
              </w:rPr>
              <w:t>Amounts reclassified from accumulated other comprehensive income</w:t>
            </w:r>
          </w:p>
        </w:tc>
        <w:tc>
          <w:tcPr>
            <w:tcW w:w="140" w:type="dxa"/>
            <w:vAlign w:val="bottom"/>
          </w:tcPr>
          <w:p>
            <w:pPr>
              <w:spacing w:after="0"/>
              <w:rPr>
                <w:sz w:val="21"/>
                <w:szCs w:val="21"/>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7</w:t>
            </w:r>
          </w:p>
        </w:tc>
      </w:tr>
      <w:tr>
        <w:trPr>
          <w:trHeight w:val="27"/>
        </w:trPr>
        <w:tc>
          <w:tcPr>
            <w:tcW w:w="55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64"/>
        </w:trPr>
        <w:tc>
          <w:tcPr>
            <w:tcW w:w="5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14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w:t>
            </w:r>
          </w:p>
        </w:tc>
        <w:tc>
          <w:tcPr>
            <w:tcW w:w="1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w:t>
            </w:r>
          </w:p>
        </w:tc>
      </w:tr>
      <w:tr>
        <w:trPr>
          <w:trHeight w:val="257"/>
        </w:trPr>
        <w:tc>
          <w:tcPr>
            <w:tcW w:w="5500" w:type="dxa"/>
            <w:vAlign w:val="bottom"/>
          </w:tcPr>
          <w:p>
            <w:pPr>
              <w:ind w:left="20"/>
              <w:spacing w:after="0"/>
              <w:rPr>
                <w:sz w:val="20"/>
                <w:szCs w:val="20"/>
                <w:color w:val="auto"/>
              </w:rPr>
            </w:pPr>
            <w:r>
              <w:rPr>
                <w:rFonts w:ascii="Arial" w:cs="Arial" w:eastAsia="Arial" w:hAnsi="Arial"/>
                <w:sz w:val="18"/>
                <w:szCs w:val="18"/>
                <w:color w:val="auto"/>
              </w:rPr>
              <w:t>Balance at March 31, 2019</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(1,758)</w:t>
            </w:r>
          </w:p>
        </w:tc>
        <w:tc>
          <w:tcPr>
            <w:tcW w:w="180" w:type="dxa"/>
            <w:vAlign w:val="bottom"/>
          </w:tcPr>
          <w:p>
            <w:pPr>
              <w:spacing w:after="0"/>
              <w:rPr>
                <w:sz w:val="22"/>
                <w:szCs w:val="22"/>
                <w:color w:val="auto"/>
              </w:rPr>
            </w:pPr>
          </w:p>
        </w:tc>
        <w:tc>
          <w:tcPr>
            <w:tcW w:w="1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200" w:type="dxa"/>
            <w:vAlign w:val="bottom"/>
          </w:tcPr>
          <w:p>
            <w:pPr>
              <w:spacing w:after="0"/>
              <w:rPr>
                <w:sz w:val="22"/>
                <w:szCs w:val="22"/>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(3,289)</w:t>
            </w:r>
          </w:p>
        </w:tc>
      </w:tr>
      <w:tr>
        <w:trPr>
          <w:trHeight w:val="20"/>
        </w:trPr>
        <w:tc>
          <w:tcPr>
            <w:tcW w:w="5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660"/>
        <w:spacing w:after="0" w:line="235" w:lineRule="auto"/>
        <w:rPr>
          <w:rFonts w:ascii="Arial" w:cs="Arial" w:eastAsia="Arial" w:hAnsi="Arial"/>
          <w:sz w:val="18"/>
          <w:szCs w:val="18"/>
          <w:color w:val="auto"/>
        </w:rPr>
      </w:pPr>
      <w:r>
        <w:rPr>
          <w:rFonts w:ascii="Arial" w:cs="Arial" w:eastAsia="Arial" w:hAnsi="Arial"/>
          <w:sz w:val="18"/>
          <w:szCs w:val="18"/>
          <w:color w:val="auto"/>
        </w:rPr>
        <w:t xml:space="preserve">See </w:t>
      </w:r>
      <w:hyperlink w:anchor="page15">
        <w:r>
          <w:rPr>
            <w:rFonts w:ascii="Arial" w:cs="Arial" w:eastAsia="Arial" w:hAnsi="Arial"/>
            <w:sz w:val="18"/>
            <w:szCs w:val="18"/>
            <w:u w:val="single" w:color="auto"/>
            <w:color w:val="0000EE"/>
          </w:rPr>
          <w:t>Note M</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and </w:t>
      </w:r>
      <w:hyperlink w:anchor="page21">
        <w:r>
          <w:rPr>
            <w:rFonts w:ascii="Arial" w:cs="Arial" w:eastAsia="Arial" w:hAnsi="Arial"/>
            <w:sz w:val="18"/>
            <w:szCs w:val="18"/>
            <w:u w:val="single" w:color="auto"/>
            <w:color w:val="0000EE"/>
          </w:rPr>
          <w:t>Note O</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for further details of amounts reclassified from accumulated other comprehensive income related to cash flow hedges and defined benefit plans.</w:t>
      </w:r>
    </w:p>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121" w:right="25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Stock-Based Compensation</w:t>
      </w:r>
    </w:p>
    <w:p>
      <w:pPr>
        <w:spacing w:after="0" w:line="229"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A summary of restricted and deferred stock transactions during the three months ended March 31, 2019 is as follows:</w:t>
      </w:r>
    </w:p>
    <w:p>
      <w:pPr>
        <w:spacing w:after="0" w:line="387"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8060" w:type="dxa"/>
            <w:vAlign w:val="bottom"/>
          </w:tcPr>
          <w:p>
            <w:pPr>
              <w:spacing w:after="0"/>
              <w:rPr>
                <w:sz w:val="20"/>
                <w:szCs w:val="20"/>
                <w:color w:val="auto"/>
              </w:rPr>
            </w:pPr>
          </w:p>
        </w:tc>
        <w:tc>
          <w:tcPr>
            <w:tcW w:w="1640" w:type="dxa"/>
            <w:vAlign w:val="bottom"/>
          </w:tcPr>
          <w:p>
            <w:pPr>
              <w:jc w:val="right"/>
              <w:ind w:right="90"/>
              <w:spacing w:after="0"/>
              <w:rPr>
                <w:sz w:val="20"/>
                <w:szCs w:val="20"/>
                <w:color w:val="auto"/>
              </w:rPr>
            </w:pPr>
            <w:r>
              <w:rPr>
                <w:rFonts w:ascii="Arial" w:cs="Arial" w:eastAsia="Arial" w:hAnsi="Arial"/>
                <w:sz w:val="18"/>
                <w:szCs w:val="18"/>
                <w:color w:val="auto"/>
              </w:rPr>
              <w:t>Number of shares</w:t>
            </w:r>
          </w:p>
        </w:tc>
      </w:tr>
      <w:tr>
        <w:trPr>
          <w:trHeight w:val="27"/>
        </w:trPr>
        <w:tc>
          <w:tcPr>
            <w:tcW w:w="8060" w:type="dxa"/>
            <w:vAlign w:val="bottom"/>
            <w:tcBorders>
              <w:bottom w:val="single" w:sz="8" w:color="CCEEFF"/>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44"/>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Non-vested stock awards outstanding at January 1, 2019</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2,142,743</w:t>
            </w:r>
          </w:p>
        </w:tc>
      </w:tr>
      <w:tr>
        <w:trPr>
          <w:trHeight w:val="243"/>
        </w:trPr>
        <w:tc>
          <w:tcPr>
            <w:tcW w:w="8060" w:type="dxa"/>
            <w:vAlign w:val="bottom"/>
          </w:tcPr>
          <w:p>
            <w:pPr>
              <w:ind w:left="20"/>
              <w:spacing w:after="0"/>
              <w:rPr>
                <w:sz w:val="20"/>
                <w:szCs w:val="20"/>
                <w:color w:val="auto"/>
              </w:rPr>
            </w:pPr>
            <w:r>
              <w:rPr>
                <w:rFonts w:ascii="Arial" w:cs="Arial" w:eastAsia="Arial" w:hAnsi="Arial"/>
                <w:sz w:val="18"/>
                <w:szCs w:val="18"/>
                <w:color w:val="auto"/>
              </w:rPr>
              <w:t>Awarded:</w:t>
            </w:r>
          </w:p>
        </w:tc>
        <w:tc>
          <w:tcPr>
            <w:tcW w:w="1640" w:type="dxa"/>
            <w:vAlign w:val="bottom"/>
          </w:tcPr>
          <w:p>
            <w:pPr>
              <w:spacing w:after="0"/>
              <w:rPr>
                <w:sz w:val="21"/>
                <w:szCs w:val="21"/>
                <w:color w:val="auto"/>
              </w:rPr>
            </w:pPr>
          </w:p>
        </w:tc>
      </w:tr>
      <w:tr>
        <w:trPr>
          <w:trHeight w:val="27"/>
        </w:trPr>
        <w:tc>
          <w:tcPr>
            <w:tcW w:w="8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Time-vesting shares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108,525</w:t>
            </w: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Performance-based shares</w:t>
            </w:r>
          </w:p>
        </w:tc>
        <w:tc>
          <w:tcPr>
            <w:tcW w:w="1640" w:type="dxa"/>
            <w:vAlign w:val="bottom"/>
          </w:tcPr>
          <w:p>
            <w:pPr>
              <w:jc w:val="right"/>
              <w:spacing w:after="0"/>
              <w:rPr>
                <w:sz w:val="20"/>
                <w:szCs w:val="20"/>
                <w:color w:val="auto"/>
              </w:rPr>
            </w:pPr>
            <w:r>
              <w:rPr>
                <w:rFonts w:ascii="Arial" w:cs="Arial" w:eastAsia="Arial" w:hAnsi="Arial"/>
                <w:sz w:val="18"/>
                <w:szCs w:val="18"/>
                <w:color w:val="auto"/>
              </w:rPr>
              <w:t>202,876</w:t>
            </w:r>
          </w:p>
        </w:tc>
      </w:tr>
      <w:tr>
        <w:trPr>
          <w:trHeight w:val="27"/>
        </w:trPr>
        <w:tc>
          <w:tcPr>
            <w:tcW w:w="8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Released:</w:t>
            </w: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Time-vesting shares</w:t>
            </w:r>
          </w:p>
        </w:tc>
        <w:tc>
          <w:tcPr>
            <w:tcW w:w="1640" w:type="dxa"/>
            <w:vAlign w:val="bottom"/>
          </w:tcPr>
          <w:p>
            <w:pPr>
              <w:jc w:val="right"/>
              <w:spacing w:after="0"/>
              <w:rPr>
                <w:sz w:val="20"/>
                <w:szCs w:val="20"/>
                <w:color w:val="auto"/>
              </w:rPr>
            </w:pPr>
            <w:r>
              <w:rPr>
                <w:rFonts w:ascii="Arial" w:cs="Arial" w:eastAsia="Arial" w:hAnsi="Arial"/>
                <w:sz w:val="18"/>
                <w:szCs w:val="18"/>
                <w:color w:val="auto"/>
              </w:rPr>
              <w:t>(68,923)</w:t>
            </w:r>
          </w:p>
        </w:tc>
      </w:tr>
      <w:tr>
        <w:trPr>
          <w:trHeight w:val="27"/>
        </w:trPr>
        <w:tc>
          <w:tcPr>
            <w:tcW w:w="8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50"/>
        </w:trPr>
        <w:tc>
          <w:tcPr>
            <w:tcW w:w="8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Forfeitures:</w:t>
            </w:r>
          </w:p>
        </w:tc>
        <w:tc>
          <w:tcPr>
            <w:tcW w:w="1640" w:type="dxa"/>
            <w:vAlign w:val="bottom"/>
            <w:tcBorders>
              <w:bottom w:val="single" w:sz="8" w:color="CCEEFF"/>
            </w:tcBorders>
            <w:shd w:val="clear" w:color="auto" w:fill="CCEEFF"/>
          </w:tcPr>
          <w:p>
            <w:pPr>
              <w:spacing w:after="0"/>
              <w:rPr>
                <w:sz w:val="21"/>
                <w:szCs w:val="21"/>
                <w:color w:val="auto"/>
              </w:rPr>
            </w:pPr>
          </w:p>
        </w:tc>
      </w:tr>
      <w:tr>
        <w:trPr>
          <w:trHeight w:val="243"/>
        </w:trPr>
        <w:tc>
          <w:tcPr>
            <w:tcW w:w="8060" w:type="dxa"/>
            <w:vAlign w:val="bottom"/>
          </w:tcPr>
          <w:p>
            <w:pPr>
              <w:ind w:left="340"/>
              <w:spacing w:after="0"/>
              <w:rPr>
                <w:sz w:val="20"/>
                <w:szCs w:val="20"/>
                <w:color w:val="auto"/>
              </w:rPr>
            </w:pPr>
            <w:r>
              <w:rPr>
                <w:rFonts w:ascii="Arial" w:cs="Arial" w:eastAsia="Arial" w:hAnsi="Arial"/>
                <w:sz w:val="18"/>
                <w:szCs w:val="18"/>
                <w:color w:val="auto"/>
              </w:rPr>
              <w:t>Time-vesting shares</w:t>
            </w:r>
          </w:p>
        </w:tc>
        <w:tc>
          <w:tcPr>
            <w:tcW w:w="1640" w:type="dxa"/>
            <w:vAlign w:val="bottom"/>
          </w:tcPr>
          <w:p>
            <w:pPr>
              <w:jc w:val="right"/>
              <w:spacing w:after="0"/>
              <w:rPr>
                <w:sz w:val="20"/>
                <w:szCs w:val="20"/>
                <w:color w:val="auto"/>
              </w:rPr>
            </w:pPr>
            <w:r>
              <w:rPr>
                <w:rFonts w:ascii="Arial" w:cs="Arial" w:eastAsia="Arial" w:hAnsi="Arial"/>
                <w:sz w:val="18"/>
                <w:szCs w:val="18"/>
                <w:color w:val="auto"/>
              </w:rPr>
              <w:t>(12,000)</w:t>
            </w:r>
          </w:p>
        </w:tc>
      </w:tr>
      <w:tr>
        <w:trPr>
          <w:trHeight w:val="27"/>
        </w:trPr>
        <w:tc>
          <w:tcPr>
            <w:tcW w:w="806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270"/>
        </w:trPr>
        <w:tc>
          <w:tcPr>
            <w:tcW w:w="8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Performance-based shares</w:t>
            </w:r>
          </w:p>
        </w:tc>
        <w:tc>
          <w:tcPr>
            <w:tcW w:w="1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(129,207)</w:t>
            </w:r>
          </w:p>
        </w:tc>
      </w:tr>
      <w:tr>
        <w:trPr>
          <w:trHeight w:val="237"/>
        </w:trPr>
        <w:tc>
          <w:tcPr>
            <w:tcW w:w="8060" w:type="dxa"/>
            <w:vAlign w:val="bottom"/>
          </w:tcPr>
          <w:p>
            <w:pPr>
              <w:ind w:left="20"/>
              <w:spacing w:after="0"/>
              <w:rPr>
                <w:sz w:val="20"/>
                <w:szCs w:val="20"/>
                <w:color w:val="auto"/>
              </w:rPr>
            </w:pPr>
            <w:r>
              <w:rPr>
                <w:rFonts w:ascii="Arial" w:cs="Arial" w:eastAsia="Arial" w:hAnsi="Arial"/>
                <w:sz w:val="18"/>
                <w:szCs w:val="18"/>
                <w:color w:val="auto"/>
              </w:rPr>
              <w:t>Non-vested stock awards outstanding at March 31, 2019</w:t>
            </w:r>
          </w:p>
        </w:tc>
        <w:tc>
          <w:tcPr>
            <w:tcW w:w="16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2,244,014</w:t>
            </w:r>
          </w:p>
        </w:tc>
      </w:tr>
      <w:tr>
        <w:trPr>
          <w:trHeight w:val="27"/>
        </w:trPr>
        <w:tc>
          <w:tcPr>
            <w:tcW w:w="806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0"/>
        </w:trPr>
        <w:tc>
          <w:tcPr>
            <w:tcW w:w="8060" w:type="dxa"/>
            <w:vAlign w:val="bottom"/>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performance-based share awards are subject to either a market condition or a performance condition. For awards subject to a market condition, the performance metric is the Company's total shareholder return, which includes share price appreciation and dividends paid during the three-year term of the award, measured against a peer group of companies. These awards cliff vest at the end of three years. The number of performance-based shares that will ultimately vest is based on the level of market performance achieved, ranging between 0% and 200% of the shares originally awarded, and are settled in stock.</w:t>
      </w:r>
    </w:p>
    <w:p>
      <w:pPr>
        <w:spacing w:after="0" w:line="188"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For awards subject to a performance condition, the performance metric is the Company's average return on invested capital over the three-year term. These awards cliff vest at the end of three years. The number of performance-based shares that will ultimately vest is based on the level of performance achieved, ranging between 0% and 200% of the shares originally awarded, and are settled in stock.</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time-vesting restricted and deferred stock awards vest ratably over three to five years.</w:t>
      </w:r>
    </w:p>
    <w:p>
      <w:pPr>
        <w:spacing w:after="0" w:line="225"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The weighted average grant-date fair values of awards issued during the three months ended March 31, 2019 were $43.07 for the time-vesting stock awards and $46.08 for the performance-based stock awards.</w:t>
      </w:r>
    </w:p>
    <w:p>
      <w:pPr>
        <w:spacing w:after="0" w:line="170"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fair value of the performance-based shares subject to a market condition awarded in 2019 was calculated using a Monte Carlo valuation model, including a weighted average stock price volatility of 21.4%, an expected term of three years, and a weighted average risk-free interest rate of 2.45%.</w:t>
      </w:r>
    </w:p>
    <w:p>
      <w:pPr>
        <w:spacing w:after="0" w:line="181"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As of March 31, 2019, unrecognized compensation cost related to outstanding non-vested stock awards was $76. The weighted average period over which the expense is expected to be recognized is 3.3 years. The aggregate market value of the shares released on the vesting dates was $3 for the three months ended March 31, 2019.</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21" w:right="239" w:bottom="1440" w:gutter="0" w:footer="0" w:header="0"/>
        </w:sectPr>
      </w:pPr>
    </w:p>
    <w:bookmarkStart w:id="23" w:name="page24"/>
    <w:bookmarkEnd w:id="23"/>
    <w:p>
      <w:pPr>
        <w:jc w:val="center"/>
        <w:ind w:right="-11"/>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652" w:hanging="652"/>
        <w:spacing w:after="0"/>
        <w:tabs>
          <w:tab w:leader="none" w:pos="652" w:val="left"/>
        </w:tabs>
        <w:numPr>
          <w:ilvl w:val="0"/>
          <w:numId w:val="1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Earnings Per Share</w:t>
      </w:r>
    </w:p>
    <w:p>
      <w:pPr>
        <w:spacing w:after="0" w:line="229"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summarizes the computations of basic and diluted earnings per share attributable to the Company.</w:t>
      </w:r>
    </w:p>
    <w:p>
      <w:pPr>
        <w:spacing w:after="0" w:line="171" w:lineRule="exact"/>
        <w:rPr>
          <w:sz w:val="20"/>
          <w:szCs w:val="20"/>
          <w:color w:val="auto"/>
        </w:rPr>
      </w:pPr>
    </w:p>
    <w:tbl>
      <w:tblPr>
        <w:tblLayout w:type="fixed"/>
        <w:tblInd w:w="652" w:type="dxa"/>
        <w:tblCellMar>
          <w:top w:w="0" w:type="dxa"/>
          <w:left w:w="0" w:type="dxa"/>
          <w:bottom w:w="0" w:type="dxa"/>
          <w:right w:w="0" w:type="dxa"/>
        </w:tblCellMar>
      </w:tblPr>
      <w:tr>
        <w:trPr>
          <w:trHeight w:val="230"/>
        </w:trPr>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320" w:type="dxa"/>
            <w:vAlign w:val="bottom"/>
            <w:gridSpan w:val="4"/>
          </w:tcPr>
          <w:p>
            <w:pPr>
              <w:jc w:val="right"/>
              <w:ind w:right="410"/>
              <w:spacing w:after="0"/>
              <w:rPr>
                <w:sz w:val="20"/>
                <w:szCs w:val="20"/>
                <w:color w:val="auto"/>
              </w:rPr>
            </w:pPr>
            <w:r>
              <w:rPr>
                <w:rFonts w:ascii="Arial" w:cs="Arial" w:eastAsia="Arial" w:hAnsi="Arial"/>
                <w:sz w:val="18"/>
                <w:szCs w:val="18"/>
                <w:color w:val="auto"/>
              </w:rPr>
              <w:t>Three Months Ended</w:t>
            </w:r>
          </w:p>
        </w:tc>
        <w:tc>
          <w:tcPr>
            <w:tcW w:w="0" w:type="dxa"/>
            <w:vAlign w:val="bottom"/>
          </w:tcPr>
          <w:p>
            <w:pPr>
              <w:spacing w:after="0"/>
              <w:rPr>
                <w:sz w:val="1"/>
                <w:szCs w:val="1"/>
                <w:color w:val="auto"/>
              </w:rPr>
            </w:pPr>
          </w:p>
        </w:tc>
      </w:tr>
      <w:tr>
        <w:trPr>
          <w:trHeight w:val="270"/>
        </w:trPr>
        <w:tc>
          <w:tcPr>
            <w:tcW w:w="478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20" w:type="dxa"/>
            <w:vAlign w:val="bottom"/>
            <w:gridSpan w:val="3"/>
          </w:tcPr>
          <w:p>
            <w:pPr>
              <w:jc w:val="right"/>
              <w:ind w:right="10"/>
              <w:spacing w:after="0"/>
              <w:rPr>
                <w:sz w:val="20"/>
                <w:szCs w:val="20"/>
                <w:color w:val="auto"/>
              </w:rPr>
            </w:pPr>
            <w:r>
              <w:rPr>
                <w:rFonts w:ascii="Arial" w:cs="Arial" w:eastAsia="Arial" w:hAnsi="Arial"/>
                <w:sz w:val="18"/>
                <w:szCs w:val="18"/>
                <w:color w:val="auto"/>
              </w:rPr>
              <w:t>March 31,</w:t>
            </w:r>
          </w:p>
        </w:tc>
        <w:tc>
          <w:tcPr>
            <w:tcW w:w="8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ind w:right="250"/>
              <w:spacing w:after="0"/>
              <w:rPr>
                <w:sz w:val="20"/>
                <w:szCs w:val="20"/>
                <w:color w:val="auto"/>
              </w:rPr>
            </w:pPr>
            <w:r>
              <w:rPr>
                <w:rFonts w:ascii="Arial" w:cs="Arial" w:eastAsia="Arial" w:hAnsi="Arial"/>
                <w:sz w:val="18"/>
                <w:szCs w:val="18"/>
                <w:color w:val="auto"/>
              </w:rPr>
              <w:t>2019</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ind w:right="270"/>
              <w:spacing w:after="0"/>
              <w:rPr>
                <w:sz w:val="20"/>
                <w:szCs w:val="20"/>
                <w:color w:val="auto"/>
              </w:rPr>
            </w:pPr>
            <w:r>
              <w:rPr>
                <w:rFonts w:ascii="Arial" w:cs="Arial" w:eastAsia="Arial" w:hAnsi="Arial"/>
                <w:sz w:val="18"/>
                <w:szCs w:val="18"/>
                <w:color w:val="auto"/>
              </w:rPr>
              <w:t>2018</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shares outstanding:</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780" w:type="dxa"/>
            <w:vAlign w:val="bottom"/>
          </w:tcPr>
          <w:p>
            <w:pPr>
              <w:spacing w:after="0"/>
              <w:rPr>
                <w:sz w:val="4"/>
                <w:szCs w:val="4"/>
                <w:color w:val="auto"/>
              </w:rPr>
            </w:pPr>
          </w:p>
        </w:tc>
        <w:tc>
          <w:tcPr>
            <w:tcW w:w="240" w:type="dxa"/>
            <w:vAlign w:val="bottom"/>
          </w:tcPr>
          <w:p>
            <w:pPr>
              <w:spacing w:after="0"/>
              <w:rPr>
                <w:sz w:val="4"/>
                <w:szCs w:val="4"/>
                <w:color w:val="auto"/>
              </w:rPr>
            </w:pPr>
          </w:p>
        </w:tc>
        <w:tc>
          <w:tcPr>
            <w:tcW w:w="8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60" w:type="dxa"/>
            <w:vAlign w:val="bottom"/>
          </w:tcPr>
          <w:p>
            <w:pPr>
              <w:spacing w:after="0"/>
              <w:rPr>
                <w:sz w:val="4"/>
                <w:szCs w:val="4"/>
                <w:color w:val="auto"/>
              </w:rPr>
            </w:pPr>
          </w:p>
        </w:tc>
        <w:tc>
          <w:tcPr>
            <w:tcW w:w="8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43"/>
        </w:trPr>
        <w:tc>
          <w:tcPr>
            <w:tcW w:w="4780" w:type="dxa"/>
            <w:vAlign w:val="bottom"/>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0.6</w:t>
            </w:r>
          </w:p>
        </w:tc>
        <w:tc>
          <w:tcPr>
            <w:tcW w:w="4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78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24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w:t>
            </w:r>
          </w:p>
        </w:tc>
        <w:tc>
          <w:tcPr>
            <w:tcW w:w="44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Basic earnings per share</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78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0.77</w:t>
            </w:r>
          </w:p>
        </w:tc>
        <w:tc>
          <w:tcPr>
            <w:tcW w:w="440" w:type="dxa"/>
            <w:vAlign w:val="bottom"/>
          </w:tcPr>
          <w:p>
            <w:pPr>
              <w:spacing w:after="0"/>
              <w:rPr>
                <w:sz w:val="19"/>
                <w:szCs w:val="19"/>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67"/>
        </w:trPr>
        <w:tc>
          <w:tcPr>
            <w:tcW w:w="478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820" w:type="dxa"/>
            <w:vAlign w:val="bottom"/>
            <w:tcBorders>
              <w:bottom w:val="single" w:sz="8" w:color="auto"/>
            </w:tcBorders>
          </w:tcPr>
          <w:p>
            <w:pPr>
              <w:spacing w:after="0"/>
              <w:rPr>
                <w:sz w:val="5"/>
                <w:szCs w:val="5"/>
                <w:color w:val="auto"/>
              </w:rPr>
            </w:pPr>
          </w:p>
        </w:tc>
        <w:tc>
          <w:tcPr>
            <w:tcW w:w="44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8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4780" w:type="dxa"/>
            <w:vAlign w:val="bottom"/>
            <w:tcBorders>
              <w:bottom w:val="single" w:sz="8" w:color="CCEEFF"/>
            </w:tcBorders>
            <w:shd w:val="clear" w:color="auto" w:fill="CCEEFF"/>
          </w:tcPr>
          <w:p>
            <w:pPr>
              <w:ind w:left="20"/>
              <w:spacing w:after="0" w:line="196" w:lineRule="exact"/>
              <w:rPr>
                <w:sz w:val="20"/>
                <w:szCs w:val="20"/>
                <w:color w:val="auto"/>
              </w:rPr>
            </w:pPr>
            <w:r>
              <w:rPr>
                <w:rFonts w:ascii="Arial" w:cs="Arial" w:eastAsia="Arial" w:hAnsi="Arial"/>
                <w:sz w:val="18"/>
                <w:szCs w:val="18"/>
                <w:color w:val="auto"/>
              </w:rPr>
              <w:t>Diluted earnings per share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0.77</w:t>
            </w:r>
          </w:p>
        </w:tc>
        <w:tc>
          <w:tcPr>
            <w:tcW w:w="4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0" w:type="dxa"/>
            <w:vAlign w:val="bottom"/>
          </w:tcPr>
          <w:p>
            <w:pPr>
              <w:spacing w:after="0"/>
              <w:rPr>
                <w:sz w:val="1"/>
                <w:szCs w:val="1"/>
                <w:color w:val="auto"/>
              </w:rPr>
            </w:pPr>
          </w:p>
        </w:tc>
      </w:tr>
      <w:tr>
        <w:trPr>
          <w:trHeight w:val="20"/>
        </w:trPr>
        <w:tc>
          <w:tcPr>
            <w:tcW w:w="4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52" w:right="20"/>
        <w:spacing w:after="0" w:line="277" w:lineRule="auto"/>
        <w:rPr>
          <w:sz w:val="20"/>
          <w:szCs w:val="20"/>
          <w:color w:val="auto"/>
        </w:rPr>
      </w:pPr>
      <w:r>
        <w:rPr>
          <w:rFonts w:ascii="Arial" w:cs="Arial" w:eastAsia="Arial" w:hAnsi="Arial"/>
          <w:sz w:val="18"/>
          <w:szCs w:val="18"/>
          <w:color w:val="auto"/>
        </w:rPr>
        <w:t>For the three months ended March 31, 2019, and 2018, there were 0.2 million contingently issuable common shares excluded from the computation of diluted earnings per share because the effect would be anti-dilutive.</w:t>
      </w:r>
    </w:p>
    <w:p>
      <w:pPr>
        <w:spacing w:after="0" w:line="383" w:lineRule="exact"/>
        <w:rPr>
          <w:sz w:val="20"/>
          <w:szCs w:val="20"/>
          <w:color w:val="auto"/>
        </w:rPr>
      </w:pPr>
    </w:p>
    <w:p>
      <w:pPr>
        <w:ind w:left="652" w:hanging="652"/>
        <w:spacing w:after="0"/>
        <w:tabs>
          <w:tab w:leader="none" w:pos="6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Segment Information</w:t>
      </w:r>
    </w:p>
    <w:p>
      <w:pPr>
        <w:spacing w:after="0" w:line="229" w:lineRule="exact"/>
        <w:rPr>
          <w:rFonts w:ascii="Arial" w:cs="Arial" w:eastAsia="Arial" w:hAnsi="Arial"/>
          <w:sz w:val="18"/>
          <w:szCs w:val="18"/>
          <w:b w:val="1"/>
          <w:bCs w:val="1"/>
          <w:color w:val="auto"/>
        </w:rPr>
      </w:pPr>
    </w:p>
    <w:p>
      <w:pPr>
        <w:jc w:val="both"/>
        <w:ind w:left="652"/>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The Company evaluates performance and allocates resources based on segment income, which is not a defined term under GAAP. The Company defines segment income as income from operations adjusted to exclude intangibles amortization charges, provisions for asbestos and restructuring and other and the impact of fair value adjustments related to the sale of inventory acquired in an acquisition.</w:t>
      </w:r>
    </w:p>
    <w:p>
      <w:pPr>
        <w:spacing w:after="0" w:line="181" w:lineRule="exact"/>
        <w:rPr>
          <w:rFonts w:ascii="Arial" w:cs="Arial" w:eastAsia="Arial" w:hAnsi="Arial"/>
          <w:sz w:val="18"/>
          <w:szCs w:val="18"/>
          <w:b w:val="1"/>
          <w:bCs w:val="1"/>
          <w:color w:val="auto"/>
        </w:rPr>
      </w:pPr>
    </w:p>
    <w:p>
      <w:pPr>
        <w:ind w:left="652"/>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Segment income should not be considered in isolation or as a substitute for net income prepared in accordance with GAAP and may not be comparable to calculations of similarly titled measures by other companies.</w:t>
      </w:r>
    </w:p>
    <w:p>
      <w:pPr>
        <w:spacing w:after="0" w:line="170" w:lineRule="exact"/>
        <w:rPr>
          <w:rFonts w:ascii="Arial" w:cs="Arial" w:eastAsia="Arial" w:hAnsi="Arial"/>
          <w:sz w:val="18"/>
          <w:szCs w:val="18"/>
          <w:b w:val="1"/>
          <w:bCs w:val="1"/>
          <w:color w:val="auto"/>
        </w:rPr>
      </w:pPr>
    </w:p>
    <w:p>
      <w:pPr>
        <w:ind w:left="652"/>
        <w:spacing w:after="0"/>
        <w:rPr>
          <w:rFonts w:ascii="Arial" w:cs="Arial" w:eastAsia="Arial" w:hAnsi="Arial"/>
          <w:sz w:val="18"/>
          <w:szCs w:val="18"/>
          <w:b w:val="1"/>
          <w:bCs w:val="1"/>
          <w:color w:val="auto"/>
        </w:rPr>
      </w:pPr>
      <w:r>
        <w:rPr>
          <w:rFonts w:ascii="Arial" w:cs="Arial" w:eastAsia="Arial" w:hAnsi="Arial"/>
          <w:sz w:val="18"/>
          <w:szCs w:val="18"/>
          <w:color w:val="auto"/>
        </w:rPr>
        <w:t>The tables below present information about the Company's operating segments.</w:t>
      </w:r>
    </w:p>
    <w:p>
      <w:pPr>
        <w:spacing w:after="0" w:line="387" w:lineRule="exact"/>
        <w:rPr>
          <w:sz w:val="20"/>
          <w:szCs w:val="20"/>
          <w:color w:val="auto"/>
        </w:rPr>
      </w:pPr>
    </w:p>
    <w:tbl>
      <w:tblPr>
        <w:tblLayout w:type="fixed"/>
        <w:tblInd w:w="652"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4"/>
          </w:tcPr>
          <w:p>
            <w:pPr>
              <w:jc w:val="center"/>
              <w:ind w:right="130"/>
              <w:spacing w:after="0"/>
              <w:rPr>
                <w:sz w:val="20"/>
                <w:szCs w:val="20"/>
                <w:color w:val="auto"/>
              </w:rPr>
            </w:pPr>
            <w:r>
              <w:rPr>
                <w:rFonts w:ascii="Arial" w:cs="Arial" w:eastAsia="Arial" w:hAnsi="Arial"/>
                <w:sz w:val="18"/>
                <w:szCs w:val="18"/>
                <w:color w:val="auto"/>
                <w:w w:val="89"/>
              </w:rPr>
              <w:t>External Sales</w:t>
            </w:r>
          </w:p>
        </w:tc>
      </w:tr>
      <w:tr>
        <w:trPr>
          <w:trHeight w:val="27"/>
        </w:trPr>
        <w:tc>
          <w:tcPr>
            <w:tcW w:w="4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4"/>
          </w:tcPr>
          <w:p>
            <w:pPr>
              <w:jc w:val="center"/>
              <w:ind w:right="130"/>
              <w:spacing w:after="0"/>
              <w:rPr>
                <w:sz w:val="20"/>
                <w:szCs w:val="20"/>
                <w:color w:val="auto"/>
              </w:rPr>
            </w:pPr>
            <w:r>
              <w:rPr>
                <w:rFonts w:ascii="Arial" w:cs="Arial" w:eastAsia="Arial" w:hAnsi="Arial"/>
                <w:sz w:val="18"/>
                <w:szCs w:val="18"/>
                <w:color w:val="auto"/>
                <w:w w:val="90"/>
              </w:rPr>
              <w:t>Three Months Ended</w:t>
            </w:r>
          </w:p>
        </w:tc>
      </w:tr>
      <w:tr>
        <w:trPr>
          <w:trHeight w:val="270"/>
        </w:trPr>
        <w:tc>
          <w:tcPr>
            <w:tcW w:w="47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gridSpan w:val="3"/>
          </w:tcPr>
          <w:p>
            <w:pPr>
              <w:jc w:val="center"/>
              <w:ind w:left="490"/>
              <w:spacing w:after="0"/>
              <w:rPr>
                <w:sz w:val="20"/>
                <w:szCs w:val="20"/>
                <w:color w:val="auto"/>
              </w:rPr>
            </w:pPr>
            <w:r>
              <w:rPr>
                <w:rFonts w:ascii="Arial" w:cs="Arial" w:eastAsia="Arial" w:hAnsi="Arial"/>
                <w:sz w:val="18"/>
                <w:szCs w:val="18"/>
                <w:color w:val="auto"/>
                <w:w w:val="92"/>
              </w:rPr>
              <w:t>March 31,</w:t>
            </w:r>
          </w:p>
        </w:tc>
        <w:tc>
          <w:tcPr>
            <w:tcW w:w="780" w:type="dxa"/>
            <w:vAlign w:val="bottom"/>
          </w:tcPr>
          <w:p>
            <w:pPr>
              <w:spacing w:after="0"/>
              <w:rPr>
                <w:sz w:val="23"/>
                <w:szCs w:val="23"/>
                <w:color w:val="auto"/>
              </w:rPr>
            </w:pPr>
          </w:p>
        </w:tc>
      </w:tr>
      <w:tr>
        <w:trPr>
          <w:trHeight w:val="27"/>
        </w:trPr>
        <w:tc>
          <w:tcPr>
            <w:tcW w:w="4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color w:val="auto"/>
                <w:w w:val="94"/>
              </w:rPr>
              <w:t>2018</w:t>
            </w:r>
          </w:p>
        </w:tc>
      </w:tr>
      <w:tr>
        <w:trPr>
          <w:trHeight w:val="27"/>
        </w:trPr>
        <w:tc>
          <w:tcPr>
            <w:tcW w:w="47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788</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758</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339</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371</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423</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321</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337</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shd w:val="clear" w:color="auto" w:fill="CCEEFF"/>
              </w:rPr>
              <w:t>Transit Packaging</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569</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Total reportable segments</w:t>
            </w: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2,440</w:t>
            </w:r>
          </w:p>
        </w:tc>
        <w:tc>
          <w:tcPr>
            <w:tcW w:w="2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1,894</w:t>
            </w:r>
          </w:p>
        </w:tc>
      </w:tr>
      <w:tr>
        <w:trPr>
          <w:trHeight w:val="27"/>
        </w:trPr>
        <w:tc>
          <w:tcPr>
            <w:tcW w:w="4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Non-reportable segments</w:t>
            </w: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315</w:t>
            </w:r>
          </w:p>
        </w:tc>
        <w:tc>
          <w:tcPr>
            <w:tcW w:w="2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2,755</w:t>
            </w:r>
          </w:p>
        </w:tc>
        <w:tc>
          <w:tcPr>
            <w:tcW w:w="2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2,197</w:t>
            </w:r>
          </w:p>
        </w:tc>
      </w:tr>
      <w:tr>
        <w:trPr>
          <w:trHeight w:val="27"/>
        </w:trPr>
        <w:tc>
          <w:tcPr>
            <w:tcW w:w="47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0"/>
        </w:trPr>
        <w:tc>
          <w:tcPr>
            <w:tcW w:w="4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52"/>
        <w:spacing w:after="0" w:line="264" w:lineRule="auto"/>
        <w:rPr>
          <w:sz w:val="20"/>
          <w:szCs w:val="20"/>
          <w:color w:val="auto"/>
        </w:rPr>
      </w:pPr>
      <w:r>
        <w:rPr>
          <w:rFonts w:ascii="Arial" w:cs="Arial" w:eastAsia="Arial" w:hAnsi="Arial"/>
          <w:sz w:val="18"/>
          <w:szCs w:val="18"/>
          <w:color w:val="auto"/>
        </w:rPr>
        <w:t>The primary sources of revenue included in non-reportable segments are the Company's food can and closures business in North America, aerosol can businesses in North America and Europe, its promotional packaging business in Europe and its tooling and equipment operations in the U.S. and U.K.</w:t>
      </w:r>
    </w:p>
    <w:p>
      <w:pPr>
        <w:spacing w:after="0" w:line="200" w:lineRule="exact"/>
        <w:rPr>
          <w:sz w:val="20"/>
          <w:szCs w:val="20"/>
          <w:color w:val="auto"/>
        </w:rPr>
      </w:pPr>
    </w:p>
    <w:p>
      <w:pPr>
        <w:spacing w:after="0" w:line="22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12"/>
          </w:cols>
          <w:pgMar w:left="248" w:top="121" w:right="2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234"/>
        </w:trPr>
        <w:tc>
          <w:tcPr>
            <w:tcW w:w="3060" w:type="dxa"/>
            <w:vAlign w:val="bottom"/>
          </w:tcPr>
          <w:p>
            <w:pPr>
              <w:spacing w:after="0"/>
              <w:rPr>
                <w:sz w:val="20"/>
                <w:szCs w:val="20"/>
                <w:color w:val="auto"/>
              </w:rPr>
            </w:pPr>
          </w:p>
        </w:tc>
        <w:tc>
          <w:tcPr>
            <w:tcW w:w="2980" w:type="dxa"/>
            <w:vAlign w:val="bottom"/>
            <w:gridSpan w:val="4"/>
          </w:tcPr>
          <w:p>
            <w:pPr>
              <w:ind w:left="1180"/>
              <w:spacing w:after="0"/>
              <w:rPr>
                <w:sz w:val="20"/>
                <w:szCs w:val="20"/>
                <w:color w:val="auto"/>
              </w:rPr>
            </w:pPr>
            <w:r>
              <w:rPr>
                <w:rFonts w:ascii="Arial" w:cs="Arial" w:eastAsia="Arial" w:hAnsi="Arial"/>
                <w:sz w:val="18"/>
                <w:szCs w:val="18"/>
                <w:b w:val="1"/>
                <w:bCs w:val="1"/>
                <w:color w:val="auto"/>
                <w:w w:val="99"/>
              </w:rPr>
              <w:t>Crown Holdings, Inc.</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r>
      <w:tr>
        <w:trPr>
          <w:trHeight w:val="837"/>
        </w:trPr>
        <w:tc>
          <w:tcPr>
            <w:tcW w:w="30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80" w:type="dxa"/>
            <w:vAlign w:val="bottom"/>
            <w:gridSpan w:val="4"/>
          </w:tcPr>
          <w:p>
            <w:pPr>
              <w:jc w:val="center"/>
              <w:ind w:right="130"/>
              <w:spacing w:after="0"/>
              <w:rPr>
                <w:sz w:val="20"/>
                <w:szCs w:val="20"/>
                <w:color w:val="auto"/>
              </w:rPr>
            </w:pPr>
            <w:r>
              <w:rPr>
                <w:rFonts w:ascii="Arial" w:cs="Arial" w:eastAsia="Arial" w:hAnsi="Arial"/>
                <w:sz w:val="18"/>
                <w:szCs w:val="18"/>
                <w:color w:val="auto"/>
                <w:w w:val="87"/>
              </w:rPr>
              <w:t>Intersegment Sales</w:t>
            </w:r>
          </w:p>
        </w:tc>
      </w:tr>
      <w:tr>
        <w:trPr>
          <w:trHeight w:val="27"/>
        </w:trPr>
        <w:tc>
          <w:tcPr>
            <w:tcW w:w="3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80" w:type="dxa"/>
            <w:vAlign w:val="bottom"/>
            <w:tcBorders>
              <w:bottom w:val="single" w:sz="8" w:color="auto"/>
            </w:tcBorders>
            <w:gridSpan w:val="4"/>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180" w:type="dxa"/>
            <w:vAlign w:val="bottom"/>
            <w:gridSpan w:val="4"/>
          </w:tcPr>
          <w:p>
            <w:pPr>
              <w:jc w:val="center"/>
              <w:ind w:right="130"/>
              <w:spacing w:after="0"/>
              <w:rPr>
                <w:sz w:val="20"/>
                <w:szCs w:val="20"/>
                <w:color w:val="auto"/>
              </w:rPr>
            </w:pPr>
            <w:r>
              <w:rPr>
                <w:rFonts w:ascii="Arial" w:cs="Arial" w:eastAsia="Arial" w:hAnsi="Arial"/>
                <w:sz w:val="18"/>
                <w:szCs w:val="18"/>
                <w:color w:val="auto"/>
                <w:w w:val="90"/>
              </w:rPr>
              <w:t>Three Months Ended</w:t>
            </w:r>
          </w:p>
        </w:tc>
      </w:tr>
      <w:tr>
        <w:trPr>
          <w:trHeight w:val="270"/>
        </w:trPr>
        <w:tc>
          <w:tcPr>
            <w:tcW w:w="306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400" w:type="dxa"/>
            <w:vAlign w:val="bottom"/>
            <w:gridSpan w:val="3"/>
          </w:tcPr>
          <w:p>
            <w:pPr>
              <w:jc w:val="center"/>
              <w:ind w:left="490"/>
              <w:spacing w:after="0"/>
              <w:rPr>
                <w:sz w:val="20"/>
                <w:szCs w:val="20"/>
                <w:color w:val="auto"/>
              </w:rPr>
            </w:pPr>
            <w:r>
              <w:rPr>
                <w:rFonts w:ascii="Arial" w:cs="Arial" w:eastAsia="Arial" w:hAnsi="Arial"/>
                <w:sz w:val="18"/>
                <w:szCs w:val="18"/>
                <w:color w:val="auto"/>
                <w:w w:val="92"/>
              </w:rPr>
              <w:t>March 31,</w:t>
            </w:r>
          </w:p>
        </w:tc>
        <w:tc>
          <w:tcPr>
            <w:tcW w:w="780" w:type="dxa"/>
            <w:vAlign w:val="bottom"/>
          </w:tcPr>
          <w:p>
            <w:pPr>
              <w:spacing w:after="0"/>
              <w:rPr>
                <w:sz w:val="23"/>
                <w:szCs w:val="23"/>
                <w:color w:val="auto"/>
              </w:rPr>
            </w:pPr>
          </w:p>
        </w:tc>
      </w:tr>
      <w:tr>
        <w:trPr>
          <w:trHeight w:val="27"/>
        </w:trPr>
        <w:tc>
          <w:tcPr>
            <w:tcW w:w="3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37"/>
        </w:trPr>
        <w:tc>
          <w:tcPr>
            <w:tcW w:w="306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80" w:type="dxa"/>
            <w:vAlign w:val="bottom"/>
          </w:tcPr>
          <w:p>
            <w:pPr>
              <w:jc w:val="right"/>
              <w:ind w:right="290"/>
              <w:spacing w:after="0"/>
              <w:rPr>
                <w:sz w:val="20"/>
                <w:szCs w:val="20"/>
                <w:color w:val="auto"/>
              </w:rPr>
            </w:pPr>
            <w:r>
              <w:rPr>
                <w:rFonts w:ascii="Arial" w:cs="Arial" w:eastAsia="Arial" w:hAnsi="Arial"/>
                <w:sz w:val="18"/>
                <w:szCs w:val="18"/>
                <w:color w:val="auto"/>
                <w:w w:val="94"/>
              </w:rPr>
              <w:t>2018</w:t>
            </w:r>
          </w:p>
        </w:tc>
      </w:tr>
      <w:tr>
        <w:trPr>
          <w:trHeight w:val="27"/>
        </w:trPr>
        <w:tc>
          <w:tcPr>
            <w:tcW w:w="30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60" w:type="dxa"/>
            <w:vAlign w:val="bottom"/>
          </w:tcPr>
          <w:p>
            <w:pPr>
              <w:spacing w:after="0"/>
              <w:rPr>
                <w:sz w:val="2"/>
                <w:szCs w:val="2"/>
                <w:color w:val="auto"/>
              </w:rPr>
            </w:pPr>
          </w:p>
        </w:tc>
        <w:tc>
          <w:tcPr>
            <w:tcW w:w="1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250"/>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1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Transit Packaging</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
        </w:trPr>
        <w:tc>
          <w:tcPr>
            <w:tcW w:w="30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44"/>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reportable segments</w:t>
            </w:r>
          </w:p>
        </w:tc>
        <w:tc>
          <w:tcPr>
            <w:tcW w:w="16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3"/>
        </w:trPr>
        <w:tc>
          <w:tcPr>
            <w:tcW w:w="3060" w:type="dxa"/>
            <w:vAlign w:val="bottom"/>
          </w:tcPr>
          <w:p>
            <w:pPr>
              <w:ind w:left="20"/>
              <w:spacing w:after="0"/>
              <w:rPr>
                <w:sz w:val="20"/>
                <w:szCs w:val="20"/>
                <w:color w:val="auto"/>
              </w:rPr>
            </w:pPr>
            <w:r>
              <w:rPr>
                <w:rFonts w:ascii="Arial" w:cs="Arial" w:eastAsia="Arial" w:hAnsi="Arial"/>
                <w:sz w:val="18"/>
                <w:szCs w:val="18"/>
                <w:color w:val="auto"/>
              </w:rPr>
              <w:t>Non-reportable segments</w:t>
            </w:r>
          </w:p>
        </w:tc>
        <w:tc>
          <w:tcPr>
            <w:tcW w:w="16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26</w:t>
            </w:r>
          </w:p>
        </w:tc>
        <w:tc>
          <w:tcPr>
            <w:tcW w:w="2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7"/>
        </w:trPr>
        <w:tc>
          <w:tcPr>
            <w:tcW w:w="30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69"/>
        </w:trPr>
        <w:tc>
          <w:tcPr>
            <w:tcW w:w="3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r>
      <w:tr>
        <w:trPr>
          <w:trHeight w:val="20"/>
        </w:trPr>
        <w:tc>
          <w:tcPr>
            <w:tcW w:w="306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Intersegment sales primarily include sales of ends and components used to manufacture cans, such as printed and coated metal, as well as parts and equipment used in the manufacturing process.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720" w:type="dxa"/>
            <w:vAlign w:val="bottom"/>
          </w:tcPr>
          <w:p>
            <w:pPr>
              <w:spacing w:after="0"/>
              <w:rPr>
                <w:sz w:val="20"/>
                <w:szCs w:val="20"/>
                <w:color w:val="auto"/>
              </w:rPr>
            </w:pPr>
          </w:p>
        </w:tc>
        <w:tc>
          <w:tcPr>
            <w:tcW w:w="2060" w:type="dxa"/>
            <w:vAlign w:val="bottom"/>
            <w:gridSpan w:val="4"/>
          </w:tcPr>
          <w:p>
            <w:pPr>
              <w:jc w:val="center"/>
              <w:ind w:left="310"/>
              <w:spacing w:after="0"/>
              <w:rPr>
                <w:sz w:val="20"/>
                <w:szCs w:val="20"/>
                <w:color w:val="auto"/>
              </w:rPr>
            </w:pPr>
            <w:r>
              <w:rPr>
                <w:rFonts w:ascii="Arial" w:cs="Arial" w:eastAsia="Arial" w:hAnsi="Arial"/>
                <w:sz w:val="18"/>
                <w:szCs w:val="18"/>
                <w:color w:val="auto"/>
                <w:w w:val="89"/>
              </w:rPr>
              <w:t>Segment Income</w:t>
            </w:r>
          </w:p>
        </w:tc>
        <w:tc>
          <w:tcPr>
            <w:tcW w:w="360" w:type="dxa"/>
            <w:vAlign w:val="bottom"/>
          </w:tcPr>
          <w:p>
            <w:pPr>
              <w:spacing w:after="0"/>
              <w:rPr>
                <w:sz w:val="20"/>
                <w:szCs w:val="20"/>
                <w:color w:val="auto"/>
              </w:rPr>
            </w:pPr>
          </w:p>
        </w:tc>
      </w:tr>
      <w:tr>
        <w:trPr>
          <w:trHeight w:val="27"/>
        </w:trPr>
        <w:tc>
          <w:tcPr>
            <w:tcW w:w="4720" w:type="dxa"/>
            <w:vAlign w:val="bottom"/>
          </w:tcPr>
          <w:p>
            <w:pPr>
              <w:spacing w:after="0"/>
              <w:rPr>
                <w:sz w:val="2"/>
                <w:szCs w:val="2"/>
                <w:color w:val="auto"/>
              </w:rPr>
            </w:pPr>
          </w:p>
        </w:tc>
        <w:tc>
          <w:tcPr>
            <w:tcW w:w="2060" w:type="dxa"/>
            <w:vAlign w:val="bottom"/>
            <w:tcBorders>
              <w:bottom w:val="single" w:sz="8" w:color="auto"/>
            </w:tcBorders>
            <w:gridSpan w:val="4"/>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2060" w:type="dxa"/>
            <w:vAlign w:val="bottom"/>
            <w:gridSpan w:val="4"/>
          </w:tcPr>
          <w:p>
            <w:pPr>
              <w:jc w:val="center"/>
              <w:ind w:left="290"/>
              <w:spacing w:after="0"/>
              <w:rPr>
                <w:sz w:val="20"/>
                <w:szCs w:val="20"/>
                <w:color w:val="auto"/>
              </w:rPr>
            </w:pPr>
            <w:r>
              <w:rPr>
                <w:rFonts w:ascii="Arial" w:cs="Arial" w:eastAsia="Arial" w:hAnsi="Arial"/>
                <w:sz w:val="18"/>
                <w:szCs w:val="18"/>
                <w:color w:val="auto"/>
                <w:w w:val="90"/>
              </w:rPr>
              <w:t>Three Months Ended</w:t>
            </w:r>
          </w:p>
        </w:tc>
        <w:tc>
          <w:tcPr>
            <w:tcW w:w="360" w:type="dxa"/>
            <w:vAlign w:val="bottom"/>
          </w:tcPr>
          <w:p>
            <w:pPr>
              <w:spacing w:after="0"/>
              <w:rPr>
                <w:sz w:val="20"/>
                <w:szCs w:val="20"/>
                <w:color w:val="auto"/>
              </w:rPr>
            </w:pPr>
          </w:p>
        </w:tc>
      </w:tr>
      <w:tr>
        <w:trPr>
          <w:trHeight w:val="270"/>
        </w:trPr>
        <w:tc>
          <w:tcPr>
            <w:tcW w:w="472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00" w:type="dxa"/>
            <w:vAlign w:val="bottom"/>
            <w:gridSpan w:val="3"/>
          </w:tcPr>
          <w:p>
            <w:pPr>
              <w:jc w:val="center"/>
              <w:ind w:right="270"/>
              <w:spacing w:after="0"/>
              <w:rPr>
                <w:sz w:val="20"/>
                <w:szCs w:val="20"/>
                <w:color w:val="auto"/>
              </w:rPr>
            </w:pPr>
            <w:r>
              <w:rPr>
                <w:rFonts w:ascii="Arial" w:cs="Arial" w:eastAsia="Arial" w:hAnsi="Arial"/>
                <w:sz w:val="18"/>
                <w:szCs w:val="18"/>
                <w:color w:val="auto"/>
                <w:w w:val="92"/>
              </w:rPr>
              <w:t>March 31,</w:t>
            </w:r>
          </w:p>
        </w:tc>
        <w:tc>
          <w:tcPr>
            <w:tcW w:w="360" w:type="dxa"/>
            <w:vAlign w:val="bottom"/>
          </w:tcPr>
          <w:p>
            <w:pPr>
              <w:spacing w:after="0"/>
              <w:rPr>
                <w:sz w:val="23"/>
                <w:szCs w:val="23"/>
                <w:color w:val="auto"/>
              </w:rPr>
            </w:pPr>
          </w:p>
        </w:tc>
      </w:tr>
      <w:tr>
        <w:trPr>
          <w:trHeight w:val="27"/>
        </w:trPr>
        <w:tc>
          <w:tcPr>
            <w:tcW w:w="47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37"/>
        </w:trPr>
        <w:tc>
          <w:tcPr>
            <w:tcW w:w="472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2018</w:t>
            </w:r>
          </w:p>
        </w:tc>
        <w:tc>
          <w:tcPr>
            <w:tcW w:w="360" w:type="dxa"/>
            <w:vAlign w:val="bottom"/>
          </w:tcPr>
          <w:p>
            <w:pPr>
              <w:spacing w:after="0"/>
              <w:rPr>
                <w:sz w:val="20"/>
                <w:szCs w:val="20"/>
                <w:color w:val="auto"/>
              </w:rPr>
            </w:pPr>
          </w:p>
        </w:tc>
      </w:tr>
      <w:tr>
        <w:trPr>
          <w:trHeight w:val="27"/>
        </w:trPr>
        <w:tc>
          <w:tcPr>
            <w:tcW w:w="47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44"/>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Americas Beverage</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113</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European Beverage</w:t>
            </w:r>
          </w:p>
        </w:tc>
        <w:tc>
          <w:tcPr>
            <w:tcW w:w="7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
        </w:trPr>
        <w:tc>
          <w:tcPr>
            <w:tcW w:w="4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5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European Food</w:t>
            </w:r>
          </w:p>
        </w:tc>
        <w:tc>
          <w:tcPr>
            <w:tcW w:w="7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r>
      <w:tr>
        <w:trPr>
          <w:trHeight w:val="243"/>
        </w:trPr>
        <w:tc>
          <w:tcPr>
            <w:tcW w:w="4720" w:type="dxa"/>
            <w:vAlign w:val="bottom"/>
          </w:tcPr>
          <w:p>
            <w:pPr>
              <w:ind w:left="20"/>
              <w:spacing w:after="0"/>
              <w:rPr>
                <w:sz w:val="20"/>
                <w:szCs w:val="20"/>
                <w:color w:val="auto"/>
              </w:rPr>
            </w:pPr>
            <w:r>
              <w:rPr>
                <w:rFonts w:ascii="Arial" w:cs="Arial" w:eastAsia="Arial" w:hAnsi="Arial"/>
                <w:sz w:val="18"/>
                <w:szCs w:val="18"/>
                <w:color w:val="auto"/>
              </w:rPr>
              <w:t>Asia Pacific</w:t>
            </w:r>
          </w:p>
        </w:tc>
        <w:tc>
          <w:tcPr>
            <w:tcW w:w="7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
        </w:trPr>
        <w:tc>
          <w:tcPr>
            <w:tcW w:w="4720" w:type="dxa"/>
            <w:vAlign w:val="bottom"/>
          </w:tcPr>
          <w:p>
            <w:pPr>
              <w:spacing w:after="0"/>
              <w:rPr>
                <w:sz w:val="2"/>
                <w:szCs w:val="2"/>
                <w:color w:val="auto"/>
              </w:rPr>
            </w:pPr>
          </w:p>
        </w:tc>
        <w:tc>
          <w:tcPr>
            <w:tcW w:w="760" w:type="dxa"/>
            <w:vAlign w:val="bottom"/>
          </w:tcPr>
          <w:p>
            <w:pPr>
              <w:spacing w:after="0"/>
              <w:rPr>
                <w:sz w:val="2"/>
                <w:szCs w:val="2"/>
                <w:color w:val="auto"/>
              </w:rPr>
            </w:pPr>
          </w:p>
        </w:tc>
        <w:tc>
          <w:tcPr>
            <w:tcW w:w="360" w:type="dxa"/>
            <w:vAlign w:val="bottom"/>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Pr>
          <w:p>
            <w:pPr>
              <w:spacing w:after="0"/>
              <w:rPr>
                <w:sz w:val="2"/>
                <w:szCs w:val="2"/>
                <w:color w:val="auto"/>
              </w:rPr>
            </w:pPr>
          </w:p>
        </w:tc>
        <w:tc>
          <w:tcPr>
            <w:tcW w:w="360" w:type="dxa"/>
            <w:vAlign w:val="bottom"/>
          </w:tcPr>
          <w:p>
            <w:pPr>
              <w:spacing w:after="0"/>
              <w:rPr>
                <w:sz w:val="2"/>
                <w:szCs w:val="2"/>
                <w:color w:val="auto"/>
              </w:rPr>
            </w:pPr>
          </w:p>
        </w:tc>
      </w:tr>
      <w:tr>
        <w:trPr>
          <w:trHeight w:val="270"/>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Transit Packaging</w:t>
            </w:r>
          </w:p>
        </w:tc>
        <w:tc>
          <w:tcPr>
            <w:tcW w:w="76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2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4720" w:type="dxa"/>
            <w:vAlign w:val="bottom"/>
          </w:tcPr>
          <w:p>
            <w:pPr>
              <w:ind w:left="20"/>
              <w:spacing w:after="0"/>
              <w:rPr>
                <w:sz w:val="20"/>
                <w:szCs w:val="20"/>
                <w:color w:val="auto"/>
              </w:rPr>
            </w:pPr>
            <w:r>
              <w:rPr>
                <w:rFonts w:ascii="Arial" w:cs="Arial" w:eastAsia="Arial" w:hAnsi="Arial"/>
                <w:sz w:val="18"/>
                <w:szCs w:val="18"/>
                <w:color w:val="auto"/>
              </w:rPr>
              <w:t>Total reportable segments</w:t>
            </w: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318</w:t>
            </w:r>
          </w:p>
        </w:tc>
        <w:tc>
          <w:tcPr>
            <w:tcW w:w="200" w:type="dxa"/>
            <w:vAlign w:val="bottom"/>
          </w:tcPr>
          <w:p>
            <w:pPr>
              <w:spacing w:after="0"/>
              <w:rPr>
                <w:sz w:val="20"/>
                <w:szCs w:val="20"/>
                <w:color w:val="auto"/>
              </w:rPr>
            </w:pPr>
          </w:p>
        </w:tc>
        <w:tc>
          <w:tcPr>
            <w:tcW w:w="740" w:type="dxa"/>
            <w:vAlign w:val="bottom"/>
            <w:tcBorders>
              <w:top w:val="single" w:sz="8" w:color="auto"/>
            </w:tcBorders>
          </w:tcPr>
          <w:p>
            <w:pPr>
              <w:jc w:val="right"/>
              <w:ind w:right="53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253</w:t>
            </w:r>
          </w:p>
        </w:tc>
      </w:tr>
      <w:tr>
        <w:trPr>
          <w:trHeight w:val="27"/>
        </w:trPr>
        <w:tc>
          <w:tcPr>
            <w:tcW w:w="47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r>
      <w:tr>
        <w:trPr>
          <w:trHeight w:val="20"/>
        </w:trPr>
        <w:tc>
          <w:tcPr>
            <w:tcW w:w="472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 reconciliation of segment income of reportable segments to income before income taxes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60" w:type="dxa"/>
            <w:vAlign w:val="bottom"/>
          </w:tcPr>
          <w:p>
            <w:pPr>
              <w:spacing w:after="0"/>
              <w:rPr>
                <w:sz w:val="20"/>
                <w:szCs w:val="20"/>
                <w:color w:val="auto"/>
              </w:rPr>
            </w:pPr>
          </w:p>
        </w:tc>
        <w:tc>
          <w:tcPr>
            <w:tcW w:w="2100" w:type="dxa"/>
            <w:vAlign w:val="bottom"/>
            <w:gridSpan w:val="4"/>
          </w:tcPr>
          <w:p>
            <w:pPr>
              <w:jc w:val="right"/>
              <w:spacing w:after="0"/>
              <w:rPr>
                <w:sz w:val="20"/>
                <w:szCs w:val="20"/>
                <w:color w:val="auto"/>
              </w:rPr>
            </w:pPr>
            <w:r>
              <w:rPr>
                <w:rFonts w:ascii="Arial" w:cs="Arial" w:eastAsia="Arial" w:hAnsi="Arial"/>
                <w:sz w:val="18"/>
                <w:szCs w:val="18"/>
                <w:color w:val="auto"/>
              </w:rPr>
              <w:t>Three Months Ended</w:t>
            </w:r>
          </w:p>
        </w:tc>
        <w:tc>
          <w:tcPr>
            <w:tcW w:w="380" w:type="dxa"/>
            <w:vAlign w:val="bottom"/>
          </w:tcPr>
          <w:p>
            <w:pPr>
              <w:spacing w:after="0"/>
              <w:rPr>
                <w:sz w:val="20"/>
                <w:szCs w:val="20"/>
                <w:color w:val="auto"/>
              </w:rPr>
            </w:pPr>
          </w:p>
        </w:tc>
      </w:tr>
      <w:tr>
        <w:trPr>
          <w:trHeight w:val="270"/>
        </w:trPr>
        <w:tc>
          <w:tcPr>
            <w:tcW w:w="46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40" w:type="dxa"/>
            <w:vAlign w:val="bottom"/>
            <w:gridSpan w:val="3"/>
          </w:tcPr>
          <w:p>
            <w:pPr>
              <w:jc w:val="right"/>
              <w:ind w:right="390"/>
              <w:spacing w:after="0"/>
              <w:rPr>
                <w:sz w:val="20"/>
                <w:szCs w:val="20"/>
                <w:color w:val="auto"/>
              </w:rPr>
            </w:pPr>
            <w:r>
              <w:rPr>
                <w:rFonts w:ascii="Arial" w:cs="Arial" w:eastAsia="Arial" w:hAnsi="Arial"/>
                <w:sz w:val="18"/>
                <w:szCs w:val="18"/>
                <w:color w:val="auto"/>
              </w:rPr>
              <w:t>March 31,</w:t>
            </w:r>
          </w:p>
        </w:tc>
        <w:tc>
          <w:tcPr>
            <w:tcW w:w="380" w:type="dxa"/>
            <w:vAlign w:val="bottom"/>
          </w:tcPr>
          <w:p>
            <w:pPr>
              <w:spacing w:after="0"/>
              <w:rPr>
                <w:sz w:val="23"/>
                <w:szCs w:val="23"/>
                <w:color w:val="auto"/>
              </w:rPr>
            </w:pPr>
          </w:p>
        </w:tc>
      </w:tr>
      <w:tr>
        <w:trPr>
          <w:trHeight w:val="27"/>
        </w:trPr>
        <w:tc>
          <w:tcPr>
            <w:tcW w:w="46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37"/>
        </w:trPr>
        <w:tc>
          <w:tcPr>
            <w:tcW w:w="466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2019</w:t>
            </w:r>
          </w:p>
        </w:tc>
        <w:tc>
          <w:tcPr>
            <w:tcW w:w="3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2018</w:t>
            </w:r>
          </w:p>
        </w:tc>
        <w:tc>
          <w:tcPr>
            <w:tcW w:w="380" w:type="dxa"/>
            <w:vAlign w:val="bottom"/>
          </w:tcPr>
          <w:p>
            <w:pPr>
              <w:spacing w:after="0"/>
              <w:rPr>
                <w:sz w:val="20"/>
                <w:szCs w:val="20"/>
                <w:color w:val="auto"/>
              </w:rPr>
            </w:pPr>
          </w:p>
        </w:tc>
      </w:tr>
      <w:tr>
        <w:trPr>
          <w:trHeight w:val="27"/>
        </w:trPr>
        <w:tc>
          <w:tcPr>
            <w:tcW w:w="466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44"/>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Segment income of reportable segments</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318</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6"/>
              </w:rPr>
              <w:t>253</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Segment income of non-reportable segments</w:t>
            </w:r>
          </w:p>
        </w:tc>
        <w:tc>
          <w:tcPr>
            <w:tcW w:w="7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31</w:t>
            </w:r>
          </w:p>
        </w:tc>
      </w:tr>
      <w:tr>
        <w:trPr>
          <w:trHeight w:val="27"/>
        </w:trPr>
        <w:tc>
          <w:tcPr>
            <w:tcW w:w="4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(39)</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(39)</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Restructuring and other</w:t>
            </w:r>
          </w:p>
        </w:tc>
        <w:tc>
          <w:tcPr>
            <w:tcW w:w="7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(4)</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w w:val="99"/>
              </w:rPr>
              <w:t>(13)</w:t>
            </w:r>
          </w:p>
        </w:tc>
      </w:tr>
      <w:tr>
        <w:trPr>
          <w:trHeight w:val="27"/>
        </w:trPr>
        <w:tc>
          <w:tcPr>
            <w:tcW w:w="4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(47)</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(11)</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Accelerated depreciation</w:t>
            </w:r>
          </w:p>
        </w:tc>
        <w:tc>
          <w:tcPr>
            <w:tcW w:w="7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(2)</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pension and postretirement</w:t>
            </w: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Loss from early extinguishments of debt</w:t>
            </w:r>
          </w:p>
        </w:tc>
        <w:tc>
          <w:tcPr>
            <w:tcW w:w="76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(6)</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4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5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(98)</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(74)</w:t>
            </w:r>
          </w:p>
        </w:tc>
      </w:tr>
      <w:tr>
        <w:trPr>
          <w:trHeight w:val="243"/>
        </w:trPr>
        <w:tc>
          <w:tcPr>
            <w:tcW w:w="46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7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
        </w:trPr>
        <w:tc>
          <w:tcPr>
            <w:tcW w:w="466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380" w:type="dxa"/>
            <w:vAlign w:val="bottom"/>
          </w:tcPr>
          <w:p>
            <w:pPr>
              <w:spacing w:after="0"/>
              <w:rPr>
                <w:sz w:val="2"/>
                <w:szCs w:val="2"/>
                <w:color w:val="auto"/>
              </w:rPr>
            </w:pPr>
          </w:p>
        </w:tc>
      </w:tr>
      <w:tr>
        <w:trPr>
          <w:trHeight w:val="270"/>
        </w:trPr>
        <w:tc>
          <w:tcPr>
            <w:tcW w:w="4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w:t>
            </w: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(18)</w:t>
            </w:r>
          </w:p>
        </w:tc>
      </w:tr>
      <w:tr>
        <w:trPr>
          <w:trHeight w:val="237"/>
        </w:trPr>
        <w:tc>
          <w:tcPr>
            <w:tcW w:w="4660" w:type="dxa"/>
            <w:vAlign w:val="bottom"/>
          </w:tcPr>
          <w:p>
            <w:pPr>
              <w:ind w:left="20"/>
              <w:spacing w:after="0"/>
              <w:rPr>
                <w:sz w:val="20"/>
                <w:szCs w:val="20"/>
                <w:color w:val="auto"/>
              </w:rPr>
            </w:pPr>
            <w:r>
              <w:rPr>
                <w:rFonts w:ascii="Arial" w:cs="Arial" w:eastAsia="Arial" w:hAnsi="Arial"/>
                <w:sz w:val="18"/>
                <w:szCs w:val="18"/>
                <w:color w:val="auto"/>
              </w:rPr>
              <w:t>Income before income taxes</w:t>
            </w: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6"/>
              </w:rPr>
              <w:t>178</w:t>
            </w:r>
          </w:p>
        </w:tc>
        <w:tc>
          <w:tcPr>
            <w:tcW w:w="200" w:type="dxa"/>
            <w:vAlign w:val="bottom"/>
          </w:tcPr>
          <w:p>
            <w:pPr>
              <w:spacing w:after="0"/>
              <w:rPr>
                <w:sz w:val="20"/>
                <w:szCs w:val="20"/>
                <w:color w:val="auto"/>
              </w:rPr>
            </w:pPr>
          </w:p>
        </w:tc>
        <w:tc>
          <w:tcPr>
            <w:tcW w:w="76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6"/>
              </w:rPr>
              <w:t>152</w:t>
            </w:r>
          </w:p>
        </w:tc>
      </w:tr>
      <w:tr>
        <w:trPr>
          <w:trHeight w:val="27"/>
        </w:trPr>
        <w:tc>
          <w:tcPr>
            <w:tcW w:w="46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r>
      <w:tr>
        <w:trPr>
          <w:trHeight w:val="20"/>
        </w:trPr>
        <w:tc>
          <w:tcPr>
            <w:tcW w:w="466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For the three months ended March 31, 2019, and 2018, intercompany profits of $1 were eliminated within segment income of non-reportable segments.</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Corporate and unallocated items includes corporate and division administrative costs, technology costs and fair value adjustments for the sale of inventory acquired in an acquisition.</w:t>
      </w:r>
    </w:p>
    <w:p>
      <w:pPr>
        <w:sectPr>
          <w:pgSz w:w="11900" w:h="16838" w:orient="portrait"/>
          <w:cols w:equalWidth="0" w:num="1">
            <w:col w:w="10760"/>
          </w:cols>
          <w:pgMar w:left="90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960"/>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0760"/>
          </w:cols>
          <w:pgMar w:left="900" w:top="121" w:right="239" w:bottom="1440" w:gutter="0" w:footer="0" w:header="0"/>
          <w:type w:val="continuous"/>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660" w:hanging="571"/>
        <w:spacing w:after="0"/>
        <w:tabs>
          <w:tab w:leader="none" w:pos="660" w:val="left"/>
        </w:tabs>
        <w:numPr>
          <w:ilvl w:val="0"/>
          <w:numId w:val="2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Condensed Combining Financial Information</w:t>
      </w:r>
    </w:p>
    <w:p>
      <w:pPr>
        <w:spacing w:after="0" w:line="310" w:lineRule="exact"/>
        <w:rPr>
          <w:rFonts w:ascii="Arial" w:cs="Arial" w:eastAsia="Arial" w:hAnsi="Arial"/>
          <w:sz w:val="18"/>
          <w:szCs w:val="18"/>
          <w:b w:val="1"/>
          <w:bCs w:val="1"/>
          <w:color w:val="auto"/>
        </w:rPr>
      </w:pPr>
    </w:p>
    <w:p>
      <w:pPr>
        <w:jc w:val="both"/>
        <w:ind w:left="660"/>
        <w:spacing w:after="0" w:line="264" w:lineRule="auto"/>
        <w:rPr>
          <w:rFonts w:ascii="Arial" w:cs="Arial" w:eastAsia="Arial" w:hAnsi="Arial"/>
          <w:sz w:val="18"/>
          <w:szCs w:val="18"/>
          <w:b w:val="1"/>
          <w:bCs w:val="1"/>
          <w:color w:val="auto"/>
        </w:rPr>
      </w:pPr>
      <w:r>
        <w:rPr>
          <w:rFonts w:ascii="Arial" w:cs="Arial" w:eastAsia="Arial" w:hAnsi="Arial"/>
          <w:sz w:val="18"/>
          <w:szCs w:val="18"/>
          <w:color w:val="auto"/>
        </w:rPr>
        <w:t>Crown Cork &amp; Seal Company, Inc. (Issuer), a 100% owned subsidiary of the Company, has $350 principal amount of 7.375% senior notes due 2026 and $40 principal amount of 7.5% senior notes due 2096 outstanding that are fully and unconditionally guaranteed by Crown Holdings, Inc. (Parent). No other subsidiary guarantees the debt and the guarantees are made on a joint and several basis.</w:t>
      </w:r>
    </w:p>
    <w:p>
      <w:pPr>
        <w:spacing w:after="0" w:line="18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following condensed combining financial statements:</w:t>
      </w:r>
    </w:p>
    <w:p>
      <w:pPr>
        <w:spacing w:after="0" w:line="36" w:lineRule="exact"/>
        <w:rPr>
          <w:rFonts w:ascii="Arial" w:cs="Arial" w:eastAsia="Arial" w:hAnsi="Arial"/>
          <w:sz w:val="18"/>
          <w:szCs w:val="18"/>
          <w:b w:val="1"/>
          <w:bCs w:val="1"/>
          <w:color w:val="auto"/>
        </w:rPr>
      </w:pPr>
    </w:p>
    <w:p>
      <w:pPr>
        <w:ind w:left="1360" w:hanging="704"/>
        <w:spacing w:after="0"/>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statements of comprehensive income for the three months ended March 31, 2019 and 2018,</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balance sheets as of March 31, 2019 and December 31, 2018, and</w:t>
      </w:r>
    </w:p>
    <w:p>
      <w:pPr>
        <w:spacing w:after="0" w:line="49" w:lineRule="exact"/>
        <w:rPr>
          <w:rFonts w:ascii="Arial" w:cs="Arial" w:eastAsia="Arial" w:hAnsi="Arial"/>
          <w:sz w:val="18"/>
          <w:szCs w:val="18"/>
          <w:color w:val="auto"/>
        </w:rPr>
      </w:pPr>
    </w:p>
    <w:p>
      <w:pPr>
        <w:ind w:left="1360" w:hanging="704"/>
        <w:spacing w:after="0"/>
        <w:tabs>
          <w:tab w:leader="none" w:pos="1360" w:val="left"/>
        </w:tabs>
        <w:numPr>
          <w:ilvl w:val="1"/>
          <w:numId w:val="21"/>
        </w:numPr>
        <w:rPr>
          <w:rFonts w:ascii="Arial" w:cs="Arial" w:eastAsia="Arial" w:hAnsi="Arial"/>
          <w:sz w:val="18"/>
          <w:szCs w:val="18"/>
          <w:color w:val="auto"/>
        </w:rPr>
      </w:pPr>
      <w:r>
        <w:rPr>
          <w:rFonts w:ascii="Arial" w:cs="Arial" w:eastAsia="Arial" w:hAnsi="Arial"/>
          <w:sz w:val="18"/>
          <w:szCs w:val="18"/>
          <w:color w:val="auto"/>
        </w:rPr>
        <w:t>statements of cash flows for the three months ended March 31, 2019 and 2018</w:t>
      </w:r>
    </w:p>
    <w:p>
      <w:pPr>
        <w:spacing w:after="0" w:line="10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are presented on the following pages to comply with the Company’s requirements under Rule 3-10 of Regulation S-X.</w:t>
      </w:r>
    </w:p>
    <w:p>
      <w:pPr>
        <w:spacing w:after="0" w:line="200" w:lineRule="exact"/>
        <w:rPr>
          <w:sz w:val="20"/>
          <w:szCs w:val="20"/>
          <w:color w:val="auto"/>
        </w:rPr>
      </w:pPr>
    </w:p>
    <w:p>
      <w:pPr>
        <w:spacing w:after="0" w:line="237"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For the three months ended March 31,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24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2,755</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w w:val="97"/>
              </w:rPr>
              <w:t>Cost of products sold, excluding depreciation and amortization</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2,210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2,210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157</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263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Loss from early extinguishments of debt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Other pension and postretirement</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interest expense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178</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 (loss) in affiliates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103</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103</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67"/>
        </w:trPr>
        <w:tc>
          <w:tcPr>
            <w:tcW w:w="52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526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2"/>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Comprehensive income attributable to noncontrolling interests</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2"/>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6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Parent</w:t>
            </w:r>
          </w:p>
        </w:tc>
        <w:tc>
          <w:tcPr>
            <w:tcW w:w="240" w:type="dxa"/>
            <w:vAlign w:val="bottom"/>
          </w:tcPr>
          <w:p>
            <w:pPr>
              <w:spacing w:after="0"/>
              <w:rPr>
                <w:sz w:val="14"/>
                <w:szCs w:val="14"/>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5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52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2,197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w w:val="97"/>
              </w:rPr>
              <w:t>Cost of products sold, excluding depreciation and amortization</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1,808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exchange</w:t>
            </w:r>
          </w:p>
        </w:tc>
        <w:tc>
          <w:tcPr>
            <w:tcW w:w="2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7"/>
        </w:trPr>
        <w:tc>
          <w:tcPr>
            <w:tcW w:w="5260" w:type="dxa"/>
            <w:vAlign w:val="bottom"/>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2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7"/>
        </w:trPr>
        <w:tc>
          <w:tcPr>
            <w:tcW w:w="5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Equity earnings / (loss) in affiliates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3"/>
              <w:spacing w:after="0"/>
              <w:rPr>
                <w:sz w:val="20"/>
                <w:szCs w:val="20"/>
                <w:color w:val="auto"/>
              </w:rPr>
            </w:pPr>
            <w:r>
              <w:rPr>
                <w:rFonts w:ascii="Arial" w:cs="Arial" w:eastAsia="Arial" w:hAnsi="Arial"/>
                <w:sz w:val="18"/>
                <w:szCs w:val="18"/>
                <w:color w:val="auto"/>
              </w:rPr>
              <w:t>90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05"/>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w w:val="98"/>
              </w:rPr>
              <w:t>Comprehensive income attributable to noncontrolling interests</w:t>
            </w:r>
          </w:p>
        </w:tc>
        <w:tc>
          <w:tcPr>
            <w:tcW w:w="2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attributable to Crown Holdings</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5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55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COMBINING BALANCE SHEET</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As of March 31,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w:t>
            </w: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Guarantors</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183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4,024</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debt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3,647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3,950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4,418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4,418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2,136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Operating lease right-of-use assets,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685</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37"/>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4,107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18,760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15,357</w:t>
            </w:r>
          </w:p>
        </w:tc>
        <w:tc>
          <w:tcPr>
            <w:tcW w:w="0" w:type="dxa"/>
            <w:vAlign w:val="bottom"/>
          </w:tcPr>
          <w:p>
            <w:pPr>
              <w:spacing w:after="0"/>
              <w:rPr>
                <w:sz w:val="1"/>
                <w:szCs w:val="1"/>
                <w:color w:val="auto"/>
              </w:rPr>
            </w:pPr>
          </w:p>
        </w:tc>
      </w:tr>
      <w:tr>
        <w:trPr>
          <w:trHeight w:val="67"/>
        </w:trPr>
        <w:tc>
          <w:tcPr>
            <w:tcW w:w="412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1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Short-term debt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Current portion of operating lease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2,223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8</w:t>
            </w: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3,300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8,426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8,814</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2,507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1,055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(3,562)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portion of operating lease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Postretirement and pension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671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Crown Holdings shareholders’ equity/(deficit)</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1,134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2,305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5,292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(7,597)</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equity/(deficit)</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2,305</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5,660</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(7,597)</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37"/>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3,649</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center"/>
              <w:ind w:right="9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4,107</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18,760</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(11,159)</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15,357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gridSpan w:val="2"/>
          </w:tcPr>
          <w:p>
            <w:pPr>
              <w:jc w:val="center"/>
              <w:spacing w:after="0"/>
              <w:rPr>
                <w:sz w:val="20"/>
                <w:szCs w:val="20"/>
                <w:color w:val="auto"/>
              </w:rPr>
            </w:pPr>
            <w:r>
              <w:rPr>
                <w:rFonts w:ascii="Arial" w:cs="Arial" w:eastAsia="Arial" w:hAnsi="Arial"/>
                <w:sz w:val="18"/>
                <w:szCs w:val="18"/>
                <w:color w:val="auto"/>
                <w:w w:val="89"/>
              </w:rPr>
              <w:t>28</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COMBINING BALANCE SHEET</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 of December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00" w:type="dxa"/>
            <w:vAlign w:val="bottom"/>
            <w:vMerge w:val="restart"/>
          </w:tcPr>
          <w:p>
            <w:pPr>
              <w:jc w:val="right"/>
              <w:ind w:right="412"/>
              <w:spacing w:after="0"/>
              <w:rPr>
                <w:sz w:val="20"/>
                <w:szCs w:val="20"/>
                <w:color w:val="auto"/>
              </w:rPr>
            </w:pPr>
            <w:r>
              <w:rPr>
                <w:rFonts w:ascii="Arial" w:cs="Arial" w:eastAsia="Arial" w:hAnsi="Arial"/>
                <w:sz w:val="14"/>
                <w:szCs w:val="14"/>
                <w:b w:val="1"/>
                <w:bCs w:val="1"/>
                <w:color w:val="auto"/>
              </w:rPr>
              <w:t>Parent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16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Issuer</w:t>
            </w:r>
          </w:p>
        </w:tc>
        <w:tc>
          <w:tcPr>
            <w:tcW w:w="220" w:type="dxa"/>
            <w:vAlign w:val="bottom"/>
          </w:tcPr>
          <w:p>
            <w:pPr>
              <w:spacing w:after="0"/>
              <w:rPr>
                <w:sz w:val="14"/>
                <w:szCs w:val="14"/>
                <w:color w:val="auto"/>
              </w:rPr>
            </w:pPr>
          </w:p>
        </w:tc>
        <w:tc>
          <w:tcPr>
            <w:tcW w:w="124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Non-</w:t>
            </w:r>
          </w:p>
        </w:tc>
        <w:tc>
          <w:tcPr>
            <w:tcW w:w="200" w:type="dxa"/>
            <w:vAlign w:val="bottom"/>
          </w:tcPr>
          <w:p>
            <w:pPr>
              <w:spacing w:after="0"/>
              <w:rPr>
                <w:sz w:val="14"/>
                <w:szCs w:val="14"/>
                <w:color w:val="auto"/>
              </w:rPr>
            </w:pPr>
          </w:p>
        </w:tc>
        <w:tc>
          <w:tcPr>
            <w:tcW w:w="12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4"/>
                <w:szCs w:val="14"/>
                <w:color w:val="auto"/>
              </w:rPr>
            </w:pPr>
          </w:p>
        </w:tc>
        <w:tc>
          <w:tcPr>
            <w:tcW w:w="1120" w:type="dxa"/>
            <w:vAlign w:val="bottom"/>
          </w:tcPr>
          <w:p>
            <w:pPr>
              <w:jc w:val="right"/>
              <w:ind w:right="43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5"/>
              </w:rPr>
              <w:t>Guarantors</w:t>
            </w:r>
          </w:p>
        </w:tc>
        <w:tc>
          <w:tcPr>
            <w:tcW w:w="20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tcPr>
          <w:p>
            <w:pPr>
              <w:jc w:val="right"/>
              <w:ind w:right="29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1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1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1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1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Inventories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4,068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318"/>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debt receivables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(3,561)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Investments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3,458</w:t>
            </w: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3,764</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(7,222)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4,442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Intangible assets, net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2,193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plant and equipment, net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3,745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647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3,459</w:t>
            </w: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8"/>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Current maturities of long-term debt</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2,732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Accrued liabilities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3,869</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291"/>
        </w:trPr>
        <w:tc>
          <w:tcPr>
            <w:tcW w:w="412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8,105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3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1,053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(3,561)</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and pension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325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3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Crown Holdings shareholders’ equity/(deficit)</w:t>
            </w:r>
          </w:p>
        </w:tc>
        <w:tc>
          <w:tcPr>
            <w:tcW w:w="32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937</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5,088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(7,222)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7"/>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Total equity/(deficit)</w:t>
            </w:r>
          </w:p>
        </w:tc>
        <w:tc>
          <w:tcPr>
            <w:tcW w:w="32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2,134</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5,437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(7,222)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3,459</w:t>
            </w:r>
          </w:p>
        </w:tc>
        <w:tc>
          <w:tcPr>
            <w:tcW w:w="420" w:type="dxa"/>
            <w:vAlign w:val="bottom"/>
            <w:tcBorders>
              <w:bottom w:val="single" w:sz="8" w:color="CCEEFF"/>
            </w:tcBorders>
            <w:gridSpan w:val="2"/>
            <w:shd w:val="clear" w:color="auto" w:fill="CCEEFF"/>
          </w:tcPr>
          <w:p>
            <w:pPr>
              <w:jc w:val="center"/>
              <w:ind w:right="8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3,930</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18,656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(10,783)</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20" w:type="dxa"/>
            <w:vAlign w:val="bottom"/>
            <w:gridSpan w:val="2"/>
          </w:tcPr>
          <w:p>
            <w:pPr>
              <w:jc w:val="center"/>
              <w:ind w:right="80"/>
              <w:spacing w:after="0"/>
              <w:rPr>
                <w:sz w:val="20"/>
                <w:szCs w:val="20"/>
                <w:color w:val="auto"/>
              </w:rPr>
            </w:pPr>
            <w:r>
              <w:rPr>
                <w:rFonts w:ascii="Arial" w:cs="Arial" w:eastAsia="Arial" w:hAnsi="Arial"/>
                <w:sz w:val="18"/>
                <w:szCs w:val="18"/>
                <w:color w:val="auto"/>
                <w:w w:val="89"/>
              </w:rPr>
              <w:t>29</w:t>
            </w: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For the three months ended March 31,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020" w:type="dxa"/>
            <w:vAlign w:val="bottom"/>
            <w:vMerge w:val="restart"/>
          </w:tcPr>
          <w:p>
            <w:pPr>
              <w:jc w:val="right"/>
              <w:ind w:right="16"/>
              <w:spacing w:after="0"/>
              <w:rPr>
                <w:sz w:val="20"/>
                <w:szCs w:val="20"/>
                <w:color w:val="auto"/>
              </w:rPr>
            </w:pPr>
            <w:r>
              <w:rPr>
                <w:rFonts w:ascii="Arial" w:cs="Arial" w:eastAsia="Arial" w:hAnsi="Arial"/>
                <w:sz w:val="14"/>
                <w:szCs w:val="14"/>
                <w:b w:val="1"/>
                <w:bCs w:val="1"/>
                <w:color w:val="auto"/>
              </w:rPr>
              <w:t>Parent</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ind w:left="500"/>
              <w:spacing w:after="0"/>
              <w:rPr>
                <w:sz w:val="20"/>
                <w:szCs w:val="20"/>
                <w:color w:val="auto"/>
              </w:rPr>
            </w:pPr>
            <w:r>
              <w:rPr>
                <w:rFonts w:ascii="Arial" w:cs="Arial" w:eastAsia="Arial" w:hAnsi="Arial"/>
                <w:sz w:val="14"/>
                <w:szCs w:val="14"/>
                <w:b w:val="1"/>
                <w:bCs w:val="1"/>
                <w:color w:val="auto"/>
              </w:rPr>
              <w:t>Issuer</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40" w:type="dxa"/>
            <w:vAlign w:val="bottom"/>
            <w:gridSpan w:val="2"/>
          </w:tcPr>
          <w:p>
            <w:pPr>
              <w:ind w:left="30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16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Eliminations</w:t>
            </w:r>
          </w:p>
        </w:tc>
        <w:tc>
          <w:tcPr>
            <w:tcW w:w="120" w:type="dxa"/>
            <w:vAlign w:val="bottom"/>
            <w:vMerge w:val="restart"/>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tcPr>
          <w:p>
            <w:pPr>
              <w:jc w:val="right"/>
              <w:ind w:right="43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Guarantors</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Net cash provided by/(used for) operating activities</w:t>
            </w:r>
          </w:p>
        </w:tc>
        <w:tc>
          <w:tcPr>
            <w:tcW w:w="1020" w:type="dxa"/>
            <w:vAlign w:val="bottom"/>
            <w:tcBorders>
              <w:bottom w:val="single" w:sz="8" w:color="CCEEFF"/>
            </w:tcBorders>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shd w:val="clear" w:color="auto" w:fill="CCEEFF"/>
          </w:tcPr>
          <w:p>
            <w:pPr>
              <w:jc w:val="center"/>
              <w:ind w:right="668"/>
              <w:spacing w:after="0"/>
              <w:rPr>
                <w:sz w:val="20"/>
                <w:szCs w:val="20"/>
                <w:color w:val="auto"/>
              </w:rPr>
            </w:pPr>
            <w:r>
              <w:rPr>
                <w:rFonts w:ascii="Arial" w:cs="Arial" w:eastAsia="Arial" w:hAnsi="Arial"/>
                <w:sz w:val="18"/>
                <w:szCs w:val="18"/>
                <w:color w:val="auto"/>
                <w:w w:val="99"/>
              </w:rPr>
              <w:t>$</w:t>
            </w: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1020" w:type="dxa"/>
            <w:vAlign w:val="bottom"/>
            <w:tcBorders>
              <w:top w:val="single" w:sz="8" w:color="auto"/>
            </w:tcBorders>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4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10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equipment</w:t>
            </w: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investment hedge</w:t>
            </w:r>
          </w:p>
        </w:tc>
        <w:tc>
          <w:tcPr>
            <w:tcW w:w="10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5"/>
        </w:trPr>
        <w:tc>
          <w:tcPr>
            <w:tcW w:w="4120" w:type="dxa"/>
            <w:vAlign w:val="bottom"/>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investing</w:t>
            </w:r>
          </w:p>
        </w:tc>
        <w:tc>
          <w:tcPr>
            <w:tcW w:w="1020" w:type="dxa"/>
            <w:vAlign w:val="bottom"/>
            <w:tcBorders>
              <w:top w:val="single" w:sz="8" w:color="auto"/>
            </w:tcBorders>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102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Payments of long-term debt</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(281)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Net change in revolving credit facility and short-</w:t>
            </w:r>
          </w:p>
        </w:tc>
        <w:tc>
          <w:tcPr>
            <w:tcW w:w="10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debt</w:t>
            </w:r>
          </w:p>
        </w:tc>
        <w:tc>
          <w:tcPr>
            <w:tcW w:w="10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w w:val="97"/>
              </w:rPr>
              <w:t>Net change in long-term intercompany balances</w:t>
            </w:r>
          </w:p>
        </w:tc>
        <w:tc>
          <w:tcPr>
            <w:tcW w:w="1020" w:type="dxa"/>
            <w:vAlign w:val="bottom"/>
          </w:tcPr>
          <w:p>
            <w:pPr>
              <w:spacing w:after="0"/>
              <w:rPr>
                <w:sz w:val="21"/>
                <w:szCs w:val="21"/>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finance leases</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Common stock issued</w:t>
            </w:r>
          </w:p>
        </w:tc>
        <w:tc>
          <w:tcPr>
            <w:tcW w:w="102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 paid to noncontrolling interests</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financing</w:t>
            </w:r>
          </w:p>
        </w:tc>
        <w:tc>
          <w:tcPr>
            <w:tcW w:w="10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activities</w:t>
            </w:r>
          </w:p>
        </w:tc>
        <w:tc>
          <w:tcPr>
            <w:tcW w:w="10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416</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102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60"/>
              <w:spacing w:after="0"/>
              <w:rPr>
                <w:sz w:val="20"/>
                <w:szCs w:val="20"/>
                <w:color w:val="auto"/>
              </w:rPr>
            </w:pPr>
            <w:r>
              <w:rPr>
                <w:rFonts w:ascii="Arial" w:cs="Arial" w:eastAsia="Arial" w:hAnsi="Arial"/>
                <w:sz w:val="18"/>
                <w:szCs w:val="18"/>
                <w:color w:val="auto"/>
              </w:rPr>
              <w:t>equivalents and restricted cash</w:t>
            </w:r>
          </w:p>
        </w:tc>
        <w:tc>
          <w:tcPr>
            <w:tcW w:w="10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Net change in cash, cash equivalents and restricted cash</w:t>
            </w:r>
          </w:p>
        </w:tc>
        <w:tc>
          <w:tcPr>
            <w:tcW w:w="10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w w:val="90"/>
              </w:rPr>
              <w:t>Cash, cash equivalents and restricted cash at January 1</w:t>
            </w:r>
          </w:p>
        </w:tc>
        <w:tc>
          <w:tcPr>
            <w:tcW w:w="10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659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2"/>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0"/>
              </w:rPr>
              <w:t>Cash, cash equivalents and restricted cash at March</w:t>
            </w:r>
          </w:p>
        </w:tc>
        <w:tc>
          <w:tcPr>
            <w:tcW w:w="1020" w:type="dxa"/>
            <w:vAlign w:val="bottom"/>
            <w:vMerge w:val="restart"/>
            <w:shd w:val="clear" w:color="auto" w:fill="CCEEFF"/>
          </w:tcPr>
          <w:p>
            <w:pPr>
              <w:jc w:val="right"/>
              <w:ind w:right="816"/>
              <w:spacing w:after="0"/>
              <w:rPr>
                <w:sz w:val="20"/>
                <w:szCs w:val="20"/>
                <w:color w:val="auto"/>
              </w:rPr>
            </w:pPr>
            <w:r>
              <w:rPr>
                <w:rFonts w:ascii="Arial" w:cs="Arial" w:eastAsia="Arial" w:hAnsi="Arial"/>
                <w:sz w:val="18"/>
                <w:szCs w:val="18"/>
                <w:color w:val="auto"/>
                <w:w w:val="99"/>
              </w:rPr>
              <w:t>$</w:t>
            </w:r>
          </w:p>
        </w:tc>
        <w:tc>
          <w:tcPr>
            <w:tcW w:w="4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80" w:type="dxa"/>
            <w:vAlign w:val="bottom"/>
            <w:gridSpan w:val="2"/>
            <w:vMerge w:val="restart"/>
            <w:shd w:val="clear" w:color="auto" w:fill="CCEEFF"/>
          </w:tcPr>
          <w:p>
            <w:pPr>
              <w:jc w:val="center"/>
              <w:ind w:right="668"/>
              <w:spacing w:after="0"/>
              <w:rPr>
                <w:sz w:val="20"/>
                <w:szCs w:val="20"/>
                <w:color w:val="auto"/>
              </w:rPr>
            </w:pPr>
            <w:r>
              <w:rPr>
                <w:rFonts w:ascii="Arial" w:cs="Arial" w:eastAsia="Arial" w:hAnsi="Arial"/>
                <w:sz w:val="18"/>
                <w:szCs w:val="18"/>
                <w:color w:val="auto"/>
                <w:w w:val="99"/>
              </w:rPr>
              <w:t>$</w:t>
            </w:r>
          </w:p>
        </w:tc>
        <w:tc>
          <w:tcPr>
            <w:tcW w:w="5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4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347</w:t>
            </w:r>
          </w:p>
        </w:tc>
        <w:tc>
          <w:tcPr>
            <w:tcW w:w="10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4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31</w:t>
            </w:r>
          </w:p>
        </w:tc>
        <w:tc>
          <w:tcPr>
            <w:tcW w:w="1020" w:type="dxa"/>
            <w:vAlign w:val="bottom"/>
            <w:vMerge w:val="continue"/>
            <w:shd w:val="clear" w:color="auto" w:fill="CCEEFF"/>
          </w:tcPr>
          <w:p>
            <w:pPr>
              <w:spacing w:after="0"/>
              <w:rPr>
                <w:sz w:val="20"/>
                <w:szCs w:val="20"/>
                <w:color w:val="auto"/>
              </w:rPr>
            </w:pPr>
          </w:p>
        </w:tc>
        <w:tc>
          <w:tcPr>
            <w:tcW w:w="400" w:type="dxa"/>
            <w:vAlign w:val="bottom"/>
            <w:vMerge w:val="continue"/>
            <w:shd w:val="clear" w:color="auto" w:fill="CCEEFF"/>
          </w:tcPr>
          <w:p>
            <w:pPr>
              <w:spacing w:after="0"/>
              <w:rPr>
                <w:sz w:val="20"/>
                <w:szCs w:val="20"/>
                <w:color w:val="auto"/>
              </w:rPr>
            </w:pPr>
          </w:p>
        </w:tc>
        <w:tc>
          <w:tcPr>
            <w:tcW w:w="1080" w:type="dxa"/>
            <w:vAlign w:val="bottom"/>
            <w:gridSpan w:val="2"/>
            <w:vMerge w:val="continue"/>
            <w:shd w:val="clear" w:color="auto" w:fill="CCEEFF"/>
          </w:tcPr>
          <w:p>
            <w:pPr>
              <w:spacing w:after="0"/>
              <w:rPr>
                <w:sz w:val="20"/>
                <w:szCs w:val="20"/>
                <w:color w:val="auto"/>
              </w:rPr>
            </w:pPr>
          </w:p>
        </w:tc>
        <w:tc>
          <w:tcPr>
            <w:tcW w:w="50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24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gridSpan w:val="2"/>
          </w:tcPr>
          <w:p>
            <w:pPr>
              <w:jc w:val="center"/>
              <w:ind w:right="668"/>
              <w:spacing w:after="0"/>
              <w:rPr>
                <w:sz w:val="20"/>
                <w:szCs w:val="20"/>
                <w:color w:val="auto"/>
              </w:rPr>
            </w:pPr>
            <w:r>
              <w:rPr>
                <w:rFonts w:ascii="Arial" w:cs="Arial" w:eastAsia="Arial" w:hAnsi="Arial"/>
                <w:sz w:val="18"/>
                <w:szCs w:val="18"/>
                <w:color w:val="auto"/>
                <w:w w:val="89"/>
              </w:rPr>
              <w:t>30</w:t>
            </w: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0" w:name="page31"/>
    <w:bookmarkEnd w:id="30"/>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4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vMerge w:val="restart"/>
          </w:tcPr>
          <w:p>
            <w:pPr>
              <w:jc w:val="right"/>
              <w:ind w:right="413"/>
              <w:spacing w:after="0"/>
              <w:rPr>
                <w:sz w:val="20"/>
                <w:szCs w:val="20"/>
                <w:color w:val="auto"/>
              </w:rPr>
            </w:pPr>
            <w:r>
              <w:rPr>
                <w:rFonts w:ascii="Arial" w:cs="Arial" w:eastAsia="Arial" w:hAnsi="Arial"/>
                <w:sz w:val="14"/>
                <w:szCs w:val="14"/>
                <w:b w:val="1"/>
                <w:bCs w:val="1"/>
                <w:color w:val="auto"/>
              </w:rPr>
              <w:t>Issuer</w:t>
            </w:r>
          </w:p>
        </w:tc>
        <w:tc>
          <w:tcPr>
            <w:tcW w:w="100" w:type="dxa"/>
            <w:vAlign w:val="bottom"/>
            <w:vMerge w:val="restart"/>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gridSpan w:val="2"/>
          </w:tcPr>
          <w:p>
            <w:pPr>
              <w:ind w:left="320"/>
              <w:spacing w:after="0"/>
              <w:rPr>
                <w:sz w:val="20"/>
                <w:szCs w:val="20"/>
                <w:color w:val="auto"/>
              </w:rPr>
            </w:pPr>
            <w:r>
              <w:rPr>
                <w:rFonts w:ascii="Arial" w:cs="Arial" w:eastAsia="Arial" w:hAnsi="Arial"/>
                <w:sz w:val="14"/>
                <w:szCs w:val="14"/>
                <w:b w:val="1"/>
                <w:bCs w:val="1"/>
                <w:color w:val="auto"/>
              </w:rPr>
              <w:t>Non-</w:t>
            </w:r>
          </w:p>
        </w:tc>
        <w:tc>
          <w:tcPr>
            <w:tcW w:w="200" w:type="dxa"/>
            <w:vAlign w:val="bottom"/>
          </w:tcPr>
          <w:p>
            <w:pPr>
              <w:spacing w:after="0"/>
              <w:rPr>
                <w:sz w:val="14"/>
                <w:szCs w:val="14"/>
                <w:color w:val="auto"/>
              </w:rPr>
            </w:pPr>
          </w:p>
        </w:tc>
        <w:tc>
          <w:tcPr>
            <w:tcW w:w="1160" w:type="dxa"/>
            <w:vAlign w:val="bottom"/>
            <w:vMerge w:val="restart"/>
          </w:tcPr>
          <w:p>
            <w:pPr>
              <w:ind w:left="8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260" w:type="dxa"/>
            <w:vAlign w:val="bottom"/>
          </w:tcPr>
          <w:p>
            <w:pPr>
              <w:spacing w:after="0"/>
              <w:rPr>
                <w:sz w:val="14"/>
                <w:szCs w:val="14"/>
                <w:color w:val="auto"/>
              </w:rPr>
            </w:pPr>
          </w:p>
        </w:tc>
        <w:tc>
          <w:tcPr>
            <w:tcW w:w="1120" w:type="dxa"/>
            <w:vAlign w:val="bottom"/>
          </w:tcPr>
          <w:p>
            <w:pPr>
              <w:jc w:val="right"/>
              <w:ind w:right="45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vMerge w:val="continue"/>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Guarantors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92"/>
              </w:rPr>
              <w:t>Net cash provided by/(used for) operating activities</w:t>
            </w:r>
          </w:p>
        </w:tc>
        <w:tc>
          <w:tcPr>
            <w:tcW w:w="960" w:type="dxa"/>
            <w:vAlign w:val="bottom"/>
            <w:tcBorders>
              <w:bottom w:val="single" w:sz="8" w:color="CCEEFF"/>
            </w:tcBorders>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23"/>
        </w:trPr>
        <w:tc>
          <w:tcPr>
            <w:tcW w:w="412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960" w:type="dxa"/>
            <w:vAlign w:val="bottom"/>
            <w:tcBorders>
              <w:top w:val="single" w:sz="8" w:color="auto"/>
            </w:tcBorders>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120" w:type="dxa"/>
            <w:vAlign w:val="bottom"/>
          </w:tcPr>
          <w:p>
            <w:pPr>
              <w:spacing w:after="0"/>
              <w:rPr>
                <w:sz w:val="3"/>
                <w:szCs w:val="3"/>
                <w:color w:val="auto"/>
              </w:rPr>
            </w:pPr>
          </w:p>
        </w:tc>
        <w:tc>
          <w:tcPr>
            <w:tcW w:w="9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Beneficial interests in transferred receivables</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1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w:t>
            </w:r>
          </w:p>
        </w:tc>
        <w:tc>
          <w:tcPr>
            <w:tcW w:w="9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9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5"/>
        </w:trPr>
        <w:tc>
          <w:tcPr>
            <w:tcW w:w="4120" w:type="dxa"/>
            <w:vAlign w:val="bottom"/>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investing</w:t>
            </w:r>
          </w:p>
        </w:tc>
        <w:tc>
          <w:tcPr>
            <w:tcW w:w="960" w:type="dxa"/>
            <w:vAlign w:val="bottom"/>
            <w:tcBorders>
              <w:top w:val="single" w:sz="8" w:color="auto"/>
            </w:tcBorders>
          </w:tcPr>
          <w:p>
            <w:pPr>
              <w:spacing w:after="0"/>
              <w:rPr>
                <w:sz w:val="17"/>
                <w:szCs w:val="17"/>
                <w:color w:val="auto"/>
              </w:rPr>
            </w:pPr>
          </w:p>
        </w:tc>
        <w:tc>
          <w:tcPr>
            <w:tcW w:w="42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1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112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120" w:type="dxa"/>
            <w:vAlign w:val="bottom"/>
          </w:tcPr>
          <w:p>
            <w:pPr>
              <w:ind w:left="720"/>
              <w:spacing w:after="0"/>
              <w:rPr>
                <w:sz w:val="20"/>
                <w:szCs w:val="20"/>
                <w:color w:val="auto"/>
              </w:rPr>
            </w:pPr>
            <w:r>
              <w:rPr>
                <w:rFonts w:ascii="Arial" w:cs="Arial" w:eastAsia="Arial" w:hAnsi="Arial"/>
                <w:sz w:val="18"/>
                <w:szCs w:val="18"/>
                <w:b w:val="1"/>
                <w:bCs w:val="1"/>
                <w:color w:val="auto"/>
              </w:rPr>
              <w:t>activities</w:t>
            </w:r>
          </w:p>
        </w:tc>
        <w:tc>
          <w:tcPr>
            <w:tcW w:w="960" w:type="dxa"/>
            <w:vAlign w:val="bottom"/>
          </w:tcPr>
          <w:p>
            <w:pPr>
              <w:spacing w:after="0"/>
              <w:rPr>
                <w:sz w:val="20"/>
                <w:szCs w:val="20"/>
                <w:color w:val="auto"/>
              </w:rPr>
            </w:pPr>
          </w:p>
        </w:tc>
        <w:tc>
          <w:tcPr>
            <w:tcW w:w="5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gridSpan w:val="2"/>
          </w:tcPr>
          <w:p>
            <w:pPr>
              <w:ind w:left="8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Proceeds from long-term debt</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1,912</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long-term debt</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120" w:type="dxa"/>
            <w:vAlign w:val="bottom"/>
          </w:tcPr>
          <w:p>
            <w:pPr>
              <w:ind w:left="380"/>
              <w:spacing w:after="0"/>
              <w:rPr>
                <w:sz w:val="20"/>
                <w:szCs w:val="20"/>
                <w:color w:val="auto"/>
              </w:rPr>
            </w:pPr>
            <w:r>
              <w:rPr>
                <w:rFonts w:ascii="Arial" w:cs="Arial" w:eastAsia="Arial" w:hAnsi="Arial"/>
                <w:sz w:val="18"/>
                <w:szCs w:val="18"/>
                <w:color w:val="auto"/>
                <w:w w:val="98"/>
              </w:rPr>
              <w:t>Net change in revolving credit facility and short-</w:t>
            </w:r>
          </w:p>
        </w:tc>
        <w:tc>
          <w:tcPr>
            <w:tcW w:w="9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80"/>
              <w:spacing w:after="0"/>
              <w:rPr>
                <w:sz w:val="20"/>
                <w:szCs w:val="20"/>
                <w:color w:val="auto"/>
              </w:rPr>
            </w:pPr>
            <w:r>
              <w:rPr>
                <w:rFonts w:ascii="Arial" w:cs="Arial" w:eastAsia="Arial" w:hAnsi="Arial"/>
                <w:sz w:val="18"/>
                <w:szCs w:val="18"/>
                <w:color w:val="auto"/>
              </w:rPr>
              <w:t>term debt</w:t>
            </w: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Net change in long-term intercompany balances</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Debt issue costs</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9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120" w:type="dxa"/>
            <w:vAlign w:val="bottom"/>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720"/>
              <w:spacing w:after="0" w:line="205" w:lineRule="exact"/>
              <w:rPr>
                <w:sz w:val="20"/>
                <w:szCs w:val="20"/>
                <w:color w:val="auto"/>
              </w:rPr>
            </w:pPr>
            <w:r>
              <w:rPr>
                <w:rFonts w:ascii="Arial" w:cs="Arial" w:eastAsia="Arial" w:hAnsi="Arial"/>
                <w:sz w:val="18"/>
                <w:szCs w:val="18"/>
                <w:b w:val="1"/>
                <w:bCs w:val="1"/>
                <w:color w:val="auto"/>
                <w:w w:val="95"/>
              </w:rPr>
              <w:t>Net cash provided by/(used for) financing</w:t>
            </w:r>
          </w:p>
        </w:tc>
        <w:tc>
          <w:tcPr>
            <w:tcW w:w="9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activities</w:t>
            </w:r>
          </w:p>
        </w:tc>
        <w:tc>
          <w:tcPr>
            <w:tcW w:w="96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2,412</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09"/>
        </w:trPr>
        <w:tc>
          <w:tcPr>
            <w:tcW w:w="412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960" w:type="dxa"/>
            <w:vAlign w:val="bottom"/>
            <w:tcBorders>
              <w:top w:val="single" w:sz="8" w:color="auto"/>
            </w:tcBorders>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tcPr>
          <w:p>
            <w:pPr>
              <w:ind w:left="360"/>
              <w:spacing w:after="0"/>
              <w:rPr>
                <w:sz w:val="20"/>
                <w:szCs w:val="20"/>
                <w:color w:val="auto"/>
              </w:rPr>
            </w:pPr>
            <w:r>
              <w:rPr>
                <w:rFonts w:ascii="Arial" w:cs="Arial" w:eastAsia="Arial" w:hAnsi="Arial"/>
                <w:sz w:val="18"/>
                <w:szCs w:val="18"/>
                <w:color w:val="auto"/>
              </w:rPr>
              <w:t>equivalents and restricted cash</w:t>
            </w:r>
          </w:p>
        </w:tc>
        <w:tc>
          <w:tcPr>
            <w:tcW w:w="9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89"/>
              </w:rPr>
              <w:t>Net change in cash, cash equivalents and restricted cash</w:t>
            </w:r>
          </w:p>
        </w:tc>
        <w:tc>
          <w:tcPr>
            <w:tcW w:w="9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w w:val="90"/>
              </w:rPr>
              <w:t>Cash, cash equivalents and restricted cash at January 1</w:t>
            </w:r>
          </w:p>
        </w:tc>
        <w:tc>
          <w:tcPr>
            <w:tcW w:w="9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right"/>
              <w:ind w:right="12"/>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4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12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w w:val="90"/>
              </w:rPr>
              <w:t>Cash, cash equivalents and restricted cash at March</w:t>
            </w:r>
          </w:p>
        </w:tc>
        <w:tc>
          <w:tcPr>
            <w:tcW w:w="960" w:type="dxa"/>
            <w:vAlign w:val="bottom"/>
            <w:vMerge w:val="restart"/>
            <w:shd w:val="clear" w:color="auto" w:fill="CCEEFF"/>
          </w:tcPr>
          <w:p>
            <w:pPr>
              <w:jc w:val="right"/>
              <w:ind w:right="756"/>
              <w:spacing w:after="0"/>
              <w:rPr>
                <w:sz w:val="20"/>
                <w:szCs w:val="20"/>
                <w:color w:val="auto"/>
              </w:rPr>
            </w:pPr>
            <w:r>
              <w:rPr>
                <w:rFonts w:ascii="Arial" w:cs="Arial" w:eastAsia="Arial" w:hAnsi="Arial"/>
                <w:sz w:val="18"/>
                <w:szCs w:val="18"/>
                <w:color w:val="auto"/>
                <w:w w:val="99"/>
              </w:rPr>
              <w:t>$</w:t>
            </w:r>
          </w:p>
        </w:tc>
        <w:tc>
          <w:tcPr>
            <w:tcW w:w="5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4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2,211</w:t>
            </w:r>
          </w:p>
        </w:tc>
        <w:tc>
          <w:tcPr>
            <w:tcW w:w="120" w:type="dxa"/>
            <w:vAlign w:val="bottom"/>
            <w:shd w:val="clear" w:color="auto" w:fill="CCEEFF"/>
          </w:tcPr>
          <w:p>
            <w:pPr>
              <w:spacing w:after="0"/>
              <w:rPr>
                <w:sz w:val="17"/>
                <w:szCs w:val="17"/>
                <w:color w:val="auto"/>
              </w:rPr>
            </w:pP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gridSpan w:val="2"/>
            <w:vMerge w:val="restart"/>
            <w:shd w:val="clear" w:color="auto" w:fill="CCEEFF"/>
          </w:tcPr>
          <w:p>
            <w:pPr>
              <w:ind w:left="880"/>
              <w:spacing w:after="0"/>
              <w:rPr>
                <w:sz w:val="20"/>
                <w:szCs w:val="20"/>
                <w:color w:val="auto"/>
              </w:rPr>
            </w:pPr>
            <w:r>
              <w:rPr>
                <w:rFonts w:ascii="Arial" w:cs="Arial" w:eastAsia="Arial" w:hAnsi="Arial"/>
                <w:sz w:val="18"/>
                <w:szCs w:val="18"/>
                <w:color w:val="auto"/>
              </w:rPr>
              <w:t>—</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41"/>
        </w:trPr>
        <w:tc>
          <w:tcPr>
            <w:tcW w:w="41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31</w:t>
            </w:r>
          </w:p>
        </w:tc>
        <w:tc>
          <w:tcPr>
            <w:tcW w:w="960" w:type="dxa"/>
            <w:vAlign w:val="bottom"/>
            <w:vMerge w:val="continue"/>
            <w:shd w:val="clear" w:color="auto" w:fill="CCEEFF"/>
          </w:tcPr>
          <w:p>
            <w:pPr>
              <w:spacing w:after="0"/>
              <w:rPr>
                <w:sz w:val="20"/>
                <w:szCs w:val="20"/>
                <w:color w:val="auto"/>
              </w:rPr>
            </w:pPr>
          </w:p>
        </w:tc>
        <w:tc>
          <w:tcPr>
            <w:tcW w:w="540" w:type="dxa"/>
            <w:vAlign w:val="bottom"/>
            <w:gridSpan w:val="2"/>
            <w:vMerge w:val="continue"/>
            <w:shd w:val="clear" w:color="auto" w:fill="CCEEFF"/>
          </w:tcPr>
          <w:p>
            <w:pPr>
              <w:spacing w:after="0"/>
              <w:rPr>
                <w:sz w:val="20"/>
                <w:szCs w:val="20"/>
                <w:color w:val="auto"/>
              </w:rPr>
            </w:pPr>
          </w:p>
        </w:tc>
        <w:tc>
          <w:tcPr>
            <w:tcW w:w="340" w:type="dxa"/>
            <w:vAlign w:val="bottom"/>
            <w:vMerge w:val="continue"/>
            <w:shd w:val="clear" w:color="auto" w:fill="CCEEFF"/>
          </w:tcPr>
          <w:p>
            <w:pPr>
              <w:spacing w:after="0"/>
              <w:rPr>
                <w:sz w:val="20"/>
                <w:szCs w:val="20"/>
                <w:color w:val="auto"/>
              </w:rPr>
            </w:pPr>
          </w:p>
        </w:tc>
        <w:tc>
          <w:tcPr>
            <w:tcW w:w="112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1140" w:type="dxa"/>
            <w:vAlign w:val="bottom"/>
            <w:vMerge w:val="continue"/>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260" w:type="dxa"/>
            <w:vAlign w:val="bottom"/>
            <w:vMerge w:val="continue"/>
            <w:shd w:val="clear" w:color="auto" w:fill="CCEEFF"/>
          </w:tcPr>
          <w:p>
            <w:pPr>
              <w:spacing w:after="0"/>
              <w:rPr>
                <w:sz w:val="20"/>
                <w:szCs w:val="20"/>
                <w:color w:val="auto"/>
              </w:rPr>
            </w:pPr>
          </w:p>
        </w:tc>
        <w:tc>
          <w:tcPr>
            <w:tcW w:w="112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0"/>
                <w:szCs w:val="20"/>
                <w:color w:val="auto"/>
              </w:rPr>
            </w:pPr>
            <w:r>
              <w:rPr>
                <w:rFonts w:ascii="Arial" w:cs="Arial" w:eastAsia="Arial" w:hAnsi="Arial"/>
                <w:sz w:val="18"/>
                <w:szCs w:val="18"/>
                <w:color w:val="auto"/>
              </w:rPr>
              <w:t>31</w:t>
            </w: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21" w:right="259" w:bottom="1440" w:gutter="0" w:footer="0" w:header="0"/>
        </w:sectPr>
      </w:pPr>
    </w:p>
    <w:bookmarkStart w:id="31" w:name="page32"/>
    <w:bookmarkEnd w:id="31"/>
    <w:p>
      <w:pPr>
        <w:jc w:val="center"/>
        <w:ind w:right="-19"/>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Crown Americas, LLC, Crown Americas Capital Corp. IV, Crown Americas Capital Corp. V and Crown Americas Capital Corp. VI (collectively, the Issuer), 100% owned subsidiaries of the Company, have outstanding $1,000 principal amount of 4.5% senior notes due 2023, $400 principal amount of 4.25% senior notes due 2026, and $875 principal amount of 4.75% senior notes due 2026, which are fully and unconditionally guaranteed by Crown Holdings, Inc. (Parent) and substantially all of its subsidiaries in the United States. The guarantors are 100% owned by the Company and the guarantees are made on a joint and several basis.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condensed combining financial statements:</w:t>
      </w:r>
    </w:p>
    <w:p>
      <w:pPr>
        <w:spacing w:after="0" w:line="23"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statements of comprehensive income for the three months ended March 31, 2019 and 2018,</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balance sheets as of March 31, 2019 and December 31, 2018, and</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statements of cash flows for the three months ended March 31, 2019 and 2018</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color w:val="auto"/>
        </w:rPr>
        <w:t>are presented on the following pages to comply with the Company’s requirements under Rule 3-10 of Regulation S-X.</w:t>
      </w:r>
    </w:p>
    <w:p>
      <w:pPr>
        <w:spacing w:after="0" w:line="200" w:lineRule="exact"/>
        <w:rPr>
          <w:sz w:val="20"/>
          <w:szCs w:val="20"/>
          <w:color w:val="auto"/>
        </w:rPr>
      </w:pPr>
    </w:p>
    <w:p>
      <w:pPr>
        <w:spacing w:after="0" w:line="318"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For the three months ended March 31, 2019</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4680" w:type="dxa"/>
        <w:tblCellMar>
          <w:top w:w="0" w:type="dxa"/>
          <w:left w:w="0" w:type="dxa"/>
          <w:bottom w:w="0" w:type="dxa"/>
          <w:right w:w="0" w:type="dxa"/>
        </w:tblCellMar>
      </w:tblPr>
      <w:tr>
        <w:trPr>
          <w:trHeight w:val="161"/>
        </w:trPr>
        <w:tc>
          <w:tcPr>
            <w:tcW w:w="800" w:type="dxa"/>
            <w:vAlign w:val="bottom"/>
            <w:vMerge w:val="restart"/>
          </w:tcPr>
          <w:p>
            <w:pPr>
              <w:spacing w:after="0"/>
              <w:rPr>
                <w:sz w:val="20"/>
                <w:szCs w:val="20"/>
                <w:color w:val="auto"/>
              </w:rPr>
            </w:pPr>
            <w:r>
              <w:rPr>
                <w:rFonts w:ascii="Arial" w:cs="Arial" w:eastAsia="Arial" w:hAnsi="Arial"/>
                <w:sz w:val="14"/>
                <w:szCs w:val="14"/>
                <w:b w:val="1"/>
                <w:bCs w:val="1"/>
                <w:color w:val="auto"/>
              </w:rPr>
              <w:t>Parent</w:t>
            </w:r>
          </w:p>
        </w:tc>
        <w:tc>
          <w:tcPr>
            <w:tcW w:w="1040" w:type="dxa"/>
            <w:vAlign w:val="bottom"/>
            <w:vMerge w:val="restart"/>
          </w:tcPr>
          <w:p>
            <w:pPr>
              <w:ind w:left="380"/>
              <w:spacing w:after="0"/>
              <w:rPr>
                <w:sz w:val="20"/>
                <w:szCs w:val="20"/>
                <w:color w:val="auto"/>
              </w:rPr>
            </w:pPr>
            <w:r>
              <w:rPr>
                <w:rFonts w:ascii="Arial" w:cs="Arial" w:eastAsia="Arial" w:hAnsi="Arial"/>
                <w:sz w:val="14"/>
                <w:szCs w:val="14"/>
                <w:b w:val="1"/>
                <w:bCs w:val="1"/>
                <w:color w:val="auto"/>
              </w:rPr>
              <w:t>Issuer</w:t>
            </w:r>
          </w:p>
        </w:tc>
        <w:tc>
          <w:tcPr>
            <w:tcW w:w="126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Guarantors</w:t>
            </w: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3"/>
              </w:rPr>
              <w:t>Non-</w:t>
            </w:r>
          </w:p>
        </w:tc>
        <w:tc>
          <w:tcPr>
            <w:tcW w:w="1300" w:type="dxa"/>
            <w:vAlign w:val="bottom"/>
            <w:vMerge w:val="restart"/>
          </w:tcPr>
          <w:p>
            <w:pPr>
              <w:ind w:left="240"/>
              <w:spacing w:after="0"/>
              <w:rPr>
                <w:sz w:val="20"/>
                <w:szCs w:val="20"/>
                <w:color w:val="auto"/>
              </w:rPr>
            </w:pPr>
            <w:r>
              <w:rPr>
                <w:rFonts w:ascii="Arial" w:cs="Arial" w:eastAsia="Arial" w:hAnsi="Arial"/>
                <w:sz w:val="14"/>
                <w:szCs w:val="14"/>
                <w:b w:val="1"/>
                <w:bCs w:val="1"/>
                <w:color w:val="auto"/>
              </w:rPr>
              <w:t>Eliminations</w:t>
            </w:r>
          </w:p>
        </w:tc>
        <w:tc>
          <w:tcPr>
            <w:tcW w:w="880" w:type="dxa"/>
            <w:vAlign w:val="bottom"/>
          </w:tcPr>
          <w:p>
            <w:pPr>
              <w:jc w:val="center"/>
              <w:ind w:left="208"/>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86"/>
        </w:trPr>
        <w:tc>
          <w:tcPr>
            <w:tcW w:w="80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1260" w:type="dxa"/>
            <w:vAlign w:val="bottom"/>
            <w:vMerge w:val="continue"/>
          </w:tcPr>
          <w:p>
            <w:pPr>
              <w:spacing w:after="0"/>
              <w:rPr>
                <w:sz w:val="16"/>
                <w:szCs w:val="16"/>
                <w:color w:val="auto"/>
              </w:rPr>
            </w:pPr>
          </w:p>
        </w:tc>
        <w:tc>
          <w:tcPr>
            <w:tcW w:w="1200" w:type="dxa"/>
            <w:vAlign w:val="bottom"/>
          </w:tcPr>
          <w:p>
            <w:pPr>
              <w:jc w:val="center"/>
              <w:spacing w:after="0"/>
              <w:rPr>
                <w:sz w:val="20"/>
                <w:szCs w:val="20"/>
                <w:color w:val="auto"/>
              </w:rPr>
            </w:pPr>
            <w:r>
              <w:rPr>
                <w:rFonts w:ascii="Arial" w:cs="Arial" w:eastAsia="Arial" w:hAnsi="Arial"/>
                <w:sz w:val="14"/>
                <w:szCs w:val="14"/>
                <w:b w:val="1"/>
                <w:bCs w:val="1"/>
                <w:color w:val="auto"/>
                <w:w w:val="95"/>
              </w:rPr>
              <w:t>Guarantors</w:t>
            </w:r>
          </w:p>
        </w:tc>
        <w:tc>
          <w:tcPr>
            <w:tcW w:w="1300" w:type="dxa"/>
            <w:vAlign w:val="bottom"/>
            <w:vMerge w:val="continue"/>
          </w:tcPr>
          <w:p>
            <w:pPr>
              <w:spacing w:after="0"/>
              <w:rPr>
                <w:sz w:val="16"/>
                <w:szCs w:val="16"/>
                <w:color w:val="auto"/>
              </w:rPr>
            </w:pPr>
          </w:p>
        </w:tc>
        <w:tc>
          <w:tcPr>
            <w:tcW w:w="880" w:type="dxa"/>
            <w:vAlign w:val="bottom"/>
          </w:tcPr>
          <w:p>
            <w:pPr>
              <w:jc w:val="center"/>
              <w:ind w:left="208"/>
              <w:spacing w:after="0"/>
              <w:rPr>
                <w:sz w:val="20"/>
                <w:szCs w:val="20"/>
                <w:color w:val="auto"/>
              </w:rPr>
            </w:pPr>
            <w:r>
              <w:rPr>
                <w:rFonts w:ascii="Arial" w:cs="Arial" w:eastAsia="Arial" w:hAnsi="Arial"/>
                <w:sz w:val="14"/>
                <w:szCs w:val="14"/>
                <w:b w:val="1"/>
                <w:bCs w:val="1"/>
                <w:color w:val="auto"/>
                <w:w w:val="93"/>
              </w:rPr>
              <w:t>Company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tbl>
      <w:tblPr>
        <w:tblLayout w:type="fixed"/>
        <w:tblInd w:w="40" w:type="dxa"/>
        <w:tblCellMar>
          <w:top w:w="0" w:type="dxa"/>
          <w:left w:w="0" w:type="dxa"/>
          <w:bottom w:w="0" w:type="dxa"/>
          <w:right w:w="0" w:type="dxa"/>
        </w:tblCellMar>
      </w:tblPr>
      <w:tr>
        <w:trPr>
          <w:trHeight w:val="254"/>
        </w:trPr>
        <w:tc>
          <w:tcPr>
            <w:tcW w:w="432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400" w:type="dxa"/>
            <w:vAlign w:val="bottom"/>
            <w:tcBorders>
              <w:top w:val="single" w:sz="8" w:color="auto"/>
            </w:tcBorders>
          </w:tcPr>
          <w:p>
            <w:pPr>
              <w:spacing w:after="0"/>
              <w:rPr>
                <w:sz w:val="22"/>
                <w:szCs w:val="22"/>
                <w:color w:val="auto"/>
              </w:rPr>
            </w:pPr>
          </w:p>
        </w:tc>
        <w:tc>
          <w:tcPr>
            <w:tcW w:w="660" w:type="dxa"/>
            <w:vAlign w:val="bottom"/>
            <w:tcBorders>
              <w:top w:val="single" w:sz="8" w:color="auto"/>
            </w:tcBorders>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320" w:type="dxa"/>
            <w:vAlign w:val="bottom"/>
          </w:tcPr>
          <w:p>
            <w:pPr>
              <w:ind w:left="340"/>
              <w:spacing w:after="0"/>
              <w:rPr>
                <w:sz w:val="20"/>
                <w:szCs w:val="20"/>
                <w:color w:val="auto"/>
              </w:rPr>
            </w:pPr>
            <w:r>
              <w:rPr>
                <w:rFonts w:ascii="Arial" w:cs="Arial" w:eastAsia="Arial" w:hAnsi="Arial"/>
                <w:sz w:val="18"/>
                <w:szCs w:val="18"/>
                <w:color w:val="auto"/>
              </w:rPr>
              <w:t>Cost of products sold, excluding depreciation and</w:t>
            </w:r>
          </w:p>
        </w:tc>
        <w:tc>
          <w:tcPr>
            <w:tcW w:w="4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40"/>
              <w:spacing w:after="0"/>
              <w:rPr>
                <w:sz w:val="20"/>
                <w:szCs w:val="20"/>
                <w:color w:val="auto"/>
              </w:rPr>
            </w:pPr>
            <w:r>
              <w:rPr>
                <w:rFonts w:ascii="Arial" w:cs="Arial" w:eastAsia="Arial" w:hAnsi="Arial"/>
                <w:sz w:val="18"/>
                <w:szCs w:val="18"/>
                <w:color w:val="auto"/>
              </w:rPr>
              <w:t>amortization</w:t>
            </w: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40"/>
              <w:spacing w:after="0"/>
              <w:rPr>
                <w:sz w:val="20"/>
                <w:szCs w:val="20"/>
                <w:color w:val="auto"/>
              </w:rPr>
            </w:pPr>
            <w:r>
              <w:rPr>
                <w:rFonts w:ascii="Arial" w:cs="Arial" w:eastAsia="Arial" w:hAnsi="Arial"/>
                <w:sz w:val="18"/>
                <w:szCs w:val="18"/>
                <w:color w:val="auto"/>
              </w:rPr>
              <w:t>Depreciation and amortization</w:t>
            </w: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40"/>
              <w:spacing w:after="0"/>
              <w:rPr>
                <w:sz w:val="20"/>
                <w:szCs w:val="20"/>
                <w:color w:val="auto"/>
              </w:rPr>
            </w:pPr>
            <w:r>
              <w:rPr>
                <w:rFonts w:ascii="Arial" w:cs="Arial" w:eastAsia="Arial" w:hAnsi="Arial"/>
                <w:sz w:val="18"/>
                <w:szCs w:val="18"/>
                <w:color w:val="auto"/>
              </w:rPr>
              <w:t>Selling and administrative expense</w:t>
            </w: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320" w:type="dxa"/>
            <w:vAlign w:val="bottom"/>
          </w:tcPr>
          <w:p>
            <w:pPr>
              <w:ind w:left="340"/>
              <w:spacing w:after="0"/>
              <w:rPr>
                <w:sz w:val="20"/>
                <w:szCs w:val="20"/>
                <w:color w:val="auto"/>
              </w:rPr>
            </w:pPr>
            <w:r>
              <w:rPr>
                <w:rFonts w:ascii="Arial" w:cs="Arial" w:eastAsia="Arial" w:hAnsi="Arial"/>
                <w:sz w:val="18"/>
                <w:szCs w:val="18"/>
                <w:color w:val="auto"/>
              </w:rPr>
              <w:t>Restructuring and other</w:t>
            </w: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Income from operations</w:t>
            </w: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40"/>
              <w:spacing w:after="0"/>
              <w:rPr>
                <w:sz w:val="20"/>
                <w:szCs w:val="20"/>
                <w:color w:val="auto"/>
              </w:rPr>
            </w:pPr>
            <w:r>
              <w:rPr>
                <w:rFonts w:ascii="Arial" w:cs="Arial" w:eastAsia="Arial" w:hAnsi="Arial"/>
                <w:sz w:val="18"/>
                <w:szCs w:val="18"/>
                <w:color w:val="auto"/>
              </w:rPr>
              <w:t>Loss from early extinguishments of debt</w:t>
            </w: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40"/>
              <w:spacing w:after="0"/>
              <w:rPr>
                <w:sz w:val="20"/>
                <w:szCs w:val="20"/>
                <w:color w:val="auto"/>
              </w:rPr>
            </w:pPr>
            <w:r>
              <w:rPr>
                <w:rFonts w:ascii="Arial" w:cs="Arial" w:eastAsia="Arial" w:hAnsi="Arial"/>
                <w:sz w:val="18"/>
                <w:szCs w:val="18"/>
                <w:color w:val="auto"/>
              </w:rPr>
              <w:t>Other pension and postretirement</w:t>
            </w: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40"/>
              <w:spacing w:after="0"/>
              <w:rPr>
                <w:sz w:val="20"/>
                <w:szCs w:val="20"/>
                <w:color w:val="auto"/>
              </w:rPr>
            </w:pPr>
            <w:r>
              <w:rPr>
                <w:rFonts w:ascii="Arial" w:cs="Arial" w:eastAsia="Arial" w:hAnsi="Arial"/>
                <w:sz w:val="18"/>
                <w:szCs w:val="18"/>
                <w:color w:val="auto"/>
              </w:rPr>
              <w:t>Net interest expense</w:t>
            </w: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40"/>
              <w:spacing w:after="0"/>
              <w:rPr>
                <w:sz w:val="20"/>
                <w:szCs w:val="20"/>
                <w:color w:val="auto"/>
              </w:rPr>
            </w:pPr>
            <w:r>
              <w:rPr>
                <w:rFonts w:ascii="Arial" w:cs="Arial" w:eastAsia="Arial" w:hAnsi="Arial"/>
                <w:sz w:val="18"/>
                <w:szCs w:val="18"/>
                <w:color w:val="auto"/>
              </w:rPr>
              <w:t>Technology royalty</w:t>
            </w: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40"/>
              <w:spacing w:after="0"/>
              <w:rPr>
                <w:sz w:val="20"/>
                <w:szCs w:val="20"/>
                <w:color w:val="auto"/>
              </w:rPr>
            </w:pPr>
            <w:r>
              <w:rPr>
                <w:rFonts w:ascii="Arial" w:cs="Arial" w:eastAsia="Arial" w:hAnsi="Arial"/>
                <w:sz w:val="18"/>
                <w:szCs w:val="18"/>
                <w:color w:val="auto"/>
              </w:rPr>
              <w:t>Foreign exchange</w:t>
            </w: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Income/(loss) before income taxes</w:t>
            </w: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40"/>
              <w:spacing w:after="0"/>
              <w:rPr>
                <w:sz w:val="20"/>
                <w:szCs w:val="20"/>
                <w:color w:val="auto"/>
              </w:rPr>
            </w:pPr>
            <w:r>
              <w:rPr>
                <w:rFonts w:ascii="Arial" w:cs="Arial" w:eastAsia="Arial" w:hAnsi="Arial"/>
                <w:sz w:val="18"/>
                <w:szCs w:val="18"/>
                <w:color w:val="auto"/>
              </w:rPr>
              <w:t>Provision for / (benefit from) income taxes</w:t>
            </w: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40"/>
              <w:spacing w:after="0"/>
              <w:rPr>
                <w:sz w:val="20"/>
                <w:szCs w:val="20"/>
                <w:color w:val="auto"/>
              </w:rPr>
            </w:pPr>
            <w:r>
              <w:rPr>
                <w:rFonts w:ascii="Arial" w:cs="Arial" w:eastAsia="Arial" w:hAnsi="Arial"/>
                <w:sz w:val="18"/>
                <w:szCs w:val="18"/>
                <w:color w:val="auto"/>
              </w:rPr>
              <w:t>Equity earnings / (loss) in affiliates</w:t>
            </w: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Net income</w:t>
            </w: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vMerge w:val="continue"/>
          </w:tcPr>
          <w:p>
            <w:pPr>
              <w:spacing w:after="0"/>
              <w:rPr>
                <w:sz w:val="20"/>
                <w:szCs w:val="20"/>
                <w:color w:val="auto"/>
              </w:rPr>
            </w:pPr>
          </w:p>
        </w:tc>
        <w:tc>
          <w:tcPr>
            <w:tcW w:w="40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0"/>
        </w:trPr>
        <w:tc>
          <w:tcPr>
            <w:tcW w:w="4320" w:type="dxa"/>
            <w:vAlign w:val="bottom"/>
          </w:tcPr>
          <w:p>
            <w:pPr>
              <w:ind w:left="340"/>
              <w:spacing w:after="0"/>
              <w:rPr>
                <w:sz w:val="20"/>
                <w:szCs w:val="20"/>
                <w:color w:val="auto"/>
              </w:rPr>
            </w:pPr>
            <w:r>
              <w:rPr>
                <w:rFonts w:ascii="Arial" w:cs="Arial" w:eastAsia="Arial" w:hAnsi="Arial"/>
                <w:sz w:val="18"/>
                <w:szCs w:val="18"/>
                <w:color w:val="auto"/>
              </w:rPr>
              <w:t>Net income attributable to noncontrolling interests</w:t>
            </w:r>
          </w:p>
        </w:tc>
        <w:tc>
          <w:tcPr>
            <w:tcW w:w="4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Net income attributable to Crown Holdings</w:t>
            </w: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vMerge w:val="continue"/>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103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20" w:type="dxa"/>
            <w:vAlign w:val="bottom"/>
            <w:vMerge w:val="restart"/>
          </w:tcPr>
          <w:p>
            <w:pPr>
              <w:spacing w:after="0"/>
              <w:rPr>
                <w:sz w:val="20"/>
                <w:szCs w:val="20"/>
                <w:color w:val="auto"/>
              </w:rPr>
            </w:pPr>
            <w:r>
              <w:rPr>
                <w:rFonts w:ascii="Arial" w:cs="Arial" w:eastAsia="Arial" w:hAnsi="Arial"/>
                <w:sz w:val="18"/>
                <w:szCs w:val="18"/>
                <w:b w:val="1"/>
                <w:bCs w:val="1"/>
                <w:color w:val="auto"/>
              </w:rPr>
              <w:t>Total comprehensive income</w:t>
            </w: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vMerge w:val="continue"/>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320" w:type="dxa"/>
            <w:vAlign w:val="bottom"/>
            <w:vMerge w:val="continue"/>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320" w:type="dxa"/>
            <w:vAlign w:val="bottom"/>
          </w:tcPr>
          <w:p>
            <w:pPr>
              <w:ind w:left="340"/>
              <w:spacing w:after="0"/>
              <w:rPr>
                <w:sz w:val="20"/>
                <w:szCs w:val="20"/>
                <w:color w:val="auto"/>
              </w:rPr>
            </w:pPr>
            <w:r>
              <w:rPr>
                <w:rFonts w:ascii="Arial" w:cs="Arial" w:eastAsia="Arial" w:hAnsi="Arial"/>
                <w:sz w:val="18"/>
                <w:szCs w:val="18"/>
                <w:color w:val="auto"/>
                <w:w w:val="94"/>
              </w:rPr>
              <w:t>Comprehensive income attributable to noncontrolling</w:t>
            </w:r>
          </w:p>
        </w:tc>
        <w:tc>
          <w:tcPr>
            <w:tcW w:w="4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40"/>
              <w:spacing w:after="0"/>
              <w:rPr>
                <w:sz w:val="20"/>
                <w:szCs w:val="20"/>
                <w:color w:val="auto"/>
              </w:rPr>
            </w:pPr>
            <w:r>
              <w:rPr>
                <w:rFonts w:ascii="Arial" w:cs="Arial" w:eastAsia="Arial" w:hAnsi="Arial"/>
                <w:sz w:val="18"/>
                <w:szCs w:val="18"/>
                <w:color w:val="auto"/>
              </w:rPr>
              <w:t>interests</w:t>
            </w:r>
          </w:p>
        </w:tc>
        <w:tc>
          <w:tcPr>
            <w:tcW w:w="4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2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320" w:type="dxa"/>
            <w:vAlign w:val="bottom"/>
          </w:tcPr>
          <w:p>
            <w:pPr>
              <w:spacing w:after="0"/>
              <w:rPr>
                <w:sz w:val="20"/>
                <w:szCs w:val="20"/>
                <w:color w:val="auto"/>
              </w:rPr>
            </w:pPr>
            <w:r>
              <w:rPr>
                <w:rFonts w:ascii="Arial" w:cs="Arial" w:eastAsia="Arial" w:hAnsi="Arial"/>
                <w:sz w:val="18"/>
                <w:szCs w:val="18"/>
                <w:b w:val="1"/>
                <w:bCs w:val="1"/>
                <w:color w:val="auto"/>
                <w:w w:val="91"/>
              </w:rPr>
              <w:t>Comprehensive income attributable to Crown Holdings</w:t>
            </w: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188</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32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-3498215</wp:posOffset>
            </wp:positionV>
            <wp:extent cx="7246620" cy="1714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-3155315</wp:posOffset>
            </wp:positionV>
            <wp:extent cx="7246620" cy="1714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-2803525</wp:posOffset>
            </wp:positionV>
            <wp:extent cx="7246620" cy="171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-2460625</wp:posOffset>
            </wp:positionV>
            <wp:extent cx="7246620"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-2117725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-1765935</wp:posOffset>
            </wp:positionV>
            <wp:extent cx="7246620" cy="17145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-685165</wp:posOffset>
            </wp:positionV>
            <wp:extent cx="724662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714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-205105</wp:posOffset>
            </wp:positionV>
            <wp:extent cx="7246620" cy="1885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-1071245</wp:posOffset>
            </wp:positionV>
            <wp:extent cx="7246620" cy="18859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8859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-1423035</wp:posOffset>
            </wp:positionV>
            <wp:extent cx="7246620" cy="1803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4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892</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1,979</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2,755</w:t>
            </w:r>
          </w:p>
        </w:tc>
      </w:tr>
      <w:tr>
        <w:trPr>
          <w:trHeight w:val="486"/>
        </w:trPr>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740</w:t>
            </w: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1,586</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2,210</w:t>
            </w:r>
          </w:p>
        </w:tc>
      </w:tr>
      <w:tr>
        <w:trPr>
          <w:trHeight w:val="270"/>
        </w:trPr>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122</w:t>
            </w:r>
          </w:p>
        </w:tc>
      </w:tr>
      <w:tr>
        <w:trPr>
          <w:trHeight w:val="270"/>
        </w:trPr>
        <w:tc>
          <w:tcPr>
            <w:tcW w:w="440" w:type="dxa"/>
            <w:vAlign w:val="bottom"/>
          </w:tcPr>
          <w:p>
            <w:pPr>
              <w:jc w:val="right"/>
              <w:ind w:right="11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157</w:t>
            </w:r>
          </w:p>
        </w:tc>
      </w:tr>
      <w:tr>
        <w:trPr>
          <w:trHeight w:val="270"/>
        </w:trPr>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w:t>
            </w:r>
          </w:p>
        </w:tc>
      </w:tr>
      <w:tr>
        <w:trPr>
          <w:trHeight w:val="27"/>
        </w:trPr>
        <w:tc>
          <w:tcPr>
            <w:tcW w:w="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50"/>
              <w:spacing w:after="0"/>
              <w:rPr>
                <w:sz w:val="20"/>
                <w:szCs w:val="20"/>
                <w:color w:val="auto"/>
              </w:rPr>
            </w:pPr>
            <w:r>
              <w:rPr>
                <w:rFonts w:ascii="Arial" w:cs="Arial" w:eastAsia="Arial" w:hAnsi="Arial"/>
                <w:sz w:val="18"/>
                <w:szCs w:val="18"/>
                <w:color w:val="auto"/>
              </w:rPr>
              <w:t>(3)</w:t>
            </w:r>
          </w:p>
        </w:tc>
        <w:tc>
          <w:tcPr>
            <w:tcW w:w="38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262</w:t>
            </w:r>
          </w:p>
        </w:tc>
      </w:tr>
      <w:tr>
        <w:trPr>
          <w:trHeight w:val="270"/>
        </w:trPr>
        <w:tc>
          <w:tcPr>
            <w:tcW w:w="44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0"/>
        </w:trPr>
        <w:tc>
          <w:tcPr>
            <w:tcW w:w="440" w:type="dxa"/>
            <w:vAlign w:val="bottom"/>
          </w:tcPr>
          <w:p>
            <w:pPr>
              <w:jc w:val="right"/>
              <w:ind w:right="110"/>
              <w:spacing w:after="0"/>
              <w:rPr>
                <w:sz w:val="20"/>
                <w:szCs w:val="20"/>
                <w:color w:val="auto"/>
              </w:rPr>
            </w:pPr>
            <w:r>
              <w:rPr>
                <w:rFonts w:ascii="Arial" w:cs="Arial" w:eastAsia="Arial" w:hAnsi="Arial"/>
                <w:sz w:val="18"/>
                <w:szCs w:val="18"/>
                <w:color w:val="auto"/>
              </w:rPr>
              <w:t>19</w:t>
            </w: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95</w:t>
            </w:r>
          </w:p>
        </w:tc>
      </w:tr>
      <w:tr>
        <w:trPr>
          <w:trHeight w:val="270"/>
        </w:trPr>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0"/>
        </w:trPr>
        <w:tc>
          <w:tcPr>
            <w:tcW w:w="440" w:type="dxa"/>
            <w:vAlign w:val="bottom"/>
          </w:tcPr>
          <w:p>
            <w:pPr>
              <w:jc w:val="right"/>
              <w:ind w:right="50"/>
              <w:spacing w:after="0"/>
              <w:rPr>
                <w:sz w:val="20"/>
                <w:szCs w:val="20"/>
                <w:color w:val="auto"/>
              </w:rPr>
            </w:pPr>
            <w:r>
              <w:rPr>
                <w:rFonts w:ascii="Arial" w:cs="Arial" w:eastAsia="Arial" w:hAnsi="Arial"/>
                <w:sz w:val="18"/>
                <w:szCs w:val="18"/>
                <w:color w:val="auto"/>
                <w:w w:val="87"/>
              </w:rPr>
              <w:t>(34)</w:t>
            </w: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jc w:val="right"/>
              <w:ind w:right="3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110"/>
              <w:spacing w:after="0"/>
              <w:rPr>
                <w:sz w:val="20"/>
                <w:szCs w:val="20"/>
                <w:color w:val="auto"/>
              </w:rPr>
            </w:pPr>
            <w:r>
              <w:rPr>
                <w:rFonts w:ascii="Arial" w:cs="Arial" w:eastAsia="Arial" w:hAnsi="Arial"/>
                <w:sz w:val="18"/>
                <w:szCs w:val="18"/>
                <w:color w:val="auto"/>
              </w:rPr>
              <w:t>6</w:t>
            </w:r>
          </w:p>
        </w:tc>
        <w:tc>
          <w:tcPr>
            <w:tcW w:w="38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174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178</w:t>
            </w:r>
          </w:p>
        </w:tc>
      </w:tr>
      <w:tr>
        <w:trPr>
          <w:trHeight w:val="270"/>
        </w:trPr>
        <w:tc>
          <w:tcPr>
            <w:tcW w:w="440" w:type="dxa"/>
            <w:vAlign w:val="bottom"/>
          </w:tcPr>
          <w:p>
            <w:pPr>
              <w:jc w:val="right"/>
              <w:ind w:right="110"/>
              <w:spacing w:after="0"/>
              <w:rPr>
                <w:sz w:val="20"/>
                <w:szCs w:val="20"/>
                <w:color w:val="auto"/>
              </w:rPr>
            </w:pPr>
            <w:r>
              <w:rPr>
                <w:rFonts w:ascii="Arial" w:cs="Arial" w:eastAsia="Arial" w:hAnsi="Arial"/>
                <w:sz w:val="18"/>
                <w:szCs w:val="18"/>
                <w:color w:val="auto"/>
              </w:rPr>
              <w:t>2</w:t>
            </w: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48</w:t>
            </w:r>
          </w:p>
        </w:tc>
      </w:tr>
      <w:tr>
        <w:trPr>
          <w:trHeight w:val="270"/>
        </w:trPr>
        <w:tc>
          <w:tcPr>
            <w:tcW w:w="440" w:type="dxa"/>
            <w:vAlign w:val="bottom"/>
          </w:tcPr>
          <w:p>
            <w:pPr>
              <w:jc w:val="right"/>
              <w:ind w:right="110"/>
              <w:spacing w:after="0"/>
              <w:rPr>
                <w:sz w:val="20"/>
                <w:szCs w:val="20"/>
                <w:color w:val="auto"/>
              </w:rPr>
            </w:pPr>
            <w:r>
              <w:rPr>
                <w:rFonts w:ascii="Arial" w:cs="Arial" w:eastAsia="Arial" w:hAnsi="Arial"/>
                <w:sz w:val="18"/>
                <w:szCs w:val="18"/>
                <w:color w:val="auto"/>
              </w:rPr>
              <w:t>63</w:t>
            </w:r>
          </w:p>
        </w:tc>
        <w:tc>
          <w:tcPr>
            <w:tcW w:w="380" w:type="dxa"/>
            <w:vAlign w:val="bottom"/>
          </w:tcPr>
          <w:p>
            <w:pPr>
              <w:spacing w:after="0"/>
              <w:rPr>
                <w:sz w:val="23"/>
                <w:szCs w:val="23"/>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(227)</w:t>
            </w: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w:t>
            </w:r>
          </w:p>
        </w:tc>
      </w:tr>
      <w:tr>
        <w:trPr>
          <w:trHeight w:val="27"/>
        </w:trPr>
        <w:tc>
          <w:tcPr>
            <w:tcW w:w="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110"/>
              <w:spacing w:after="0"/>
              <w:rPr>
                <w:sz w:val="20"/>
                <w:szCs w:val="20"/>
                <w:color w:val="auto"/>
              </w:rPr>
            </w:pPr>
            <w:r>
              <w:rPr>
                <w:rFonts w:ascii="Arial" w:cs="Arial" w:eastAsia="Arial" w:hAnsi="Arial"/>
                <w:sz w:val="18"/>
                <w:szCs w:val="18"/>
                <w:color w:val="auto"/>
              </w:rPr>
              <w:t>67</w:t>
            </w:r>
          </w:p>
        </w:tc>
        <w:tc>
          <w:tcPr>
            <w:tcW w:w="380" w:type="dxa"/>
            <w:vAlign w:val="bottom"/>
          </w:tcPr>
          <w:p>
            <w:pPr>
              <w:spacing w:after="0"/>
              <w:rPr>
                <w:sz w:val="20"/>
                <w:szCs w:val="20"/>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131</w:t>
            </w:r>
          </w:p>
        </w:tc>
      </w:tr>
      <w:tr>
        <w:trPr>
          <w:trHeight w:val="270"/>
        </w:trPr>
        <w:tc>
          <w:tcPr>
            <w:tcW w:w="44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110"/>
              <w:spacing w:after="0"/>
              <w:rPr>
                <w:sz w:val="20"/>
                <w:szCs w:val="20"/>
                <w:color w:val="auto"/>
              </w:rPr>
            </w:pPr>
            <w:r>
              <w:rPr>
                <w:rFonts w:ascii="Arial" w:cs="Arial" w:eastAsia="Arial" w:hAnsi="Arial"/>
                <w:sz w:val="18"/>
                <w:szCs w:val="18"/>
                <w:color w:val="auto"/>
              </w:rPr>
              <w:t>67</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86</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(253)</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103</w:t>
            </w:r>
          </w:p>
        </w:tc>
      </w:tr>
      <w:tr>
        <w:trPr>
          <w:trHeight w:val="27"/>
        </w:trPr>
        <w:tc>
          <w:tcPr>
            <w:tcW w:w="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07"/>
        </w:trPr>
        <w:tc>
          <w:tcPr>
            <w:tcW w:w="440" w:type="dxa"/>
            <w:vAlign w:val="bottom"/>
          </w:tcPr>
          <w:p>
            <w:pPr>
              <w:jc w:val="right"/>
              <w:ind w:right="110"/>
              <w:spacing w:after="0"/>
              <w:rPr>
                <w:sz w:val="20"/>
                <w:szCs w:val="20"/>
                <w:color w:val="auto"/>
              </w:rPr>
            </w:pPr>
            <w:r>
              <w:rPr>
                <w:rFonts w:ascii="Arial" w:cs="Arial" w:eastAsia="Arial" w:hAnsi="Arial"/>
                <w:sz w:val="18"/>
                <w:szCs w:val="18"/>
                <w:color w:val="auto"/>
              </w:rPr>
              <w:t>73</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4"/>
                <w:szCs w:val="24"/>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193</w:t>
            </w:r>
          </w:p>
        </w:tc>
        <w:tc>
          <w:tcPr>
            <w:tcW w:w="100" w:type="dxa"/>
            <w:vAlign w:val="bottom"/>
          </w:tcPr>
          <w:p>
            <w:pPr>
              <w:spacing w:after="0"/>
              <w:rPr>
                <w:sz w:val="24"/>
                <w:szCs w:val="24"/>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4"/>
                <w:szCs w:val="24"/>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216</w:t>
            </w:r>
          </w:p>
        </w:tc>
      </w:tr>
      <w:tr>
        <w:trPr>
          <w:trHeight w:val="486"/>
        </w:trPr>
        <w:tc>
          <w:tcPr>
            <w:tcW w:w="4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(28)</w:t>
            </w:r>
          </w:p>
        </w:tc>
      </w:tr>
      <w:tr>
        <w:trPr>
          <w:trHeight w:val="27"/>
        </w:trPr>
        <w:tc>
          <w:tcPr>
            <w:tcW w:w="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37"/>
        </w:trPr>
        <w:tc>
          <w:tcPr>
            <w:tcW w:w="440" w:type="dxa"/>
            <w:vAlign w:val="bottom"/>
          </w:tcPr>
          <w:p>
            <w:pPr>
              <w:jc w:val="right"/>
              <w:ind w:right="110"/>
              <w:spacing w:after="0"/>
              <w:rPr>
                <w:sz w:val="20"/>
                <w:szCs w:val="20"/>
                <w:color w:val="auto"/>
              </w:rPr>
            </w:pPr>
            <w:r>
              <w:rPr>
                <w:rFonts w:ascii="Arial" w:cs="Arial" w:eastAsia="Arial" w:hAnsi="Arial"/>
                <w:sz w:val="18"/>
                <w:szCs w:val="18"/>
                <w:color w:val="auto"/>
              </w:rPr>
              <w:t>73</w:t>
            </w: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0"/>
                <w:szCs w:val="20"/>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ind w:right="30"/>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0"/>
                <w:szCs w:val="20"/>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(407)</w:t>
            </w:r>
          </w:p>
        </w:tc>
        <w:tc>
          <w:tcPr>
            <w:tcW w:w="100" w:type="dxa"/>
            <w:vAlign w:val="bottom"/>
          </w:tcPr>
          <w:p>
            <w:pPr>
              <w:spacing w:after="0"/>
              <w:rPr>
                <w:sz w:val="20"/>
                <w:szCs w:val="20"/>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10"/>
              <w:spacing w:after="0"/>
              <w:rPr>
                <w:sz w:val="20"/>
                <w:szCs w:val="20"/>
                <w:color w:val="auto"/>
              </w:rPr>
            </w:pPr>
            <w:r>
              <w:rPr>
                <w:rFonts w:ascii="Arial" w:cs="Arial" w:eastAsia="Arial" w:hAnsi="Arial"/>
                <w:sz w:val="18"/>
                <w:szCs w:val="18"/>
                <w:color w:val="auto"/>
              </w:rPr>
              <w:t>188</w:t>
            </w:r>
          </w:p>
        </w:tc>
      </w:tr>
      <w:tr>
        <w:trPr>
          <w:trHeight w:val="27"/>
        </w:trPr>
        <w:tc>
          <w:tcPr>
            <w:tcW w:w="44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0"/>
        </w:trPr>
        <w:tc>
          <w:tcPr>
            <w:tcW w:w="4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-436245</wp:posOffset>
            </wp:positionH>
            <wp:positionV relativeFrom="paragraph">
              <wp:posOffset>-8255</wp:posOffset>
            </wp:positionV>
            <wp:extent cx="65151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-874395</wp:posOffset>
            </wp:positionV>
            <wp:extent cx="65151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-1946275</wp:posOffset>
            </wp:positionV>
            <wp:extent cx="65151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51510" cy="8890"/>
                    </a:xfrm>
                    <a:prstGeom prst="rect">
                      <a:avLst/>
                    </a:prstGeom>
                    <a:noFill/>
                  </pic:spPr>
                </pic:pic>
              </a:graphicData>
            </a:graphic>
          </wp:anchor>
        </w:drawing>
        <w:drawing>
          <wp:anchor simplePos="0" relativeHeight="251657728" behindDoc="1" locked="0" layoutInCell="0" allowOverlap="1">
            <wp:simplePos x="0" y="0"/>
            <wp:positionH relativeFrom="column">
              <wp:posOffset>-436245</wp:posOffset>
            </wp:positionH>
            <wp:positionV relativeFrom="paragraph">
              <wp:posOffset>-2983865</wp:posOffset>
            </wp:positionV>
            <wp:extent cx="65151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515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640" w:space="580"/>
            <w:col w:w="5200"/>
          </w:cols>
          <w:pgMar w:left="240" w:top="121" w:right="239" w:bottom="1440" w:gutter="0" w:footer="0" w:header="0"/>
          <w:type w:val="continuous"/>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121" w:right="2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2620"/>
        <w:spacing w:after="0"/>
        <w:rPr>
          <w:sz w:val="20"/>
          <w:szCs w:val="20"/>
          <w:color w:val="auto"/>
        </w:rPr>
      </w:pPr>
      <w:r>
        <w:rPr>
          <w:rFonts w:ascii="Arial" w:cs="Arial" w:eastAsia="Arial" w:hAnsi="Arial"/>
          <w:sz w:val="18"/>
          <w:szCs w:val="18"/>
          <w:b w:val="1"/>
          <w:bCs w:val="1"/>
          <w:color w:val="auto"/>
        </w:rPr>
        <w:t>CONDENSED COMBINING STATEMENT OF COMPREHENSIVE INCOME</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Parent</w:t>
            </w:r>
          </w:p>
        </w:tc>
        <w:tc>
          <w:tcPr>
            <w:tcW w:w="300" w:type="dxa"/>
            <w:vAlign w:val="bottom"/>
          </w:tcPr>
          <w:p>
            <w:pPr>
              <w:spacing w:after="0"/>
              <w:rPr>
                <w:sz w:val="14"/>
                <w:szCs w:val="14"/>
                <w:color w:val="auto"/>
              </w:rPr>
            </w:pPr>
          </w:p>
        </w:tc>
        <w:tc>
          <w:tcPr>
            <w:tcW w:w="8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Issuer</w:t>
            </w:r>
          </w:p>
        </w:tc>
        <w:tc>
          <w:tcPr>
            <w:tcW w:w="120" w:type="dxa"/>
            <w:vAlign w:val="bottom"/>
          </w:tcPr>
          <w:p>
            <w:pPr>
              <w:spacing w:after="0"/>
              <w:rPr>
                <w:sz w:val="14"/>
                <w:szCs w:val="14"/>
                <w:color w:val="auto"/>
              </w:rPr>
            </w:pPr>
          </w:p>
        </w:tc>
        <w:tc>
          <w:tcPr>
            <w:tcW w:w="10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Guarantors</w:t>
            </w:r>
          </w:p>
        </w:tc>
        <w:tc>
          <w:tcPr>
            <w:tcW w:w="140" w:type="dxa"/>
            <w:vAlign w:val="bottom"/>
          </w:tcPr>
          <w:p>
            <w:pPr>
              <w:spacing w:after="0"/>
              <w:rPr>
                <w:sz w:val="14"/>
                <w:szCs w:val="14"/>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20" w:type="dxa"/>
            <w:vAlign w:val="bottom"/>
          </w:tcPr>
          <w:p>
            <w:pPr>
              <w:spacing w:after="0"/>
              <w:rPr>
                <w:sz w:val="14"/>
                <w:szCs w:val="14"/>
                <w:color w:val="auto"/>
              </w:rPr>
            </w:pPr>
          </w:p>
        </w:tc>
        <w:tc>
          <w:tcPr>
            <w:tcW w:w="1040" w:type="dxa"/>
            <w:vAlign w:val="bottom"/>
          </w:tcPr>
          <w:p>
            <w:pPr>
              <w:jc w:val="right"/>
              <w:ind w:right="39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tcPr>
          <w:p>
            <w:pPr>
              <w:jc w:val="right"/>
              <w:ind w:right="23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2,197</w:t>
            </w:r>
          </w:p>
        </w:tc>
        <w:tc>
          <w:tcPr>
            <w:tcW w:w="0" w:type="dxa"/>
            <w:vAlign w:val="bottom"/>
          </w:tcPr>
          <w:p>
            <w:pPr>
              <w:spacing w:after="0"/>
              <w:rPr>
                <w:sz w:val="1"/>
                <w:szCs w:val="1"/>
                <w:color w:val="auto"/>
              </w:rPr>
            </w:pPr>
          </w:p>
        </w:tc>
      </w:tr>
      <w:tr>
        <w:trPr>
          <w:trHeight w:val="229"/>
        </w:trPr>
        <w:tc>
          <w:tcPr>
            <w:tcW w:w="4360" w:type="dxa"/>
            <w:vAlign w:val="bottom"/>
          </w:tcPr>
          <w:p>
            <w:pPr>
              <w:ind w:left="380"/>
              <w:spacing w:after="0"/>
              <w:rPr>
                <w:sz w:val="20"/>
                <w:szCs w:val="20"/>
                <w:color w:val="auto"/>
              </w:rPr>
            </w:pPr>
            <w:r>
              <w:rPr>
                <w:rFonts w:ascii="Arial" w:cs="Arial" w:eastAsia="Arial" w:hAnsi="Arial"/>
                <w:sz w:val="18"/>
                <w:szCs w:val="18"/>
                <w:color w:val="auto"/>
              </w:rPr>
              <w:t>Cost of products sold, excluding depreciation and</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60" w:type="dxa"/>
            <w:vAlign w:val="bottom"/>
          </w:tcPr>
          <w:p>
            <w:pPr>
              <w:ind w:left="380"/>
              <w:spacing w:after="0"/>
              <w:rPr>
                <w:sz w:val="20"/>
                <w:szCs w:val="20"/>
                <w:color w:val="auto"/>
              </w:rPr>
            </w:pPr>
            <w:r>
              <w:rPr>
                <w:rFonts w:ascii="Arial" w:cs="Arial" w:eastAsia="Arial" w:hAnsi="Arial"/>
                <w:sz w:val="18"/>
                <w:szCs w:val="18"/>
                <w:color w:val="auto"/>
              </w:rPr>
              <w:t>amortization</w:t>
            </w: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1,385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1,808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Selling and administrative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Restructuring and other</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Income from operations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pension and postretirement</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Net interest expense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Technology royalty</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Foreign exchange</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7"/>
        </w:trPr>
        <w:tc>
          <w:tcPr>
            <w:tcW w:w="43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Income/(loss) before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152</w:t>
            </w:r>
          </w:p>
        </w:tc>
        <w:tc>
          <w:tcPr>
            <w:tcW w:w="0" w:type="dxa"/>
            <w:vAlign w:val="bottom"/>
          </w:tcPr>
          <w:p>
            <w:pPr>
              <w:spacing w:after="0"/>
              <w:rPr>
                <w:sz w:val="1"/>
                <w:szCs w:val="1"/>
                <w:color w:val="auto"/>
              </w:rPr>
            </w:pPr>
          </w:p>
        </w:tc>
      </w:tr>
      <w:tr>
        <w:trPr>
          <w:trHeight w:val="243"/>
        </w:trPr>
        <w:tc>
          <w:tcPr>
            <w:tcW w:w="4360" w:type="dxa"/>
            <w:vAlign w:val="bottom"/>
          </w:tcPr>
          <w:p>
            <w:pPr>
              <w:ind w:left="380"/>
              <w:spacing w:after="0"/>
              <w:rPr>
                <w:sz w:val="20"/>
                <w:szCs w:val="20"/>
                <w:color w:val="auto"/>
              </w:rPr>
            </w:pPr>
            <w:r>
              <w:rPr>
                <w:rFonts w:ascii="Arial" w:cs="Arial" w:eastAsia="Arial" w:hAnsi="Arial"/>
                <w:sz w:val="18"/>
                <w:szCs w:val="18"/>
                <w:color w:val="auto"/>
              </w:rPr>
              <w:t>Provision for / (benefit from) income taxes</w:t>
            </w:r>
          </w:p>
        </w:tc>
        <w:tc>
          <w:tcPr>
            <w:tcW w:w="2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2"/>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earnings / (loss) in affiliates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90</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 attributable to noncontrolling interests</w:t>
            </w:r>
          </w:p>
        </w:tc>
        <w:tc>
          <w:tcPr>
            <w:tcW w:w="2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Net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90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88</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67"/>
        </w:trPr>
        <w:tc>
          <w:tcPr>
            <w:tcW w:w="436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8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00" w:type="dxa"/>
            <w:vAlign w:val="bottom"/>
            <w:tcBorders>
              <w:bottom w:val="single" w:sz="8" w:color="auto"/>
            </w:tcBorders>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3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8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rPr>
              <w:t>Total comprehensive income</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2"/>
              <w:spacing w:after="0"/>
              <w:rPr>
                <w:sz w:val="20"/>
                <w:szCs w:val="20"/>
                <w:color w:val="auto"/>
              </w:rPr>
            </w:pPr>
            <w:r>
              <w:rPr>
                <w:rFonts w:ascii="Arial" w:cs="Arial" w:eastAsia="Arial" w:hAnsi="Arial"/>
                <w:sz w:val="18"/>
                <w:szCs w:val="18"/>
                <w:color w:val="auto"/>
              </w:rPr>
              <w:t>214</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3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Comprehensive income attributable to noncontrolling</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interests</w:t>
            </w: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4360" w:type="dxa"/>
            <w:vAlign w:val="bottom"/>
          </w:tcPr>
          <w:p>
            <w:pPr>
              <w:ind w:left="40"/>
              <w:spacing w:after="0"/>
              <w:rPr>
                <w:sz w:val="20"/>
                <w:szCs w:val="20"/>
                <w:color w:val="auto"/>
              </w:rPr>
            </w:pPr>
            <w:r>
              <w:rPr>
                <w:rFonts w:ascii="Arial" w:cs="Arial" w:eastAsia="Arial" w:hAnsi="Arial"/>
                <w:sz w:val="18"/>
                <w:szCs w:val="18"/>
                <w:b w:val="1"/>
                <w:bCs w:val="1"/>
                <w:color w:val="auto"/>
                <w:w w:val="91"/>
              </w:rPr>
              <w:t>Comprehensive income attributable to Crown Holdings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(230)</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COMBINING BALANCE SHEET</w:t>
      </w:r>
    </w:p>
    <w:p>
      <w:pPr>
        <w:spacing w:after="0" w:line="171" w:lineRule="exact"/>
        <w:rPr>
          <w:sz w:val="20"/>
          <w:szCs w:val="20"/>
          <w:color w:val="auto"/>
        </w:rPr>
      </w:pPr>
    </w:p>
    <w:p>
      <w:pPr>
        <w:ind w:left="4900"/>
        <w:spacing w:after="0"/>
        <w:rPr>
          <w:sz w:val="20"/>
          <w:szCs w:val="20"/>
          <w:color w:val="auto"/>
        </w:rPr>
      </w:pPr>
      <w:r>
        <w:rPr>
          <w:rFonts w:ascii="Arial" w:cs="Arial" w:eastAsia="Arial" w:hAnsi="Arial"/>
          <w:sz w:val="18"/>
          <w:szCs w:val="18"/>
          <w:b w:val="1"/>
          <w:bCs w:val="1"/>
          <w:color w:val="auto"/>
        </w:rPr>
        <w:t>As of March 31,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260" w:type="dxa"/>
            <w:vAlign w:val="bottom"/>
          </w:tcPr>
          <w:p>
            <w:pPr>
              <w:spacing w:after="0"/>
              <w:rPr>
                <w:sz w:val="14"/>
                <w:szCs w:val="14"/>
                <w:color w:val="auto"/>
              </w:rPr>
            </w:pPr>
          </w:p>
        </w:tc>
        <w:tc>
          <w:tcPr>
            <w:tcW w:w="10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1,488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1,686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565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1,851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818</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3,217</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4,024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Intercompany debt receivables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3,004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3,368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3,647</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1,394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4,418</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701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3,032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3,734</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lease right-of-use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597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3,649</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5,809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11,489</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(14,192)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15,357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4"/>
        </w:trPr>
        <w:tc>
          <w:tcPr>
            <w:tcW w:w="40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Short-term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portion of 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630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1,593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2,223</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695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Intercompany payables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3,342</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3,372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4,438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8,814</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2,507</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3,057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(6,384)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portion of operating lease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Postretirement and pension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543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Crown Holdings shareholders’ equity/(deficit)</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1,134</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00" w:type="dxa"/>
            <w:vAlign w:val="bottom"/>
          </w:tcPr>
          <w:p>
            <w:pPr>
              <w:jc w:val="right"/>
              <w:ind w:right="31"/>
              <w:spacing w:after="0"/>
              <w:rPr>
                <w:sz w:val="20"/>
                <w:szCs w:val="20"/>
                <w:color w:val="auto"/>
              </w:rPr>
            </w:pPr>
            <w:r>
              <w:rPr>
                <w:rFonts w:ascii="Arial" w:cs="Arial" w:eastAsia="Arial" w:hAnsi="Arial"/>
                <w:sz w:val="18"/>
                <w:szCs w:val="18"/>
                <w:color w:val="auto"/>
              </w:rPr>
              <w:t>1,628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2,947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3,186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(7,761)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1,134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equity/(deficit)</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1,628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2,947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3,554</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(7,761)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1,502</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3,649</w:t>
            </w:r>
          </w:p>
        </w:tc>
        <w:tc>
          <w:tcPr>
            <w:tcW w:w="12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5,809</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8,602</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11,489</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(14,192)</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15,357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420"/>
          </w:cols>
          <w:pgMar w:left="240" w:top="121" w:right="2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800"/>
        <w:spacing w:after="0"/>
        <w:rPr>
          <w:sz w:val="20"/>
          <w:szCs w:val="20"/>
          <w:color w:val="auto"/>
        </w:rPr>
      </w:pPr>
      <w:r>
        <w:rPr>
          <w:rFonts w:ascii="Arial" w:cs="Arial" w:eastAsia="Arial" w:hAnsi="Arial"/>
          <w:sz w:val="18"/>
          <w:szCs w:val="18"/>
          <w:b w:val="1"/>
          <w:bCs w:val="1"/>
          <w:color w:val="auto"/>
        </w:rPr>
        <w:t>CONDENSED COMBINING BALANCE SHEET</w:t>
      </w:r>
    </w:p>
    <w:p>
      <w:pPr>
        <w:spacing w:after="0" w:line="171" w:lineRule="exact"/>
        <w:rPr>
          <w:sz w:val="20"/>
          <w:szCs w:val="20"/>
          <w:color w:val="auto"/>
        </w:rPr>
      </w:pPr>
    </w:p>
    <w:p>
      <w:pPr>
        <w:ind w:left="4760"/>
        <w:spacing w:after="0"/>
        <w:rPr>
          <w:sz w:val="20"/>
          <w:szCs w:val="20"/>
          <w:color w:val="auto"/>
        </w:rPr>
      </w:pPr>
      <w:r>
        <w:rPr>
          <w:rFonts w:ascii="Arial" w:cs="Arial" w:eastAsia="Arial" w:hAnsi="Arial"/>
          <w:sz w:val="18"/>
          <w:szCs w:val="18"/>
          <w:b w:val="1"/>
          <w:bCs w:val="1"/>
          <w:color w:val="auto"/>
        </w:rPr>
        <w:t>As of December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1"/>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1"/>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5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9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Current assets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Receivables,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182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1,416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1,602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Intercompany receivables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485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1,205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1,690</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b w:val="1"/>
                <w:bCs w:val="1"/>
                <w:color w:val="auto"/>
              </w:rPr>
              <w:t>Total current assets</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3,266</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4,079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318"/>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Intercompany debt receivables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2,577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3,449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2,657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1,248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1,178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3,264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4,442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901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2,193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693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3,051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3,745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non-current assets</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582</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803</w:t>
            </w:r>
          </w:p>
        </w:tc>
        <w:tc>
          <w:tcPr>
            <w:tcW w:w="0" w:type="dxa"/>
            <w:vAlign w:val="bottom"/>
          </w:tcPr>
          <w:p>
            <w:pPr>
              <w:spacing w:after="0"/>
              <w:rPr>
                <w:sz w:val="1"/>
                <w:szCs w:val="1"/>
                <w:color w:val="auto"/>
              </w:rPr>
            </w:pPr>
          </w:p>
        </w:tc>
      </w:tr>
      <w:tr>
        <w:trPr>
          <w:trHeight w:val="237"/>
        </w:trPr>
        <w:tc>
          <w:tcPr>
            <w:tcW w:w="4000" w:type="dxa"/>
            <w:vAlign w:val="bottom"/>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3,459</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5,386</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8,397</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11,467</w:t>
            </w:r>
          </w:p>
        </w:tc>
        <w:tc>
          <w:tcPr>
            <w:tcW w:w="100" w:type="dxa"/>
            <w:vAlign w:val="bottom"/>
          </w:tcPr>
          <w:p>
            <w:pPr>
              <w:spacing w:after="0"/>
              <w:rPr>
                <w:sz w:val="20"/>
                <w:szCs w:val="20"/>
                <w:color w:val="auto"/>
              </w:rPr>
            </w:pP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(13,447)</w:t>
            </w:r>
          </w:p>
        </w:tc>
        <w:tc>
          <w:tcPr>
            <w:tcW w:w="10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67"/>
        </w:trPr>
        <w:tc>
          <w:tcPr>
            <w:tcW w:w="4000" w:type="dxa"/>
            <w:vAlign w:val="bottom"/>
            <w:tcBorders>
              <w:bottom w:val="single" w:sz="8" w:color="CCEEFF"/>
            </w:tcBorders>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2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94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305"/>
        </w:trPr>
        <w:tc>
          <w:tcPr>
            <w:tcW w:w="40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9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Liabilities and equity</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Current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Short-term debt</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2,732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liabilities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1,011</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Intercompany payables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 current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2,977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3,913</w:t>
            </w:r>
          </w:p>
        </w:tc>
        <w:tc>
          <w:tcPr>
            <w:tcW w:w="0" w:type="dxa"/>
            <w:vAlign w:val="bottom"/>
          </w:tcPr>
          <w:p>
            <w:pPr>
              <w:spacing w:after="0"/>
              <w:rPr>
                <w:sz w:val="1"/>
                <w:szCs w:val="1"/>
                <w:color w:val="auto"/>
              </w:rPr>
            </w:pPr>
          </w:p>
        </w:tc>
      </w:tr>
      <w:tr>
        <w:trPr>
          <w:trHeight w:val="318"/>
        </w:trPr>
        <w:tc>
          <w:tcPr>
            <w:tcW w:w="4000" w:type="dxa"/>
            <w:vAlign w:val="bottom"/>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92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9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94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 excluding current maturities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2,999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4,220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8,493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Long-term intercompany debt</w:t>
            </w:r>
          </w:p>
        </w:tc>
        <w:tc>
          <w:tcPr>
            <w:tcW w:w="260" w:type="dxa"/>
            <w:vAlign w:val="bottom"/>
          </w:tcPr>
          <w:p>
            <w:pPr>
              <w:spacing w:after="0"/>
              <w:rPr>
                <w:sz w:val="21"/>
                <w:szCs w:val="21"/>
                <w:color w:val="auto"/>
              </w:rPr>
            </w:pPr>
          </w:p>
        </w:tc>
        <w:tc>
          <w:tcPr>
            <w:tcW w:w="920" w:type="dxa"/>
            <w:vAlign w:val="bottom"/>
          </w:tcPr>
          <w:p>
            <w:pPr>
              <w:jc w:val="right"/>
              <w:ind w:right="32"/>
              <w:spacing w:after="0"/>
              <w:rPr>
                <w:sz w:val="20"/>
                <w:szCs w:val="20"/>
                <w:color w:val="auto"/>
              </w:rPr>
            </w:pPr>
            <w:r>
              <w:rPr>
                <w:rFonts w:ascii="Arial" w:cs="Arial" w:eastAsia="Arial" w:hAnsi="Arial"/>
                <w:sz w:val="18"/>
                <w:szCs w:val="18"/>
                <w:color w:val="auto"/>
              </w:rPr>
              <w:t>2,508</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746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2,700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(6,038)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Postretirement and pension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683</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Other non-current liabilities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332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887</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contingent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rPr>
              <w:t>Noncontrolling interests</w:t>
            </w:r>
          </w:p>
        </w:tc>
        <w:tc>
          <w:tcPr>
            <w:tcW w:w="2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Crown Holdings shareholders’ equity/(deficit)</w:t>
            </w:r>
          </w:p>
        </w:tc>
        <w:tc>
          <w:tcPr>
            <w:tcW w:w="2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937</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2,777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3,031</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(7,363)</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37"/>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Total equity/(deficit)</w:t>
            </w:r>
          </w:p>
        </w:tc>
        <w:tc>
          <w:tcPr>
            <w:tcW w:w="2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937</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1,555</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2,777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3,380</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(7,363)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1,286</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b w:val="1"/>
                <w:bCs w:val="1"/>
                <w:color w:val="auto"/>
              </w:rPr>
              <w:t>Total</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3,459</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5,386</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8,397</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11,467</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(13,447)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15,262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For the three months ended March 31,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8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vMerge w:val="restart"/>
          </w:tcPr>
          <w:p>
            <w:pPr>
              <w:jc w:val="right"/>
              <w:ind w:right="311"/>
              <w:spacing w:after="0"/>
              <w:rPr>
                <w:sz w:val="20"/>
                <w:szCs w:val="20"/>
                <w:color w:val="auto"/>
              </w:rPr>
            </w:pPr>
            <w:r>
              <w:rPr>
                <w:rFonts w:ascii="Arial" w:cs="Arial" w:eastAsia="Arial" w:hAnsi="Arial"/>
                <w:sz w:val="14"/>
                <w:szCs w:val="14"/>
                <w:b w:val="1"/>
                <w:bCs w:val="1"/>
                <w:color w:val="auto"/>
              </w:rPr>
              <w:t>Issuer</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vMerge w:val="restart"/>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ind w:lef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00" w:type="dxa"/>
            <w:vAlign w:val="bottom"/>
            <w:vMerge w:val="restart"/>
          </w:tcPr>
          <w:p>
            <w:pPr>
              <w:jc w:val="right"/>
              <w:ind w:right="93"/>
              <w:spacing w:after="0"/>
              <w:rPr>
                <w:sz w:val="20"/>
                <w:szCs w:val="20"/>
                <w:color w:val="auto"/>
              </w:rPr>
            </w:pPr>
            <w:r>
              <w:rPr>
                <w:rFonts w:ascii="Arial" w:cs="Arial" w:eastAsia="Arial" w:hAnsi="Arial"/>
                <w:sz w:val="14"/>
                <w:szCs w:val="14"/>
                <w:b w:val="1"/>
                <w:bCs w:val="1"/>
                <w:color w:val="auto"/>
                <w:w w:val="96"/>
              </w:rPr>
              <w:t>Eliminations</w:t>
            </w:r>
          </w:p>
        </w:tc>
        <w:tc>
          <w:tcPr>
            <w:tcW w:w="100" w:type="dxa"/>
            <w:vAlign w:val="bottom"/>
            <w:vMerge w:val="restart"/>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Borders>
              <w:bottom w:val="single" w:sz="8" w:color="CCEEFF"/>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32"/>
              <w:spacing w:after="0"/>
              <w:rPr>
                <w:sz w:val="20"/>
                <w:szCs w:val="20"/>
                <w:color w:val="auto"/>
              </w:rPr>
            </w:pPr>
            <w:r>
              <w:rPr>
                <w:rFonts w:ascii="Arial" w:cs="Arial" w:eastAsia="Arial" w:hAnsi="Arial"/>
                <w:sz w:val="14"/>
                <w:szCs w:val="14"/>
                <w:b w:val="1"/>
                <w:bCs w:val="1"/>
                <w:color w:val="auto"/>
                <w:w w:val="98"/>
              </w:rPr>
              <w:t>Guarantors</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9"/>
              </w:rPr>
              <w:t>Net cash provided by/(used for) operating activities</w:t>
            </w:r>
          </w:p>
        </w:tc>
        <w:tc>
          <w:tcPr>
            <w:tcW w:w="840" w:type="dxa"/>
            <w:vAlign w:val="bottom"/>
            <w:tcBorders>
              <w:bottom w:val="single" w:sz="8" w:color="CCEEFF"/>
            </w:tcBorders>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(473)</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4000" w:type="dxa"/>
            <w:vAlign w:val="bottom"/>
          </w:tcPr>
          <w:p>
            <w:pPr>
              <w:ind w:left="380"/>
              <w:spacing w:after="0"/>
              <w:rPr>
                <w:sz w:val="20"/>
                <w:szCs w:val="20"/>
                <w:color w:val="auto"/>
              </w:rPr>
            </w:pPr>
            <w:r>
              <w:rPr>
                <w:rFonts w:ascii="Arial" w:cs="Arial" w:eastAsia="Arial" w:hAnsi="Arial"/>
                <w:sz w:val="18"/>
                <w:szCs w:val="18"/>
                <w:color w:val="auto"/>
              </w:rPr>
              <w:t>Proceeds from sale of property, plant and</w:t>
            </w: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Arial" w:cs="Arial" w:eastAsia="Arial" w:hAnsi="Arial"/>
                <w:sz w:val="18"/>
                <w:szCs w:val="18"/>
                <w:color w:val="auto"/>
              </w:rPr>
              <w:t>equipment</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investment hedge</w:t>
            </w:r>
          </w:p>
        </w:tc>
        <w:tc>
          <w:tcPr>
            <w:tcW w:w="84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5"/>
        </w:trPr>
        <w:tc>
          <w:tcPr>
            <w:tcW w:w="4000" w:type="dxa"/>
            <w:vAlign w:val="bottom"/>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investing</w:t>
            </w:r>
          </w:p>
        </w:tc>
        <w:tc>
          <w:tcPr>
            <w:tcW w:w="84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380"/>
              <w:spacing w:after="0"/>
              <w:rPr>
                <w:sz w:val="20"/>
                <w:szCs w:val="20"/>
                <w:color w:val="auto"/>
              </w:rPr>
            </w:pPr>
            <w:r>
              <w:rPr>
                <w:rFonts w:ascii="Arial" w:cs="Arial" w:eastAsia="Arial" w:hAnsi="Arial"/>
                <w:sz w:val="18"/>
                <w:szCs w:val="18"/>
                <w:b w:val="1"/>
                <w:bCs w:val="1"/>
                <w:color w:val="auto"/>
              </w:rPr>
              <w:t>activities</w:t>
            </w:r>
          </w:p>
        </w:tc>
        <w:tc>
          <w:tcPr>
            <w:tcW w:w="840" w:type="dxa"/>
            <w:vAlign w:val="bottom"/>
          </w:tcPr>
          <w:p>
            <w:pPr>
              <w:spacing w:after="0"/>
              <w:rPr>
                <w:sz w:val="20"/>
                <w:szCs w:val="20"/>
                <w:color w:val="auto"/>
              </w:rPr>
            </w:pP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Payments of long-term debt</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5"/>
              </w:rPr>
              <w:t>Net change in revolving credit facility and short-</w:t>
            </w:r>
          </w:p>
        </w:tc>
        <w:tc>
          <w:tcPr>
            <w:tcW w:w="84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term debt</w:t>
            </w:r>
          </w:p>
        </w:tc>
        <w:tc>
          <w:tcPr>
            <w:tcW w:w="84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w w:val="94"/>
              </w:rPr>
              <w:t>Net change in long-term intercompany balances</w:t>
            </w:r>
          </w:p>
        </w:tc>
        <w:tc>
          <w:tcPr>
            <w:tcW w:w="84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438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finance leases</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Common stock issued</w:t>
            </w:r>
          </w:p>
        </w:tc>
        <w:tc>
          <w:tcPr>
            <w:tcW w:w="840" w:type="dxa"/>
            <w:vAlign w:val="bottom"/>
          </w:tcPr>
          <w:p>
            <w:pPr>
              <w:spacing w:after="0"/>
              <w:rPr>
                <w:sz w:val="21"/>
                <w:szCs w:val="21"/>
                <w:color w:val="auto"/>
              </w:rPr>
            </w:pPr>
          </w:p>
        </w:tc>
        <w:tc>
          <w:tcPr>
            <w:tcW w:w="340" w:type="dxa"/>
            <w:vAlign w:val="bottom"/>
          </w:tcPr>
          <w:p>
            <w:pPr>
              <w:jc w:val="right"/>
              <w:ind w:right="30"/>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Dividends paid</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Dividends paid to noncontrolling interests</w:t>
            </w:r>
          </w:p>
        </w:tc>
        <w:tc>
          <w:tcPr>
            <w:tcW w:w="8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financing</w:t>
            </w:r>
          </w:p>
        </w:tc>
        <w:tc>
          <w:tcPr>
            <w:tcW w:w="8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activities</w:t>
            </w:r>
          </w:p>
        </w:tc>
        <w:tc>
          <w:tcPr>
            <w:tcW w:w="84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155</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417</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84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equivalents and restricted cash</w:t>
            </w:r>
          </w:p>
        </w:tc>
        <w:tc>
          <w:tcPr>
            <w:tcW w:w="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Net change in cash, cash equivalents and restricted</w:t>
            </w:r>
          </w:p>
        </w:tc>
        <w:tc>
          <w:tcPr>
            <w:tcW w:w="8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84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w w:val="88"/>
              </w:rPr>
              <w:t>Cash, cash equivalents and restricted cash at January 1</w:t>
            </w:r>
          </w:p>
        </w:tc>
        <w:tc>
          <w:tcPr>
            <w:tcW w:w="8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659</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Cash, cash equivalents and restricted cash at</w:t>
            </w:r>
          </w:p>
        </w:tc>
        <w:tc>
          <w:tcPr>
            <w:tcW w:w="840" w:type="dxa"/>
            <w:vAlign w:val="bottom"/>
            <w:vMerge w:val="restart"/>
            <w:shd w:val="clear" w:color="auto" w:fill="CCEEFF"/>
          </w:tcPr>
          <w:p>
            <w:pPr>
              <w:jc w:val="right"/>
              <w:ind w:right="636"/>
              <w:spacing w:after="0"/>
              <w:rPr>
                <w:sz w:val="20"/>
                <w:szCs w:val="20"/>
                <w:color w:val="auto"/>
              </w:rPr>
            </w:pPr>
            <w:r>
              <w:rPr>
                <w:rFonts w:ascii="Arial" w:cs="Arial" w:eastAsia="Arial" w:hAnsi="Arial"/>
                <w:sz w:val="18"/>
                <w:szCs w:val="18"/>
                <w:color w:val="auto"/>
                <w:w w:val="99"/>
              </w:rPr>
              <w:t>$</w:t>
            </w:r>
          </w:p>
        </w:tc>
        <w:tc>
          <w:tcPr>
            <w:tcW w:w="46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315</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348</w:t>
            </w:r>
          </w:p>
        </w:tc>
        <w:tc>
          <w:tcPr>
            <w:tcW w:w="0" w:type="dxa"/>
            <w:vAlign w:val="bottom"/>
          </w:tcPr>
          <w:p>
            <w:pPr>
              <w:spacing w:after="0"/>
              <w:rPr>
                <w:sz w:val="1"/>
                <w:szCs w:val="1"/>
                <w:color w:val="auto"/>
              </w:rPr>
            </w:pPr>
          </w:p>
        </w:tc>
      </w:tr>
      <w:tr>
        <w:trPr>
          <w:trHeight w:val="241"/>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March 31</w:t>
            </w:r>
          </w:p>
        </w:tc>
        <w:tc>
          <w:tcPr>
            <w:tcW w:w="840" w:type="dxa"/>
            <w:vAlign w:val="bottom"/>
            <w:vMerge w:val="continue"/>
            <w:shd w:val="clear" w:color="auto" w:fill="CCEEFF"/>
          </w:tcPr>
          <w:p>
            <w:pPr>
              <w:spacing w:after="0"/>
              <w:rPr>
                <w:sz w:val="20"/>
                <w:szCs w:val="20"/>
                <w:color w:val="auto"/>
              </w:rPr>
            </w:pPr>
          </w:p>
        </w:tc>
        <w:tc>
          <w:tcPr>
            <w:tcW w:w="46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3240"/>
        <w:spacing w:after="0"/>
        <w:rPr>
          <w:sz w:val="20"/>
          <w:szCs w:val="20"/>
          <w:color w:val="auto"/>
        </w:rPr>
      </w:pPr>
      <w:r>
        <w:rPr>
          <w:rFonts w:ascii="Arial" w:cs="Arial" w:eastAsia="Arial" w:hAnsi="Arial"/>
          <w:sz w:val="18"/>
          <w:szCs w:val="18"/>
          <w:b w:val="1"/>
          <w:bCs w:val="1"/>
          <w:color w:val="auto"/>
        </w:rPr>
        <w:t>CONDENSED COMBINING STATEMENT OF CASH FLOWS</w:t>
      </w:r>
    </w:p>
    <w:p>
      <w:pPr>
        <w:spacing w:after="0" w:line="171" w:lineRule="exact"/>
        <w:rPr>
          <w:sz w:val="20"/>
          <w:szCs w:val="20"/>
          <w:color w:val="auto"/>
        </w:rPr>
      </w:pPr>
    </w:p>
    <w:p>
      <w:pPr>
        <w:ind w:left="4040"/>
        <w:spacing w:after="0"/>
        <w:rPr>
          <w:sz w:val="20"/>
          <w:szCs w:val="20"/>
          <w:color w:val="auto"/>
        </w:rPr>
      </w:pPr>
      <w:r>
        <w:rPr>
          <w:rFonts w:ascii="Arial" w:cs="Arial" w:eastAsia="Arial" w:hAnsi="Arial"/>
          <w:sz w:val="18"/>
          <w:szCs w:val="18"/>
          <w:b w:val="1"/>
          <w:bCs w:val="1"/>
          <w:color w:val="auto"/>
        </w:rPr>
        <w:t>For the three months ended March 31, 2018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Issuer</w:t>
            </w:r>
          </w:p>
        </w:tc>
        <w:tc>
          <w:tcPr>
            <w:tcW w:w="160" w:type="dxa"/>
            <w:vAlign w:val="bottom"/>
          </w:tcPr>
          <w:p>
            <w:pPr>
              <w:spacing w:after="0"/>
              <w:rPr>
                <w:sz w:val="14"/>
                <w:szCs w:val="14"/>
                <w:color w:val="auto"/>
              </w:rPr>
            </w:pPr>
          </w:p>
        </w:tc>
        <w:tc>
          <w:tcPr>
            <w:tcW w:w="10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Guarantors</w:t>
            </w: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Non-</w:t>
            </w:r>
          </w:p>
        </w:tc>
        <w:tc>
          <w:tcPr>
            <w:tcW w:w="140" w:type="dxa"/>
            <w:vAlign w:val="bottom"/>
          </w:tcPr>
          <w:p>
            <w:pPr>
              <w:spacing w:after="0"/>
              <w:rPr>
                <w:sz w:val="14"/>
                <w:szCs w:val="14"/>
                <w:color w:val="auto"/>
              </w:rPr>
            </w:pPr>
          </w:p>
        </w:tc>
        <w:tc>
          <w:tcPr>
            <w:tcW w:w="11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14"/>
                <w:szCs w:val="14"/>
                <w:color w:val="auto"/>
              </w:rPr>
            </w:pPr>
          </w:p>
        </w:tc>
        <w:tc>
          <w:tcPr>
            <w:tcW w:w="940" w:type="dxa"/>
            <w:vAlign w:val="bottom"/>
          </w:tcPr>
          <w:p>
            <w:pPr>
              <w:jc w:val="right"/>
              <w:ind w:right="312"/>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92"/>
        </w:trPr>
        <w:tc>
          <w:tcPr>
            <w:tcW w:w="400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Guarantors</w:t>
            </w:r>
          </w:p>
        </w:tc>
        <w:tc>
          <w:tcPr>
            <w:tcW w:w="14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172"/>
              <w:spacing w:after="0"/>
              <w:rPr>
                <w:sz w:val="20"/>
                <w:szCs w:val="20"/>
                <w:color w:val="auto"/>
              </w:rPr>
            </w:pPr>
            <w:r>
              <w:rPr>
                <w:rFonts w:ascii="Arial" w:cs="Arial" w:eastAsia="Arial" w:hAnsi="Arial"/>
                <w:sz w:val="14"/>
                <w:szCs w:val="14"/>
                <w:b w:val="1"/>
                <w:bCs w:val="1"/>
                <w:color w:val="auto"/>
              </w:rPr>
              <w:t>Company</w:t>
            </w:r>
          </w:p>
        </w:tc>
        <w:tc>
          <w:tcPr>
            <w:tcW w:w="0" w:type="dxa"/>
            <w:vAlign w:val="bottom"/>
          </w:tcPr>
          <w:p>
            <w:pPr>
              <w:spacing w:after="0"/>
              <w:rPr>
                <w:sz w:val="1"/>
                <w:szCs w:val="1"/>
                <w:color w:val="auto"/>
              </w:rPr>
            </w:pPr>
          </w:p>
        </w:tc>
      </w:tr>
      <w:tr>
        <w:trPr>
          <w:trHeight w:val="270"/>
        </w:trPr>
        <w:tc>
          <w:tcPr>
            <w:tcW w:w="40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w w:val="89"/>
              </w:rPr>
              <w:t>Net cash provided by/(used for) operating activities</w:t>
            </w:r>
          </w:p>
        </w:tc>
        <w:tc>
          <w:tcPr>
            <w:tcW w:w="800" w:type="dxa"/>
            <w:vAlign w:val="bottom"/>
            <w:tcBorders>
              <w:top w:val="single" w:sz="8" w:color="auto"/>
              <w:bottom w:val="single" w:sz="8" w:color="CCEEFF"/>
            </w:tcBorders>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3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(22)</w:t>
            </w:r>
          </w:p>
        </w:tc>
        <w:tc>
          <w:tcPr>
            <w:tcW w:w="120" w:type="dxa"/>
            <w:vAlign w:val="bottom"/>
            <w:tcBorders>
              <w:top w:val="single" w:sz="8" w:color="CCEEFF"/>
              <w:bottom w:val="single" w:sz="8" w:color="CCEEFF"/>
            </w:tcBorders>
            <w:shd w:val="clear" w:color="auto" w:fill="CCEEFF"/>
          </w:tcPr>
          <w:p>
            <w:pPr>
              <w:spacing w:after="0"/>
              <w:rPr>
                <w:sz w:val="23"/>
                <w:szCs w:val="23"/>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140" w:type="dxa"/>
            <w:vAlign w:val="bottom"/>
            <w:tcBorders>
              <w:top w:val="single" w:sz="8" w:color="auto"/>
              <w:bottom w:val="single" w:sz="8" w:color="CCEEFF"/>
            </w:tcBorders>
            <w:shd w:val="clear" w:color="auto" w:fill="CCEEFF"/>
          </w:tcPr>
          <w:p>
            <w:pPr>
              <w:spacing w:after="0"/>
              <w:rPr>
                <w:sz w:val="23"/>
                <w:szCs w:val="23"/>
                <w:color w:val="auto"/>
              </w:rPr>
            </w:pPr>
          </w:p>
        </w:tc>
        <w:tc>
          <w:tcPr>
            <w:tcW w:w="1000" w:type="dxa"/>
            <w:vAlign w:val="bottom"/>
            <w:tcBorders>
              <w:top w:val="single" w:sz="8" w:color="auto"/>
              <w:bottom w:val="single" w:sz="8" w:color="CCEEFF"/>
            </w:tcBorders>
            <w:shd w:val="clear" w:color="auto" w:fill="CCEEFF"/>
          </w:tcPr>
          <w:p>
            <w:pPr>
              <w:spacing w:after="0"/>
              <w:rPr>
                <w:sz w:val="23"/>
                <w:szCs w:val="23"/>
                <w:color w:val="auto"/>
              </w:rPr>
            </w:pPr>
          </w:p>
        </w:tc>
        <w:tc>
          <w:tcPr>
            <w:tcW w:w="100" w:type="dxa"/>
            <w:vAlign w:val="bottom"/>
            <w:tcBorders>
              <w:top w:val="single" w:sz="8" w:color="CCEEFF"/>
              <w:bottom w:val="single" w:sz="8" w:color="CCEEFF"/>
            </w:tcBorders>
            <w:shd w:val="clear" w:color="auto" w:fill="CCEEFF"/>
          </w:tcPr>
          <w:p>
            <w:pPr>
              <w:spacing w:after="0"/>
              <w:rPr>
                <w:sz w:val="23"/>
                <w:szCs w:val="23"/>
                <w:color w:val="auto"/>
              </w:rPr>
            </w:pPr>
          </w:p>
        </w:tc>
        <w:tc>
          <w:tcPr>
            <w:tcW w:w="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(751)</w:t>
            </w:r>
          </w:p>
        </w:tc>
        <w:tc>
          <w:tcPr>
            <w:tcW w:w="0" w:type="dxa"/>
            <w:vAlign w:val="bottom"/>
          </w:tcPr>
          <w:p>
            <w:pPr>
              <w:spacing w:after="0"/>
              <w:rPr>
                <w:sz w:val="1"/>
                <w:szCs w:val="1"/>
                <w:color w:val="auto"/>
              </w:rPr>
            </w:pPr>
          </w:p>
        </w:tc>
      </w:tr>
      <w:tr>
        <w:trPr>
          <w:trHeight w:val="223"/>
        </w:trPr>
        <w:tc>
          <w:tcPr>
            <w:tcW w:w="4000" w:type="dxa"/>
            <w:vAlign w:val="bottom"/>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800" w:type="dxa"/>
            <w:vAlign w:val="bottom"/>
            <w:tcBorders>
              <w:top w:val="single" w:sz="8" w:color="auto"/>
            </w:tcBorders>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4000" w:type="dxa"/>
            <w:vAlign w:val="bottom"/>
          </w:tcPr>
          <w:p>
            <w:pPr>
              <w:spacing w:after="0"/>
              <w:rPr>
                <w:sz w:val="3"/>
                <w:szCs w:val="3"/>
                <w:color w:val="auto"/>
              </w:rPr>
            </w:pPr>
          </w:p>
        </w:tc>
        <w:tc>
          <w:tcPr>
            <w:tcW w:w="8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Capital expenditures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Beneficial interests in transferred receivables</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000" w:type="dxa"/>
            <w:vAlign w:val="bottom"/>
            <w:shd w:val="clear" w:color="auto" w:fill="CCEEFF"/>
          </w:tcPr>
          <w:p>
            <w:pPr>
              <w:ind w:left="380"/>
              <w:spacing w:after="0"/>
              <w:rPr>
                <w:sz w:val="20"/>
                <w:szCs w:val="20"/>
                <w:color w:val="auto"/>
              </w:rPr>
            </w:pPr>
            <w:r>
              <w:rPr>
                <w:rFonts w:ascii="Arial" w:cs="Arial" w:eastAsia="Arial" w:hAnsi="Arial"/>
                <w:sz w:val="18"/>
                <w:szCs w:val="18"/>
                <w:color w:val="auto"/>
              </w:rPr>
              <w:t>Foreign exchange derivatives related to</w:t>
            </w:r>
          </w:p>
        </w:tc>
        <w:tc>
          <w:tcPr>
            <w:tcW w:w="8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7"/>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acquisitions</w:t>
            </w:r>
          </w:p>
        </w:tc>
        <w:tc>
          <w:tcPr>
            <w:tcW w:w="8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5"/>
        </w:trPr>
        <w:tc>
          <w:tcPr>
            <w:tcW w:w="4000" w:type="dxa"/>
            <w:vAlign w:val="bottom"/>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investing</w:t>
            </w:r>
          </w:p>
        </w:tc>
        <w:tc>
          <w:tcPr>
            <w:tcW w:w="800" w:type="dxa"/>
            <w:vAlign w:val="bottom"/>
            <w:tcBorders>
              <w:top w:val="single" w:sz="8" w:color="auto"/>
            </w:tcBorders>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000" w:type="dxa"/>
            <w:vAlign w:val="bottom"/>
          </w:tcPr>
          <w:p>
            <w:pPr>
              <w:ind w:left="380"/>
              <w:spacing w:after="0"/>
              <w:rPr>
                <w:sz w:val="20"/>
                <w:szCs w:val="20"/>
                <w:color w:val="auto"/>
              </w:rPr>
            </w:pPr>
            <w:r>
              <w:rPr>
                <w:rFonts w:ascii="Arial" w:cs="Arial" w:eastAsia="Arial" w:hAnsi="Arial"/>
                <w:sz w:val="18"/>
                <w:szCs w:val="18"/>
                <w:b w:val="1"/>
                <w:bCs w:val="1"/>
                <w:color w:val="auto"/>
              </w:rPr>
              <w:t>activities</w:t>
            </w:r>
          </w:p>
        </w:tc>
        <w:tc>
          <w:tcPr>
            <w:tcW w:w="800" w:type="dxa"/>
            <w:vAlign w:val="bottom"/>
          </w:tcPr>
          <w:p>
            <w:pPr>
              <w:spacing w:after="0"/>
              <w:rPr>
                <w:sz w:val="20"/>
                <w:szCs w:val="20"/>
                <w:color w:val="auto"/>
              </w:rPr>
            </w:pPr>
          </w:p>
        </w:tc>
        <w:tc>
          <w:tcPr>
            <w:tcW w:w="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10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Proceeds from long-term debt</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875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1,037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1,912</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Payments of long-term debt</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000" w:type="dxa"/>
            <w:vAlign w:val="bottom"/>
          </w:tcPr>
          <w:p>
            <w:pPr>
              <w:ind w:left="380"/>
              <w:spacing w:after="0"/>
              <w:rPr>
                <w:sz w:val="20"/>
                <w:szCs w:val="20"/>
                <w:color w:val="auto"/>
              </w:rPr>
            </w:pPr>
            <w:r>
              <w:rPr>
                <w:rFonts w:ascii="Arial" w:cs="Arial" w:eastAsia="Arial" w:hAnsi="Arial"/>
                <w:sz w:val="18"/>
                <w:szCs w:val="18"/>
                <w:color w:val="auto"/>
                <w:w w:val="95"/>
              </w:rPr>
              <w:t>Net change in revolving credit facility and short-</w:t>
            </w:r>
          </w:p>
        </w:tc>
        <w:tc>
          <w:tcPr>
            <w:tcW w:w="8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80"/>
              <w:spacing w:after="0"/>
              <w:rPr>
                <w:sz w:val="20"/>
                <w:szCs w:val="20"/>
                <w:color w:val="auto"/>
              </w:rPr>
            </w:pPr>
            <w:r>
              <w:rPr>
                <w:rFonts w:ascii="Arial" w:cs="Arial" w:eastAsia="Arial" w:hAnsi="Arial"/>
                <w:sz w:val="18"/>
                <w:szCs w:val="18"/>
                <w:color w:val="auto"/>
              </w:rPr>
              <w:t>term debt</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160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576</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4"/>
              </w:rPr>
              <w:t>Net change in long-term intercompany balances</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Debt issue costs</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8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repurchased</w:t>
            </w:r>
          </w:p>
        </w:tc>
        <w:tc>
          <w:tcPr>
            <w:tcW w:w="8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Foreign exchange derivatives related to debt</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380"/>
              <w:spacing w:after="0" w:line="205" w:lineRule="exact"/>
              <w:rPr>
                <w:sz w:val="20"/>
                <w:szCs w:val="20"/>
                <w:color w:val="auto"/>
              </w:rPr>
            </w:pPr>
            <w:r>
              <w:rPr>
                <w:rFonts w:ascii="Arial" w:cs="Arial" w:eastAsia="Arial" w:hAnsi="Arial"/>
                <w:sz w:val="18"/>
                <w:szCs w:val="18"/>
                <w:b w:val="1"/>
                <w:bCs w:val="1"/>
                <w:color w:val="auto"/>
              </w:rPr>
              <w:t>Net cash provided by/(used for) financing</w:t>
            </w:r>
          </w:p>
        </w:tc>
        <w:tc>
          <w:tcPr>
            <w:tcW w:w="8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1"/>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b w:val="1"/>
                <w:bCs w:val="1"/>
                <w:color w:val="auto"/>
              </w:rPr>
              <w:t>activities</w:t>
            </w:r>
          </w:p>
        </w:tc>
        <w:tc>
          <w:tcPr>
            <w:tcW w:w="80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669</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1,690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2,455</w:t>
            </w:r>
          </w:p>
        </w:tc>
        <w:tc>
          <w:tcPr>
            <w:tcW w:w="0" w:type="dxa"/>
            <w:vAlign w:val="bottom"/>
          </w:tcPr>
          <w:p>
            <w:pPr>
              <w:spacing w:after="0"/>
              <w:rPr>
                <w:sz w:val="1"/>
                <w:szCs w:val="1"/>
                <w:color w:val="auto"/>
              </w:rPr>
            </w:pPr>
          </w:p>
        </w:tc>
      </w:tr>
      <w:tr>
        <w:trPr>
          <w:trHeight w:val="209"/>
        </w:trPr>
        <w:tc>
          <w:tcPr>
            <w:tcW w:w="4000" w:type="dxa"/>
            <w:vAlign w:val="bottom"/>
          </w:tcPr>
          <w:p>
            <w:pPr>
              <w:ind w:left="40"/>
              <w:spacing w:after="0"/>
              <w:rPr>
                <w:sz w:val="20"/>
                <w:szCs w:val="20"/>
                <w:color w:val="auto"/>
              </w:rPr>
            </w:pPr>
            <w:r>
              <w:rPr>
                <w:rFonts w:ascii="Arial" w:cs="Arial" w:eastAsia="Arial" w:hAnsi="Arial"/>
                <w:sz w:val="18"/>
                <w:szCs w:val="18"/>
                <w:color w:val="auto"/>
              </w:rPr>
              <w:t>Effect of exchange rate changes on cash, cash</w:t>
            </w:r>
          </w:p>
        </w:tc>
        <w:tc>
          <w:tcPr>
            <w:tcW w:w="8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00" w:type="dxa"/>
            <w:vAlign w:val="bottom"/>
          </w:tcPr>
          <w:p>
            <w:pPr>
              <w:ind w:left="360"/>
              <w:spacing w:after="0"/>
              <w:rPr>
                <w:sz w:val="20"/>
                <w:szCs w:val="20"/>
                <w:color w:val="auto"/>
              </w:rPr>
            </w:pPr>
            <w:r>
              <w:rPr>
                <w:rFonts w:ascii="Arial" w:cs="Arial" w:eastAsia="Arial" w:hAnsi="Arial"/>
                <w:sz w:val="18"/>
                <w:szCs w:val="18"/>
                <w:color w:val="auto"/>
              </w:rPr>
              <w:t>equivalents and restricted cash</w:t>
            </w:r>
          </w:p>
        </w:tc>
        <w:tc>
          <w:tcPr>
            <w:tcW w:w="8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Net change in cash, cash equivalents and restricted</w:t>
            </w: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w:t>
            </w:r>
          </w:p>
        </w:tc>
        <w:tc>
          <w:tcPr>
            <w:tcW w:w="8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640</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1,137</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1,776</w:t>
            </w:r>
          </w:p>
        </w:tc>
        <w:tc>
          <w:tcPr>
            <w:tcW w:w="0" w:type="dxa"/>
            <w:vAlign w:val="bottom"/>
          </w:tcPr>
          <w:p>
            <w:pPr>
              <w:spacing w:after="0"/>
              <w:rPr>
                <w:sz w:val="1"/>
                <w:szCs w:val="1"/>
                <w:color w:val="auto"/>
              </w:rPr>
            </w:pPr>
          </w:p>
        </w:tc>
      </w:tr>
      <w:tr>
        <w:trPr>
          <w:trHeight w:val="243"/>
        </w:trPr>
        <w:tc>
          <w:tcPr>
            <w:tcW w:w="4000" w:type="dxa"/>
            <w:vAlign w:val="bottom"/>
          </w:tcPr>
          <w:p>
            <w:pPr>
              <w:ind w:left="40"/>
              <w:spacing w:after="0"/>
              <w:rPr>
                <w:sz w:val="20"/>
                <w:szCs w:val="20"/>
                <w:color w:val="auto"/>
              </w:rPr>
            </w:pPr>
            <w:r>
              <w:rPr>
                <w:rFonts w:ascii="Arial" w:cs="Arial" w:eastAsia="Arial" w:hAnsi="Arial"/>
                <w:sz w:val="18"/>
                <w:szCs w:val="18"/>
                <w:color w:val="auto"/>
                <w:w w:val="88"/>
              </w:rPr>
              <w:t>Cash, cash equivalents and restricted cash at January 1</w:t>
            </w:r>
          </w:p>
        </w:tc>
        <w:tc>
          <w:tcPr>
            <w:tcW w:w="8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40" w:type="dxa"/>
            <w:vAlign w:val="bottom"/>
          </w:tcPr>
          <w:p>
            <w:pPr>
              <w:jc w:val="right"/>
              <w:ind w:right="3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435</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5"/>
        </w:trPr>
        <w:tc>
          <w:tcPr>
            <w:tcW w:w="4000" w:type="dxa"/>
            <w:vAlign w:val="bottom"/>
            <w:shd w:val="clear" w:color="auto" w:fill="CCEEFF"/>
          </w:tcPr>
          <w:p>
            <w:pPr>
              <w:ind w:left="40"/>
              <w:spacing w:after="0" w:line="205" w:lineRule="exact"/>
              <w:rPr>
                <w:sz w:val="20"/>
                <w:szCs w:val="20"/>
                <w:color w:val="auto"/>
              </w:rPr>
            </w:pPr>
            <w:r>
              <w:rPr>
                <w:rFonts w:ascii="Arial" w:cs="Arial" w:eastAsia="Arial" w:hAnsi="Arial"/>
                <w:sz w:val="18"/>
                <w:szCs w:val="18"/>
                <w:b w:val="1"/>
                <w:bCs w:val="1"/>
                <w:color w:val="auto"/>
              </w:rPr>
              <w:t>Cash, cash equivalents and restricted cash at</w:t>
            </w:r>
          </w:p>
        </w:tc>
        <w:tc>
          <w:tcPr>
            <w:tcW w:w="800" w:type="dxa"/>
            <w:vAlign w:val="bottom"/>
            <w:vMerge w:val="restart"/>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500" w:type="dxa"/>
            <w:vAlign w:val="bottom"/>
            <w:gridSpan w:val="2"/>
            <w:vMerge w:val="restart"/>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2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676</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7"/>
                <w:szCs w:val="17"/>
                <w:color w:val="auto"/>
              </w:rPr>
            </w:pPr>
          </w:p>
        </w:tc>
        <w:tc>
          <w:tcPr>
            <w:tcW w:w="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vMerge w:val="restart"/>
            <w:shd w:val="clear" w:color="auto" w:fill="CCEEFF"/>
          </w:tcPr>
          <w:p>
            <w:pPr>
              <w:jc w:val="right"/>
              <w:ind w:right="32"/>
              <w:spacing w:after="0"/>
              <w:rPr>
                <w:sz w:val="20"/>
                <w:szCs w:val="20"/>
                <w:color w:val="auto"/>
              </w:rPr>
            </w:pPr>
            <w:r>
              <w:rPr>
                <w:rFonts w:ascii="Arial" w:cs="Arial" w:eastAsia="Arial" w:hAnsi="Arial"/>
                <w:sz w:val="18"/>
                <w:szCs w:val="18"/>
                <w:color w:val="auto"/>
              </w:rPr>
              <w:t>1,533</w:t>
            </w:r>
          </w:p>
        </w:tc>
        <w:tc>
          <w:tcPr>
            <w:tcW w:w="100" w:type="dxa"/>
            <w:vAlign w:val="bottom"/>
            <w:shd w:val="clear" w:color="auto" w:fill="CCEEFF"/>
          </w:tcPr>
          <w:p>
            <w:pPr>
              <w:spacing w:after="0"/>
              <w:rPr>
                <w:sz w:val="17"/>
                <w:szCs w:val="17"/>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vMerge w:val="restart"/>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vMerge w:val="restart"/>
            <w:shd w:val="clear" w:color="auto" w:fill="CCEEFF"/>
          </w:tcPr>
          <w:p>
            <w:pPr>
              <w:jc w:val="right"/>
              <w:ind w:right="12"/>
              <w:spacing w:after="0"/>
              <w:rPr>
                <w:sz w:val="20"/>
                <w:szCs w:val="20"/>
                <w:color w:val="auto"/>
              </w:rPr>
            </w:pPr>
            <w:r>
              <w:rPr>
                <w:rFonts w:ascii="Arial" w:cs="Arial" w:eastAsia="Arial" w:hAnsi="Arial"/>
                <w:sz w:val="18"/>
                <w:szCs w:val="18"/>
                <w:color w:val="auto"/>
              </w:rPr>
              <w:t>2,211</w:t>
            </w:r>
          </w:p>
        </w:tc>
        <w:tc>
          <w:tcPr>
            <w:tcW w:w="0" w:type="dxa"/>
            <w:vAlign w:val="bottom"/>
          </w:tcPr>
          <w:p>
            <w:pPr>
              <w:spacing w:after="0"/>
              <w:rPr>
                <w:sz w:val="1"/>
                <w:szCs w:val="1"/>
                <w:color w:val="auto"/>
              </w:rPr>
            </w:pPr>
          </w:p>
        </w:tc>
      </w:tr>
      <w:tr>
        <w:trPr>
          <w:trHeight w:val="241"/>
        </w:trPr>
        <w:tc>
          <w:tcPr>
            <w:tcW w:w="4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March 31</w:t>
            </w:r>
          </w:p>
        </w:tc>
        <w:tc>
          <w:tcPr>
            <w:tcW w:w="800" w:type="dxa"/>
            <w:vAlign w:val="bottom"/>
            <w:vMerge w:val="continue"/>
            <w:shd w:val="clear" w:color="auto" w:fill="CCEEFF"/>
          </w:tcPr>
          <w:p>
            <w:pPr>
              <w:spacing w:after="0"/>
              <w:rPr>
                <w:sz w:val="20"/>
                <w:szCs w:val="20"/>
                <w:color w:val="auto"/>
              </w:rPr>
            </w:pPr>
          </w:p>
        </w:tc>
        <w:tc>
          <w:tcPr>
            <w:tcW w:w="500" w:type="dxa"/>
            <w:vAlign w:val="bottom"/>
            <w:gridSpan w:val="2"/>
            <w:vMerge w:val="continue"/>
            <w:shd w:val="clear" w:color="auto" w:fill="CCEEFF"/>
          </w:tcPr>
          <w:p>
            <w:pPr>
              <w:spacing w:after="0"/>
              <w:rPr>
                <w:sz w:val="20"/>
                <w:szCs w:val="20"/>
                <w:color w:val="auto"/>
              </w:rPr>
            </w:pPr>
          </w:p>
        </w:tc>
        <w:tc>
          <w:tcPr>
            <w:tcW w:w="22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vMerge w:val="continue"/>
            <w:shd w:val="clear" w:color="auto" w:fill="CCEEFF"/>
          </w:tcPr>
          <w:p>
            <w:pPr>
              <w:spacing w:after="0"/>
              <w:rPr>
                <w:sz w:val="20"/>
                <w:szCs w:val="20"/>
                <w:color w:val="auto"/>
              </w:rPr>
            </w:pPr>
          </w:p>
        </w:tc>
        <w:tc>
          <w:tcPr>
            <w:tcW w:w="980" w:type="dxa"/>
            <w:vAlign w:val="bottom"/>
            <w:vMerge w:val="continue"/>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vMerge w:val="continue"/>
            <w:shd w:val="clear" w:color="auto" w:fill="CCEEFF"/>
          </w:tcPr>
          <w:p>
            <w:pPr>
              <w:spacing w:after="0"/>
              <w:rPr>
                <w:sz w:val="20"/>
                <w:szCs w:val="20"/>
                <w:color w:val="auto"/>
              </w:rPr>
            </w:pPr>
          </w:p>
        </w:tc>
        <w:tc>
          <w:tcPr>
            <w:tcW w:w="1100" w:type="dxa"/>
            <w:vAlign w:val="bottom"/>
            <w:gridSpan w:val="2"/>
            <w:vMerge w:val="continue"/>
            <w:shd w:val="clear" w:color="auto" w:fill="CCEEFF"/>
          </w:tcPr>
          <w:p>
            <w:pPr>
              <w:spacing w:after="0"/>
              <w:rPr>
                <w:sz w:val="20"/>
                <w:szCs w:val="20"/>
                <w:color w:val="auto"/>
              </w:rPr>
            </w:pPr>
          </w:p>
        </w:tc>
        <w:tc>
          <w:tcPr>
            <w:tcW w:w="200" w:type="dxa"/>
            <w:vAlign w:val="bottom"/>
            <w:vMerge w:val="continue"/>
            <w:shd w:val="clear" w:color="auto" w:fill="CCEEFF"/>
          </w:tcPr>
          <w:p>
            <w:pPr>
              <w:spacing w:after="0"/>
              <w:rPr>
                <w:sz w:val="20"/>
                <w:szCs w:val="20"/>
                <w:color w:val="auto"/>
              </w:rPr>
            </w:pPr>
          </w:p>
        </w:tc>
        <w:tc>
          <w:tcPr>
            <w:tcW w:w="94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jc w:val="right"/>
              <w:ind w:right="571"/>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1"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25" w:lineRule="exact"/>
        <w:rPr>
          <w:sz w:val="20"/>
          <w:szCs w:val="20"/>
          <w:color w:val="auto"/>
        </w:rPr>
      </w:pPr>
    </w:p>
    <w:p>
      <w:pPr>
        <w:ind w:left="660" w:right="3860" w:hanging="647"/>
        <w:spacing w:after="0" w:line="282" w:lineRule="auto"/>
        <w:tabs>
          <w:tab w:leader="none" w:pos="640" w:val="left"/>
        </w:tabs>
        <w:rPr>
          <w:sz w:val="20"/>
          <w:szCs w:val="20"/>
          <w:color w:val="auto"/>
        </w:rPr>
      </w:pPr>
      <w:r>
        <w:rPr>
          <w:rFonts w:ascii="Arial" w:cs="Arial" w:eastAsia="Arial" w:hAnsi="Arial"/>
          <w:sz w:val="18"/>
          <w:szCs w:val="18"/>
          <w:b w:val="1"/>
          <w:bCs w:val="1"/>
          <w:color w:val="auto"/>
        </w:rPr>
        <w:t>Item 2.</w:t>
        <w:tab/>
        <w:t xml:space="preserve">Management's Discussion and Analysis of Financial Condition and Results of Operations </w:t>
      </w:r>
      <w:r>
        <w:rPr>
          <w:rFonts w:ascii="Arial" w:cs="Arial" w:eastAsia="Arial" w:hAnsi="Arial"/>
          <w:sz w:val="18"/>
          <w:szCs w:val="18"/>
          <w:color w:val="auto"/>
        </w:rPr>
        <w:t>(dollars in millions)</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Introduction</w:t>
      </w:r>
    </w:p>
    <w:p>
      <w:pPr>
        <w:spacing w:after="0" w:line="22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The following discussion presents management's analysis of the results of operations for the three months ended March 31, 2019 compared to 2018 and changes in financial condition and liquidity from December 31, 2018. This discussion should be read in conjunction with the consolidated financial statements and notes thereto included in the Company's Annual Report on Form 10-K for the year ended December 31, 2018, along with the consolidated financial statements and related notes included in and referred to within this report.</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Business Strategy and Trends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Company's strategy is to grow its businesses in targeted international growth markets, while improving operations and results in more mature markets through disciplined pricing, cost control and careful capital allocation.</w:t>
      </w:r>
    </w:p>
    <w:p>
      <w:pPr>
        <w:spacing w:after="0" w:line="170"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In April 2018, the Company completed its acquisition of Signode Industrial Group, a leading global provider of transit packaging systems and solutions, for consideration of $3.9 billion. With the acquisition, the Company added a portfolio of premier transit and protective packaging franchises to its existing metal packaging businesses, thereby broadening and diversifying its customer base and product offerings and significantly increasing cash flow.</w:t>
      </w:r>
    </w:p>
    <w:p>
      <w:pPr>
        <w:spacing w:after="0" w:line="187"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Company's global beverage can business continues to be a major strategic focus for organic growth. For several years, global industry demand for beverage cans has been growing and this is expected to continue in the coming years. While emerging markets such as Southeast Asia and Mexico have experienced higher growth rates due to rising per capita incomes and accompanying increases in beverage consumption, the more mature economies in Europe and North America have also seen market expansion. Beverage cans are the world’s most sustainable and recycled beverage packaging and continue to gain market share in carbonated soft drinks, sparkling waters, energy drinks, nutritional beverages, teas, coffees, craft beers, cocktails and wines. One of the Company’s key initiatives to drive brand differentiation has been to increase its ability to offer a number of different can sizes.</w:t>
      </w:r>
    </w:p>
    <w:p>
      <w:pPr>
        <w:spacing w:after="0" w:line="189"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While the opportunity for organic volume growth in the Company's mature markets is not comparable to that in targeted international growth markets, the Company continues to generate strong returns on invested capital and significant cash flow from these businesses. The Company monitors capacity across all of its businesses and, where necessary, may take action such as closing a plant or reducing headcount to better manage its costs. Any or all of these actions may result in restructuring charges in the future which may be material.</w:t>
      </w:r>
    </w:p>
    <w:p>
      <w:pPr>
        <w:spacing w:after="0" w:line="171"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Aluminum and steel prices can be subject to significant volatility and there has not been a consistent and predictable trend in pricing. As part of the Company's efforts to manage cost, it attempts to pass-through increases in the cost of aluminum and steel to its customers. The Company's ability to pass-through aluminum premium costs to its customers varies by market. There can be no assurance that the Company will be able to recover from its customers the impact of any such increased costs.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Through 2020, the Company's primary capital allocation focus will be to reduce leverage.</w:t>
      </w:r>
    </w:p>
    <w:p>
      <w:pPr>
        <w:spacing w:after="0" w:line="200" w:lineRule="exact"/>
        <w:rPr>
          <w:sz w:val="20"/>
          <w:szCs w:val="20"/>
          <w:color w:val="auto"/>
        </w:rPr>
      </w:pPr>
    </w:p>
    <w:p>
      <w:pPr>
        <w:spacing w:after="0" w:line="237" w:lineRule="exact"/>
        <w:rPr>
          <w:sz w:val="20"/>
          <w:szCs w:val="20"/>
          <w:color w:val="auto"/>
        </w:rPr>
      </w:pPr>
    </w:p>
    <w:p>
      <w:pPr>
        <w:jc w:val="center"/>
        <w:ind w:left="660"/>
        <w:spacing w:after="0"/>
        <w:rPr>
          <w:sz w:val="20"/>
          <w:szCs w:val="20"/>
          <w:color w:val="auto"/>
        </w:rPr>
      </w:pPr>
      <w:r>
        <w:rPr>
          <w:rFonts w:ascii="Arial" w:cs="Arial" w:eastAsia="Arial" w:hAnsi="Arial"/>
          <w:sz w:val="18"/>
          <w:szCs w:val="18"/>
          <w:b w:val="1"/>
          <w:bCs w:val="1"/>
          <w:u w:val="single" w:color="auto"/>
          <w:color w:val="auto"/>
        </w:rPr>
        <w:t>Results of Operations</w:t>
      </w:r>
    </w:p>
    <w:p>
      <w:pPr>
        <w:spacing w:after="0" w:line="229" w:lineRule="exact"/>
        <w:rPr>
          <w:sz w:val="20"/>
          <w:szCs w:val="20"/>
          <w:color w:val="auto"/>
        </w:rPr>
      </w:pPr>
    </w:p>
    <w:p>
      <w:pPr>
        <w:jc w:val="both"/>
        <w:ind w:left="660" w:right="20"/>
        <w:spacing w:after="0" w:line="264" w:lineRule="auto"/>
        <w:rPr>
          <w:sz w:val="20"/>
          <w:szCs w:val="20"/>
          <w:color w:val="auto"/>
        </w:rPr>
      </w:pPr>
      <w:r>
        <w:rPr>
          <w:rFonts w:ascii="Arial" w:cs="Arial" w:eastAsia="Arial" w:hAnsi="Arial"/>
          <w:sz w:val="18"/>
          <w:szCs w:val="18"/>
          <w:color w:val="auto"/>
        </w:rPr>
        <w:t>In assessing performance, the key performance measure used by the Company is segment income, a non-GAAP measure generally defined by the Company as income from operations adjusted to exclude intangibles amortization charges, provisions for asbestos and restructuring and other and the impact of fair value adjustments to inventory acquired in an acquisition.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121" w:right="239" w:bottom="1440" w:gutter="0" w:footer="0" w:header="0"/>
        </w:sectPr>
      </w:pPr>
    </w:p>
    <w:bookmarkStart w:id="38" w:name="page39"/>
    <w:bookmarkEnd w:id="38"/>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foreign currency translation impacts referred to in the discussion below were primarily due to changes in the euro and pound sterling in the Company's European segments, the Canadian dollar and Mexican peso in the Company's Americas segments and the Chinese renminbi and Malaysian ringgit in the Company's Asia Pacific segment. The Company calculates the impact of foreign currency translation by multiplying or dividing, as appropriate, current year U.S. dollar results by the current year average foreign exchange rates and then multiplying or dividing, as appropriate, those amounts by the applicable prior year average exchange rates.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Net Sales and Segment Income</w:t>
      </w:r>
    </w:p>
    <w:p>
      <w:pPr>
        <w:spacing w:after="0" w:line="391"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Three Months Ended</w:t>
      </w:r>
    </w:p>
    <w:p>
      <w:pPr>
        <w:spacing w:after="0" w:line="63" w:lineRule="exact"/>
        <w:rPr>
          <w:sz w:val="20"/>
          <w:szCs w:val="20"/>
          <w:color w:val="auto"/>
        </w:rPr>
      </w:pPr>
    </w:p>
    <w:p>
      <w:pPr>
        <w:jc w:val="center"/>
        <w:ind w:left="176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3409950</wp:posOffset>
            </wp:positionH>
            <wp:positionV relativeFrom="paragraph">
              <wp:posOffset>31750</wp:posOffset>
            </wp:positionV>
            <wp:extent cx="153479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57" w:lineRule="exact"/>
        <w:rPr>
          <w:sz w:val="20"/>
          <w:szCs w:val="20"/>
          <w:color w:val="auto"/>
        </w:rPr>
      </w:pPr>
    </w:p>
    <w:p>
      <w:pPr>
        <w:ind w:left="5740"/>
        <w:spacing w:after="0"/>
        <w:tabs>
          <w:tab w:leader="none" w:pos="704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4528185" cy="18034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528185" cy="180340"/>
                    </a:xfrm>
                    <a:prstGeom prst="rect">
                      <a:avLst/>
                    </a:prstGeom>
                    <a:noFill/>
                  </pic:spPr>
                </pic:pic>
              </a:graphicData>
            </a:graphic>
          </wp:anchor>
        </w:drawing>
      </w:r>
    </w:p>
    <w:p>
      <w:pPr>
        <w:spacing w:after="0" w:line="43" w:lineRule="exact"/>
        <w:rPr>
          <w:sz w:val="20"/>
          <w:szCs w:val="20"/>
          <w:color w:val="auto"/>
        </w:rPr>
      </w:pPr>
    </w:p>
    <w:p>
      <w:pPr>
        <w:ind w:left="680"/>
        <w:spacing w:after="0"/>
        <w:tabs>
          <w:tab w:leader="none" w:pos="5380" w:val="left"/>
          <w:tab w:leader="none" w:pos="5980" w:val="left"/>
          <w:tab w:leader="none" w:pos="6680" w:val="left"/>
          <w:tab w:leader="none" w:pos="7300" w:val="left"/>
        </w:tabs>
        <w:rPr>
          <w:sz w:val="20"/>
          <w:szCs w:val="20"/>
          <w:color w:val="auto"/>
        </w:rPr>
      </w:pPr>
      <w:r>
        <w:rPr>
          <w:rFonts w:ascii="Arial" w:cs="Arial" w:eastAsia="Arial" w:hAnsi="Arial"/>
          <w:sz w:val="18"/>
          <w:szCs w:val="18"/>
          <w:color w:val="auto"/>
        </w:rPr>
        <w:t>Net sales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2,755</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2,197</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March 31, 2019 compared to 2018</w:t>
      </w:r>
    </w:p>
    <w:p>
      <w:pPr>
        <w:spacing w:after="0" w:line="225" w:lineRule="exact"/>
        <w:rPr>
          <w:sz w:val="20"/>
          <w:szCs w:val="20"/>
          <w:color w:val="auto"/>
        </w:rPr>
      </w:pPr>
    </w:p>
    <w:p>
      <w:pPr>
        <w:ind w:left="660" w:right="40"/>
        <w:spacing w:after="0" w:line="277" w:lineRule="auto"/>
        <w:rPr>
          <w:sz w:val="20"/>
          <w:szCs w:val="20"/>
          <w:color w:val="auto"/>
        </w:rPr>
      </w:pPr>
      <w:r>
        <w:rPr>
          <w:rFonts w:ascii="Arial" w:cs="Arial" w:eastAsia="Arial" w:hAnsi="Arial"/>
          <w:sz w:val="18"/>
          <w:szCs w:val="18"/>
          <w:color w:val="auto"/>
        </w:rPr>
        <w:t>Net sales increased primarily due to $569 from Signode, which was acquired in April 2018, and increased beverage and food can sales unit volumes, partially offset by $75 from the impact of foreign currency translation.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Americas Beverage</w:t>
      </w:r>
    </w:p>
    <w:p>
      <w:pPr>
        <w:spacing w:after="0" w:line="229" w:lineRule="exact"/>
        <w:rPr>
          <w:sz w:val="20"/>
          <w:szCs w:val="20"/>
          <w:color w:val="auto"/>
        </w:rPr>
      </w:pPr>
    </w:p>
    <w:p>
      <w:pPr>
        <w:jc w:val="both"/>
        <w:ind w:left="660"/>
        <w:spacing w:after="0" w:line="257" w:lineRule="auto"/>
        <w:rPr>
          <w:sz w:val="20"/>
          <w:szCs w:val="20"/>
          <w:color w:val="auto"/>
        </w:rPr>
      </w:pPr>
      <w:r>
        <w:rPr>
          <w:rFonts w:ascii="Arial" w:cs="Arial" w:eastAsia="Arial" w:hAnsi="Arial"/>
          <w:sz w:val="18"/>
          <w:szCs w:val="18"/>
          <w:color w:val="auto"/>
        </w:rPr>
        <w:t>The Americas Beverage segment manufactures aluminum beverage cans and ends, steel crowns, glass bottles and aluminum closures and supplies a variety of customers from its operations in the U.S., Brazil, Canada, Colombia and Mexico. The U.S. and Canadian beverage can markets are mature markets which experienced increased volumes in 2018. In Brazil and Mexico, the Company's sales unit volumes have increased in recent years primarily due to market growth driven by increased per capita incomes and consumption, combined with an increased preference for cans over other forms of beverage packaging.</w:t>
      </w:r>
    </w:p>
    <w:p>
      <w:pPr>
        <w:spacing w:after="0" w:line="188" w:lineRule="exact"/>
        <w:rPr>
          <w:sz w:val="20"/>
          <w:szCs w:val="20"/>
          <w:color w:val="auto"/>
        </w:rPr>
      </w:pPr>
    </w:p>
    <w:p>
      <w:pPr>
        <w:jc w:val="both"/>
        <w:ind w:left="660" w:right="60"/>
        <w:spacing w:after="0" w:line="264" w:lineRule="auto"/>
        <w:rPr>
          <w:sz w:val="20"/>
          <w:szCs w:val="20"/>
          <w:color w:val="auto"/>
        </w:rPr>
      </w:pPr>
      <w:r>
        <w:rPr>
          <w:rFonts w:ascii="Arial" w:cs="Arial" w:eastAsia="Arial" w:hAnsi="Arial"/>
          <w:sz w:val="18"/>
          <w:szCs w:val="18"/>
          <w:color w:val="auto"/>
        </w:rPr>
        <w:t>In January 2018, the Company commenced operations in a new glass bottle facility in Chihuahua, Mexico, to serve the expanding beer market in the northern part of the country. During the fourth quarter of 2019, the Company expects to begin operations at a new one-line beverage can plant in Rio Verde, Brazil.</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Americas Beverage segment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080" w:type="dxa"/>
            <w:vAlign w:val="bottom"/>
            <w:gridSpan w:val="4"/>
          </w:tcPr>
          <w:p>
            <w:pPr>
              <w:jc w:val="center"/>
              <w:ind w:left="31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20"/>
                <w:szCs w:val="20"/>
                <w:color w:val="auto"/>
              </w:rPr>
            </w:pPr>
          </w:p>
        </w:tc>
      </w:tr>
      <w:tr>
        <w:trPr>
          <w:trHeight w:val="270"/>
        </w:trPr>
        <w:tc>
          <w:tcPr>
            <w:tcW w:w="4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20" w:type="dxa"/>
            <w:vAlign w:val="bottom"/>
            <w:gridSpan w:val="3"/>
          </w:tcPr>
          <w:p>
            <w:pPr>
              <w:jc w:val="center"/>
              <w:ind w:right="290"/>
              <w:spacing w:after="0"/>
              <w:rPr>
                <w:sz w:val="20"/>
                <w:szCs w:val="20"/>
                <w:color w:val="auto"/>
              </w:rPr>
            </w:pPr>
            <w:r>
              <w:rPr>
                <w:rFonts w:ascii="Arial" w:cs="Arial" w:eastAsia="Arial" w:hAnsi="Arial"/>
                <w:sz w:val="18"/>
                <w:szCs w:val="18"/>
                <w:color w:val="auto"/>
                <w:w w:val="92"/>
              </w:rPr>
              <w:t>March 31,</w:t>
            </w:r>
          </w:p>
        </w:tc>
        <w:tc>
          <w:tcPr>
            <w:tcW w:w="34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788</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758</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w w:val="86"/>
              </w:rPr>
              <w:t>113</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98</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March 31, 2019 compared to 2018</w:t>
      </w:r>
    </w:p>
    <w:p>
      <w:pPr>
        <w:spacing w:after="0" w:line="225" w:lineRule="exact"/>
        <w:rPr>
          <w:sz w:val="20"/>
          <w:szCs w:val="20"/>
          <w:color w:val="auto"/>
        </w:rPr>
      </w:pPr>
    </w:p>
    <w:p>
      <w:pPr>
        <w:ind w:left="660" w:right="180"/>
        <w:spacing w:after="0" w:line="277" w:lineRule="auto"/>
        <w:rPr>
          <w:sz w:val="20"/>
          <w:szCs w:val="20"/>
          <w:color w:val="auto"/>
        </w:rPr>
      </w:pPr>
      <w:r>
        <w:rPr>
          <w:rFonts w:ascii="Arial" w:cs="Arial" w:eastAsia="Arial" w:hAnsi="Arial"/>
          <w:sz w:val="18"/>
          <w:szCs w:val="18"/>
          <w:color w:val="auto"/>
        </w:rPr>
        <w:t>Net sales increased primarily due to higher sales unit volumes, including a 7% increase in Brazil, partially offset by $11 from the impact of foreign currency translation.</w:t>
      </w:r>
    </w:p>
    <w:p>
      <w:pPr>
        <w:spacing w:after="0" w:line="89" w:lineRule="exact"/>
        <w:rPr>
          <w:sz w:val="20"/>
          <w:szCs w:val="20"/>
          <w:color w:val="auto"/>
        </w:rPr>
      </w:pPr>
    </w:p>
    <w:p>
      <w:pPr>
        <w:ind w:left="660" w:right="240"/>
        <w:spacing w:after="0" w:line="277" w:lineRule="auto"/>
        <w:rPr>
          <w:sz w:val="20"/>
          <w:szCs w:val="20"/>
          <w:color w:val="auto"/>
        </w:rPr>
      </w:pPr>
      <w:r>
        <w:rPr>
          <w:rFonts w:ascii="Arial" w:cs="Arial" w:eastAsia="Arial" w:hAnsi="Arial"/>
          <w:sz w:val="18"/>
          <w:szCs w:val="18"/>
          <w:color w:val="auto"/>
        </w:rPr>
        <w:t>Segment income increased primarily due to the higher sales unit volumes and start-up costs incurred in 2018 for recent capacity expansions which did not recur in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121" w:right="239" w:bottom="1440" w:gutter="0" w:footer="0" w:header="0"/>
        </w:sectPr>
      </w:pPr>
    </w:p>
    <w:bookmarkStart w:id="39" w:name="page40"/>
    <w:bookmarkEnd w:id="39"/>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European Beverage</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Company's European Beverage segment manufactures steel and aluminum beverage cans and ends and supplies a variety of customers from its operations throughout Europe, the Middle East and North Africa. In recent years, the Western European beverage can markets have been growing, whereas sales unit volumes in the Middle East beverage can markets have declined.</w:t>
      </w:r>
    </w:p>
    <w:p>
      <w:pPr>
        <w:spacing w:after="0" w:line="181"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first line of a new beverage can plant in Valencia, Spain began operations in October 2018 and the second line began operations in February 2019. The new plant facilitates the conversion from steel to aluminum beverage cans in that region. Additionally, in December 2018, the Company commenced operations at a new plant in Parma, Italy.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European Beverage segment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080" w:type="dxa"/>
            <w:vAlign w:val="bottom"/>
            <w:gridSpan w:val="4"/>
          </w:tcPr>
          <w:p>
            <w:pPr>
              <w:jc w:val="center"/>
              <w:ind w:left="31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20"/>
                <w:szCs w:val="20"/>
                <w:color w:val="auto"/>
              </w:rPr>
            </w:pPr>
          </w:p>
        </w:tc>
      </w:tr>
      <w:tr>
        <w:trPr>
          <w:trHeight w:val="270"/>
        </w:trPr>
        <w:tc>
          <w:tcPr>
            <w:tcW w:w="4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20" w:type="dxa"/>
            <w:vAlign w:val="bottom"/>
            <w:gridSpan w:val="3"/>
          </w:tcPr>
          <w:p>
            <w:pPr>
              <w:jc w:val="center"/>
              <w:ind w:right="290"/>
              <w:spacing w:after="0"/>
              <w:rPr>
                <w:sz w:val="20"/>
                <w:szCs w:val="20"/>
                <w:color w:val="auto"/>
              </w:rPr>
            </w:pPr>
            <w:r>
              <w:rPr>
                <w:rFonts w:ascii="Arial" w:cs="Arial" w:eastAsia="Arial" w:hAnsi="Arial"/>
                <w:sz w:val="18"/>
                <w:szCs w:val="18"/>
                <w:color w:val="auto"/>
                <w:w w:val="92"/>
              </w:rPr>
              <w:t>March 31,</w:t>
            </w:r>
          </w:p>
        </w:tc>
        <w:tc>
          <w:tcPr>
            <w:tcW w:w="34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339</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371</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March 31, 2019 compared to 2018</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Net sales decreased primarily due to $19 from the impact of foreign currency translation and lower sales unit volumes in the Middle East.</w:t>
      </w:r>
    </w:p>
    <w:p>
      <w:pPr>
        <w:spacing w:after="0" w:line="156"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Segment income decreased primarily due to higher costs related to the new beverage can plants in Spain and Italy, lower sales unit volumes in the Middle East and $2 from the impact of foreign currency translation.</w:t>
      </w:r>
    </w:p>
    <w:p>
      <w:pPr>
        <w:spacing w:after="0" w:line="200" w:lineRule="exact"/>
        <w:rPr>
          <w:sz w:val="20"/>
          <w:szCs w:val="20"/>
          <w:color w:val="auto"/>
        </w:rPr>
      </w:pPr>
    </w:p>
    <w:p>
      <w:pPr>
        <w:spacing w:after="0" w:line="250"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European Food</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The European Food segment manufactures steel and aluminum food cans and ends and metal vacuum closures, and supplies a variety of customers from its operations throughout Europe and Africa. The European food can market is a mature market which has experienced stable to slightly declining volumes in recent years.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European Food segment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080" w:type="dxa"/>
            <w:vAlign w:val="bottom"/>
            <w:gridSpan w:val="4"/>
          </w:tcPr>
          <w:p>
            <w:pPr>
              <w:jc w:val="center"/>
              <w:ind w:left="31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20"/>
                <w:szCs w:val="20"/>
                <w:color w:val="auto"/>
              </w:rPr>
            </w:pPr>
          </w:p>
        </w:tc>
      </w:tr>
      <w:tr>
        <w:trPr>
          <w:trHeight w:val="270"/>
        </w:trPr>
        <w:tc>
          <w:tcPr>
            <w:tcW w:w="4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20" w:type="dxa"/>
            <w:vAlign w:val="bottom"/>
            <w:gridSpan w:val="3"/>
          </w:tcPr>
          <w:p>
            <w:pPr>
              <w:jc w:val="center"/>
              <w:ind w:right="290"/>
              <w:spacing w:after="0"/>
              <w:rPr>
                <w:sz w:val="20"/>
                <w:szCs w:val="20"/>
                <w:color w:val="auto"/>
              </w:rPr>
            </w:pPr>
            <w:r>
              <w:rPr>
                <w:rFonts w:ascii="Arial" w:cs="Arial" w:eastAsia="Arial" w:hAnsi="Arial"/>
                <w:sz w:val="18"/>
                <w:szCs w:val="18"/>
                <w:color w:val="auto"/>
                <w:w w:val="92"/>
              </w:rPr>
              <w:t>March 31,</w:t>
            </w:r>
          </w:p>
        </w:tc>
        <w:tc>
          <w:tcPr>
            <w:tcW w:w="34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423</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428</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56</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March 31, 2019 compared to 2018</w:t>
      </w:r>
    </w:p>
    <w:p>
      <w:pPr>
        <w:spacing w:after="0" w:line="225" w:lineRule="exact"/>
        <w:rPr>
          <w:sz w:val="20"/>
          <w:szCs w:val="20"/>
          <w:color w:val="auto"/>
        </w:rPr>
      </w:pPr>
    </w:p>
    <w:p>
      <w:pPr>
        <w:ind w:left="660" w:right="340"/>
        <w:spacing w:after="0" w:line="277" w:lineRule="auto"/>
        <w:rPr>
          <w:sz w:val="20"/>
          <w:szCs w:val="20"/>
          <w:color w:val="auto"/>
        </w:rPr>
      </w:pPr>
      <w:r>
        <w:rPr>
          <w:rFonts w:ascii="Arial" w:cs="Arial" w:eastAsia="Arial" w:hAnsi="Arial"/>
          <w:sz w:val="18"/>
          <w:szCs w:val="18"/>
          <w:color w:val="auto"/>
        </w:rPr>
        <w:t>Net sales decreased primarily due to $35 from the impact of foreign currency translation partially offset by 7% higher sales unit volumes and the pass-through of higher tinplate costs.</w:t>
      </w:r>
    </w:p>
    <w:p>
      <w:pPr>
        <w:spacing w:after="0" w:line="89" w:lineRule="exact"/>
        <w:rPr>
          <w:sz w:val="20"/>
          <w:szCs w:val="20"/>
          <w:color w:val="auto"/>
        </w:rPr>
      </w:pPr>
    </w:p>
    <w:p>
      <w:pPr>
        <w:ind w:left="660" w:right="780"/>
        <w:spacing w:after="0" w:line="277" w:lineRule="auto"/>
        <w:rPr>
          <w:sz w:val="20"/>
          <w:szCs w:val="20"/>
          <w:color w:val="auto"/>
        </w:rPr>
      </w:pPr>
      <w:r>
        <w:rPr>
          <w:rFonts w:ascii="Arial" w:cs="Arial" w:eastAsia="Arial" w:hAnsi="Arial"/>
          <w:sz w:val="18"/>
          <w:szCs w:val="18"/>
          <w:color w:val="auto"/>
        </w:rPr>
        <w:t>Segment income decreased primarily due to higher operating costs, including energy and labor and $4 from the impact of foreign currency translation.</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ectPr>
          <w:pgSz w:w="11900" w:h="16838" w:orient="portrait"/>
          <w:cols w:equalWidth="0" w:num="1">
            <w:col w:w="11420"/>
          </w:cols>
          <w:pgMar w:left="240" w:top="121" w:right="239" w:bottom="1440" w:gutter="0" w:footer="0" w:header="0"/>
          <w:type w:val="continuous"/>
        </w:sectPr>
      </w:pPr>
    </w:p>
    <w:bookmarkStart w:id="40" w:name="page41"/>
    <w:bookmarkEnd w:id="40"/>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Asia Pacific</w:t>
      </w:r>
    </w:p>
    <w:p>
      <w:pPr>
        <w:spacing w:after="0" w:line="22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The Company's Asia Pacific segment primarily consists of beverage can operations in Cambodia, China, Indonesia, Malaysia, Myanmar, Singapore, Thailand and Vietnam and non-beverage can operations, primarily food cans and specialty packaging. In recent years, the beverage can market in Southeast Asia has been growing. Production began at a new beverage can plant in Yangon, Myanmar in July 2018. A third beverage can line at the Phnom Penh, Cambodia plant commenced operations in January 2019. In response to recent market conditions in China, the Company closed its Putian facility in 2018 and its Huizhou facility in early 2019. Following these closures, the Company has three beverage can plants in China with approximately $100 in sales.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the Asia Pacific segment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080" w:type="dxa"/>
            <w:vAlign w:val="bottom"/>
            <w:gridSpan w:val="4"/>
          </w:tcPr>
          <w:p>
            <w:pPr>
              <w:jc w:val="center"/>
              <w:ind w:left="31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20"/>
                <w:szCs w:val="20"/>
                <w:color w:val="auto"/>
              </w:rPr>
            </w:pPr>
          </w:p>
        </w:tc>
      </w:tr>
      <w:tr>
        <w:trPr>
          <w:trHeight w:val="270"/>
        </w:trPr>
        <w:tc>
          <w:tcPr>
            <w:tcW w:w="4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20" w:type="dxa"/>
            <w:vAlign w:val="bottom"/>
            <w:gridSpan w:val="3"/>
          </w:tcPr>
          <w:p>
            <w:pPr>
              <w:jc w:val="center"/>
              <w:ind w:right="290"/>
              <w:spacing w:after="0"/>
              <w:rPr>
                <w:sz w:val="20"/>
                <w:szCs w:val="20"/>
                <w:color w:val="auto"/>
              </w:rPr>
            </w:pPr>
            <w:r>
              <w:rPr>
                <w:rFonts w:ascii="Arial" w:cs="Arial" w:eastAsia="Arial" w:hAnsi="Arial"/>
                <w:sz w:val="18"/>
                <w:szCs w:val="18"/>
                <w:color w:val="auto"/>
                <w:w w:val="92"/>
              </w:rPr>
              <w:t>March 31,</w:t>
            </w:r>
          </w:p>
        </w:tc>
        <w:tc>
          <w:tcPr>
            <w:tcW w:w="34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321</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337</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45</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March 31, 2019 compared to 2018</w:t>
      </w:r>
    </w:p>
    <w:p>
      <w:pPr>
        <w:spacing w:after="0" w:line="225" w:lineRule="exact"/>
        <w:rPr>
          <w:sz w:val="20"/>
          <w:szCs w:val="20"/>
          <w:color w:val="auto"/>
        </w:rPr>
      </w:pPr>
    </w:p>
    <w:p>
      <w:pPr>
        <w:ind w:left="660" w:right="200"/>
        <w:spacing w:after="0" w:line="277" w:lineRule="auto"/>
        <w:rPr>
          <w:sz w:val="20"/>
          <w:szCs w:val="20"/>
          <w:color w:val="auto"/>
        </w:rPr>
      </w:pPr>
      <w:r>
        <w:rPr>
          <w:rFonts w:ascii="Arial" w:cs="Arial" w:eastAsia="Arial" w:hAnsi="Arial"/>
          <w:sz w:val="18"/>
          <w:szCs w:val="18"/>
          <w:color w:val="auto"/>
        </w:rPr>
        <w:t>Net sales decreased primarily due to lower sales unit volumes related to the closure of the Putian and Huizhou beverage can facilities and the pass-through of lower raw material costs partially offset by 7% higher sales unit volumes in Southeast Asia.</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was comparable in 2018 and 2019.</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Transit Packaging</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On April 3, 2018, the Company completed its acquisition of Signode, which is reported as the Company's Transit Packaging segment. The integration of Signode is progressing as planned. Transit Packaging contributed net sales of $569 and segment income of $73 for the three months ended March 31, 2019.</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Non-reportable Segments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Company's non-reportable segments include its North American food can business, its European aerosol can and promotional packaging business, its North American aerosol can business and its tooling and equipment operations in the U.S. and U.K.</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Net sales and segment income in non-reportable segments are as follows:</w:t>
      </w:r>
    </w:p>
    <w:p>
      <w:pPr>
        <w:spacing w:after="0" w:line="171" w:lineRule="exact"/>
        <w:rPr>
          <w:sz w:val="20"/>
          <w:szCs w:val="20"/>
          <w:color w:val="auto"/>
        </w:rPr>
      </w:pPr>
    </w:p>
    <w:tbl>
      <w:tblPr>
        <w:tblLayout w:type="fixed"/>
        <w:tblInd w:w="660" w:type="dxa"/>
        <w:tblCellMar>
          <w:top w:w="0" w:type="dxa"/>
          <w:left w:w="0" w:type="dxa"/>
          <w:bottom w:w="0" w:type="dxa"/>
          <w:right w:w="0" w:type="dxa"/>
        </w:tblCellMar>
      </w:tblPr>
      <w:tr>
        <w:trPr>
          <w:trHeight w:val="230"/>
        </w:trPr>
        <w:tc>
          <w:tcPr>
            <w:tcW w:w="4700" w:type="dxa"/>
            <w:vAlign w:val="bottom"/>
          </w:tcPr>
          <w:p>
            <w:pPr>
              <w:spacing w:after="0"/>
              <w:rPr>
                <w:sz w:val="20"/>
                <w:szCs w:val="20"/>
                <w:color w:val="auto"/>
              </w:rPr>
            </w:pPr>
          </w:p>
        </w:tc>
        <w:tc>
          <w:tcPr>
            <w:tcW w:w="2080" w:type="dxa"/>
            <w:vAlign w:val="bottom"/>
            <w:gridSpan w:val="4"/>
          </w:tcPr>
          <w:p>
            <w:pPr>
              <w:jc w:val="center"/>
              <w:ind w:left="310"/>
              <w:spacing w:after="0"/>
              <w:rPr>
                <w:sz w:val="20"/>
                <w:szCs w:val="20"/>
                <w:color w:val="auto"/>
              </w:rPr>
            </w:pPr>
            <w:r>
              <w:rPr>
                <w:rFonts w:ascii="Arial" w:cs="Arial" w:eastAsia="Arial" w:hAnsi="Arial"/>
                <w:sz w:val="18"/>
                <w:szCs w:val="18"/>
                <w:color w:val="auto"/>
                <w:w w:val="90"/>
              </w:rPr>
              <w:t>Three Months Ended</w:t>
            </w:r>
          </w:p>
        </w:tc>
        <w:tc>
          <w:tcPr>
            <w:tcW w:w="340" w:type="dxa"/>
            <w:vAlign w:val="bottom"/>
          </w:tcPr>
          <w:p>
            <w:pPr>
              <w:spacing w:after="0"/>
              <w:rPr>
                <w:sz w:val="20"/>
                <w:szCs w:val="20"/>
                <w:color w:val="auto"/>
              </w:rPr>
            </w:pPr>
          </w:p>
        </w:tc>
      </w:tr>
      <w:tr>
        <w:trPr>
          <w:trHeight w:val="270"/>
        </w:trPr>
        <w:tc>
          <w:tcPr>
            <w:tcW w:w="47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320" w:type="dxa"/>
            <w:vAlign w:val="bottom"/>
            <w:gridSpan w:val="3"/>
          </w:tcPr>
          <w:p>
            <w:pPr>
              <w:jc w:val="center"/>
              <w:ind w:right="290"/>
              <w:spacing w:after="0"/>
              <w:rPr>
                <w:sz w:val="20"/>
                <w:szCs w:val="20"/>
                <w:color w:val="auto"/>
              </w:rPr>
            </w:pPr>
            <w:r>
              <w:rPr>
                <w:rFonts w:ascii="Arial" w:cs="Arial" w:eastAsia="Arial" w:hAnsi="Arial"/>
                <w:sz w:val="18"/>
                <w:szCs w:val="18"/>
                <w:color w:val="auto"/>
                <w:w w:val="92"/>
              </w:rPr>
              <w:t>March 31,</w:t>
            </w:r>
          </w:p>
        </w:tc>
        <w:tc>
          <w:tcPr>
            <w:tcW w:w="340" w:type="dxa"/>
            <w:vAlign w:val="bottom"/>
          </w:tcPr>
          <w:p>
            <w:pPr>
              <w:spacing w:after="0"/>
              <w:rPr>
                <w:sz w:val="23"/>
                <w:szCs w:val="23"/>
                <w:color w:val="auto"/>
              </w:rPr>
            </w:pPr>
          </w:p>
        </w:tc>
      </w:tr>
      <w:tr>
        <w:trPr>
          <w:trHeight w:val="27"/>
        </w:trPr>
        <w:tc>
          <w:tcPr>
            <w:tcW w:w="47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37"/>
        </w:trPr>
        <w:tc>
          <w:tcPr>
            <w:tcW w:w="47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2019</w:t>
            </w: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2018</w:t>
            </w:r>
          </w:p>
        </w:tc>
        <w:tc>
          <w:tcPr>
            <w:tcW w:w="340" w:type="dxa"/>
            <w:vAlign w:val="bottom"/>
          </w:tcPr>
          <w:p>
            <w:pPr>
              <w:spacing w:after="0"/>
              <w:rPr>
                <w:sz w:val="20"/>
                <w:szCs w:val="20"/>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r>
      <w:tr>
        <w:trPr>
          <w:trHeight w:val="244"/>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315</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303</w:t>
            </w: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Segment income</w:t>
            </w:r>
          </w:p>
        </w:tc>
        <w:tc>
          <w:tcPr>
            <w:tcW w:w="760" w:type="dxa"/>
            <w:vAlign w:val="bottom"/>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r>
    </w:tbl>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i w:val="1"/>
          <w:iCs w:val="1"/>
          <w:u w:val="single" w:color="auto"/>
          <w:color w:val="auto"/>
        </w:rPr>
        <w:t>Three months ended March 31, 2019 compared to 2018</w:t>
      </w:r>
    </w:p>
    <w:p>
      <w:pPr>
        <w:spacing w:after="0" w:line="225" w:lineRule="exact"/>
        <w:rPr>
          <w:sz w:val="20"/>
          <w:szCs w:val="20"/>
          <w:color w:val="auto"/>
        </w:rPr>
      </w:pPr>
    </w:p>
    <w:p>
      <w:pPr>
        <w:ind w:left="660"/>
        <w:spacing w:after="0" w:line="342" w:lineRule="auto"/>
        <w:rPr>
          <w:sz w:val="20"/>
          <w:szCs w:val="20"/>
          <w:color w:val="auto"/>
        </w:rPr>
      </w:pPr>
      <w:r>
        <w:rPr>
          <w:rFonts w:ascii="Arial" w:cs="Arial" w:eastAsia="Arial" w:hAnsi="Arial"/>
          <w:sz w:val="16"/>
          <w:szCs w:val="16"/>
          <w:color w:val="auto"/>
        </w:rPr>
        <w:t>Net sales increased primarily due to 2% higher sales unit volumes and the pass-through of higher tinplate costs in the Company's North America food can business partially offset by lower sales in the Company's equipment operations and $6 from the impact of foreign currency translation.</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Segment income increased primarily due to higher sales unit volumes in the Company's North America food can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21" w:right="239" w:bottom="1440" w:gutter="0" w:footer="0" w:header="0"/>
        </w:sectPr>
      </w:pPr>
    </w:p>
    <w:bookmarkStart w:id="41" w:name="page42"/>
    <w:bookmarkEnd w:id="41"/>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Corporate and Unallocated Expense</w:t>
      </w:r>
    </w:p>
    <w:p>
      <w:pPr>
        <w:spacing w:after="0" w:line="175"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Three Months Ended</w:t>
      </w:r>
    </w:p>
    <w:p>
      <w:pPr>
        <w:spacing w:after="0" w:line="63" w:lineRule="exact"/>
        <w:rPr>
          <w:sz w:val="20"/>
          <w:szCs w:val="20"/>
          <w:color w:val="auto"/>
        </w:rPr>
      </w:pPr>
    </w:p>
    <w:p>
      <w:pPr>
        <w:jc w:val="center"/>
        <w:ind w:left="1540"/>
        <w:spacing w:after="0"/>
        <w:rPr>
          <w:sz w:val="20"/>
          <w:szCs w:val="20"/>
          <w:color w:val="auto"/>
        </w:rPr>
      </w:pPr>
      <w:r>
        <w:rPr>
          <w:rFonts w:ascii="Arial" w:cs="Arial" w:eastAsia="Arial" w:hAnsi="Arial"/>
          <w:sz w:val="18"/>
          <w:szCs w:val="18"/>
          <w:color w:val="auto"/>
        </w:rPr>
        <w:t>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3341370</wp:posOffset>
            </wp:positionH>
            <wp:positionV relativeFrom="paragraph">
              <wp:posOffset>31750</wp:posOffset>
            </wp:positionV>
            <wp:extent cx="153479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534795" cy="8890"/>
                    </a:xfrm>
                    <a:prstGeom prst="rect">
                      <a:avLst/>
                    </a:prstGeom>
                    <a:noFill/>
                  </pic:spPr>
                </pic:pic>
              </a:graphicData>
            </a:graphic>
          </wp:anchor>
        </w:drawing>
      </w:r>
    </w:p>
    <w:p>
      <w:pPr>
        <w:spacing w:after="0" w:line="57" w:lineRule="exact"/>
        <w:rPr>
          <w:sz w:val="20"/>
          <w:szCs w:val="20"/>
          <w:color w:val="auto"/>
        </w:rPr>
      </w:pPr>
    </w:p>
    <w:p>
      <w:pPr>
        <w:ind w:left="5640"/>
        <w:spacing w:after="0"/>
        <w:tabs>
          <w:tab w:leader="none" w:pos="6920" w:val="left"/>
        </w:tabs>
        <w:rPr>
          <w:sz w:val="20"/>
          <w:szCs w:val="20"/>
          <w:color w:val="auto"/>
        </w:rPr>
      </w:pPr>
      <w:r>
        <w:rPr>
          <w:rFonts w:ascii="Arial" w:cs="Arial" w:eastAsia="Arial" w:hAnsi="Arial"/>
          <w:sz w:val="18"/>
          <w:szCs w:val="18"/>
          <w:color w:val="auto"/>
        </w:rPr>
        <w:t>2019</w:t>
      </w:r>
      <w:r>
        <w:rPr>
          <w:sz w:val="20"/>
          <w:szCs w:val="20"/>
          <w:color w:val="auto"/>
        </w:rPr>
        <w:tab/>
      </w:r>
      <w:r>
        <w:rPr>
          <w:rFonts w:ascii="Arial" w:cs="Arial" w:eastAsia="Arial" w:hAnsi="Arial"/>
          <w:sz w:val="18"/>
          <w:szCs w:val="18"/>
          <w:color w:val="auto"/>
        </w:rPr>
        <w:t>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416560</wp:posOffset>
            </wp:positionH>
            <wp:positionV relativeFrom="paragraph">
              <wp:posOffset>31750</wp:posOffset>
            </wp:positionV>
            <wp:extent cx="4459605" cy="1803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459605" cy="180340"/>
                    </a:xfrm>
                    <a:prstGeom prst="rect">
                      <a:avLst/>
                    </a:prstGeom>
                    <a:noFill/>
                  </pic:spPr>
                </pic:pic>
              </a:graphicData>
            </a:graphic>
          </wp:anchor>
        </w:drawing>
      </w:r>
    </w:p>
    <w:p>
      <w:pPr>
        <w:spacing w:after="0" w:line="43" w:lineRule="exact"/>
        <w:rPr>
          <w:sz w:val="20"/>
          <w:szCs w:val="20"/>
          <w:color w:val="auto"/>
        </w:rPr>
      </w:pPr>
    </w:p>
    <w:p>
      <w:pPr>
        <w:ind w:left="680"/>
        <w:spacing w:after="0"/>
        <w:tabs>
          <w:tab w:leader="none" w:pos="5260" w:val="left"/>
          <w:tab w:leader="none" w:pos="6020" w:val="left"/>
          <w:tab w:leader="none" w:pos="6580" w:val="left"/>
          <w:tab w:leader="none" w:pos="7320" w:val="left"/>
        </w:tabs>
        <w:rPr>
          <w:sz w:val="20"/>
          <w:szCs w:val="20"/>
          <w:color w:val="auto"/>
        </w:rPr>
      </w:pPr>
      <w:r>
        <w:rPr>
          <w:rFonts w:ascii="Arial" w:cs="Arial" w:eastAsia="Arial" w:hAnsi="Arial"/>
          <w:sz w:val="18"/>
          <w:szCs w:val="18"/>
          <w:color w:val="auto"/>
        </w:rPr>
        <w:t>Corporate and unallocated expense</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(39)</w:t>
        <w:tab/>
        <w:t>$</w:t>
      </w:r>
      <w:r>
        <w:rPr>
          <w:sz w:val="20"/>
          <w:szCs w:val="20"/>
          <w:color w:val="auto"/>
        </w:rPr>
        <w:tab/>
      </w:r>
      <w:r>
        <w:rPr>
          <w:rFonts w:ascii="Arial" w:cs="Arial" w:eastAsia="Arial" w:hAnsi="Arial"/>
          <w:sz w:val="16"/>
          <w:szCs w:val="16"/>
          <w:color w:val="auto"/>
        </w:rPr>
        <w:t>(39)</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Corporate and unallocated expenses were comparable for the three months ended March 31, 2019 and 2018.</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Cost of Products Sold (Excluding Depreciation and Amortization)</w:t>
      </w:r>
    </w:p>
    <w:p>
      <w:pPr>
        <w:spacing w:after="0" w:line="229"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For the three months ended March 31, 2019 compared to 2018, cost of products sold (excluding depreciation and amortization) increased from $1,808 to $2,210 primarily due to the impact of the acquisition of Signode partially offset by $61 from the impact of foreign currency translation.</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Depreciation and Amortization</w:t>
      </w:r>
    </w:p>
    <w:p>
      <w:pPr>
        <w:spacing w:after="0" w:line="229" w:lineRule="exact"/>
        <w:rPr>
          <w:sz w:val="20"/>
          <w:szCs w:val="20"/>
          <w:color w:val="auto"/>
        </w:rPr>
      </w:pPr>
    </w:p>
    <w:p>
      <w:pPr>
        <w:ind w:left="660"/>
        <w:spacing w:after="0" w:line="308" w:lineRule="auto"/>
        <w:rPr>
          <w:sz w:val="20"/>
          <w:szCs w:val="20"/>
          <w:color w:val="auto"/>
        </w:rPr>
      </w:pPr>
      <w:r>
        <w:rPr>
          <w:rFonts w:ascii="Arial" w:cs="Arial" w:eastAsia="Arial" w:hAnsi="Arial"/>
          <w:sz w:val="17"/>
          <w:szCs w:val="17"/>
          <w:color w:val="auto"/>
        </w:rPr>
        <w:t>For the three months ended March 31, 2019 compared to 2018, depreciation and amortization expense increased from $65 to $122 primarily due to depreciation and amortization of fixed assets and intangible assets recorded in connection with the Company's acquisition of Signode.</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Selling and Administrative Expense</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Selling and administrative expense increased from $90 to $157 for the three months ended March 31, 2019 compared to 2018 primarily due to the impact of the acquisition of Signode.</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Interest Expense</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three months ended March 31, 2019 compared to 2018, interest expense increased from $74 to $98 due to higher outstanding debt from borrowings incurred to finance the Signode acquisition.</w:t>
      </w:r>
    </w:p>
    <w:p>
      <w:pPr>
        <w:spacing w:after="0" w:line="153" w:lineRule="exact"/>
        <w:rPr>
          <w:sz w:val="20"/>
          <w:szCs w:val="20"/>
          <w:color w:val="auto"/>
        </w:rPr>
      </w:pPr>
    </w:p>
    <w:tbl>
      <w:tblPr>
        <w:tblLayout w:type="fixed"/>
        <w:tblInd w:w="660" w:type="dxa"/>
        <w:tblCellMar>
          <w:top w:w="0" w:type="dxa"/>
          <w:left w:w="0" w:type="dxa"/>
          <w:bottom w:w="0" w:type="dxa"/>
          <w:right w:w="0" w:type="dxa"/>
        </w:tblCellMar>
      </w:tblPr>
      <w:tr>
        <w:trPr>
          <w:trHeight w:val="207"/>
        </w:trPr>
        <w:tc>
          <w:tcPr>
            <w:tcW w:w="12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6"/>
              </w:rPr>
              <w:t>Taxes on Income</w:t>
            </w:r>
          </w:p>
        </w:tc>
        <w:tc>
          <w:tcPr>
            <w:tcW w:w="3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r>
      <w:tr>
        <w:trPr>
          <w:trHeight w:val="453"/>
        </w:trPr>
        <w:tc>
          <w:tcPr>
            <w:tcW w:w="4520" w:type="dxa"/>
            <w:vAlign w:val="bottom"/>
            <w:gridSpan w:val="2"/>
          </w:tcPr>
          <w:p>
            <w:pPr>
              <w:spacing w:after="0"/>
              <w:rPr>
                <w:sz w:val="20"/>
                <w:szCs w:val="20"/>
                <w:color w:val="auto"/>
              </w:rPr>
            </w:pPr>
            <w:r>
              <w:rPr>
                <w:rFonts w:ascii="Arial" w:cs="Arial" w:eastAsia="Arial" w:hAnsi="Arial"/>
                <w:sz w:val="18"/>
                <w:szCs w:val="18"/>
                <w:color w:val="auto"/>
                <w:w w:val="99"/>
              </w:rPr>
              <w:t>The Company's effective income tax rate was as follows:</w:t>
            </w: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378"/>
        </w:trPr>
        <w:tc>
          <w:tcPr>
            <w:tcW w:w="1280" w:type="dxa"/>
            <w:vAlign w:val="bottom"/>
          </w:tcPr>
          <w:p>
            <w:pPr>
              <w:spacing w:after="0"/>
              <w:rPr>
                <w:sz w:val="24"/>
                <w:szCs w:val="24"/>
                <w:color w:val="auto"/>
              </w:rPr>
            </w:pPr>
          </w:p>
        </w:tc>
        <w:tc>
          <w:tcPr>
            <w:tcW w:w="3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40" w:type="dxa"/>
            <w:vAlign w:val="bottom"/>
            <w:gridSpan w:val="4"/>
          </w:tcPr>
          <w:p>
            <w:pPr>
              <w:jc w:val="center"/>
              <w:ind w:right="130"/>
              <w:spacing w:after="0"/>
              <w:rPr>
                <w:sz w:val="20"/>
                <w:szCs w:val="20"/>
                <w:color w:val="auto"/>
              </w:rPr>
            </w:pPr>
            <w:r>
              <w:rPr>
                <w:rFonts w:ascii="Arial" w:cs="Arial" w:eastAsia="Arial" w:hAnsi="Arial"/>
                <w:sz w:val="18"/>
                <w:szCs w:val="18"/>
                <w:color w:val="auto"/>
                <w:w w:val="90"/>
              </w:rPr>
              <w:t>Three Months Ended</w:t>
            </w:r>
          </w:p>
        </w:tc>
      </w:tr>
      <w:tr>
        <w:trPr>
          <w:trHeight w:val="270"/>
        </w:trPr>
        <w:tc>
          <w:tcPr>
            <w:tcW w:w="1280" w:type="dxa"/>
            <w:vAlign w:val="bottom"/>
          </w:tcPr>
          <w:p>
            <w:pPr>
              <w:spacing w:after="0"/>
              <w:rPr>
                <w:sz w:val="23"/>
                <w:szCs w:val="23"/>
                <w:color w:val="auto"/>
              </w:rPr>
            </w:pPr>
          </w:p>
        </w:tc>
        <w:tc>
          <w:tcPr>
            <w:tcW w:w="32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80" w:type="dxa"/>
            <w:vAlign w:val="bottom"/>
            <w:gridSpan w:val="3"/>
          </w:tcPr>
          <w:p>
            <w:pPr>
              <w:jc w:val="center"/>
              <w:ind w:left="550"/>
              <w:spacing w:after="0"/>
              <w:rPr>
                <w:sz w:val="20"/>
                <w:szCs w:val="20"/>
                <w:color w:val="auto"/>
              </w:rPr>
            </w:pPr>
            <w:r>
              <w:rPr>
                <w:rFonts w:ascii="Arial" w:cs="Arial" w:eastAsia="Arial" w:hAnsi="Arial"/>
                <w:sz w:val="18"/>
                <w:szCs w:val="18"/>
                <w:color w:val="auto"/>
                <w:w w:val="90"/>
              </w:rPr>
              <w:t>March 31</w:t>
            </w:r>
          </w:p>
        </w:tc>
        <w:tc>
          <w:tcPr>
            <w:tcW w:w="860" w:type="dxa"/>
            <w:vAlign w:val="bottom"/>
          </w:tcPr>
          <w:p>
            <w:pPr>
              <w:spacing w:after="0"/>
              <w:rPr>
                <w:sz w:val="23"/>
                <w:szCs w:val="23"/>
                <w:color w:val="auto"/>
              </w:rPr>
            </w:pPr>
          </w:p>
        </w:tc>
      </w:tr>
      <w:tr>
        <w:trPr>
          <w:trHeight w:val="27"/>
        </w:trPr>
        <w:tc>
          <w:tcPr>
            <w:tcW w:w="12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37"/>
        </w:trPr>
        <w:tc>
          <w:tcPr>
            <w:tcW w:w="1280" w:type="dxa"/>
            <w:vAlign w:val="bottom"/>
          </w:tcPr>
          <w:p>
            <w:pPr>
              <w:spacing w:after="0"/>
              <w:rPr>
                <w:sz w:val="20"/>
                <w:szCs w:val="20"/>
                <w:color w:val="auto"/>
              </w:rPr>
            </w:pPr>
          </w:p>
        </w:tc>
        <w:tc>
          <w:tcPr>
            <w:tcW w:w="32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color w:val="auto"/>
              </w:rPr>
              <w:t>2019</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color w:val="auto"/>
              </w:rPr>
              <w:t>2018</w:t>
            </w:r>
          </w:p>
        </w:tc>
      </w:tr>
      <w:tr>
        <w:trPr>
          <w:trHeight w:val="27"/>
        </w:trPr>
        <w:tc>
          <w:tcPr>
            <w:tcW w:w="1280" w:type="dxa"/>
            <w:vAlign w:val="bottom"/>
            <w:tcBorders>
              <w:bottom w:val="single" w:sz="8" w:color="CCEEFF"/>
            </w:tcBorders>
          </w:tcPr>
          <w:p>
            <w:pPr>
              <w:spacing w:after="0"/>
              <w:rPr>
                <w:sz w:val="2"/>
                <w:szCs w:val="2"/>
                <w:color w:val="auto"/>
              </w:rPr>
            </w:pPr>
          </w:p>
        </w:tc>
        <w:tc>
          <w:tcPr>
            <w:tcW w:w="32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44"/>
        </w:trPr>
        <w:tc>
          <w:tcPr>
            <w:tcW w:w="4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Income before income taxes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178</w:t>
            </w:r>
          </w:p>
        </w:tc>
        <w:tc>
          <w:tcPr>
            <w:tcW w:w="2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152</w:t>
            </w:r>
          </w:p>
        </w:tc>
      </w:tr>
      <w:tr>
        <w:trPr>
          <w:trHeight w:val="243"/>
        </w:trPr>
        <w:tc>
          <w:tcPr>
            <w:tcW w:w="4520" w:type="dxa"/>
            <w:vAlign w:val="bottom"/>
            <w:gridSpan w:val="2"/>
          </w:tcPr>
          <w:p>
            <w:pPr>
              <w:ind w:left="20"/>
              <w:spacing w:after="0"/>
              <w:rPr>
                <w:sz w:val="20"/>
                <w:szCs w:val="20"/>
                <w:color w:val="auto"/>
              </w:rPr>
            </w:pPr>
            <w:r>
              <w:rPr>
                <w:rFonts w:ascii="Arial" w:cs="Arial" w:eastAsia="Arial" w:hAnsi="Arial"/>
                <w:sz w:val="18"/>
                <w:szCs w:val="18"/>
                <w:color w:val="auto"/>
              </w:rPr>
              <w:t>Provision for income taxes</w:t>
            </w:r>
          </w:p>
        </w:tc>
        <w:tc>
          <w:tcPr>
            <w:tcW w:w="260" w:type="dxa"/>
            <w:vAlign w:val="bottom"/>
          </w:tcPr>
          <w:p>
            <w:pPr>
              <w:spacing w:after="0"/>
              <w:rPr>
                <w:sz w:val="21"/>
                <w:szCs w:val="21"/>
                <w:color w:val="auto"/>
              </w:rPr>
            </w:pPr>
          </w:p>
        </w:tc>
        <w:tc>
          <w:tcPr>
            <w:tcW w:w="940" w:type="dxa"/>
            <w:vAlign w:val="bottom"/>
          </w:tcPr>
          <w:p>
            <w:pPr>
              <w:jc w:val="right"/>
              <w:ind w:right="90"/>
              <w:spacing w:after="0"/>
              <w:rPr>
                <w:sz w:val="20"/>
                <w:szCs w:val="20"/>
                <w:color w:val="auto"/>
              </w:rPr>
            </w:pPr>
            <w:r>
              <w:rPr>
                <w:rFonts w:ascii="Arial" w:cs="Arial" w:eastAsia="Arial" w:hAnsi="Arial"/>
                <w:sz w:val="18"/>
                <w:szCs w:val="18"/>
                <w:color w:val="auto"/>
              </w:rPr>
              <w:t>48</w:t>
            </w: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tcPr>
          <w:p>
            <w:pPr>
              <w:jc w:val="right"/>
              <w:ind w:right="90"/>
              <w:spacing w:after="0"/>
              <w:rPr>
                <w:sz w:val="20"/>
                <w:szCs w:val="20"/>
                <w:color w:val="auto"/>
              </w:rPr>
            </w:pPr>
            <w:r>
              <w:rPr>
                <w:rFonts w:ascii="Arial" w:cs="Arial" w:eastAsia="Arial" w:hAnsi="Arial"/>
                <w:sz w:val="18"/>
                <w:szCs w:val="18"/>
                <w:color w:val="auto"/>
              </w:rPr>
              <w:t>39</w:t>
            </w:r>
          </w:p>
        </w:tc>
      </w:tr>
      <w:tr>
        <w:trPr>
          <w:trHeight w:val="27"/>
        </w:trPr>
        <w:tc>
          <w:tcPr>
            <w:tcW w:w="1280" w:type="dxa"/>
            <w:vAlign w:val="bottom"/>
          </w:tcPr>
          <w:p>
            <w:pPr>
              <w:spacing w:after="0"/>
              <w:rPr>
                <w:sz w:val="2"/>
                <w:szCs w:val="2"/>
                <w:color w:val="auto"/>
              </w:rPr>
            </w:pPr>
          </w:p>
        </w:tc>
        <w:tc>
          <w:tcPr>
            <w:tcW w:w="3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94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4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Effective income tax rate</w:t>
            </w:r>
          </w:p>
        </w:tc>
        <w:tc>
          <w:tcPr>
            <w:tcW w:w="2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7"/>
        </w:trPr>
        <w:tc>
          <w:tcPr>
            <w:tcW w:w="1280" w:type="dxa"/>
            <w:vAlign w:val="bottom"/>
            <w:shd w:val="clear" w:color="auto" w:fill="CCEEFF"/>
          </w:tcPr>
          <w:p>
            <w:pPr>
              <w:spacing w:after="0"/>
              <w:rPr>
                <w:sz w:val="2"/>
                <w:szCs w:val="2"/>
                <w:color w:val="auto"/>
              </w:rPr>
            </w:pPr>
          </w:p>
        </w:tc>
        <w:tc>
          <w:tcPr>
            <w:tcW w:w="324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Company's effective rate was comparable for the three months ended March 31, 2019 compared to 2018.</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Net Income Attributable to Noncontrolling Interests</w:t>
      </w:r>
    </w:p>
    <w:p>
      <w:pPr>
        <w:spacing w:after="0" w:line="22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For the three months ended March 31, 2019 compared to 2018, net income attributable to noncontrolling interests increased from $23 to $28 primarily due to higher earnings in the Company's beverage can operations in Brazil.</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ectPr>
          <w:pgSz w:w="11900" w:h="16838" w:orient="portrait"/>
          <w:cols w:equalWidth="0" w:num="1">
            <w:col w:w="11420"/>
          </w:cols>
          <w:pgMar w:left="240" w:top="121" w:right="239" w:bottom="1440" w:gutter="0" w:footer="0" w:header="0"/>
          <w:type w:val="continuous"/>
        </w:sectPr>
      </w:pPr>
    </w:p>
    <w:bookmarkStart w:id="42" w:name="page43"/>
    <w:bookmarkEnd w:id="42"/>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Liquidity and Capital Resources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Cash from Operations</w:t>
      </w:r>
    </w:p>
    <w:p>
      <w:pPr>
        <w:spacing w:after="0" w:line="229" w:lineRule="exact"/>
        <w:rPr>
          <w:sz w:val="20"/>
          <w:szCs w:val="20"/>
          <w:color w:val="auto"/>
        </w:rPr>
      </w:pPr>
    </w:p>
    <w:p>
      <w:pPr>
        <w:jc w:val="both"/>
        <w:ind w:left="660"/>
        <w:spacing w:after="0" w:line="286" w:lineRule="auto"/>
        <w:rPr>
          <w:sz w:val="20"/>
          <w:szCs w:val="20"/>
          <w:color w:val="auto"/>
        </w:rPr>
      </w:pPr>
      <w:r>
        <w:rPr>
          <w:rFonts w:ascii="Arial" w:cs="Arial" w:eastAsia="Arial" w:hAnsi="Arial"/>
          <w:sz w:val="17"/>
          <w:szCs w:val="17"/>
          <w:color w:val="auto"/>
        </w:rPr>
        <w:t>Cash used for operating activities decreased from $751 for the three months ended March 31, 2018 to $666 for the three months ended March 31, 2019 primarily due to higher income from operations and changes in working capital partially offset by higher cash used for interest payments during the three months ended March 31, 2019 related to outstanding borrowings incurred to finance the Signode acquisition.</w:t>
      </w:r>
    </w:p>
    <w:p>
      <w:pPr>
        <w:spacing w:after="0" w:line="166"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Days sales outstanding for trade receivables, excluding the impact of unbilled receivables, increased from 37 days at March 31, 2018 to 41 days at March 31, 2019, primarily due to the impact of the Signode acquisition.</w:t>
      </w:r>
    </w:p>
    <w:p>
      <w:pPr>
        <w:spacing w:after="0" w:line="170"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Inventory turnover was 69 days at March 31, 2018 compared to 70 days at March 31, 2019. Inventory turnover at March 31, 2019 increased compared to 64 days at December 31, 2018 due to seasonality in the Company's food and beverage can businesses. The food can business is seasonal with the first quarter tending to be the slowest period as the autumn packaging period in the Northern Hemisphere has ended and new crops are not yet planted. The industry enters its busiest period in the third quarter when the majority of fruits and vegetables in the Northern Hemisphere are harvested. Due to this seasonality, inventory levels increase in the first half of the year to meet peak demand in the second and third quarters. The beverage can business is also seasonal with inventory levels generally increasing in the first half of the year to meet peak demand in the summer months in the Northern Hemisphere.</w:t>
      </w:r>
    </w:p>
    <w:p>
      <w:pPr>
        <w:spacing w:after="0" w:line="149" w:lineRule="exact"/>
        <w:rPr>
          <w:sz w:val="20"/>
          <w:szCs w:val="20"/>
          <w:color w:val="auto"/>
        </w:rPr>
      </w:pPr>
    </w:p>
    <w:p>
      <w:pPr>
        <w:jc w:val="both"/>
        <w:ind w:left="660" w:right="20"/>
        <w:spacing w:after="0" w:line="277" w:lineRule="auto"/>
        <w:rPr>
          <w:sz w:val="20"/>
          <w:szCs w:val="20"/>
          <w:color w:val="auto"/>
        </w:rPr>
      </w:pPr>
      <w:r>
        <w:rPr>
          <w:rFonts w:ascii="Arial" w:cs="Arial" w:eastAsia="Arial" w:hAnsi="Arial"/>
          <w:sz w:val="18"/>
          <w:szCs w:val="18"/>
          <w:color w:val="auto"/>
        </w:rPr>
        <w:t>Days outstanding for trade payables was 97 days at March 31, 2018 compared to 88 days at March 31, 2019, primarily due to the impact of the Signode acquisition.</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Investing Activities</w:t>
      </w:r>
    </w:p>
    <w:p>
      <w:pPr>
        <w:spacing w:after="0" w:line="22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Investing activities provided cash of $58 for the three months ended March 31, 2018 and used cash of $64 for the three months ended March 31, 2019. Investing activities for the three months ended March 31, 2018 included cash collections of $175 related to beneficial interests in transferred receivables. In July 2018, the Company terminated its $200 North American securitization facility, which included a deferred purchase price component, and entered into a new securitization facility which removed the deferred purchase price component but requires the Company to maintain a deposit in a restricted cash account. Proceeds from the new securitization facility are included the receivables line in the Company's Consolidated Statement of Cash Flows.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2018, the Company paid $25 for the settlement of a foreign exchange contract related to the Signode acquisition.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currently expects capital expenditures for 2019 to be in the range of $400 to $425.</w:t>
      </w:r>
    </w:p>
    <w:p>
      <w:pPr>
        <w:spacing w:after="0" w:line="221"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Financing Activities</w:t>
      </w:r>
    </w:p>
    <w:p>
      <w:pPr>
        <w:spacing w:after="0" w:line="22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Cash provided by financing activities decreased from $2,455 for the three months ended March 31, 2018 to $417 for the three months ended March 31, 2019. In 2018, financing activities primarily included borrowings to finance the Signode acquisition.</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Liquidity</w:t>
      </w:r>
    </w:p>
    <w:p>
      <w:pPr>
        <w:spacing w:after="0" w:line="229" w:lineRule="exact"/>
        <w:rPr>
          <w:sz w:val="20"/>
          <w:szCs w:val="20"/>
          <w:color w:val="auto"/>
        </w:rPr>
      </w:pPr>
    </w:p>
    <w:p>
      <w:pPr>
        <w:jc w:val="both"/>
        <w:ind w:left="660"/>
        <w:spacing w:after="0" w:line="255" w:lineRule="auto"/>
        <w:rPr>
          <w:sz w:val="20"/>
          <w:szCs w:val="20"/>
          <w:color w:val="auto"/>
        </w:rPr>
      </w:pPr>
      <w:r>
        <w:rPr>
          <w:rFonts w:ascii="Arial" w:cs="Arial" w:eastAsia="Arial" w:hAnsi="Arial"/>
          <w:sz w:val="18"/>
          <w:szCs w:val="18"/>
          <w:color w:val="auto"/>
        </w:rPr>
        <w:t>As of March 31, 2019, $264 of the Company's $301 of cash and cash equivalents was located outside the U.S. The Company funds its cash needs in the U.S. through cash flows from operations in the U.S., distributions from certain foreign subsidiaries, borrowings under its revolving credit facility and the acceleration of cash receipts under its receivable securitization facilities. Of the cash and cash equivalents located outside the U.S., $210 was held by subsidiaries for which earnings are considered indefinitely reinvested. While based on current operating plans the Company does not foresee a need to repatriate these funds, if such earnings were repatriated the Company would be required to record any incremental U.S. taxes on the repatriated funds.</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121" w:right="239" w:bottom="1440" w:gutter="0" w:footer="0" w:header="0"/>
        </w:sectPr>
      </w:pPr>
    </w:p>
    <w:bookmarkStart w:id="43" w:name="page44"/>
    <w:bookmarkEnd w:id="43"/>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200" w:lineRule="exact"/>
        <w:rPr>
          <w:sz w:val="20"/>
          <w:szCs w:val="20"/>
          <w:color w:val="auto"/>
        </w:rPr>
      </w:pPr>
    </w:p>
    <w:p>
      <w:pPr>
        <w:spacing w:after="0" w:line="205"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As of March 31, 2019, the Company had $897 of borrowing capacity available under its revolving credit facility, equal to the total facility of $1,650 less borrowings of $687 and $66 of outstanding standby letters of credit. The Company could have borrowed this amount at March 31, 2019 and still been in compliance with its leverage ratio covenants.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Capital Resources</w:t>
      </w:r>
    </w:p>
    <w:p>
      <w:pPr>
        <w:spacing w:after="0" w:line="229" w:lineRule="exact"/>
        <w:rPr>
          <w:sz w:val="20"/>
          <w:szCs w:val="20"/>
          <w:color w:val="auto"/>
        </w:rPr>
      </w:pPr>
    </w:p>
    <w:p>
      <w:pPr>
        <w:jc w:val="both"/>
        <w:ind w:left="660"/>
        <w:spacing w:after="0" w:line="308" w:lineRule="auto"/>
        <w:rPr>
          <w:sz w:val="20"/>
          <w:szCs w:val="20"/>
          <w:color w:val="auto"/>
        </w:rPr>
      </w:pPr>
      <w:r>
        <w:rPr>
          <w:rFonts w:ascii="Arial" w:cs="Arial" w:eastAsia="Arial" w:hAnsi="Arial"/>
          <w:sz w:val="17"/>
          <w:szCs w:val="17"/>
          <w:color w:val="auto"/>
        </w:rPr>
        <w:t>As of March 31, 2019, the Company had approximately $101 of capital commitments primarily related to its Americas Beverage and European Beverage segments. The Company expects to fund these commitments primarily through cash flows generated from operations.</w:t>
      </w:r>
    </w:p>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Contractual Obligations</w:t>
      </w:r>
    </w:p>
    <w:p>
      <w:pPr>
        <w:spacing w:after="0" w:line="229"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During the three months of 2019, there were no material changes to the Company's contractual obligations provided within Part II, Item 7, “Management's Discussion and Analysis of Financial Condition and Results of Operations” of the Company's Annual Report on Form 10-K for the year ended December 31, 2018, which information is incorporated herein by reference.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Commitments and Contingent Liabilities</w:t>
      </w:r>
    </w:p>
    <w:p>
      <w:pPr>
        <w:spacing w:after="0" w:line="229" w:lineRule="exact"/>
        <w:rPr>
          <w:sz w:val="20"/>
          <w:szCs w:val="20"/>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Information regarding the Company's commitments and contingent liabilities appears in Part I within Item 1 of this report under </w:t>
      </w:r>
      <w:hyperlink w:anchor="page14">
        <w:r>
          <w:rPr>
            <w:rFonts w:ascii="Arial" w:cs="Arial" w:eastAsia="Arial" w:hAnsi="Arial"/>
            <w:sz w:val="18"/>
            <w:szCs w:val="18"/>
            <w:u w:val="single" w:color="auto"/>
            <w:color w:val="0000EE"/>
          </w:rPr>
          <w:t>Note L</w:t>
        </w:r>
      </w:hyperlink>
      <w:r>
        <w:rPr>
          <w:rFonts w:ascii="Arial" w:cs="Arial" w:eastAsia="Arial" w:hAnsi="Arial"/>
          <w:sz w:val="18"/>
          <w:szCs w:val="18"/>
          <w:color w:val="auto"/>
        </w:rPr>
        <w:t>, entitled “Commitments and Contingent Liabilities,” to the consolidated financial statements, and in Part II within Item 1A of this report which information is incorporated herein by reference.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Critical Accounting Policies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accompanying consolidated financial statements have been prepared in accordance with accounting principles generally accepted in the U.S.</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which require that management make numerous estimates and assumptions.</w:t>
      </w:r>
    </w:p>
    <w:p>
      <w:pPr>
        <w:spacing w:after="0" w:line="211"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Actual results could differ from these estimates and assumptions, impacting the reported results of operations and financial condition of the Company. Part II, Item 7, “Management's Discussion and Analysis of Financial Condition and Results of Operations” and Note A to the consolidated financial statements contained in the Company's Annual Report on Form</w:t>
      </w:r>
    </w:p>
    <w:p>
      <w:pPr>
        <w:jc w:val="both"/>
        <w:ind w:left="660"/>
        <w:spacing w:after="0" w:line="255" w:lineRule="auto"/>
        <w:rPr>
          <w:rFonts w:ascii="Arial" w:cs="Arial" w:eastAsia="Arial" w:hAnsi="Arial"/>
          <w:sz w:val="18"/>
          <w:szCs w:val="18"/>
          <w:color w:val="auto"/>
        </w:rPr>
      </w:pPr>
      <w:r>
        <w:rPr>
          <w:rFonts w:ascii="Arial" w:cs="Arial" w:eastAsia="Arial" w:hAnsi="Arial"/>
          <w:sz w:val="18"/>
          <w:szCs w:val="18"/>
          <w:color w:val="auto"/>
        </w:rPr>
        <w:t xml:space="preserve">10-K for the year ended December 31, 2018 describe the significant accounting estimates and policies used in the preparation of the consolidated financial statements. Updates to the Company's accounting policies related to new accounting pronouncements are included in </w:t>
      </w:r>
      <w:hyperlink w:anchor="page7">
        <w:r>
          <w:rPr>
            <w:rFonts w:ascii="Arial" w:cs="Arial" w:eastAsia="Arial" w:hAnsi="Arial"/>
            <w:sz w:val="18"/>
            <w:szCs w:val="18"/>
            <w:u w:val="single" w:color="auto"/>
            <w:color w:val="0000EE"/>
          </w:rPr>
          <w:t>Note B</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to the consolidated financial statements included in this Quarterly Report on Form 10-Q.</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b w:val="1"/>
          <w:bCs w:val="1"/>
          <w:u w:val="single" w:color="auto"/>
          <w:color w:val="auto"/>
        </w:rPr>
        <w:t>Forward Looking Statements</w:t>
      </w:r>
    </w:p>
    <w:p>
      <w:pPr>
        <w:spacing w:after="0" w:line="229" w:lineRule="exact"/>
        <w:rPr>
          <w:sz w:val="20"/>
          <w:szCs w:val="20"/>
          <w:color w:val="auto"/>
        </w:rPr>
      </w:pPr>
    </w:p>
    <w:p>
      <w:pPr>
        <w:jc w:val="both"/>
        <w:ind w:left="660"/>
        <w:spacing w:after="0" w:line="271" w:lineRule="auto"/>
        <w:rPr>
          <w:rFonts w:ascii="Arial" w:cs="Arial" w:eastAsia="Arial" w:hAnsi="Arial"/>
          <w:sz w:val="17"/>
          <w:szCs w:val="17"/>
          <w:color w:val="auto"/>
        </w:rPr>
      </w:pPr>
      <w:r>
        <w:rPr>
          <w:rFonts w:ascii="Arial" w:cs="Arial" w:eastAsia="Arial" w:hAnsi="Arial"/>
          <w:sz w:val="17"/>
          <w:szCs w:val="17"/>
          <w:color w:val="auto"/>
        </w:rPr>
        <w:t xml:space="preserve">Statements included herein in “Management's Discussion and Analysis of Financial Condition and Results of Operations,” including, but not limited to, in the discussions of asbestos in </w:t>
      </w:r>
      <w:hyperlink w:anchor="page12">
        <w:r>
          <w:rPr>
            <w:rFonts w:ascii="Arial" w:cs="Arial" w:eastAsia="Arial" w:hAnsi="Arial"/>
            <w:sz w:val="17"/>
            <w:szCs w:val="17"/>
            <w:u w:val="single" w:color="auto"/>
            <w:color w:val="0000EE"/>
          </w:rPr>
          <w:t>Note K</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 xml:space="preserve">and commitments and contingencies in </w:t>
      </w:r>
      <w:hyperlink w:anchor="page14">
        <w:r>
          <w:rPr>
            <w:rFonts w:ascii="Arial" w:cs="Arial" w:eastAsia="Arial" w:hAnsi="Arial"/>
            <w:sz w:val="17"/>
            <w:szCs w:val="17"/>
            <w:u w:val="single" w:color="auto"/>
            <w:color w:val="0000EE"/>
          </w:rPr>
          <w:t>Note L</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included in this Quarterly Report on Form 10-Q and also in Part I, Item 1, “Business” and Item 3, “Legal Proceedings” and in Part II, Item 7, “Management's Discussion and Analysis of Financial Condition and Results of Operations,” within the Company's Annual Report on Form 10-K for the year ended December 31, 2018, which are not historical facts (including any statements concerning plans and objectives of management for capacity additions, share repurchases, dividends, future operations or economic performance, or assumptions related thereto), are “forward-looking statements” within the meaning of the federal securities laws. In addition, the Company and its representatives may, from time to time, make oral or written statements which are also “forward-looking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121" w:right="239" w:bottom="1440" w:gutter="0" w:footer="0" w:header="0"/>
        </w:sectPr>
      </w:pPr>
    </w:p>
    <w:bookmarkStart w:id="44" w:name="page45"/>
    <w:bookmarkEnd w:id="44"/>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2. Management's Discussion and Analysis </w:t>
      </w:r>
      <w:r>
        <w:rPr>
          <w:rFonts w:ascii="Arial" w:cs="Arial" w:eastAsia="Arial" w:hAnsi="Arial"/>
          <w:sz w:val="18"/>
          <w:szCs w:val="18"/>
          <w:color w:val="auto"/>
        </w:rPr>
        <w:t>(Continued)</w:t>
      </w:r>
    </w:p>
    <w:p>
      <w:pPr>
        <w:spacing w:after="0" w:line="189" w:lineRule="exact"/>
        <w:rPr>
          <w:sz w:val="20"/>
          <w:szCs w:val="20"/>
          <w:color w:val="auto"/>
        </w:rPr>
      </w:pPr>
    </w:p>
    <w:p>
      <w:pPr>
        <w:jc w:val="both"/>
        <w:ind w:left="660"/>
        <w:spacing w:after="0" w:line="258" w:lineRule="auto"/>
        <w:rPr>
          <w:sz w:val="20"/>
          <w:szCs w:val="20"/>
          <w:color w:val="auto"/>
        </w:rPr>
      </w:pPr>
      <w:r>
        <w:rPr>
          <w:rFonts w:ascii="Arial" w:cs="Arial" w:eastAsia="Arial" w:hAnsi="Arial"/>
          <w:sz w:val="18"/>
          <w:szCs w:val="18"/>
          <w:color w:val="auto"/>
        </w:rPr>
        <w:t>These forward-looking statements are made based upon management's expectations and beliefs concerning future events impacting the Company and, therefore, involve a number of risks and uncertainties. Management cautions that forward-</w:t>
      </w:r>
    </w:p>
    <w:p>
      <w:pPr>
        <w:spacing w:after="0" w:line="1" w:lineRule="exact"/>
        <w:rPr>
          <w:sz w:val="20"/>
          <w:szCs w:val="20"/>
          <w:color w:val="auto"/>
        </w:rPr>
      </w:pPr>
    </w:p>
    <w:p>
      <w:pPr>
        <w:jc w:val="both"/>
        <w:ind w:left="660"/>
        <w:spacing w:after="0" w:line="261" w:lineRule="auto"/>
        <w:rPr>
          <w:sz w:val="20"/>
          <w:szCs w:val="20"/>
          <w:color w:val="auto"/>
        </w:rPr>
      </w:pPr>
      <w:r>
        <w:rPr>
          <w:rFonts w:ascii="Arial" w:cs="Arial" w:eastAsia="Arial" w:hAnsi="Arial"/>
          <w:sz w:val="18"/>
          <w:szCs w:val="18"/>
          <w:color w:val="auto"/>
        </w:rPr>
        <w:t>looking statements are not guarantees and that actual results could differ materially from those expressed or implied in the forward-looking statements.</w:t>
      </w:r>
    </w:p>
    <w:p>
      <w:pPr>
        <w:spacing w:after="0" w:line="184" w:lineRule="exact"/>
        <w:rPr>
          <w:sz w:val="20"/>
          <w:szCs w:val="20"/>
          <w:color w:val="auto"/>
        </w:rPr>
      </w:pPr>
    </w:p>
    <w:p>
      <w:pPr>
        <w:jc w:val="both"/>
        <w:ind w:left="660"/>
        <w:spacing w:after="0" w:line="279" w:lineRule="auto"/>
        <w:rPr>
          <w:sz w:val="20"/>
          <w:szCs w:val="20"/>
          <w:color w:val="auto"/>
        </w:rPr>
      </w:pPr>
      <w:r>
        <w:rPr>
          <w:rFonts w:ascii="Arial" w:cs="Arial" w:eastAsia="Arial" w:hAnsi="Arial"/>
          <w:sz w:val="17"/>
          <w:szCs w:val="17"/>
          <w:color w:val="auto"/>
        </w:rPr>
        <w:t>While the Company periodically reassesses material trends and uncertainties affecting the Company's results of operations and financial condition in connection with the preparation of “Management's Discussion and Analysis of Financial Condition and Results of Operations” and certain other sections contained in the Company's quarterly, annual or other reports filed with the Securities and Exchange Commission (“SEC”), the Company does not intend to review or revise any particular forward-looking statement in light of future events.</w:t>
      </w:r>
    </w:p>
    <w:p>
      <w:pPr>
        <w:spacing w:after="0" w:line="171" w:lineRule="exact"/>
        <w:rPr>
          <w:sz w:val="20"/>
          <w:szCs w:val="20"/>
          <w:color w:val="auto"/>
        </w:rPr>
      </w:pPr>
    </w:p>
    <w:p>
      <w:pPr>
        <w:jc w:val="both"/>
        <w:ind w:left="660"/>
        <w:spacing w:after="0" w:line="256" w:lineRule="auto"/>
        <w:rPr>
          <w:sz w:val="20"/>
          <w:szCs w:val="20"/>
          <w:color w:val="auto"/>
        </w:rPr>
      </w:pPr>
      <w:r>
        <w:rPr>
          <w:rFonts w:ascii="Arial" w:cs="Arial" w:eastAsia="Arial" w:hAnsi="Arial"/>
          <w:sz w:val="18"/>
          <w:szCs w:val="18"/>
          <w:color w:val="auto"/>
        </w:rPr>
        <w:t>A discussion of important factors that could cause the actual results of operations or financial condition of the Company to differ from expectations has been set forth in the Company's Annual Report on Form 10-K for the year ended December 31, 2018 within Part II, Item 7: “Management's Discussion and Analysis of Financial Condition and Results of Operations”</w:t>
      </w:r>
    </w:p>
    <w:p>
      <w:pPr>
        <w:jc w:val="both"/>
        <w:ind w:left="660"/>
        <w:spacing w:after="0" w:line="255" w:lineRule="auto"/>
        <w:rPr>
          <w:sz w:val="20"/>
          <w:szCs w:val="20"/>
          <w:color w:val="auto"/>
        </w:rPr>
      </w:pPr>
      <w:r>
        <w:rPr>
          <w:rFonts w:ascii="Arial" w:cs="Arial" w:eastAsia="Arial" w:hAnsi="Arial"/>
          <w:sz w:val="18"/>
          <w:szCs w:val="18"/>
          <w:color w:val="auto"/>
        </w:rPr>
        <w:t>under the caption “Forward Looking Statements” and is incorporated herein by reference. Some of the factors are also discussed elsewhere in this Form 10-Q and in prior Company filings with the SEC. In addition, other factors have been or may be discussed from time to time in the Company's SEC filings.</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jc w:val="both"/>
        <w:ind w:left="660"/>
        <w:spacing w:after="0" w:line="270" w:lineRule="auto"/>
        <w:rPr>
          <w:rFonts w:ascii="Arial" w:cs="Arial" w:eastAsia="Arial" w:hAnsi="Arial"/>
          <w:sz w:val="17"/>
          <w:szCs w:val="17"/>
          <w:color w:val="auto"/>
        </w:rPr>
      </w:pPr>
      <w:r>
        <w:rPr>
          <w:rFonts w:ascii="Arial" w:cs="Arial" w:eastAsia="Arial" w:hAnsi="Arial"/>
          <w:sz w:val="17"/>
          <w:szCs w:val="17"/>
          <w:color w:val="auto"/>
        </w:rPr>
        <w:t xml:space="preserve">In the normal course of business the Company is subject to risk from adverse fluctuations in foreign exchange and interest rates and commodity prices. The Company manages these risks through a program that includes the use of derivative financial instruments, primarily swaps and forwards. Counterparties to these contracts are major financial institutions. The Company is exposed to credit loss in the event of nonperformance by the counterparties. These instruments are not used for trading or speculative purposes. The extent to which the Company uses such instruments is dependent upon its access to these contracts in the financial markets and its success in using other methods, such as netting exposures in the same currencies to mitigate foreign exchange risk and using sales arrangements that permit the pass-through of commodity prices and foreign exchange rate risks to customers. The Company's objective in managing its exposure to market risk is to limit the impact on earnings and cash flow. For further discussion of the Company's use of derivative instruments and their fair values at March 31, 2019, see </w:t>
      </w:r>
      <w:hyperlink w:anchor="page15">
        <w:r>
          <w:rPr>
            <w:rFonts w:ascii="Arial" w:cs="Arial" w:eastAsia="Arial" w:hAnsi="Arial"/>
            <w:sz w:val="17"/>
            <w:szCs w:val="17"/>
            <w:u w:val="single" w:color="auto"/>
            <w:color w:val="0000EE"/>
          </w:rPr>
          <w:t>Note M</w:t>
        </w:r>
        <w:r>
          <w:rPr>
            <w:rFonts w:ascii="Arial" w:cs="Arial" w:eastAsia="Arial" w:hAnsi="Arial"/>
            <w:sz w:val="17"/>
            <w:szCs w:val="17"/>
            <w:u w:val="single" w:color="auto"/>
            <w:color w:val="auto"/>
          </w:rPr>
          <w:t xml:space="preserve"> </w:t>
        </w:r>
      </w:hyperlink>
      <w:r>
        <w:rPr>
          <w:rFonts w:ascii="Arial" w:cs="Arial" w:eastAsia="Arial" w:hAnsi="Arial"/>
          <w:sz w:val="17"/>
          <w:szCs w:val="17"/>
          <w:color w:val="auto"/>
        </w:rPr>
        <w:t>to the consolidated financial statements included in this Quarterly Report on Form 10-Q.</w:t>
      </w:r>
    </w:p>
    <w:p>
      <w:pPr>
        <w:spacing w:after="0" w:line="182"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As of March 31, 2019, the Company had $3.4 billion principal floating interest rate debt. A change of 0.25% in these floating interest rates would change annual interest expense by approximately $8 million before tax.</w:t>
      </w:r>
    </w:p>
    <w:p>
      <w:pPr>
        <w:spacing w:after="0" w:line="3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jc w:val="both"/>
        <w:ind w:left="660"/>
        <w:spacing w:after="0" w:line="271" w:lineRule="auto"/>
        <w:rPr>
          <w:sz w:val="20"/>
          <w:szCs w:val="20"/>
          <w:color w:val="auto"/>
        </w:rPr>
      </w:pPr>
      <w:r>
        <w:rPr>
          <w:rFonts w:ascii="Arial" w:cs="Arial" w:eastAsia="Arial" w:hAnsi="Arial"/>
          <w:sz w:val="17"/>
          <w:szCs w:val="17"/>
          <w:color w:val="auto"/>
        </w:rPr>
        <w:t>As of the end of the period covered by this Quarterly Report on Form 10-Q, management, including the Company's Chief Executive Officer and Chief Financial Officer, has evaluated the effectiveness of the design and operation of its disclosure controls and procedures. Based upon that evaluation and as of the end of the quarter for which this report is made, the Company's Chief Executive Officer and Chief Financial Officer concluded that the disclosure controls and procedures were effective. Disclosure controls and procedures ensure that information to be disclosed in reports that the Company files and submits under the Exchange Act is recorded, processed, summarized and reported within the time periods specified in the rules and terms of the SEC, and ensure that information required to be disclosed in the reports that the Company files or submits under the Exchange Act is accumulated and communicated to the Company's management, including its Chief Executive Officer and Chief Financial Officer, to allow timely decisions regarding required disclosure.</w:t>
      </w:r>
    </w:p>
    <w:p>
      <w:pPr>
        <w:spacing w:after="0" w:line="17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There has been no change in internal controls over financial reporting that occurred during the period covered by this report that has materially affected, or is reasonably likely to materially affect, the Company's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121" w:right="239" w:bottom="1440" w:gutter="0" w:footer="0" w:header="0"/>
        </w:sectPr>
      </w:pPr>
    </w:p>
    <w:bookmarkStart w:id="45" w:name="page46"/>
    <w:bookmarkEnd w:id="45"/>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38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jc w:val="both"/>
        <w:ind w:left="340" w:firstLine="648"/>
        <w:spacing w:after="0" w:line="264" w:lineRule="auto"/>
        <w:rPr>
          <w:rFonts w:ascii="Arial" w:cs="Arial" w:eastAsia="Arial" w:hAnsi="Arial"/>
          <w:sz w:val="18"/>
          <w:szCs w:val="18"/>
          <w:color w:val="auto"/>
        </w:rPr>
      </w:pPr>
      <w:r>
        <w:rPr>
          <w:rFonts w:ascii="Arial" w:cs="Arial" w:eastAsia="Arial" w:hAnsi="Arial"/>
          <w:sz w:val="18"/>
          <w:szCs w:val="18"/>
          <w:color w:val="auto"/>
        </w:rPr>
        <w:t xml:space="preserve">For information regarding the Company's potential asbestos-related liabilities and other litigation, see </w:t>
      </w:r>
      <w:hyperlink w:anchor="page12">
        <w:r>
          <w:rPr>
            <w:rFonts w:ascii="Arial" w:cs="Arial" w:eastAsia="Arial" w:hAnsi="Arial"/>
            <w:sz w:val="18"/>
            <w:szCs w:val="18"/>
            <w:u w:val="single" w:color="auto"/>
            <w:color w:val="0000EE"/>
          </w:rPr>
          <w:t>Note K</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 xml:space="preserve">entitled “Asbestos-Related Liabilities” and </w:t>
      </w:r>
      <w:hyperlink w:anchor="page14">
        <w:r>
          <w:rPr>
            <w:rFonts w:ascii="Arial" w:cs="Arial" w:eastAsia="Arial" w:hAnsi="Arial"/>
            <w:sz w:val="18"/>
            <w:szCs w:val="18"/>
            <w:u w:val="single" w:color="auto"/>
            <w:color w:val="0000EE"/>
          </w:rPr>
          <w:t>Note L</w:t>
        </w:r>
        <w:r>
          <w:rPr>
            <w:rFonts w:ascii="Arial" w:cs="Arial" w:eastAsia="Arial" w:hAnsi="Arial"/>
            <w:sz w:val="18"/>
            <w:szCs w:val="18"/>
            <w:u w:val="single" w:color="auto"/>
            <w:color w:val="auto"/>
          </w:rPr>
          <w:t xml:space="preserve"> </w:t>
        </w:r>
      </w:hyperlink>
      <w:r>
        <w:rPr>
          <w:rFonts w:ascii="Arial" w:cs="Arial" w:eastAsia="Arial" w:hAnsi="Arial"/>
          <w:sz w:val="18"/>
          <w:szCs w:val="18"/>
          <w:color w:val="auto"/>
        </w:rPr>
        <w:t>entitled “Commitments and Contingent Liabilities” to the consolidated financial statements within Part I, Item 1 of this Quarterly Report on Form 10-Q, which information is incorporated herein by reference.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information set forth in this report should be read in conjunction with the risk factors discussed in Item 1A of the Company's Annual Report on Form 10-K for the year ended December 31, 2018 and Item 1A to Part II in the Company's Quarterly Report on Form 10-Q for the quarter ended March 31, 2019. The risks described in the Company's Quarterly Report on Form 10-Q and the Company's Annual Report on Form 10-K are not the only risks facing the Company. Additional risks and uncertainties not currently known to the Company or that the Company currently deems to be immaterial also may materially adversely affect the Company's business, financial condition and/or operating results.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2. Unregistered Sale of Equity Securities and Use of Proceeds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purchases of the Company's equity securities during the three months ended March 31, 2019.</w:t>
      </w:r>
    </w:p>
    <w:p>
      <w:pPr>
        <w:spacing w:after="0" w:line="19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December 2016, the Company's Board of Directors authorized the repurchase of an aggregate amount of $1 billion of the Company's common stock through the end of 2019. Share repurchases under the Company's programs may be made in the open market or through privately negotiated transactions, and at times and in such amounts as management deems appropriate. The timing and actual number of shares repurchased will depend on a variety of factors including price, corporate and regulatory requirements and other market conditions. As of March 31, 2019, $669 million of the Company’s outstanding common stock may be repurchased under the program.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There were 21,804 shares surrendered to cover taxes on the vesting of restricted stock during the three months ended March 31, 2019.</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There were no events required to be reported under Item 3 for the three months ended March 31, 2019.</w:t>
      </w:r>
    </w:p>
    <w:p>
      <w:pPr>
        <w:spacing w:after="0" w:line="200" w:lineRule="exact"/>
        <w:rPr>
          <w:sz w:val="20"/>
          <w:szCs w:val="20"/>
          <w:color w:val="auto"/>
        </w:rPr>
      </w:pP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Item 4. Mine Safety Disclosures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37"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Submission of Matters to a Vote of Security Holders</w:t>
      </w:r>
    </w:p>
    <w:p>
      <w:pPr>
        <w:spacing w:after="0" w:line="229" w:lineRule="exact"/>
        <w:rPr>
          <w:sz w:val="20"/>
          <w:szCs w:val="20"/>
          <w:color w:val="auto"/>
        </w:rPr>
      </w:pPr>
    </w:p>
    <w:p>
      <w:pPr>
        <w:jc w:val="both"/>
        <w:ind w:left="340" w:hanging="332"/>
        <w:spacing w:after="0" w:line="264" w:lineRule="auto"/>
        <w:tabs>
          <w:tab w:leader="none" w:pos="34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Crown Holdings, Inc. (the “</w:t>
      </w:r>
      <w:r>
        <w:rPr>
          <w:rFonts w:ascii="Arial" w:cs="Arial" w:eastAsia="Arial" w:hAnsi="Arial"/>
          <w:sz w:val="18"/>
          <w:szCs w:val="18"/>
          <w:u w:val="single" w:color="auto"/>
          <w:color w:val="auto"/>
        </w:rPr>
        <w:t>Company</w:t>
      </w:r>
      <w:r>
        <w:rPr>
          <w:rFonts w:ascii="Arial" w:cs="Arial" w:eastAsia="Arial" w:hAnsi="Arial"/>
          <w:sz w:val="18"/>
          <w:szCs w:val="18"/>
          <w:color w:val="auto"/>
        </w:rPr>
        <w:t>”) held its Annual Meeting of Shareholders on April 25, 2019 (the “</w:t>
      </w:r>
      <w:r>
        <w:rPr>
          <w:rFonts w:ascii="Arial" w:cs="Arial" w:eastAsia="Arial" w:hAnsi="Arial"/>
          <w:sz w:val="18"/>
          <w:szCs w:val="18"/>
          <w:u w:val="single" w:color="auto"/>
          <w:color w:val="auto"/>
        </w:rPr>
        <w:t>Annual Meeting</w:t>
      </w:r>
      <w:r>
        <w:rPr>
          <w:rFonts w:ascii="Arial" w:cs="Arial" w:eastAsia="Arial" w:hAnsi="Arial"/>
          <w:sz w:val="18"/>
          <w:szCs w:val="18"/>
          <w:color w:val="auto"/>
        </w:rPr>
        <w:t>”). As of March 5, 2019, the record date for the meeting, 135,328,379 shares of Common Stock, par value $5.00 per share, of the Company (“</w:t>
      </w:r>
      <w:r>
        <w:rPr>
          <w:rFonts w:ascii="Arial" w:cs="Arial" w:eastAsia="Arial" w:hAnsi="Arial"/>
          <w:sz w:val="18"/>
          <w:szCs w:val="18"/>
          <w:u w:val="single" w:color="auto"/>
          <w:color w:val="auto"/>
        </w:rPr>
        <w:t>Common Stock</w:t>
      </w:r>
      <w:r>
        <w:rPr>
          <w:rFonts w:ascii="Arial" w:cs="Arial" w:eastAsia="Arial" w:hAnsi="Arial"/>
          <w:sz w:val="18"/>
          <w:szCs w:val="18"/>
          <w:color w:val="auto"/>
        </w:rPr>
        <w:t>”) were issued and outstanding. A quorum of 122,883,457 shares of Common Stock were present or represented at the meeting.</w:t>
      </w:r>
    </w:p>
    <w:p>
      <w:pPr>
        <w:spacing w:after="0" w:line="181"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The following individuals were nominated and elected to serve as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John W. Conway, Timothy J. Donahue, Andrea J. Funk, Rose Lee, William G. Little, Hans J. Löliger, James H. Miller, Josef M. Müller, Caesar F.</w:t>
      </w:r>
    </w:p>
    <w:p>
      <w:pPr>
        <w:spacing w:after="0" w:line="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Sweitzer, Jim L. Turner and William S. Urkiel.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121"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At the Annual Meeting, the Company’s shareholders voted on the four matters below as follows:</w:t>
      </w:r>
    </w:p>
    <w:p>
      <w:pPr>
        <w:spacing w:after="0" w:line="252" w:lineRule="exact"/>
        <w:rPr>
          <w:sz w:val="20"/>
          <w:szCs w:val="20"/>
          <w:color w:val="auto"/>
        </w:rPr>
      </w:pPr>
    </w:p>
    <w:p>
      <w:pPr>
        <w:ind w:left="1460" w:hanging="804"/>
        <w:spacing w:after="0"/>
        <w:tabs>
          <w:tab w:leader="none" w:pos="146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Company's shareholders elected the following directors pursuant to the following vote:</w:t>
      </w:r>
    </w:p>
    <w:p>
      <w:pPr>
        <w:spacing w:after="0" w:line="181" w:lineRule="exact"/>
        <w:rPr>
          <w:sz w:val="20"/>
          <w:szCs w:val="20"/>
          <w:color w:val="auto"/>
        </w:rPr>
      </w:pPr>
    </w:p>
    <w:tbl>
      <w:tblPr>
        <w:tblLayout w:type="fixed"/>
        <w:tblInd w:w="1960" w:type="dxa"/>
        <w:tblCellMar>
          <w:top w:w="0" w:type="dxa"/>
          <w:left w:w="0" w:type="dxa"/>
          <w:bottom w:w="0" w:type="dxa"/>
          <w:right w:w="0" w:type="dxa"/>
        </w:tblCellMar>
      </w:tblPr>
      <w:tr>
        <w:trPr>
          <w:trHeight w:val="216"/>
        </w:trPr>
        <w:tc>
          <w:tcPr>
            <w:tcW w:w="2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6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5"/>
              </w:rPr>
              <w:t>Votes</w:t>
            </w: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81"/>
              </w:rPr>
              <w:t>Votes</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96"/>
              </w:rPr>
              <w:t>Broker</w:t>
            </w:r>
          </w:p>
        </w:tc>
      </w:tr>
      <w:tr>
        <w:trPr>
          <w:trHeight w:val="234"/>
        </w:trPr>
        <w:tc>
          <w:tcPr>
            <w:tcW w:w="2480" w:type="dxa"/>
            <w:vAlign w:val="bottom"/>
            <w:gridSpan w:val="2"/>
          </w:tcPr>
          <w:p>
            <w:pPr>
              <w:ind w:left="720"/>
              <w:spacing w:after="0"/>
              <w:rPr>
                <w:sz w:val="20"/>
                <w:szCs w:val="20"/>
                <w:color w:val="auto"/>
              </w:rPr>
            </w:pPr>
            <w:r>
              <w:rPr>
                <w:rFonts w:ascii="Arial" w:cs="Arial" w:eastAsia="Arial" w:hAnsi="Arial"/>
                <w:sz w:val="18"/>
                <w:szCs w:val="18"/>
                <w:b w:val="1"/>
                <w:bCs w:val="1"/>
                <w:color w:val="auto"/>
              </w:rPr>
              <w:t>Directors</w:t>
            </w: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6"/>
              </w:rPr>
              <w:t>For</w:t>
            </w:r>
          </w:p>
        </w:tc>
        <w:tc>
          <w:tcPr>
            <w:tcW w:w="186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4"/>
              </w:rPr>
              <w:t>Withheld</w:t>
            </w:r>
          </w:p>
        </w:tc>
        <w:tc>
          <w:tcPr>
            <w:tcW w:w="1540" w:type="dxa"/>
            <w:vAlign w:val="bottom"/>
          </w:tcPr>
          <w:p>
            <w:pPr>
              <w:jc w:val="center"/>
              <w:spacing w:after="0"/>
              <w:rPr>
                <w:sz w:val="20"/>
                <w:szCs w:val="20"/>
                <w:color w:val="auto"/>
              </w:rPr>
            </w:pPr>
            <w:r>
              <w:rPr>
                <w:rFonts w:ascii="Arial" w:cs="Arial" w:eastAsia="Arial" w:hAnsi="Arial"/>
                <w:sz w:val="18"/>
                <w:szCs w:val="18"/>
                <w:b w:val="1"/>
                <w:bCs w:val="1"/>
                <w:color w:val="auto"/>
                <w:w w:val="89"/>
              </w:rPr>
              <w:t>Non-Vote</w:t>
            </w:r>
          </w:p>
        </w:tc>
      </w:tr>
      <w:tr>
        <w:trPr>
          <w:trHeight w:val="34"/>
        </w:trPr>
        <w:tc>
          <w:tcPr>
            <w:tcW w:w="2160" w:type="dxa"/>
            <w:vAlign w:val="bottom"/>
            <w:tcBorders>
              <w:bottom w:val="single" w:sz="8" w:color="auto"/>
            </w:tcBorders>
          </w:tcPr>
          <w:p>
            <w:pPr>
              <w:spacing w:after="0"/>
              <w:rPr>
                <w:sz w:val="2"/>
                <w:szCs w:val="2"/>
                <w:color w:val="auto"/>
              </w:rPr>
            </w:pPr>
          </w:p>
        </w:tc>
        <w:tc>
          <w:tcPr>
            <w:tcW w:w="32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567"/>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John W. Conway</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115,108,150</w:t>
            </w:r>
          </w:p>
        </w:tc>
        <w:tc>
          <w:tcPr>
            <w:tcW w:w="3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1,888,608</w:t>
            </w:r>
          </w:p>
        </w:tc>
        <w:tc>
          <w:tcPr>
            <w:tcW w:w="3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5,886,699</w:t>
            </w:r>
          </w:p>
        </w:tc>
      </w:tr>
      <w:tr>
        <w:trPr>
          <w:trHeight w:val="594"/>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Timothy J. Donahue</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116,146,312</w:t>
            </w:r>
          </w:p>
        </w:tc>
        <w:tc>
          <w:tcPr>
            <w:tcW w:w="3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850,446</w:t>
            </w:r>
          </w:p>
        </w:tc>
        <w:tc>
          <w:tcPr>
            <w:tcW w:w="3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5,886,699</w:t>
            </w:r>
          </w:p>
        </w:tc>
      </w:tr>
      <w:tr>
        <w:trPr>
          <w:trHeight w:val="594"/>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Andrea J. Funk</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115,997,619</w:t>
            </w:r>
          </w:p>
        </w:tc>
        <w:tc>
          <w:tcPr>
            <w:tcW w:w="3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999,139</w:t>
            </w:r>
          </w:p>
        </w:tc>
        <w:tc>
          <w:tcPr>
            <w:tcW w:w="3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5,886,699</w:t>
            </w:r>
          </w:p>
        </w:tc>
      </w:tr>
      <w:tr>
        <w:trPr>
          <w:trHeight w:val="594"/>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Rose Lee</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116,216,743</w:t>
            </w:r>
          </w:p>
        </w:tc>
        <w:tc>
          <w:tcPr>
            <w:tcW w:w="3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780,015</w:t>
            </w:r>
          </w:p>
        </w:tc>
        <w:tc>
          <w:tcPr>
            <w:tcW w:w="3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5,886,699</w:t>
            </w:r>
          </w:p>
        </w:tc>
      </w:tr>
      <w:tr>
        <w:trPr>
          <w:trHeight w:val="594"/>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William G. Little</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113,485,429</w:t>
            </w:r>
          </w:p>
        </w:tc>
        <w:tc>
          <w:tcPr>
            <w:tcW w:w="3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3,511,329</w:t>
            </w:r>
          </w:p>
        </w:tc>
        <w:tc>
          <w:tcPr>
            <w:tcW w:w="3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5,886,699</w:t>
            </w:r>
          </w:p>
        </w:tc>
      </w:tr>
      <w:tr>
        <w:trPr>
          <w:trHeight w:val="594"/>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Hans J. Löliger</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114,802,788</w:t>
            </w:r>
          </w:p>
        </w:tc>
        <w:tc>
          <w:tcPr>
            <w:tcW w:w="3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2,193,970</w:t>
            </w:r>
          </w:p>
        </w:tc>
        <w:tc>
          <w:tcPr>
            <w:tcW w:w="3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5,886,699</w:t>
            </w:r>
          </w:p>
        </w:tc>
      </w:tr>
      <w:tr>
        <w:trPr>
          <w:trHeight w:val="594"/>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James H. Miller</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115,768,730</w:t>
            </w:r>
          </w:p>
        </w:tc>
        <w:tc>
          <w:tcPr>
            <w:tcW w:w="3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1,228,028</w:t>
            </w:r>
          </w:p>
        </w:tc>
        <w:tc>
          <w:tcPr>
            <w:tcW w:w="3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5,886,699</w:t>
            </w:r>
          </w:p>
        </w:tc>
      </w:tr>
      <w:tr>
        <w:trPr>
          <w:trHeight w:val="594"/>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Josef M. Müller</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115,995,594</w:t>
            </w:r>
          </w:p>
        </w:tc>
        <w:tc>
          <w:tcPr>
            <w:tcW w:w="3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1,001,164</w:t>
            </w:r>
          </w:p>
        </w:tc>
        <w:tc>
          <w:tcPr>
            <w:tcW w:w="3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5,886,699</w:t>
            </w:r>
          </w:p>
        </w:tc>
      </w:tr>
      <w:tr>
        <w:trPr>
          <w:trHeight w:val="594"/>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Caesar F. Sweitzer</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116,009,053</w:t>
            </w:r>
          </w:p>
        </w:tc>
        <w:tc>
          <w:tcPr>
            <w:tcW w:w="3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92"/>
              </w:rPr>
              <w:t>987,705</w:t>
            </w:r>
          </w:p>
        </w:tc>
        <w:tc>
          <w:tcPr>
            <w:tcW w:w="3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5,886,699</w:t>
            </w:r>
          </w:p>
        </w:tc>
      </w:tr>
      <w:tr>
        <w:trPr>
          <w:trHeight w:val="594"/>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Jim L. Turner</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114,925,305</w:t>
            </w:r>
          </w:p>
        </w:tc>
        <w:tc>
          <w:tcPr>
            <w:tcW w:w="3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2,071,453</w:t>
            </w:r>
          </w:p>
        </w:tc>
        <w:tc>
          <w:tcPr>
            <w:tcW w:w="3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5,886,699</w:t>
            </w:r>
          </w:p>
        </w:tc>
      </w:tr>
      <w:tr>
        <w:trPr>
          <w:trHeight w:val="594"/>
        </w:trPr>
        <w:tc>
          <w:tcPr>
            <w:tcW w:w="2480" w:type="dxa"/>
            <w:vAlign w:val="bottom"/>
            <w:gridSpan w:val="2"/>
          </w:tcPr>
          <w:p>
            <w:pPr>
              <w:ind w:left="20"/>
              <w:spacing w:after="0"/>
              <w:rPr>
                <w:sz w:val="20"/>
                <w:szCs w:val="20"/>
                <w:color w:val="auto"/>
              </w:rPr>
            </w:pPr>
            <w:r>
              <w:rPr>
                <w:rFonts w:ascii="Arial" w:cs="Arial" w:eastAsia="Arial" w:hAnsi="Arial"/>
                <w:sz w:val="18"/>
                <w:szCs w:val="18"/>
                <w:color w:val="auto"/>
              </w:rPr>
              <w:t>William S. Urkiel</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114,890,198</w:t>
            </w:r>
          </w:p>
        </w:tc>
        <w:tc>
          <w:tcPr>
            <w:tcW w:w="30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2,106,560</w:t>
            </w:r>
          </w:p>
        </w:tc>
        <w:tc>
          <w:tcPr>
            <w:tcW w:w="3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5,886,699</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1300" w:hanging="644"/>
        <w:spacing w:after="0" w:line="277" w:lineRule="auto"/>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Company's shareholders ratified the appointment of PricewaterhouseCoopers LLP as the Company's independent auditor for the fiscal year ending December 31, 2019 pursuant to the following vote:</w:t>
      </w:r>
    </w:p>
    <w:p>
      <w:pPr>
        <w:spacing w:after="0" w:line="329"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5"/>
              </w:rPr>
              <w:t>Votes</w:t>
            </w:r>
          </w:p>
        </w:tc>
        <w:tc>
          <w:tcPr>
            <w:tcW w:w="2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5"/>
              </w:rPr>
              <w:t>Votes</w:t>
            </w:r>
          </w:p>
        </w:tc>
        <w:tc>
          <w:tcPr>
            <w:tcW w:w="2140" w:type="dxa"/>
            <w:vAlign w:val="bottom"/>
          </w:tcPr>
          <w:p>
            <w:pPr>
              <w:jc w:val="center"/>
              <w:ind w:right="110"/>
              <w:spacing w:after="0"/>
              <w:rPr>
                <w:sz w:val="20"/>
                <w:szCs w:val="20"/>
                <w:color w:val="auto"/>
              </w:rPr>
            </w:pPr>
            <w:r>
              <w:rPr>
                <w:rFonts w:ascii="Arial" w:cs="Arial" w:eastAsia="Arial" w:hAnsi="Arial"/>
                <w:sz w:val="18"/>
                <w:szCs w:val="18"/>
                <w:b w:val="1"/>
                <w:bCs w:val="1"/>
                <w:color w:val="auto"/>
                <w:w w:val="85"/>
              </w:rPr>
              <w:t>Votes</w:t>
            </w:r>
          </w:p>
        </w:tc>
        <w:tc>
          <w:tcPr>
            <w:tcW w:w="2080" w:type="dxa"/>
            <w:vAlign w:val="bottom"/>
          </w:tcPr>
          <w:p>
            <w:pPr>
              <w:jc w:val="center"/>
              <w:ind w:left="50"/>
              <w:spacing w:after="0"/>
              <w:rPr>
                <w:sz w:val="20"/>
                <w:szCs w:val="20"/>
                <w:color w:val="auto"/>
              </w:rPr>
            </w:pPr>
            <w:r>
              <w:rPr>
                <w:rFonts w:ascii="Arial" w:cs="Arial" w:eastAsia="Arial" w:hAnsi="Arial"/>
                <w:sz w:val="18"/>
                <w:szCs w:val="18"/>
                <w:b w:val="1"/>
                <w:bCs w:val="1"/>
                <w:color w:val="auto"/>
                <w:w w:val="92"/>
              </w:rPr>
              <w:t>Broker</w:t>
            </w:r>
          </w:p>
        </w:tc>
      </w:tr>
      <w:tr>
        <w:trPr>
          <w:trHeight w:val="234"/>
        </w:trPr>
        <w:tc>
          <w:tcPr>
            <w:tcW w:w="2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6"/>
              </w:rPr>
              <w:t>For</w:t>
            </w:r>
          </w:p>
        </w:tc>
        <w:tc>
          <w:tcPr>
            <w:tcW w:w="2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7"/>
              </w:rPr>
              <w:t>Against</w:t>
            </w:r>
          </w:p>
        </w:tc>
        <w:tc>
          <w:tcPr>
            <w:tcW w:w="214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Abstaining</w:t>
            </w:r>
          </w:p>
        </w:tc>
        <w:tc>
          <w:tcPr>
            <w:tcW w:w="2080" w:type="dxa"/>
            <w:vAlign w:val="bottom"/>
          </w:tcPr>
          <w:p>
            <w:pPr>
              <w:jc w:val="center"/>
              <w:ind w:left="70"/>
              <w:spacing w:after="0"/>
              <w:rPr>
                <w:sz w:val="20"/>
                <w:szCs w:val="20"/>
                <w:color w:val="auto"/>
              </w:rPr>
            </w:pPr>
            <w:r>
              <w:rPr>
                <w:rFonts w:ascii="Arial" w:cs="Arial" w:eastAsia="Arial" w:hAnsi="Arial"/>
                <w:sz w:val="18"/>
                <w:szCs w:val="18"/>
                <w:b w:val="1"/>
                <w:bCs w:val="1"/>
                <w:color w:val="auto"/>
                <w:w w:val="89"/>
              </w:rPr>
              <w:t>Non-Vote</w:t>
            </w:r>
          </w:p>
        </w:tc>
      </w:tr>
      <w:tr>
        <w:trPr>
          <w:trHeight w:val="34"/>
        </w:trPr>
        <w:tc>
          <w:tcPr>
            <w:tcW w:w="1940" w:type="dxa"/>
            <w:vAlign w:val="bottom"/>
            <w:tcBorders>
              <w:bottom w:val="single" w:sz="8" w:color="auto"/>
            </w:tcBorders>
          </w:tcPr>
          <w:p>
            <w:pPr>
              <w:spacing w:after="0"/>
              <w:rPr>
                <w:sz w:val="2"/>
                <w:szCs w:val="2"/>
                <w:color w:val="auto"/>
              </w:rPr>
            </w:pPr>
          </w:p>
        </w:tc>
        <w:tc>
          <w:tcPr>
            <w:tcW w:w="360" w:type="dxa"/>
            <w:vAlign w:val="bottom"/>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3"/>
        </w:trPr>
        <w:tc>
          <w:tcPr>
            <w:tcW w:w="1940" w:type="dxa"/>
            <w:vAlign w:val="bottom"/>
          </w:tcPr>
          <w:p>
            <w:pPr>
              <w:jc w:val="center"/>
              <w:spacing w:after="0"/>
              <w:rPr>
                <w:sz w:val="20"/>
                <w:szCs w:val="20"/>
                <w:color w:val="auto"/>
              </w:rPr>
            </w:pPr>
            <w:r>
              <w:rPr>
                <w:rFonts w:ascii="Arial" w:cs="Arial" w:eastAsia="Arial" w:hAnsi="Arial"/>
                <w:sz w:val="18"/>
                <w:szCs w:val="18"/>
                <w:color w:val="auto"/>
                <w:w w:val="89"/>
              </w:rPr>
              <w:t>120,404,287</w:t>
            </w:r>
          </w:p>
        </w:tc>
        <w:tc>
          <w:tcPr>
            <w:tcW w:w="360" w:type="dxa"/>
            <w:vAlign w:val="bottom"/>
          </w:tcPr>
          <w:p>
            <w:pPr>
              <w:spacing w:after="0"/>
              <w:rPr>
                <w:sz w:val="21"/>
                <w:szCs w:val="21"/>
                <w:color w:val="auto"/>
              </w:rPr>
            </w:pPr>
          </w:p>
        </w:tc>
        <w:tc>
          <w:tcPr>
            <w:tcW w:w="1940" w:type="dxa"/>
            <w:vAlign w:val="bottom"/>
          </w:tcPr>
          <w:p>
            <w:pPr>
              <w:jc w:val="center"/>
              <w:spacing w:after="0"/>
              <w:rPr>
                <w:sz w:val="20"/>
                <w:szCs w:val="20"/>
                <w:color w:val="auto"/>
              </w:rPr>
            </w:pPr>
            <w:r>
              <w:rPr>
                <w:rFonts w:ascii="Arial" w:cs="Arial" w:eastAsia="Arial" w:hAnsi="Arial"/>
                <w:sz w:val="18"/>
                <w:szCs w:val="18"/>
                <w:color w:val="auto"/>
                <w:w w:val="89"/>
              </w:rPr>
              <w:t>2,254,412</w:t>
            </w:r>
          </w:p>
        </w:tc>
        <w:tc>
          <w:tcPr>
            <w:tcW w:w="340" w:type="dxa"/>
            <w:vAlign w:val="bottom"/>
          </w:tcPr>
          <w:p>
            <w:pPr>
              <w:spacing w:after="0"/>
              <w:rPr>
                <w:sz w:val="21"/>
                <w:szCs w:val="21"/>
                <w:color w:val="auto"/>
              </w:rPr>
            </w:pPr>
          </w:p>
        </w:tc>
        <w:tc>
          <w:tcPr>
            <w:tcW w:w="2140" w:type="dxa"/>
            <w:vAlign w:val="bottom"/>
          </w:tcPr>
          <w:p>
            <w:pPr>
              <w:jc w:val="center"/>
              <w:ind w:right="110"/>
              <w:spacing w:after="0"/>
              <w:rPr>
                <w:sz w:val="20"/>
                <w:szCs w:val="20"/>
                <w:color w:val="auto"/>
              </w:rPr>
            </w:pPr>
            <w:r>
              <w:rPr>
                <w:rFonts w:ascii="Arial" w:cs="Arial" w:eastAsia="Arial" w:hAnsi="Arial"/>
                <w:sz w:val="18"/>
                <w:szCs w:val="18"/>
                <w:color w:val="auto"/>
                <w:w w:val="89"/>
              </w:rPr>
              <w:t>224,758</w:t>
            </w:r>
          </w:p>
        </w:tc>
        <w:tc>
          <w:tcPr>
            <w:tcW w:w="2080" w:type="dxa"/>
            <w:vAlign w:val="bottom"/>
          </w:tcPr>
          <w:p>
            <w:pPr>
              <w:jc w:val="center"/>
              <w:ind w:left="50"/>
              <w:spacing w:after="0"/>
              <w:rPr>
                <w:sz w:val="20"/>
                <w:szCs w:val="20"/>
                <w:color w:val="auto"/>
              </w:rPr>
            </w:pPr>
            <w:r>
              <w:rPr>
                <w:rFonts w:ascii="Arial" w:cs="Arial" w:eastAsia="Arial" w:hAnsi="Arial"/>
                <w:sz w:val="18"/>
                <w:szCs w:val="18"/>
                <w:color w:val="auto"/>
                <w:w w:val="99"/>
              </w:rPr>
              <w:t>—</w:t>
            </w:r>
          </w:p>
        </w:tc>
      </w:tr>
    </w:tbl>
    <w:p>
      <w:pPr>
        <w:spacing w:after="0" w:line="200" w:lineRule="exact"/>
        <w:rPr>
          <w:sz w:val="20"/>
          <w:szCs w:val="20"/>
          <w:color w:val="auto"/>
        </w:rPr>
      </w:pPr>
    </w:p>
    <w:p>
      <w:pPr>
        <w:spacing w:after="0" w:line="245" w:lineRule="exact"/>
        <w:rPr>
          <w:sz w:val="20"/>
          <w:szCs w:val="20"/>
          <w:color w:val="auto"/>
        </w:rPr>
      </w:pPr>
    </w:p>
    <w:p>
      <w:pPr>
        <w:ind w:left="1300" w:hanging="644"/>
        <w:spacing w:after="0" w:line="277" w:lineRule="auto"/>
        <w:tabs>
          <w:tab w:leader="none" w:pos="13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Company's shareholders approved by non-binding advisory vote, the resolution on executive compensation (as further described in the Company's 2019 Proxy Statement) pursuant to the following vote:</w:t>
      </w:r>
    </w:p>
    <w:p>
      <w:pPr>
        <w:spacing w:after="0" w:line="329" w:lineRule="exact"/>
        <w:rPr>
          <w:sz w:val="20"/>
          <w:szCs w:val="20"/>
          <w:color w:val="auto"/>
        </w:rPr>
      </w:pPr>
    </w:p>
    <w:tbl>
      <w:tblPr>
        <w:tblLayout w:type="fixed"/>
        <w:tblInd w:w="1300" w:type="dxa"/>
        <w:tblCellMar>
          <w:top w:w="0" w:type="dxa"/>
          <w:left w:w="0" w:type="dxa"/>
          <w:bottom w:w="0" w:type="dxa"/>
          <w:right w:w="0" w:type="dxa"/>
        </w:tblCellMar>
      </w:tblPr>
      <w:tr>
        <w:trPr>
          <w:trHeight w:val="216"/>
        </w:trPr>
        <w:tc>
          <w:tcPr>
            <w:tcW w:w="1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Votes</w:t>
            </w: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Votes</w:t>
            </w:r>
          </w:p>
        </w:tc>
        <w:tc>
          <w:tcPr>
            <w:tcW w:w="19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5"/>
              </w:rPr>
              <w:t>Votes</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34"/>
        </w:trPr>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For</w:t>
            </w: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Against</w:t>
            </w: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Abstaining</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89"/>
              </w:rPr>
              <w:t>Non-Vote</w:t>
            </w:r>
          </w:p>
        </w:tc>
      </w:tr>
      <w:tr>
        <w:trPr>
          <w:trHeight w:val="34"/>
        </w:trPr>
        <w:tc>
          <w:tcPr>
            <w:tcW w:w="16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1620" w:type="dxa"/>
            <w:vAlign w:val="bottom"/>
          </w:tcPr>
          <w:p>
            <w:pPr>
              <w:jc w:val="center"/>
              <w:spacing w:after="0"/>
              <w:rPr>
                <w:sz w:val="20"/>
                <w:szCs w:val="20"/>
                <w:color w:val="auto"/>
              </w:rPr>
            </w:pPr>
            <w:r>
              <w:rPr>
                <w:rFonts w:ascii="Arial" w:cs="Arial" w:eastAsia="Arial" w:hAnsi="Arial"/>
                <w:sz w:val="18"/>
                <w:szCs w:val="18"/>
                <w:color w:val="auto"/>
                <w:w w:val="89"/>
              </w:rPr>
              <w:t>113,766,723</w:t>
            </w:r>
          </w:p>
        </w:tc>
        <w:tc>
          <w:tcPr>
            <w:tcW w:w="2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2,519,268</w:t>
            </w:r>
          </w:p>
        </w:tc>
        <w:tc>
          <w:tcPr>
            <w:tcW w:w="26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710,767</w:t>
            </w:r>
          </w:p>
        </w:tc>
        <w:tc>
          <w:tcPr>
            <w:tcW w:w="2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5,886,699</w:t>
            </w: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ectPr>
          <w:pgSz w:w="11900" w:h="16838" w:orient="portrait"/>
          <w:cols w:equalWidth="0" w:num="1">
            <w:col w:w="11420"/>
          </w:cols>
          <w:pgMar w:left="240" w:top="121" w:right="239" w:bottom="1440" w:gutter="0" w:footer="0" w:header="0"/>
          <w:type w:val="continuous"/>
        </w:sectPr>
      </w:pPr>
    </w:p>
    <w:bookmarkStart w:id="47" w:name="page48"/>
    <w:bookmarkEnd w:id="47"/>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72"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color w:val="auto"/>
        </w:rPr>
        <w:t>4)</w:t>
      </w:r>
      <w:r>
        <w:rPr>
          <w:sz w:val="20"/>
          <w:szCs w:val="20"/>
          <w:color w:val="auto"/>
        </w:rPr>
        <w:tab/>
      </w:r>
      <w:r>
        <w:rPr>
          <w:rFonts w:ascii="Arial" w:cs="Arial" w:eastAsia="Arial" w:hAnsi="Arial"/>
          <w:sz w:val="16"/>
          <w:szCs w:val="16"/>
          <w:color w:val="auto"/>
        </w:rPr>
        <w:t>The Company's shareholders did not approve the shareholder proposal requesting the Board of Directors</w:t>
      </w:r>
    </w:p>
    <w:p>
      <w:pPr>
        <w:spacing w:after="0" w:line="23"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to adopt a policy for an independent Board Chairman pursuant to the following vote:</w:t>
      </w:r>
    </w:p>
    <w:p>
      <w:pPr>
        <w:spacing w:after="0" w:line="176" w:lineRule="exact"/>
        <w:rPr>
          <w:sz w:val="20"/>
          <w:szCs w:val="20"/>
          <w:color w:val="auto"/>
        </w:rPr>
      </w:pPr>
    </w:p>
    <w:tbl>
      <w:tblPr>
        <w:tblLayout w:type="fixed"/>
        <w:tblInd w:w="3460" w:type="dxa"/>
        <w:tblCellMar>
          <w:top w:w="0" w:type="dxa"/>
          <w:left w:w="0" w:type="dxa"/>
          <w:bottom w:w="0" w:type="dxa"/>
          <w:right w:w="0" w:type="dxa"/>
        </w:tblCellMar>
      </w:tblPr>
      <w:tr>
        <w:trPr>
          <w:trHeight w:val="216"/>
        </w:trPr>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Votes</w:t>
            </w: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5"/>
              </w:rPr>
              <w:t>Votes</w:t>
            </w: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1"/>
              </w:rPr>
              <w:t>Votes</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Broker</w:t>
            </w:r>
          </w:p>
        </w:tc>
      </w:tr>
      <w:tr>
        <w:trPr>
          <w:trHeight w:val="234"/>
        </w:trPr>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For</w:t>
            </w:r>
          </w:p>
        </w:tc>
        <w:tc>
          <w:tcPr>
            <w:tcW w:w="18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7"/>
              </w:rPr>
              <w:t>Against</w:t>
            </w:r>
          </w:p>
        </w:tc>
        <w:tc>
          <w:tcPr>
            <w:tcW w:w="19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Abstaining</w:t>
            </w:r>
          </w:p>
        </w:tc>
        <w:tc>
          <w:tcPr>
            <w:tcW w:w="1620" w:type="dxa"/>
            <w:vAlign w:val="bottom"/>
          </w:tcPr>
          <w:p>
            <w:pPr>
              <w:jc w:val="center"/>
              <w:spacing w:after="0"/>
              <w:rPr>
                <w:sz w:val="20"/>
                <w:szCs w:val="20"/>
                <w:color w:val="auto"/>
              </w:rPr>
            </w:pPr>
            <w:r>
              <w:rPr>
                <w:rFonts w:ascii="Arial" w:cs="Arial" w:eastAsia="Arial" w:hAnsi="Arial"/>
                <w:sz w:val="18"/>
                <w:szCs w:val="18"/>
                <w:b w:val="1"/>
                <w:bCs w:val="1"/>
                <w:color w:val="auto"/>
                <w:w w:val="92"/>
              </w:rPr>
              <w:t>Non-Vote</w:t>
            </w:r>
          </w:p>
        </w:tc>
      </w:tr>
      <w:tr>
        <w:trPr>
          <w:trHeight w:val="34"/>
        </w:trPr>
        <w:tc>
          <w:tcPr>
            <w:tcW w:w="16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6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r>
      <w:tr>
        <w:trPr>
          <w:trHeight w:val="243"/>
        </w:trPr>
        <w:tc>
          <w:tcPr>
            <w:tcW w:w="1620" w:type="dxa"/>
            <w:vAlign w:val="bottom"/>
          </w:tcPr>
          <w:p>
            <w:pPr>
              <w:jc w:val="center"/>
              <w:spacing w:after="0"/>
              <w:rPr>
                <w:sz w:val="20"/>
                <w:szCs w:val="20"/>
                <w:color w:val="auto"/>
              </w:rPr>
            </w:pPr>
            <w:r>
              <w:rPr>
                <w:rFonts w:ascii="Arial" w:cs="Arial" w:eastAsia="Arial" w:hAnsi="Arial"/>
                <w:sz w:val="18"/>
                <w:szCs w:val="18"/>
                <w:color w:val="auto"/>
                <w:w w:val="88"/>
              </w:rPr>
              <w:t>43,899,970</w:t>
            </w:r>
          </w:p>
        </w:tc>
        <w:tc>
          <w:tcPr>
            <w:tcW w:w="2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90"/>
              </w:rPr>
              <w:t>65,723,475</w:t>
            </w:r>
          </w:p>
        </w:tc>
        <w:tc>
          <w:tcPr>
            <w:tcW w:w="26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7,373,313</w:t>
            </w:r>
          </w:p>
        </w:tc>
        <w:tc>
          <w:tcPr>
            <w:tcW w:w="28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Arial" w:cs="Arial" w:eastAsia="Arial" w:hAnsi="Arial"/>
                <w:sz w:val="18"/>
                <w:szCs w:val="18"/>
                <w:color w:val="auto"/>
                <w:w w:val="89"/>
              </w:rPr>
              <w:t>5,886,699</w:t>
            </w:r>
          </w:p>
        </w:tc>
      </w:tr>
    </w:tbl>
    <w:p>
      <w:pPr>
        <w:spacing w:after="0" w:line="200" w:lineRule="exact"/>
        <w:rPr>
          <w:sz w:val="20"/>
          <w:szCs w:val="20"/>
          <w:color w:val="auto"/>
        </w:rPr>
      </w:pPr>
    </w:p>
    <w:p>
      <w:pPr>
        <w:spacing w:after="0" w:line="241"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Exhibits</w:t>
      </w:r>
    </w:p>
    <w:p>
      <w:pPr>
        <w:spacing w:after="0" w:line="200" w:lineRule="exact"/>
        <w:rPr>
          <w:sz w:val="20"/>
          <w:szCs w:val="20"/>
          <w:color w:val="auto"/>
        </w:rPr>
      </w:pPr>
    </w:p>
    <w:p>
      <w:pPr>
        <w:spacing w:after="0" w:line="245" w:lineRule="exact"/>
        <w:rPr>
          <w:sz w:val="20"/>
          <w:szCs w:val="20"/>
          <w:color w:val="auto"/>
        </w:rPr>
      </w:pPr>
    </w:p>
    <w:p>
      <w:pPr>
        <w:jc w:val="both"/>
        <w:ind w:left="780" w:right="20" w:hanging="755"/>
        <w:spacing w:after="0" w:line="277" w:lineRule="auto"/>
        <w:tabs>
          <w:tab w:leader="none" w:pos="760" w:val="left"/>
        </w:tabs>
        <w:rPr>
          <w:rFonts w:ascii="Arial" w:cs="Arial" w:eastAsia="Arial" w:hAnsi="Arial"/>
          <w:sz w:val="18"/>
          <w:szCs w:val="18"/>
          <w:u w:val="single" w:color="auto"/>
          <w:color w:val="0000FF"/>
        </w:rPr>
      </w:pPr>
      <w:r>
        <w:rPr>
          <w:rFonts w:ascii="Arial" w:cs="Arial" w:eastAsia="Arial" w:hAnsi="Arial"/>
          <w:sz w:val="18"/>
          <w:szCs w:val="18"/>
          <w:color w:val="auto"/>
        </w:rPr>
        <w:t>31.1</w:t>
      </w:r>
      <w:r>
        <w:rPr>
          <w:sz w:val="20"/>
          <w:szCs w:val="20"/>
          <w:color w:val="auto"/>
        </w:rPr>
        <w:tab/>
      </w:r>
      <w:hyperlink w:anchor="page50">
        <w:r>
          <w:rPr>
            <w:rFonts w:ascii="Arial" w:cs="Arial" w:eastAsia="Arial" w:hAnsi="Arial"/>
            <w:sz w:val="18"/>
            <w:szCs w:val="18"/>
            <w:u w:val="single" w:color="auto"/>
            <w:color w:val="0000FF"/>
          </w:rPr>
          <w:t>Certification of Chief Executive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50">
        <w:r>
          <w:rPr>
            <w:rFonts w:ascii="Arial" w:cs="Arial" w:eastAsia="Arial" w:hAnsi="Arial"/>
            <w:sz w:val="18"/>
            <w:szCs w:val="18"/>
            <w:u w:val="single" w:color="auto"/>
            <w:color w:val="0000FF"/>
          </w:rPr>
          <w:t>pursuant to Section 302 of the Sarbanes-Oxley Act of 2002.</w:t>
        </w:r>
      </w:hyperlink>
    </w:p>
    <w:p>
      <w:pPr>
        <w:spacing w:after="0" w:line="279" w:lineRule="exact"/>
        <w:rPr>
          <w:sz w:val="20"/>
          <w:szCs w:val="20"/>
          <w:color w:val="auto"/>
        </w:rPr>
      </w:pPr>
    </w:p>
    <w:p>
      <w:pPr>
        <w:jc w:val="both"/>
        <w:ind w:left="780" w:right="40" w:hanging="755"/>
        <w:spacing w:after="0" w:line="277" w:lineRule="auto"/>
        <w:tabs>
          <w:tab w:leader="none" w:pos="760" w:val="left"/>
        </w:tabs>
        <w:rPr>
          <w:rFonts w:ascii="Arial" w:cs="Arial" w:eastAsia="Arial" w:hAnsi="Arial"/>
          <w:sz w:val="18"/>
          <w:szCs w:val="18"/>
          <w:u w:val="single" w:color="auto"/>
          <w:color w:val="0000FF"/>
        </w:rPr>
      </w:pPr>
      <w:r>
        <w:rPr>
          <w:rFonts w:ascii="Arial" w:cs="Arial" w:eastAsia="Arial" w:hAnsi="Arial"/>
          <w:sz w:val="18"/>
          <w:szCs w:val="18"/>
          <w:color w:val="auto"/>
        </w:rPr>
        <w:t>31.2</w:t>
      </w:r>
      <w:r>
        <w:rPr>
          <w:sz w:val="20"/>
          <w:szCs w:val="20"/>
          <w:color w:val="auto"/>
        </w:rPr>
        <w:tab/>
      </w:r>
      <w:hyperlink w:anchor="page51">
        <w:r>
          <w:rPr>
            <w:rFonts w:ascii="Arial" w:cs="Arial" w:eastAsia="Arial" w:hAnsi="Arial"/>
            <w:sz w:val="18"/>
            <w:szCs w:val="18"/>
            <w:u w:val="single" w:color="auto"/>
            <w:color w:val="0000FF"/>
          </w:rPr>
          <w:t>Certification of Chief Financial Officer pursuant to Rule 13a-14(a) or 15d-14(a) of the Securities Exchange Act of 1934, as adopted</w:t>
        </w:r>
      </w:hyperlink>
      <w:r>
        <w:rPr>
          <w:rFonts w:ascii="Arial" w:cs="Arial" w:eastAsia="Arial" w:hAnsi="Arial"/>
          <w:sz w:val="18"/>
          <w:szCs w:val="18"/>
          <w:u w:val="single" w:color="auto"/>
          <w:color w:val="0000FF"/>
        </w:rPr>
        <w:t xml:space="preserve"> </w:t>
      </w:r>
      <w:hyperlink w:anchor="page51">
        <w:r>
          <w:rPr>
            <w:rFonts w:ascii="Arial" w:cs="Arial" w:eastAsia="Arial" w:hAnsi="Arial"/>
            <w:sz w:val="18"/>
            <w:szCs w:val="18"/>
            <w:u w:val="single" w:color="auto"/>
            <w:color w:val="0000FF"/>
          </w:rPr>
          <w:t>pursuant to Section 302 of the Sarbanes-Oxley Act of 2002.</w:t>
        </w:r>
      </w:hyperlink>
    </w:p>
    <w:p>
      <w:pPr>
        <w:spacing w:after="0" w:line="279" w:lineRule="exact"/>
        <w:rPr>
          <w:sz w:val="20"/>
          <w:szCs w:val="20"/>
          <w:color w:val="auto"/>
        </w:rPr>
      </w:pPr>
    </w:p>
    <w:p>
      <w:pPr>
        <w:jc w:val="both"/>
        <w:ind w:left="780" w:right="20" w:hanging="757"/>
        <w:spacing w:after="0" w:line="264" w:lineRule="auto"/>
        <w:tabs>
          <w:tab w:leader="none" w:pos="780" w:val="left"/>
        </w:tabs>
        <w:numPr>
          <w:ilvl w:val="0"/>
          <w:numId w:val="27"/>
        </w:numPr>
        <w:rPr>
          <w:rFonts w:ascii="Arial" w:cs="Arial" w:eastAsia="Arial" w:hAnsi="Arial"/>
          <w:sz w:val="18"/>
          <w:szCs w:val="18"/>
          <w:u w:val="single" w:color="auto"/>
          <w:color w:val="0000FF"/>
        </w:rPr>
      </w:pPr>
      <w:hyperlink w:anchor="page52">
        <w:r>
          <w:rPr>
            <w:rFonts w:ascii="Arial" w:cs="Arial" w:eastAsia="Arial" w:hAnsi="Arial"/>
            <w:sz w:val="18"/>
            <w:szCs w:val="18"/>
            <w:u w:val="single" w:color="auto"/>
            <w:color w:val="0000FF"/>
          </w:rPr>
          <w:t>Certification pursuant to 18 U.S.C. Section 1350, as adopted pursuant to Section 906 of the Sarbanes-Oxley Act of 2002, executed by</w:t>
        </w:r>
      </w:hyperlink>
      <w:r>
        <w:rPr>
          <w:rFonts w:ascii="Arial" w:cs="Arial" w:eastAsia="Arial" w:hAnsi="Arial"/>
          <w:sz w:val="18"/>
          <w:szCs w:val="18"/>
          <w:u w:val="single" w:color="auto"/>
          <w:color w:val="0000FF"/>
        </w:rPr>
        <w:t xml:space="preserve"> </w:t>
      </w:r>
      <w:hyperlink w:anchor="page52">
        <w:r>
          <w:rPr>
            <w:rFonts w:ascii="Arial" w:cs="Arial" w:eastAsia="Arial" w:hAnsi="Arial"/>
            <w:sz w:val="18"/>
            <w:szCs w:val="18"/>
            <w:u w:val="single" w:color="auto"/>
            <w:color w:val="0000FF"/>
          </w:rPr>
          <w:t>Timothy J. Donahue, President and Chief Executive Officer of Crown Holdings, Inc. and Thomas A. Kelly, Senior Vice President and</w:t>
        </w:r>
      </w:hyperlink>
      <w:r>
        <w:rPr>
          <w:rFonts w:ascii="Arial" w:cs="Arial" w:eastAsia="Arial" w:hAnsi="Arial"/>
          <w:sz w:val="18"/>
          <w:szCs w:val="18"/>
          <w:u w:val="single" w:color="auto"/>
          <w:color w:val="0000FF"/>
        </w:rPr>
        <w:t xml:space="preserve"> </w:t>
      </w:r>
      <w:hyperlink w:anchor="page52">
        <w:r>
          <w:rPr>
            <w:rFonts w:ascii="Arial" w:cs="Arial" w:eastAsia="Arial" w:hAnsi="Arial"/>
            <w:sz w:val="18"/>
            <w:szCs w:val="18"/>
            <w:u w:val="single" w:color="auto"/>
            <w:color w:val="0000FF"/>
          </w:rPr>
          <w:t>Chief Financial Officer of Crown Holdings, Inc.</w:t>
        </w:r>
      </w:hyperlink>
    </w:p>
    <w:p>
      <w:pPr>
        <w:spacing w:after="0" w:line="289" w:lineRule="exact"/>
        <w:rPr>
          <w:rFonts w:ascii="Arial" w:cs="Arial" w:eastAsia="Arial" w:hAnsi="Arial"/>
          <w:sz w:val="18"/>
          <w:szCs w:val="18"/>
          <w:u w:val="single" w:color="auto"/>
          <w:color w:val="0000FF"/>
        </w:rPr>
      </w:pPr>
    </w:p>
    <w:p>
      <w:pPr>
        <w:jc w:val="both"/>
        <w:ind w:left="780" w:right="20" w:hanging="757"/>
        <w:spacing w:after="0" w:line="273" w:lineRule="auto"/>
        <w:tabs>
          <w:tab w:leader="none" w:pos="78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following financial information from the Registrant's Quarterly Report on Form 10-Q for the quarter ended March 31, 2019 formatted in XBRL (eXtensible Business Reporting Language): (i) Consolidated Statements of Operations for the three months ended March 31, 2019 and 2018, (ii) Consolidated Statements of Comprehensive Income for the three months ended March 31, 2019 and 2018, (iii) Consolidated Balance Sheets as of March 31, 2019 and December 31, 2018, (iv) Consolidated Statements of Cash Flows for the three months ended March 31, 2019 and 2018, (v) Consolidated Statements of Changes in Equity for the three months ended March 31, 2019 and 2018 and (vi) Notes to Consolidated Financial Statements.</w:t>
      </w:r>
    </w:p>
    <w:p>
      <w:pPr>
        <w:spacing w:after="0" w:line="233" w:lineRule="exact"/>
        <w:rPr>
          <w:rFonts w:ascii="Arial" w:cs="Arial" w:eastAsia="Arial" w:hAnsi="Arial"/>
          <w:sz w:val="18"/>
          <w:szCs w:val="18"/>
          <w:u w:val="single" w:color="auto"/>
          <w:color w:val="0000FF"/>
        </w:rPr>
      </w:pPr>
    </w:p>
    <w:p>
      <w:pPr>
        <w:ind w:left="4960"/>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0760"/>
          </w:cols>
          <w:pgMar w:left="900" w:top="121" w:right="239" w:bottom="1440" w:gutter="0" w:footer="0" w:header="0"/>
        </w:sectPr>
      </w:pPr>
    </w:p>
    <w:bookmarkStart w:id="48" w:name="page49"/>
    <w:bookmarkEnd w:id="48"/>
    <w:p>
      <w:pPr>
        <w:ind w:left="4240"/>
        <w:spacing w:after="0"/>
        <w:rPr>
          <w:sz w:val="20"/>
          <w:szCs w:val="20"/>
          <w:color w:val="auto"/>
        </w:rPr>
      </w:pPr>
      <w:r>
        <w:rPr>
          <w:rFonts w:ascii="Arial" w:cs="Arial" w:eastAsia="Arial" w:hAnsi="Arial"/>
          <w:sz w:val="18"/>
          <w:szCs w:val="18"/>
          <w:b w:val="1"/>
          <w:bCs w:val="1"/>
          <w:color w:val="auto"/>
        </w:rPr>
        <w:t>Crown Holdings, Inc.</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SIGNATURE</w:t>
      </w:r>
    </w:p>
    <w:p>
      <w:pPr>
        <w:spacing w:after="0" w:line="39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6700"/>
        <w:spacing w:after="0"/>
        <w:rPr>
          <w:sz w:val="20"/>
          <w:szCs w:val="20"/>
          <w:color w:val="auto"/>
        </w:rPr>
      </w:pPr>
      <w:r>
        <w:rPr>
          <w:rFonts w:ascii="Arial" w:cs="Arial" w:eastAsia="Arial" w:hAnsi="Arial"/>
          <w:sz w:val="18"/>
          <w:szCs w:val="18"/>
          <w:u w:val="single" w:color="auto"/>
          <w:color w:val="auto"/>
        </w:rPr>
        <w:t>Crown Holdings, Inc.</w:t>
      </w:r>
    </w:p>
    <w:p>
      <w:pPr>
        <w:spacing w:after="0" w:line="2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Registrant</w:t>
      </w:r>
    </w:p>
    <w:p>
      <w:pPr>
        <w:spacing w:after="0" w:line="373" w:lineRule="exact"/>
        <w:rPr>
          <w:sz w:val="20"/>
          <w:szCs w:val="20"/>
          <w:color w:val="auto"/>
        </w:rPr>
      </w:pPr>
    </w:p>
    <w:p>
      <w:pPr>
        <w:ind w:left="5920"/>
        <w:spacing w:after="0"/>
        <w:tabs>
          <w:tab w:leader="none" w:pos="66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A. Beaver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4079875</wp:posOffset>
            </wp:positionH>
            <wp:positionV relativeFrom="paragraph">
              <wp:posOffset>31750</wp:posOffset>
            </wp:positionV>
            <wp:extent cx="27527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David A. Beaver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Vice President and Corporate Controller</w:t>
      </w:r>
    </w:p>
    <w:p>
      <w:pPr>
        <w:spacing w:after="0" w:line="63"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(Chief Accounting Officer)</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2019</w:t>
      </w:r>
    </w:p>
    <w:p>
      <w:pPr>
        <w:spacing w:after="0" w:line="200" w:lineRule="exact"/>
        <w:rPr>
          <w:sz w:val="20"/>
          <w:szCs w:val="20"/>
          <w:color w:val="auto"/>
        </w:rPr>
      </w:pPr>
    </w:p>
    <w:p>
      <w:pPr>
        <w:spacing w:after="0" w:line="268"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0760"/>
          </w:cols>
          <w:pgMar w:left="900" w:top="121" w:right="239" w:bottom="1440" w:gutter="0" w:footer="0" w:header="0"/>
        </w:sectPr>
      </w:pPr>
    </w:p>
    <w:bookmarkStart w:id="49" w:name="page50"/>
    <w:bookmarkEnd w:id="49"/>
    <w:p>
      <w:pPr>
        <w:jc w:val="right"/>
        <w:spacing w:after="0"/>
        <w:rPr>
          <w:sz w:val="20"/>
          <w:szCs w:val="20"/>
          <w:color w:val="auto"/>
        </w:rPr>
      </w:pPr>
      <w:r>
        <w:rPr>
          <w:rFonts w:ascii="Arial" w:cs="Arial" w:eastAsia="Arial" w:hAnsi="Arial"/>
          <w:sz w:val="18"/>
          <w:szCs w:val="18"/>
          <w:b w:val="1"/>
          <w:bCs w:val="1"/>
          <w:color w:val="auto"/>
        </w:rPr>
        <w:t>EXHIBIT 31.1</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Timothy J. Donahue, certify that:</w:t>
      </w:r>
    </w:p>
    <w:p>
      <w:pPr>
        <w:spacing w:after="0" w:line="225" w:lineRule="exact"/>
        <w:rPr>
          <w:sz w:val="20"/>
          <w:szCs w:val="20"/>
          <w:color w:val="auto"/>
        </w:rPr>
      </w:pPr>
    </w:p>
    <w:p>
      <w:pPr>
        <w:ind w:left="340" w:hanging="332"/>
        <w:spacing w:after="0"/>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980" w:hanging="324"/>
        <w:spacing w:after="0" w:line="262" w:lineRule="auto"/>
        <w:tabs>
          <w:tab w:leader="none" w:pos="866" w:val="left"/>
        </w:tabs>
        <w:numPr>
          <w:ilvl w:val="1"/>
          <w:numId w:val="2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hanging="324"/>
        <w:spacing w:after="0" w:line="262" w:lineRule="auto"/>
        <w:tabs>
          <w:tab w:leader="none" w:pos="980"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800" w:type="dxa"/>
            <w:vAlign w:val="bottom"/>
          </w:tcPr>
          <w:p>
            <w:pPr>
              <w:spacing w:after="0"/>
              <w:rPr>
                <w:sz w:val="20"/>
                <w:szCs w:val="20"/>
                <w:color w:val="auto"/>
              </w:rPr>
            </w:pPr>
            <w:r>
              <w:rPr>
                <w:rFonts w:ascii="Arial" w:cs="Arial" w:eastAsia="Arial" w:hAnsi="Arial"/>
                <w:sz w:val="18"/>
                <w:szCs w:val="18"/>
                <w:color w:val="auto"/>
              </w:rPr>
              <w:t>Date: April 29, 2019</w:t>
            </w:r>
          </w:p>
        </w:tc>
        <w:tc>
          <w:tcPr>
            <w:tcW w:w="2440" w:type="dxa"/>
            <w:vAlign w:val="bottom"/>
            <w:gridSpan w:val="2"/>
          </w:tcPr>
          <w:p>
            <w:pPr>
              <w:spacing w:after="0"/>
              <w:rPr>
                <w:sz w:val="20"/>
                <w:szCs w:val="20"/>
                <w:color w:val="auto"/>
              </w:rPr>
            </w:pPr>
            <w:r>
              <w:rPr>
                <w:rFonts w:ascii="Arial" w:cs="Arial" w:eastAsia="Arial" w:hAnsi="Arial"/>
                <w:sz w:val="18"/>
                <w:szCs w:val="18"/>
                <w:color w:val="auto"/>
              </w:rPr>
              <w:t>/s/ Timothy J. Donahue</w:t>
            </w:r>
          </w:p>
        </w:tc>
        <w:tc>
          <w:tcPr>
            <w:tcW w:w="3400" w:type="dxa"/>
            <w:vAlign w:val="bottom"/>
          </w:tcPr>
          <w:p>
            <w:pPr>
              <w:ind w:left="1800"/>
              <w:spacing w:after="0"/>
              <w:rPr>
                <w:sz w:val="20"/>
                <w:szCs w:val="20"/>
                <w:color w:val="auto"/>
              </w:rPr>
            </w:pPr>
            <w:r>
              <w:rPr>
                <w:rFonts w:ascii="Arial" w:cs="Arial" w:eastAsia="Arial" w:hAnsi="Arial"/>
                <w:sz w:val="18"/>
                <w:szCs w:val="18"/>
                <w:color w:val="auto"/>
                <w:w w:val="98"/>
              </w:rPr>
              <w:t>Timothy J. Donahue</w:t>
            </w:r>
          </w:p>
        </w:tc>
      </w:tr>
      <w:tr>
        <w:trPr>
          <w:trHeight w:val="237"/>
        </w:trPr>
        <w:tc>
          <w:tcPr>
            <w:tcW w:w="2800" w:type="dxa"/>
            <w:vAlign w:val="bottom"/>
          </w:tcPr>
          <w:p>
            <w:pPr>
              <w:spacing w:after="0"/>
              <w:rPr>
                <w:sz w:val="20"/>
                <w:szCs w:val="20"/>
                <w:color w:val="auto"/>
              </w:rPr>
            </w:pPr>
          </w:p>
        </w:tc>
        <w:tc>
          <w:tcPr>
            <w:tcW w:w="1840" w:type="dxa"/>
            <w:vAlign w:val="bottom"/>
            <w:tcBorders>
              <w:top w:val="single" w:sz="8" w:color="auto"/>
            </w:tcBorders>
          </w:tcPr>
          <w:p>
            <w:pPr>
              <w:spacing w:after="0"/>
              <w:rPr>
                <w:sz w:val="20"/>
                <w:szCs w:val="20"/>
                <w:color w:val="auto"/>
              </w:rPr>
            </w:pPr>
          </w:p>
        </w:tc>
        <w:tc>
          <w:tcPr>
            <w:tcW w:w="600" w:type="dxa"/>
            <w:vAlign w:val="bottom"/>
          </w:tcPr>
          <w:p>
            <w:pPr>
              <w:spacing w:after="0"/>
              <w:rPr>
                <w:sz w:val="20"/>
                <w:szCs w:val="20"/>
                <w:color w:val="auto"/>
              </w:rPr>
            </w:pPr>
          </w:p>
        </w:tc>
        <w:tc>
          <w:tcPr>
            <w:tcW w:w="3400" w:type="dxa"/>
            <w:vAlign w:val="bottom"/>
          </w:tcPr>
          <w:p>
            <w:pPr>
              <w:ind w:left="60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420"/>
          </w:cols>
          <w:pgMar w:left="240" w:top="792"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I, Thomas A. Kelly, certify that:</w:t>
      </w:r>
    </w:p>
    <w:p>
      <w:pPr>
        <w:spacing w:after="0" w:line="225" w:lineRule="exact"/>
        <w:rPr>
          <w:sz w:val="20"/>
          <w:szCs w:val="20"/>
          <w:color w:val="auto"/>
        </w:rPr>
      </w:pPr>
    </w:p>
    <w:p>
      <w:pPr>
        <w:ind w:left="340" w:hanging="332"/>
        <w:spacing w:after="0"/>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Crown Holdings, Inc. (“the registrant”);</w:t>
      </w:r>
    </w:p>
    <w:p>
      <w:pPr>
        <w:spacing w:after="0" w:line="225"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1" w:lineRule="exact"/>
        <w:rPr>
          <w:rFonts w:ascii="Arial" w:cs="Arial" w:eastAsia="Arial" w:hAnsi="Arial"/>
          <w:sz w:val="18"/>
          <w:szCs w:val="18"/>
          <w:color w:val="auto"/>
        </w:rPr>
      </w:pPr>
    </w:p>
    <w:p>
      <w:pPr>
        <w:ind w:left="340" w:hanging="332"/>
        <w:spacing w:after="0" w:line="262"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6" w:lineRule="exact"/>
        <w:rPr>
          <w:rFonts w:ascii="Arial" w:cs="Arial" w:eastAsia="Arial" w:hAnsi="Arial"/>
          <w:sz w:val="18"/>
          <w:szCs w:val="18"/>
          <w:color w:val="auto"/>
        </w:rPr>
      </w:pPr>
    </w:p>
    <w:p>
      <w:pPr>
        <w:jc w:val="both"/>
        <w:ind w:left="340" w:hanging="332"/>
        <w:spacing w:after="0" w:line="250"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340"/>
        <w:spacing w:after="0"/>
        <w:rPr>
          <w:rFonts w:ascii="Arial" w:cs="Arial" w:eastAsia="Arial" w:hAnsi="Arial"/>
          <w:sz w:val="18"/>
          <w:szCs w:val="18"/>
          <w:color w:val="auto"/>
        </w:rPr>
      </w:pPr>
      <w:r>
        <w:rPr>
          <w:rFonts w:ascii="Arial" w:cs="Arial" w:eastAsia="Arial" w:hAnsi="Arial"/>
          <w:sz w:val="18"/>
          <w:szCs w:val="18"/>
          <w:color w:val="auto"/>
        </w:rPr>
        <w:t>13a-15(f) and 15d-15(f)) for the registrant and have:</w:t>
      </w:r>
    </w:p>
    <w:p>
      <w:pPr>
        <w:spacing w:after="0" w:line="225"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01" w:lineRule="exact"/>
        <w:rPr>
          <w:rFonts w:ascii="Arial" w:cs="Arial" w:eastAsia="Arial" w:hAnsi="Arial"/>
          <w:sz w:val="18"/>
          <w:szCs w:val="18"/>
          <w:color w:val="auto"/>
        </w:rPr>
      </w:pPr>
    </w:p>
    <w:p>
      <w:pPr>
        <w:jc w:val="both"/>
        <w:ind w:left="980" w:hanging="324"/>
        <w:spacing w:after="0" w:line="256"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8"/>
          <w:szCs w:val="18"/>
          <w:color w:val="auto"/>
        </w:rPr>
      </w:pPr>
    </w:p>
    <w:p>
      <w:pPr>
        <w:jc w:val="both"/>
        <w:ind w:left="340" w:hanging="332"/>
        <w:spacing w:after="0" w:line="256" w:lineRule="auto"/>
        <w:tabs>
          <w:tab w:leader="none" w:pos="3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01" w:lineRule="exact"/>
        <w:rPr>
          <w:rFonts w:ascii="Arial" w:cs="Arial" w:eastAsia="Arial" w:hAnsi="Arial"/>
          <w:sz w:val="18"/>
          <w:szCs w:val="18"/>
          <w:color w:val="auto"/>
        </w:rPr>
      </w:pPr>
    </w:p>
    <w:p>
      <w:pPr>
        <w:ind w:left="980" w:hanging="324"/>
        <w:spacing w:after="0" w:line="262" w:lineRule="auto"/>
        <w:tabs>
          <w:tab w:leader="none" w:pos="866" w:val="left"/>
        </w:tabs>
        <w:numPr>
          <w:ilvl w:val="1"/>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6" w:lineRule="exact"/>
        <w:rPr>
          <w:rFonts w:ascii="Arial" w:cs="Arial" w:eastAsia="Arial" w:hAnsi="Arial"/>
          <w:sz w:val="18"/>
          <w:szCs w:val="18"/>
          <w:color w:val="auto"/>
        </w:rPr>
      </w:pPr>
    </w:p>
    <w:p>
      <w:pPr>
        <w:ind w:left="980" w:hanging="324"/>
        <w:spacing w:after="0" w:line="262" w:lineRule="auto"/>
        <w:tabs>
          <w:tab w:leader="none" w:pos="980"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spacing w:after="0"/>
        <w:tabs>
          <w:tab w:leader="none" w:pos="2780" w:val="left"/>
        </w:tabs>
        <w:rPr>
          <w:sz w:val="20"/>
          <w:szCs w:val="20"/>
          <w:color w:val="auto"/>
        </w:rPr>
      </w:pPr>
      <w:r>
        <w:rPr>
          <w:rFonts w:ascii="Arial" w:cs="Arial" w:eastAsia="Arial" w:hAnsi="Arial"/>
          <w:sz w:val="18"/>
          <w:szCs w:val="18"/>
          <w:color w:val="auto"/>
        </w:rPr>
        <w:t>Date: April 29, 2019</w:t>
      </w:r>
      <w:r>
        <w:rPr>
          <w:sz w:val="20"/>
          <w:szCs w:val="20"/>
          <w:color w:val="auto"/>
        </w:rPr>
        <w:tab/>
      </w:r>
      <w:r>
        <w:rPr>
          <w:rFonts w:ascii="Arial" w:cs="Arial" w:eastAsia="Arial" w:hAnsi="Arial"/>
          <w:sz w:val="17"/>
          <w:szCs w:val="17"/>
          <w:u w:val="single" w:color="auto"/>
          <w:color w:val="auto"/>
        </w:rPr>
        <w:t>/s/ Thomas A. Kelly</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Thomas A. Kelly</w:t>
      </w:r>
    </w:p>
    <w:p>
      <w:pPr>
        <w:spacing w:after="0" w:line="9" w:lineRule="exact"/>
        <w:rPr>
          <w:sz w:val="20"/>
          <w:szCs w:val="20"/>
          <w:color w:val="auto"/>
        </w:rPr>
      </w:pPr>
    </w:p>
    <w:p>
      <w:pPr>
        <w:ind w:left="58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792"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22"/>
          <w:szCs w:val="22"/>
          <w:b w:val="1"/>
          <w:bCs w:val="1"/>
          <w:color w:val="auto"/>
        </w:rPr>
        <w:t>EXHIBIT 32</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line="258" w:lineRule="auto"/>
        <w:rPr>
          <w:sz w:val="20"/>
          <w:szCs w:val="20"/>
          <w:color w:val="auto"/>
        </w:rPr>
      </w:pPr>
      <w:r>
        <w:rPr>
          <w:rFonts w:ascii="Arial" w:cs="Arial" w:eastAsia="Arial" w:hAnsi="Arial"/>
          <w:sz w:val="22"/>
          <w:szCs w:val="22"/>
          <w:b w:val="1"/>
          <w:bCs w:val="1"/>
          <w:color w:val="auto"/>
        </w:rPr>
        <w:t>CERTIFICATION PURSUANT TO 18 U.S.C. SECTION 1350 AS ADOPTED PURSUANT TO SECTION 906 OF THE SARBANES-OXLEY ACT OF 2002</w:t>
      </w:r>
    </w:p>
    <w:p>
      <w:pPr>
        <w:spacing w:after="0" w:line="200" w:lineRule="exact"/>
        <w:rPr>
          <w:sz w:val="20"/>
          <w:szCs w:val="20"/>
          <w:color w:val="auto"/>
        </w:rPr>
      </w:pPr>
    </w:p>
    <w:p>
      <w:pPr>
        <w:spacing w:after="0" w:line="293"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2"/>
          <w:szCs w:val="22"/>
          <w:color w:val="auto"/>
        </w:rPr>
        <w:t>In connection with the Quarterly Report of Crown Holdings, Inc. (the “Company”) on Form 10-Q for the period ending June 30, 2018 (the “Report”), each of the undersigned officers certify, pursuant to 18 U.S.C. § 1350, as adopted pursuant</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to § 906 of the Sarbanes-Oxley Act of 2002, that:</w:t>
      </w:r>
    </w:p>
    <w:p>
      <w:pPr>
        <w:spacing w:after="0" w:line="260" w:lineRule="exact"/>
        <w:rPr>
          <w:sz w:val="20"/>
          <w:szCs w:val="20"/>
          <w:color w:val="auto"/>
        </w:rPr>
      </w:pPr>
    </w:p>
    <w:p>
      <w:pPr>
        <w:ind w:left="520" w:hanging="512"/>
        <w:spacing w:after="0"/>
        <w:tabs>
          <w:tab w:leader="none" w:pos="520" w:val="left"/>
        </w:tabs>
        <w:numPr>
          <w:ilvl w:val="0"/>
          <w:numId w:val="31"/>
        </w:numPr>
        <w:rPr>
          <w:rFonts w:ascii="Arial" w:cs="Arial" w:eastAsia="Arial" w:hAnsi="Arial"/>
          <w:sz w:val="21"/>
          <w:szCs w:val="21"/>
          <w:color w:val="auto"/>
        </w:rPr>
      </w:pPr>
      <w:r>
        <w:rPr>
          <w:rFonts w:ascii="Arial" w:cs="Arial" w:eastAsia="Arial" w:hAnsi="Arial"/>
          <w:sz w:val="21"/>
          <w:szCs w:val="21"/>
          <w:color w:val="auto"/>
        </w:rPr>
        <w:t>The Report fully complies with the requirements of Section 13(a) or 15(d) of the Securities Exchange Act of 1934;</w:t>
      </w:r>
    </w:p>
    <w:p>
      <w:pPr>
        <w:spacing w:after="0" w:line="15"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2"/>
          <w:szCs w:val="22"/>
          <w:color w:val="auto"/>
        </w:rPr>
        <w:t>and</w:t>
      </w:r>
    </w:p>
    <w:p>
      <w:pPr>
        <w:spacing w:after="0" w:line="260" w:lineRule="exact"/>
        <w:rPr>
          <w:rFonts w:ascii="Arial" w:cs="Arial" w:eastAsia="Arial" w:hAnsi="Arial"/>
          <w:sz w:val="21"/>
          <w:szCs w:val="21"/>
          <w:color w:val="auto"/>
        </w:rPr>
      </w:pPr>
    </w:p>
    <w:p>
      <w:pPr>
        <w:ind w:firstLine="8"/>
        <w:spacing w:after="0" w:line="249" w:lineRule="auto"/>
        <w:tabs>
          <w:tab w:leader="none" w:pos="50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 information contained in the Report fairly presents, in all material respects, the financial position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2880" w:type="dxa"/>
            <w:vAlign w:val="bottom"/>
          </w:tcPr>
          <w:p>
            <w:pPr>
              <w:spacing w:after="0"/>
              <w:rPr>
                <w:sz w:val="20"/>
                <w:szCs w:val="20"/>
                <w:color w:val="auto"/>
              </w:rPr>
            </w:pPr>
            <w:r>
              <w:rPr>
                <w:rFonts w:ascii="Arial" w:cs="Arial" w:eastAsia="Arial" w:hAnsi="Arial"/>
                <w:sz w:val="22"/>
                <w:szCs w:val="22"/>
                <w:color w:val="auto"/>
              </w:rPr>
              <w:t>Date: April 29, 2019</w:t>
            </w:r>
          </w:p>
        </w:tc>
        <w:tc>
          <w:tcPr>
            <w:tcW w:w="222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7"/>
              </w:rPr>
              <w:t>/s/ Timothy J. Donahue</w:t>
            </w:r>
          </w:p>
        </w:tc>
        <w:tc>
          <w:tcPr>
            <w:tcW w:w="3040" w:type="dxa"/>
            <w:vAlign w:val="bottom"/>
          </w:tcPr>
          <w:p>
            <w:pPr>
              <w:spacing w:after="0"/>
              <w:rPr>
                <w:sz w:val="21"/>
                <w:szCs w:val="21"/>
                <w:color w:val="auto"/>
              </w:rPr>
            </w:pPr>
          </w:p>
        </w:tc>
      </w:tr>
      <w:tr>
        <w:trPr>
          <w:trHeight w:val="284"/>
        </w:trPr>
        <w:tc>
          <w:tcPr>
            <w:tcW w:w="2880" w:type="dxa"/>
            <w:vAlign w:val="bottom"/>
          </w:tcPr>
          <w:p>
            <w:pPr>
              <w:spacing w:after="0"/>
              <w:rPr>
                <w:sz w:val="24"/>
                <w:szCs w:val="24"/>
                <w:color w:val="auto"/>
              </w:rPr>
            </w:pPr>
          </w:p>
        </w:tc>
        <w:tc>
          <w:tcPr>
            <w:tcW w:w="5260" w:type="dxa"/>
            <w:vAlign w:val="bottom"/>
            <w:gridSpan w:val="3"/>
          </w:tcPr>
          <w:p>
            <w:pPr>
              <w:ind w:left="1660"/>
              <w:spacing w:after="0"/>
              <w:rPr>
                <w:sz w:val="20"/>
                <w:szCs w:val="20"/>
                <w:color w:val="auto"/>
              </w:rPr>
            </w:pPr>
            <w:r>
              <w:rPr>
                <w:rFonts w:ascii="Arial" w:cs="Arial" w:eastAsia="Arial" w:hAnsi="Arial"/>
                <w:sz w:val="22"/>
                <w:szCs w:val="22"/>
                <w:color w:val="auto"/>
              </w:rPr>
              <w:t>Timothy J. Donahue</w:t>
            </w:r>
          </w:p>
        </w:tc>
      </w:tr>
      <w:tr>
        <w:trPr>
          <w:trHeight w:val="260"/>
        </w:trPr>
        <w:tc>
          <w:tcPr>
            <w:tcW w:w="2880" w:type="dxa"/>
            <w:vAlign w:val="bottom"/>
          </w:tcPr>
          <w:p>
            <w:pPr>
              <w:spacing w:after="0"/>
              <w:rPr>
                <w:sz w:val="22"/>
                <w:szCs w:val="22"/>
                <w:color w:val="auto"/>
              </w:rPr>
            </w:pPr>
          </w:p>
        </w:tc>
        <w:tc>
          <w:tcPr>
            <w:tcW w:w="5260" w:type="dxa"/>
            <w:vAlign w:val="bottom"/>
            <w:gridSpan w:val="3"/>
          </w:tcPr>
          <w:p>
            <w:pPr>
              <w:ind w:left="1660"/>
              <w:spacing w:after="0"/>
              <w:rPr>
                <w:sz w:val="20"/>
                <w:szCs w:val="20"/>
                <w:color w:val="auto"/>
              </w:rPr>
            </w:pPr>
            <w:r>
              <w:rPr>
                <w:rFonts w:ascii="Arial" w:cs="Arial" w:eastAsia="Arial" w:hAnsi="Arial"/>
                <w:sz w:val="22"/>
                <w:szCs w:val="22"/>
                <w:color w:val="auto"/>
                <w:w w:val="97"/>
              </w:rPr>
              <w:t>President and Chief Executive Officer</w:t>
            </w:r>
          </w:p>
        </w:tc>
      </w:tr>
      <w:tr>
        <w:trPr>
          <w:trHeight w:val="463"/>
        </w:trPr>
        <w:tc>
          <w:tcPr>
            <w:tcW w:w="2880" w:type="dxa"/>
            <w:vAlign w:val="bottom"/>
          </w:tcPr>
          <w:p>
            <w:pPr>
              <w:spacing w:after="0"/>
              <w:rPr>
                <w:sz w:val="20"/>
                <w:szCs w:val="20"/>
                <w:color w:val="auto"/>
              </w:rPr>
            </w:pPr>
            <w:r>
              <w:rPr>
                <w:rFonts w:ascii="Arial" w:cs="Arial" w:eastAsia="Arial" w:hAnsi="Arial"/>
                <w:sz w:val="22"/>
                <w:szCs w:val="22"/>
                <w:color w:val="auto"/>
              </w:rPr>
              <w:t>Date: April 29, 2019</w:t>
            </w:r>
          </w:p>
        </w:tc>
        <w:tc>
          <w:tcPr>
            <w:tcW w:w="18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/s/ Thomas A. Kelly</w:t>
            </w:r>
          </w:p>
        </w:tc>
        <w:tc>
          <w:tcPr>
            <w:tcW w:w="3400" w:type="dxa"/>
            <w:vAlign w:val="bottom"/>
            <w:gridSpan w:val="2"/>
          </w:tcPr>
          <w:p>
            <w:pPr>
              <w:spacing w:after="0"/>
              <w:rPr>
                <w:sz w:val="24"/>
                <w:szCs w:val="24"/>
                <w:color w:val="auto"/>
              </w:rPr>
            </w:pPr>
          </w:p>
        </w:tc>
      </w:tr>
      <w:tr>
        <w:trPr>
          <w:trHeight w:val="284"/>
        </w:trPr>
        <w:tc>
          <w:tcPr>
            <w:tcW w:w="2880" w:type="dxa"/>
            <w:vAlign w:val="bottom"/>
          </w:tcPr>
          <w:p>
            <w:pPr>
              <w:spacing w:after="0"/>
              <w:rPr>
                <w:sz w:val="24"/>
                <w:szCs w:val="24"/>
                <w:color w:val="auto"/>
              </w:rPr>
            </w:pPr>
          </w:p>
        </w:tc>
        <w:tc>
          <w:tcPr>
            <w:tcW w:w="5260" w:type="dxa"/>
            <w:vAlign w:val="bottom"/>
            <w:gridSpan w:val="3"/>
          </w:tcPr>
          <w:p>
            <w:pPr>
              <w:ind w:left="1660"/>
              <w:spacing w:after="0"/>
              <w:rPr>
                <w:sz w:val="20"/>
                <w:szCs w:val="20"/>
                <w:color w:val="auto"/>
              </w:rPr>
            </w:pPr>
            <w:r>
              <w:rPr>
                <w:rFonts w:ascii="Arial" w:cs="Arial" w:eastAsia="Arial" w:hAnsi="Arial"/>
                <w:sz w:val="22"/>
                <w:szCs w:val="22"/>
                <w:color w:val="auto"/>
              </w:rPr>
              <w:t>Thomas A. Kelly</w:t>
            </w:r>
          </w:p>
        </w:tc>
      </w:tr>
      <w:tr>
        <w:trPr>
          <w:trHeight w:val="257"/>
        </w:trPr>
        <w:tc>
          <w:tcPr>
            <w:tcW w:w="2880" w:type="dxa"/>
            <w:vAlign w:val="bottom"/>
          </w:tcPr>
          <w:p>
            <w:pPr>
              <w:spacing w:after="0"/>
              <w:rPr>
                <w:sz w:val="22"/>
                <w:szCs w:val="22"/>
                <w:color w:val="auto"/>
              </w:rPr>
            </w:pPr>
          </w:p>
        </w:tc>
        <w:tc>
          <w:tcPr>
            <w:tcW w:w="5260" w:type="dxa"/>
            <w:vAlign w:val="bottom"/>
            <w:gridSpan w:val="3"/>
          </w:tcPr>
          <w:p>
            <w:pPr>
              <w:ind w:left="1660"/>
              <w:spacing w:after="0"/>
              <w:rPr>
                <w:sz w:val="20"/>
                <w:szCs w:val="20"/>
                <w:color w:val="auto"/>
              </w:rPr>
            </w:pPr>
            <w:r>
              <w:rPr>
                <w:rFonts w:ascii="Arial" w:cs="Arial" w:eastAsia="Arial" w:hAnsi="Arial"/>
                <w:sz w:val="22"/>
                <w:szCs w:val="22"/>
                <w:color w:val="auto"/>
              </w:rPr>
              <w:t>Senior Vice President</w:t>
            </w:r>
          </w:p>
        </w:tc>
      </w:tr>
      <w:tr>
        <w:trPr>
          <w:trHeight w:val="260"/>
        </w:trPr>
        <w:tc>
          <w:tcPr>
            <w:tcW w:w="2880" w:type="dxa"/>
            <w:vAlign w:val="bottom"/>
          </w:tcPr>
          <w:p>
            <w:pPr>
              <w:spacing w:after="0"/>
              <w:rPr>
                <w:sz w:val="22"/>
                <w:szCs w:val="22"/>
                <w:color w:val="auto"/>
              </w:rPr>
            </w:pPr>
          </w:p>
        </w:tc>
        <w:tc>
          <w:tcPr>
            <w:tcW w:w="5260" w:type="dxa"/>
            <w:vAlign w:val="bottom"/>
            <w:gridSpan w:val="3"/>
          </w:tcPr>
          <w:p>
            <w:pPr>
              <w:ind w:left="1660"/>
              <w:spacing w:after="0"/>
              <w:rPr>
                <w:sz w:val="20"/>
                <w:szCs w:val="20"/>
                <w:color w:val="auto"/>
              </w:rPr>
            </w:pPr>
            <w:r>
              <w:rPr>
                <w:rFonts w:ascii="Arial" w:cs="Arial" w:eastAsia="Arial" w:hAnsi="Arial"/>
                <w:sz w:val="22"/>
                <w:szCs w:val="22"/>
                <w:color w:val="auto"/>
              </w:rPr>
              <w:t>and 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both"/>
        <w:spacing w:after="0" w:line="249" w:lineRule="auto"/>
        <w:rPr>
          <w:sz w:val="20"/>
          <w:szCs w:val="20"/>
          <w:color w:val="auto"/>
        </w:rPr>
      </w:pPr>
      <w:r>
        <w:rPr>
          <w:rFonts w:ascii="Arial" w:cs="Arial" w:eastAsia="Arial" w:hAnsi="Arial"/>
          <w:sz w:val="22"/>
          <w:szCs w:val="22"/>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45" w:lineRule="exact"/>
        <w:rPr>
          <w:sz w:val="20"/>
          <w:szCs w:val="20"/>
          <w:color w:val="auto"/>
        </w:rPr>
      </w:pPr>
    </w:p>
    <w:p>
      <w:pPr>
        <w:jc w:val="both"/>
        <w:spacing w:after="0" w:line="245" w:lineRule="auto"/>
        <w:rPr>
          <w:sz w:val="20"/>
          <w:szCs w:val="20"/>
          <w:color w:val="auto"/>
        </w:rPr>
      </w:pPr>
      <w:r>
        <w:rPr>
          <w:rFonts w:ascii="Arial" w:cs="Arial" w:eastAsia="Arial" w:hAnsi="Arial"/>
          <w:sz w:val="22"/>
          <w:szCs w:val="22"/>
          <w:color w:val="auto"/>
        </w:rPr>
        <w:t>The foregoing certification is being furnished to the Securities and Exchange Commission as an exhibit to this Quarterly Report on Form 10-Q and shall not be deemed to be “filed” for purposes of Section 18 of the Securities Exchange Act of 1934 or otherwise subject to the liabilities of that section nor shall it be deemed to be incorporated by reference in any filing under the Securities Act of 1933 or the Securities Exchange Act of 1934.</w:t>
      </w:r>
    </w:p>
    <w:sectPr>
      <w:pgSz w:w="11900" w:h="16838" w:orient="portrait"/>
      <w:cols w:equalWidth="0" w:num="1">
        <w:col w:w="11420"/>
      </w:cols>
      <w:pgMar w:left="240" w:top="8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B68079A"/>
    <w:multiLevelType w:val="hybridMultilevel"/>
    <w:lvl w:ilvl="0">
      <w:lvlJc w:val="left"/>
      <w:lvlText w:val="x"/>
      <w:numFmt w:val="bullet"/>
      <w:start w:val="1"/>
    </w:lvl>
  </w:abstractNum>
  <w:abstractNum w:abstractNumId="1">
    <w:nsid w:val="4E6AFB66"/>
    <w:multiLevelType w:val="hybridMultilevel"/>
    <w:lvl w:ilvl="0">
      <w:lvlJc w:val="left"/>
      <w:lvlText w:val="☐"/>
      <w:numFmt w:val="bullet"/>
      <w:start w:val="1"/>
    </w:lvl>
  </w:abstractNum>
  <w:abstractNum w:abstractNumId="2">
    <w:nsid w:val="25E45D32"/>
    <w:multiLevelType w:val="hybridMultilevel"/>
    <w:lvl w:ilvl="0">
      <w:lvlJc w:val="left"/>
      <w:lvlText w:val="%1."/>
      <w:numFmt w:val="upperLetter"/>
      <w:start w:val="1"/>
    </w:lvl>
  </w:abstractNum>
  <w:abstractNum w:abstractNumId="3">
    <w:nsid w:val="519B500D"/>
    <w:multiLevelType w:val="hybridMultilevel"/>
    <w:lvl w:ilvl="0">
      <w:lvlJc w:val="left"/>
      <w:lvlText w:val="%1."/>
      <w:numFmt w:val="upperLetter"/>
      <w:start w:val="3"/>
    </w:lvl>
  </w:abstractNum>
  <w:abstractNum w:abstractNumId="4">
    <w:nsid w:val="431BD7B7"/>
    <w:multiLevelType w:val="hybridMultilevel"/>
    <w:lvl w:ilvl="0">
      <w:lvlJc w:val="left"/>
      <w:lvlText w:val="%1."/>
      <w:numFmt w:val="upperLetter"/>
      <w:start w:val="4"/>
    </w:lvl>
  </w:abstractNum>
  <w:abstractNum w:abstractNumId="5">
    <w:nsid w:val="3F2DBA31"/>
    <w:multiLevelType w:val="hybridMultilevel"/>
    <w:lvl w:ilvl="0">
      <w:lvlJc w:val="left"/>
      <w:lvlText w:val="%1."/>
      <w:numFmt w:val="upperLetter"/>
      <w:start w:val="5"/>
    </w:lvl>
  </w:abstractNum>
  <w:abstractNum w:abstractNumId="6">
    <w:nsid w:val="7C83E458"/>
    <w:multiLevelType w:val="hybridMultilevel"/>
    <w:lvl w:ilvl="0">
      <w:lvlJc w:val="left"/>
      <w:lvlText w:val="%1."/>
      <w:numFmt w:val="upperLetter"/>
      <w:start w:val="7"/>
    </w:lvl>
  </w:abstractNum>
  <w:abstractNum w:abstractNumId="7">
    <w:nsid w:val="257130A3"/>
    <w:multiLevelType w:val="hybridMultilevel"/>
    <w:lvl w:ilvl="0">
      <w:lvlJc w:val="left"/>
      <w:lvlText w:val="%1."/>
      <w:numFmt w:val="upperLetter"/>
      <w:start w:val="8"/>
    </w:lvl>
  </w:abstractNum>
  <w:abstractNum w:abstractNumId="8">
    <w:nsid w:val="62BBD95A"/>
    <w:multiLevelType w:val="hybridMultilevel"/>
    <w:lvl w:ilvl="0">
      <w:lvlJc w:val="left"/>
      <w:lvlText w:val="%1."/>
      <w:numFmt w:val="upperLetter"/>
      <w:start w:val="9"/>
    </w:lvl>
  </w:abstractNum>
  <w:abstractNum w:abstractNumId="9">
    <w:nsid w:val="436C6125"/>
    <w:multiLevelType w:val="hybridMultilevel"/>
    <w:lvl w:ilvl="0">
      <w:lvlJc w:val="left"/>
      <w:lvlText w:val="%1."/>
      <w:numFmt w:val="upperLetter"/>
      <w:start w:val="10"/>
    </w:lvl>
  </w:abstractNum>
  <w:abstractNum w:abstractNumId="10">
    <w:nsid w:val="628C895D"/>
    <w:multiLevelType w:val="hybridMultilevel"/>
    <w:lvl w:ilvl="0">
      <w:lvlJc w:val="left"/>
      <w:lvlText w:val="%1."/>
      <w:numFmt w:val="upperLetter"/>
      <w:start w:val="11"/>
    </w:lvl>
  </w:abstractNum>
  <w:abstractNum w:abstractNumId="11">
    <w:nsid w:val="333AB105"/>
    <w:multiLevelType w:val="hybridMultilevel"/>
    <w:lvl w:ilvl="0">
      <w:lvlJc w:val="left"/>
      <w:lvlText w:val="%1."/>
      <w:numFmt w:val="upperLetter"/>
      <w:start w:val="12"/>
    </w:lvl>
  </w:abstractNum>
  <w:abstractNum w:abstractNumId="12">
    <w:nsid w:val="721DA317"/>
    <w:multiLevelType w:val="hybridMultilevel"/>
    <w:lvl w:ilvl="0">
      <w:lvlJc w:val="left"/>
      <w:lvlText w:val="%1."/>
      <w:numFmt w:val="upperLetter"/>
      <w:start w:val="13"/>
    </w:lvl>
  </w:abstractNum>
  <w:abstractNum w:abstractNumId="13">
    <w:nsid w:val="2443A858"/>
    <w:multiLevelType w:val="hybridMultilevel"/>
    <w:lvl w:ilvl="0">
      <w:lvlJc w:val="left"/>
      <w:lvlText w:val="%1."/>
      <w:numFmt w:val="upperLetter"/>
      <w:start w:val="14"/>
    </w:lvl>
  </w:abstractNum>
  <w:abstractNum w:abstractNumId="14">
    <w:nsid w:val="2D1D5AE9"/>
    <w:multiLevelType w:val="hybridMultilevel"/>
    <w:lvl w:ilvl="0">
      <w:lvlJc w:val="left"/>
      <w:lvlText w:val="(%1)"/>
      <w:numFmt w:val="decimal"/>
      <w:start w:val="1"/>
    </w:lvl>
  </w:abstractNum>
  <w:abstractNum w:abstractNumId="15">
    <w:nsid w:val="6763845E"/>
    <w:multiLevelType w:val="hybridMultilevel"/>
    <w:lvl w:ilvl="0">
      <w:lvlJc w:val="left"/>
      <w:lvlText w:val="%1."/>
      <w:numFmt w:val="upperLetter"/>
      <w:start w:val="15"/>
    </w:lvl>
  </w:abstractNum>
  <w:abstractNum w:abstractNumId="16">
    <w:nsid w:val="75A2A8D4"/>
    <w:multiLevelType w:val="hybridMultilevel"/>
    <w:lvl w:ilvl="0">
      <w:lvlJc w:val="left"/>
      <w:lvlText w:val="%1."/>
      <w:numFmt w:val="upperLetter"/>
      <w:start w:val="16"/>
    </w:lvl>
  </w:abstractNum>
  <w:abstractNum w:abstractNumId="17">
    <w:nsid w:val="8EDBDAB"/>
    <w:multiLevelType w:val="hybridMultilevel"/>
    <w:lvl w:ilvl="0">
      <w:lvlJc w:val="left"/>
      <w:lvlText w:val="%1."/>
      <w:numFmt w:val="upperLetter"/>
      <w:start w:val="17"/>
    </w:lvl>
  </w:abstractNum>
  <w:abstractNum w:abstractNumId="18">
    <w:nsid w:val="79838CB2"/>
    <w:multiLevelType w:val="hybridMultilevel"/>
    <w:lvl w:ilvl="0">
      <w:lvlJc w:val="left"/>
      <w:lvlText w:val="%1."/>
      <w:numFmt w:val="upperLetter"/>
      <w:start w:val="18"/>
    </w:lvl>
  </w:abstractNum>
  <w:abstractNum w:abstractNumId="19">
    <w:nsid w:val="4353D0CD"/>
    <w:multiLevelType w:val="hybridMultilevel"/>
    <w:lvl w:ilvl="0">
      <w:lvlJc w:val="left"/>
      <w:lvlText w:val="%1."/>
      <w:numFmt w:val="upperLetter"/>
      <w:start w:val="19"/>
    </w:lvl>
  </w:abstractNum>
  <w:abstractNum w:abstractNumId="20">
    <w:nsid w:val="B03E0C6"/>
    <w:multiLevelType w:val="hybridMultilevel"/>
    <w:lvl w:ilvl="0">
      <w:lvlJc w:val="left"/>
      <w:lvlText w:val="%1."/>
      <w:numFmt w:val="upperLetter"/>
      <w:start w:val="20"/>
    </w:lvl>
    <w:lvl w:ilvl="1">
      <w:lvlJc w:val="left"/>
      <w:lvlText w:val="•"/>
      <w:numFmt w:val="bullet"/>
      <w:start w:val="1"/>
    </w:lvl>
  </w:abstractNum>
  <w:abstractNum w:abstractNumId="21">
    <w:nsid w:val="189A769B"/>
    <w:multiLevelType w:val="hybridMultilevel"/>
    <w:lvl w:ilvl="0">
      <w:lvlJc w:val="left"/>
      <w:lvlText w:val="•"/>
      <w:numFmt w:val="bullet"/>
      <w:start w:val="1"/>
    </w:lvl>
  </w:abstractNum>
  <w:abstractNum w:abstractNumId="22">
    <w:nsid w:val="54E49EB4"/>
    <w:multiLevelType w:val="hybridMultilevel"/>
    <w:lvl w:ilvl="0">
      <w:lvlJc w:val="left"/>
      <w:lvlText w:val="(%1)"/>
      <w:numFmt w:val="lowerLetter"/>
      <w:start w:val="1"/>
    </w:lvl>
  </w:abstractNum>
  <w:abstractNum w:abstractNumId="23">
    <w:nsid w:val="71F32454"/>
    <w:multiLevelType w:val="hybridMultilevel"/>
    <w:lvl w:ilvl="0">
      <w:lvlJc w:val="left"/>
      <w:lvlText w:val="%1)"/>
      <w:numFmt w:val="decimal"/>
      <w:start w:val="1"/>
    </w:lvl>
  </w:abstractNum>
  <w:abstractNum w:abstractNumId="24">
    <w:nsid w:val="2CA88611"/>
    <w:multiLevelType w:val="hybridMultilevel"/>
    <w:lvl w:ilvl="0">
      <w:lvlJc w:val="left"/>
      <w:lvlText w:val="%1)"/>
      <w:numFmt w:val="decimal"/>
      <w:start w:val="2"/>
    </w:lvl>
  </w:abstractNum>
  <w:abstractNum w:abstractNumId="25">
    <w:nsid w:val="836C40E"/>
    <w:multiLevelType w:val="hybridMultilevel"/>
    <w:lvl w:ilvl="0">
      <w:lvlJc w:val="left"/>
      <w:lvlText w:val="%1)"/>
      <w:numFmt w:val="decimal"/>
      <w:start w:val="3"/>
    </w:lvl>
  </w:abstractNum>
  <w:abstractNum w:abstractNumId="26">
    <w:nsid w:val="2901D82"/>
    <w:multiLevelType w:val="hybridMultilevel"/>
    <w:lvl w:ilvl="0">
      <w:lvlJc w:val="left"/>
      <w:lvlText w:val="%1"/>
      <w:numFmt w:val="decimal"/>
      <w:start w:val="32"/>
    </w:lvl>
  </w:abstractNum>
  <w:abstractNum w:abstractNumId="27">
    <w:nsid w:val="3A95F874"/>
    <w:multiLevelType w:val="hybridMultilevel"/>
    <w:lvl w:ilvl="0">
      <w:lvlJc w:val="left"/>
      <w:lvlText w:val="%1"/>
      <w:numFmt w:val="decimal"/>
      <w:start w:val="101"/>
    </w:lvl>
  </w:abstractNum>
  <w:abstractNum w:abstractNumId="28">
    <w:nsid w:val="8138641"/>
    <w:multiLevelType w:val="hybridMultilevel"/>
    <w:lvl w:ilvl="0">
      <w:lvlJc w:val="left"/>
      <w:lvlText w:val="%1."/>
      <w:numFmt w:val="decimal"/>
      <w:start w:val="1"/>
    </w:lvl>
    <w:lvl w:ilvl="1">
      <w:lvlJc w:val="left"/>
      <w:lvlText w:val="%2)"/>
      <w:numFmt w:val="lowerLetter"/>
      <w:start w:val="1"/>
    </w:lvl>
  </w:abstractNum>
  <w:abstractNum w:abstractNumId="29">
    <w:nsid w:val="1E7FF521"/>
    <w:multiLevelType w:val="hybridMultilevel"/>
    <w:lvl w:ilvl="0">
      <w:lvlJc w:val="left"/>
      <w:lvlText w:val="%1."/>
      <w:numFmt w:val="decimal"/>
      <w:start w:val="1"/>
    </w:lvl>
    <w:lvl w:ilvl="1">
      <w:lvlJc w:val="left"/>
      <w:lvlText w:val="%2)"/>
      <w:numFmt w:val="lowerLetter"/>
      <w:start w:val="1"/>
    </w:lvl>
  </w:abstractNum>
  <w:abstractNum w:abstractNumId="30">
    <w:nsid w:val="7C3DBD3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2019-12-28T13:41:50Z</dcterms:created>
  <dcterms:modified xsi:type="dcterms:W3CDTF">2019-12-28T13:41:50Z</dcterms:modified>
</cp:coreProperties>
</file>