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bottom w:val="single" w:sz="2" w:space="1" w:color="000000"/>
        </w:pBdr>
        <w:bidi w:val="0"/>
        <w:spacing w:lineRule="atLeast" w:line="142" w:before="0" w:after="0"/>
        <w:jc w:val="left"/>
        <w:rPr/>
      </w:pPr>
      <w:bookmarkStart w:id="0" w:name="d615519d8k.htm"/>
      <w:bookmarkStart w:id="1" w:name="ksd615519d8k"/>
      <w:bookmarkEnd w:id="0"/>
      <w:bookmarkEnd w:id="1"/>
      <w:r>
        <w:rPr/>
        <w:t> </w:t>
      </w:r>
    </w:p>
    <w:p>
      <w:pPr>
        <w:pStyle w:val="TextBody"/>
        <w:pBdr>
          <w:bottom w:val="single" w:sz="2" w:space="1" w:color="000000"/>
        </w:pBdr>
        <w:bidi w:val="0"/>
        <w:spacing w:lineRule="atLeast" w:line="142" w:before="0" w:after="40"/>
        <w:jc w:val="left"/>
        <w:rPr/>
      </w:pPr>
      <w:r>
        <w:rPr/>
        <w:t> </w:t>
      </w:r>
    </w:p>
    <w:p>
      <w:pPr>
        <w:pStyle w:val="TextBody"/>
        <w:bidi w:val="0"/>
        <w:spacing w:before="80" w:after="0"/>
        <w:jc w:val="center"/>
        <w:rPr>
          <w:rFonts w:ascii="Times New Roman" w:hAnsi="Times New Roman"/>
          <w:b/>
          <w:sz w:val="36"/>
        </w:rPr>
      </w:pPr>
      <w:r>
        <w:rPr>
          <w:rFonts w:ascii="Times New Roman" w:hAnsi="Times New Roman"/>
          <w:b/>
          <w:sz w:val="36"/>
        </w:rPr>
        <w:t>UNITED STATES</w:t>
      </w:r>
    </w:p>
    <w:p>
      <w:pPr>
        <w:pStyle w:val="TextBody"/>
        <w:bidi w:val="0"/>
        <w:spacing w:before="0" w:after="0"/>
        <w:jc w:val="center"/>
        <w:rPr>
          <w:rFonts w:ascii="Times New Roman" w:hAnsi="Times New Roman"/>
          <w:b/>
          <w:sz w:val="36"/>
        </w:rPr>
      </w:pPr>
      <w:r>
        <w:rPr>
          <w:rFonts w:ascii="Times New Roman" w:hAnsi="Times New Roman"/>
          <w:b/>
          <w:sz w:val="36"/>
        </w:rPr>
        <w:t>SECURITIES AND EXCHANGE COMMISSION</w:t>
      </w:r>
    </w:p>
    <w:p>
      <w:pPr>
        <w:pStyle w:val="TextBody"/>
        <w:bidi w:val="0"/>
        <w:spacing w:before="0" w:after="0"/>
        <w:jc w:val="center"/>
        <w:rPr>
          <w:rFonts w:ascii="Times New Roman" w:hAnsi="Times New Roman"/>
          <w:b/>
          <w:sz w:val="24"/>
        </w:rPr>
      </w:pPr>
      <w:r>
        <w:rPr>
          <w:rFonts w:ascii="Times New Roman" w:hAnsi="Times New Roman"/>
          <w:b/>
          <w:sz w:val="24"/>
        </w:rPr>
        <w:t>Washington, DC 20549</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240" w:after="0"/>
        <w:jc w:val="center"/>
        <w:rPr>
          <w:rFonts w:ascii="Times New Roman" w:hAnsi="Times New Roman"/>
          <w:b/>
          <w:sz w:val="36"/>
        </w:rPr>
      </w:pPr>
      <w:r>
        <w:rPr>
          <w:rFonts w:ascii="Times New Roman" w:hAnsi="Times New Roman"/>
          <w:b/>
          <w:sz w:val="36"/>
        </w:rPr>
        <w:t>FORM 8-K</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240" w:after="0"/>
        <w:jc w:val="center"/>
        <w:rPr>
          <w:rFonts w:ascii="Times New Roman" w:hAnsi="Times New Roman"/>
          <w:b/>
          <w:sz w:val="24"/>
        </w:rPr>
      </w:pPr>
      <w:r>
        <w:rPr>
          <w:rFonts w:ascii="Times New Roman" w:hAnsi="Times New Roman"/>
          <w:b/>
          <w:sz w:val="24"/>
        </w:rPr>
        <w:t>CURRENT REPORT</w:t>
      </w:r>
    </w:p>
    <w:p>
      <w:pPr>
        <w:pStyle w:val="TextBody"/>
        <w:bidi w:val="0"/>
        <w:spacing w:before="0" w:after="0"/>
        <w:jc w:val="center"/>
        <w:rPr>
          <w:rFonts w:ascii="Times New Roman" w:hAnsi="Times New Roman"/>
          <w:b/>
          <w:sz w:val="24"/>
        </w:rPr>
      </w:pPr>
      <w:r>
        <w:rPr>
          <w:rFonts w:ascii="Times New Roman" w:hAnsi="Times New Roman"/>
          <w:b/>
          <w:sz w:val="24"/>
        </w:rPr>
        <w:t>PURSUANT TO SECTION 13 OR 15(d)</w:t>
      </w:r>
    </w:p>
    <w:p>
      <w:pPr>
        <w:pStyle w:val="TextBody"/>
        <w:bidi w:val="0"/>
        <w:spacing w:before="0" w:after="0"/>
        <w:jc w:val="center"/>
        <w:rPr>
          <w:rFonts w:ascii="Times New Roman" w:hAnsi="Times New Roman"/>
          <w:b/>
          <w:sz w:val="24"/>
        </w:rPr>
      </w:pPr>
      <w:r>
        <w:rPr>
          <w:rFonts w:ascii="Times New Roman" w:hAnsi="Times New Roman"/>
          <w:b/>
          <w:sz w:val="24"/>
        </w:rPr>
        <w:t>OF THE SECURITIES EXCHANGE ACT OF 1934</w:t>
      </w:r>
    </w:p>
    <w:p>
      <w:pPr>
        <w:pStyle w:val="TextBody"/>
        <w:bidi w:val="0"/>
        <w:spacing w:before="240" w:after="0"/>
        <w:jc w:val="center"/>
        <w:rPr>
          <w:rFonts w:ascii="Times New Roman" w:hAnsi="Times New Roman"/>
          <w:b/>
          <w:sz w:val="24"/>
        </w:rPr>
      </w:pPr>
      <w:r>
        <w:rPr>
          <w:rFonts w:ascii="Times New Roman" w:hAnsi="Times New Roman"/>
          <w:b/>
          <w:sz w:val="24"/>
        </w:rPr>
        <w:t>Date of Report (Date of earliest event reported): November 30, 2023</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240" w:after="0"/>
        <w:jc w:val="center"/>
        <w:rPr>
          <w:rFonts w:ascii="Times New Roman" w:hAnsi="Times New Roman"/>
          <w:b/>
          <w:sz w:val="48"/>
        </w:rPr>
      </w:pPr>
      <w:r>
        <w:rPr>
          <w:rFonts w:ascii="Times New Roman" w:hAnsi="Times New Roman"/>
          <w:b/>
          <w:sz w:val="48"/>
        </w:rPr>
        <w:t xml:space="preserve">CROWN HOLDINGS, INC. </w:t>
      </w:r>
    </w:p>
    <w:p>
      <w:pPr>
        <w:pStyle w:val="TextBody"/>
        <w:bidi w:val="0"/>
        <w:spacing w:before="0" w:after="0"/>
        <w:jc w:val="center"/>
        <w:rPr>
          <w:rFonts w:ascii="Times New Roman" w:hAnsi="Times New Roman"/>
          <w:b/>
          <w:sz w:val="20"/>
        </w:rPr>
      </w:pPr>
      <w:r>
        <w:rPr>
          <w:rFonts w:ascii="Times New Roman" w:hAnsi="Times New Roman"/>
          <w:b/>
          <w:sz w:val="20"/>
        </w:rPr>
        <w:t>(Exact name of Registrant as specified in its charter)</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0" w:after="0"/>
        <w:jc w:val="left"/>
        <w:rPr/>
      </w:pPr>
      <w:r>
        <w:rPr/>
        <w:t> </w:t>
      </w:r>
    </w:p>
    <w:tbl>
      <w:tblPr>
        <w:tblW w:w="4890" w:type="dxa"/>
        <w:jc w:val="left"/>
        <w:tblInd w:w="0" w:type="dxa"/>
        <w:tblLayout w:type="fixed"/>
        <w:tblCellMar>
          <w:top w:w="0" w:type="dxa"/>
          <w:left w:w="0" w:type="dxa"/>
          <w:bottom w:w="0" w:type="dxa"/>
          <w:right w:w="0" w:type="dxa"/>
        </w:tblCellMar>
      </w:tblPr>
      <w:tblGrid>
        <w:gridCol w:w="2345"/>
        <w:gridCol w:w="60"/>
        <w:gridCol w:w="1055"/>
        <w:gridCol w:w="60"/>
        <w:gridCol w:w="1370"/>
      </w:tblGrid>
      <w:tr>
        <w:trPr/>
        <w:tc>
          <w:tcPr>
            <w:tcW w:w="23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r>
      <w:tr>
        <w:trPr/>
        <w:tc>
          <w:tcPr>
            <w:tcW w:w="2345" w:type="dxa"/>
            <w:tcBorders/>
            <w:vAlign w:val="center"/>
          </w:tcPr>
          <w:p>
            <w:pPr>
              <w:pStyle w:val="TableContents"/>
              <w:bidi w:val="0"/>
              <w:spacing w:before="0" w:after="283"/>
              <w:jc w:val="center"/>
              <w:rPr>
                <w:b/>
              </w:rPr>
            </w:pPr>
            <w:r>
              <w:rPr>
                <w:b/>
              </w:rPr>
              <w:t>Pennsylvania</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center"/>
              <w:rPr>
                <w:b/>
              </w:rPr>
            </w:pPr>
            <w:r>
              <w:rPr>
                <w:b/>
              </w:rPr>
              <w:t>001-41550</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283"/>
              <w:jc w:val="center"/>
              <w:rPr>
                <w:b/>
              </w:rPr>
            </w:pPr>
            <w:r>
              <w:rPr>
                <w:b/>
              </w:rPr>
              <w:t>75-3099507</w:t>
            </w:r>
          </w:p>
        </w:tc>
      </w:tr>
      <w:tr>
        <w:trPr/>
        <w:tc>
          <w:tcPr>
            <w:tcW w:w="234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(State or Other Jurisdiction of</w:t>
            </w:r>
          </w:p>
          <w:p>
            <w:pPr>
              <w:pStyle w:val="TableContents"/>
              <w:bidi w:val="0"/>
              <w:spacing w:before="0" w:after="20"/>
              <w:jc w:val="center"/>
              <w:rPr>
                <w:rFonts w:ascii="Times New Roman" w:hAnsi="Times New Roman"/>
                <w:b/>
                <w:sz w:val="16"/>
              </w:rPr>
            </w:pPr>
            <w:r>
              <w:rPr>
                <w:rFonts w:ascii="Times New Roman" w:hAnsi="Times New Roman"/>
                <w:b/>
                <w:sz w:val="16"/>
              </w:rPr>
              <w:t>Incorporation or Organization)</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(Commission</w:t>
            </w:r>
          </w:p>
          <w:p>
            <w:pPr>
              <w:pStyle w:val="TableContents"/>
              <w:bidi w:val="0"/>
              <w:spacing w:before="0" w:after="20"/>
              <w:jc w:val="center"/>
              <w:rPr>
                <w:rFonts w:ascii="Times New Roman" w:hAnsi="Times New Roman"/>
                <w:b/>
                <w:sz w:val="16"/>
              </w:rPr>
            </w:pPr>
            <w:r>
              <w:rPr>
                <w:rFonts w:ascii="Times New Roman" w:hAnsi="Times New Roman"/>
                <w:b/>
                <w:sz w:val="16"/>
              </w:rPr>
              <w:t>File Number)</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(I.R.S. Employer</w:t>
            </w:r>
          </w:p>
          <w:p>
            <w:pPr>
              <w:pStyle w:val="TableContents"/>
              <w:bidi w:val="0"/>
              <w:spacing w:before="0" w:after="20"/>
              <w:jc w:val="center"/>
              <w:rPr>
                <w:rFonts w:ascii="Times New Roman" w:hAnsi="Times New Roman"/>
                <w:b/>
                <w:sz w:val="16"/>
              </w:rPr>
            </w:pPr>
            <w:r>
              <w:rPr>
                <w:rFonts w:ascii="Times New Roman" w:hAnsi="Times New Roman"/>
                <w:b/>
                <w:sz w:val="16"/>
              </w:rPr>
              <w:t>Identification No.)</w:t>
            </w:r>
          </w:p>
        </w:tc>
      </w:tr>
    </w:tbl>
    <w:p>
      <w:pPr>
        <w:pStyle w:val="TextBody"/>
        <w:bidi w:val="0"/>
        <w:spacing w:before="240" w:after="0"/>
        <w:jc w:val="center"/>
        <w:rPr>
          <w:rFonts w:ascii="Times New Roman" w:hAnsi="Times New Roman"/>
          <w:b/>
          <w:sz w:val="20"/>
        </w:rPr>
      </w:pPr>
      <w:r>
        <w:rPr>
          <w:rFonts w:ascii="Times New Roman" w:hAnsi="Times New Roman"/>
          <w:b/>
          <w:sz w:val="20"/>
        </w:rPr>
        <w:t>14025 Riveredge Drive, Suite 300,</w:t>
      </w:r>
    </w:p>
    <w:p>
      <w:pPr>
        <w:pStyle w:val="TextBody"/>
        <w:bidi w:val="0"/>
        <w:spacing w:before="0" w:after="0"/>
        <w:jc w:val="center"/>
        <w:rPr>
          <w:rFonts w:ascii="Times New Roman" w:hAnsi="Times New Roman"/>
          <w:b/>
          <w:sz w:val="20"/>
        </w:rPr>
      </w:pPr>
      <w:r>
        <w:rPr>
          <w:rFonts w:ascii="Times New Roman" w:hAnsi="Times New Roman"/>
          <w:b/>
          <w:sz w:val="20"/>
        </w:rPr>
        <w:t>Tampa, Florida 33637</w:t>
      </w:r>
    </w:p>
    <w:p>
      <w:pPr>
        <w:pStyle w:val="TextBody"/>
        <w:bidi w:val="0"/>
        <w:spacing w:before="0" w:after="0"/>
        <w:jc w:val="center"/>
        <w:rPr>
          <w:rFonts w:ascii="Times New Roman" w:hAnsi="Times New Roman"/>
          <w:b/>
          <w:sz w:val="20"/>
        </w:rPr>
      </w:pPr>
      <w:r>
        <w:rPr>
          <w:rFonts w:ascii="Times New Roman" w:hAnsi="Times New Roman"/>
          <w:b/>
          <w:sz w:val="20"/>
        </w:rPr>
        <w:t>(215) 698-5100</w:t>
      </w:r>
    </w:p>
    <w:p>
      <w:pPr>
        <w:pStyle w:val="TextBody"/>
        <w:bidi w:val="0"/>
        <w:spacing w:before="0" w:after="0"/>
        <w:jc w:val="center"/>
        <w:rPr>
          <w:rFonts w:ascii="Times New Roman" w:hAnsi="Times New Roman"/>
          <w:b/>
          <w:sz w:val="16"/>
        </w:rPr>
      </w:pPr>
      <w:r>
        <w:rPr>
          <w:rFonts w:ascii="Times New Roman" w:hAnsi="Times New Roman"/>
          <w:b/>
          <w:sz w:val="16"/>
        </w:rPr>
        <w:t>(Address, Including Zip Code, and Telephone Number, Including Area Code, of Registrant’s Principal Executive Offices)</w:t>
      </w:r>
    </w:p>
    <w:p>
      <w:pPr>
        <w:pStyle w:val="TextBody"/>
        <w:bidi w:val="0"/>
        <w:spacing w:before="240" w:after="0"/>
        <w:jc w:val="center"/>
        <w:rPr>
          <w:rFonts w:ascii="Times New Roman" w:hAnsi="Times New Roman"/>
          <w:b/>
          <w:sz w:val="20"/>
        </w:rPr>
      </w:pPr>
      <w:r>
        <w:rPr>
          <w:rFonts w:ascii="Times New Roman" w:hAnsi="Times New Roman"/>
          <w:b/>
          <w:sz w:val="20"/>
        </w:rPr>
        <w:t>Not Applicable</w:t>
      </w:r>
    </w:p>
    <w:p>
      <w:pPr>
        <w:pStyle w:val="TextBody"/>
        <w:bidi w:val="0"/>
        <w:spacing w:before="0" w:after="0"/>
        <w:jc w:val="center"/>
        <w:rPr>
          <w:rFonts w:ascii="Times New Roman" w:hAnsi="Times New Roman"/>
          <w:b/>
          <w:sz w:val="16"/>
        </w:rPr>
      </w:pPr>
      <w:r>
        <w:rPr>
          <w:rFonts w:ascii="Times New Roman" w:hAnsi="Times New Roman"/>
          <w:b/>
          <w:sz w:val="16"/>
        </w:rPr>
        <w:t>(Former name or former address, if changed since last report)</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240" w:after="0"/>
        <w:jc w:val="left"/>
        <w:rPr>
          <w:rFonts w:ascii="Times New Roman" w:hAnsi="Times New Roman"/>
          <w:sz w:val="20"/>
        </w:rPr>
      </w:pPr>
      <w:r>
        <w:rPr>
          <w:rFonts w:ascii="Times New Roman" w:hAnsi="Times New Roman"/>
          <w:sz w:val="20"/>
        </w:rPr>
        <w:t>SECURITIES REGISTERED PURSUANT TO SECTION 12(b) OF THE ACT:</w:t>
      </w:r>
    </w:p>
    <w:p>
      <w:pPr>
        <w:pStyle w:val="TextBody"/>
        <w:bidi w:val="0"/>
        <w:spacing w:before="0" w:after="0"/>
        <w:jc w:val="left"/>
        <w:rPr/>
      </w:pPr>
      <w:r>
        <w:rPr/>
        <w:t> </w:t>
      </w:r>
    </w:p>
    <w:tbl>
      <w:tblPr>
        <w:tblW w:w="6675" w:type="dxa"/>
        <w:jc w:val="left"/>
        <w:tblInd w:w="0" w:type="dxa"/>
        <w:tblLayout w:type="fixed"/>
        <w:tblCellMar>
          <w:top w:w="0" w:type="dxa"/>
          <w:left w:w="0" w:type="dxa"/>
          <w:bottom w:w="0" w:type="dxa"/>
          <w:right w:w="0" w:type="dxa"/>
        </w:tblCellMar>
      </w:tblPr>
      <w:tblGrid>
        <w:gridCol w:w="3125"/>
        <w:gridCol w:w="60"/>
        <w:gridCol w:w="770"/>
        <w:gridCol w:w="60"/>
        <w:gridCol w:w="2660"/>
      </w:tblGrid>
      <w:tr>
        <w:trPr/>
        <w:tc>
          <w:tcPr>
            <w:tcW w:w="31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60" w:type="dxa"/>
            <w:tcBorders/>
            <w:vAlign w:val="center"/>
          </w:tcPr>
          <w:p>
            <w:pPr>
              <w:pStyle w:val="TableContents"/>
              <w:bidi w:val="0"/>
              <w:spacing w:before="0" w:after="283"/>
              <w:jc w:val="left"/>
              <w:rPr>
                <w:sz w:val="4"/>
                <w:szCs w:val="4"/>
              </w:rPr>
            </w:pPr>
            <w:r>
              <w:rPr>
                <w:sz w:val="4"/>
                <w:szCs w:val="4"/>
              </w:rPr>
            </w:r>
          </w:p>
        </w:tc>
      </w:tr>
      <w:tr>
        <w:trPr/>
        <w:tc>
          <w:tcPr>
            <w:tcW w:w="312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Title of each class</w:t>
            </w:r>
          </w:p>
        </w:tc>
        <w:tc>
          <w:tcPr>
            <w:tcW w:w="60" w:type="dxa"/>
            <w:tcBorders/>
            <w:vAlign w:val="center"/>
          </w:tcPr>
          <w:p>
            <w:pPr>
              <w:pStyle w:val="TableContents"/>
              <w:bidi w:val="0"/>
              <w:spacing w:before="0" w:after="283"/>
              <w:jc w:val="left"/>
              <w:rPr/>
            </w:pPr>
            <w:r>
              <w:rPr/>
              <w:t> </w:t>
            </w:r>
          </w:p>
        </w:tc>
        <w:tc>
          <w:tcPr>
            <w:tcW w:w="77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Trading</w:t>
              <w:br/>
              <w:t>Symbols</w:t>
            </w:r>
          </w:p>
        </w:tc>
        <w:tc>
          <w:tcPr>
            <w:tcW w:w="60" w:type="dxa"/>
            <w:tcBorders/>
            <w:vAlign w:val="center"/>
          </w:tcPr>
          <w:p>
            <w:pPr>
              <w:pStyle w:val="TableContents"/>
              <w:bidi w:val="0"/>
              <w:spacing w:before="0" w:after="283"/>
              <w:jc w:val="left"/>
              <w:rPr/>
            </w:pPr>
            <w:r>
              <w:rPr/>
              <w:t> </w:t>
            </w:r>
          </w:p>
        </w:tc>
        <w:tc>
          <w:tcPr>
            <w:tcW w:w="2660"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Name of each exchange</w:t>
            </w:r>
          </w:p>
          <w:p>
            <w:pPr>
              <w:pStyle w:val="TableContents"/>
              <w:bidi w:val="0"/>
              <w:spacing w:before="0" w:after="20"/>
              <w:jc w:val="center"/>
              <w:rPr>
                <w:rFonts w:ascii="Times New Roman" w:hAnsi="Times New Roman"/>
                <w:b/>
                <w:sz w:val="16"/>
              </w:rPr>
            </w:pPr>
            <w:r>
              <w:rPr>
                <w:rFonts w:ascii="Times New Roman" w:hAnsi="Times New Roman"/>
                <w:b/>
                <w:sz w:val="16"/>
              </w:rPr>
              <w:t>on which registered</w:t>
            </w:r>
          </w:p>
        </w:tc>
      </w:tr>
      <w:tr>
        <w:trPr/>
        <w:tc>
          <w:tcPr>
            <w:tcW w:w="3125" w:type="dxa"/>
            <w:tcBorders/>
            <w:vAlign w:val="center"/>
          </w:tcPr>
          <w:p>
            <w:pPr>
              <w:pStyle w:val="TableContents"/>
              <w:bidi w:val="0"/>
              <w:spacing w:before="0" w:after="283"/>
              <w:jc w:val="center"/>
              <w:rPr/>
            </w:pPr>
            <w:r>
              <w:rPr/>
              <w:t>Common Stock $5.00 Par Value</w:t>
            </w:r>
          </w:p>
        </w:tc>
        <w:tc>
          <w:tcPr>
            <w:tcW w:w="60" w:type="dxa"/>
            <w:tcBorders/>
            <w:vAlign w:val="center"/>
          </w:tcPr>
          <w:p>
            <w:pPr>
              <w:pStyle w:val="TableContents"/>
              <w:bidi w:val="0"/>
              <w:spacing w:before="0" w:after="283"/>
              <w:jc w:val="left"/>
              <w:rPr/>
            </w:pPr>
            <w:r>
              <w:rPr/>
              <w:t> </w:t>
            </w:r>
          </w:p>
        </w:tc>
        <w:tc>
          <w:tcPr>
            <w:tcW w:w="770" w:type="dxa"/>
            <w:tcBorders/>
            <w:vAlign w:val="center"/>
          </w:tcPr>
          <w:p>
            <w:pPr>
              <w:pStyle w:val="TableContents"/>
              <w:bidi w:val="0"/>
              <w:spacing w:before="0" w:after="283"/>
              <w:jc w:val="center"/>
              <w:rPr/>
            </w:pPr>
            <w:r>
              <w:rPr/>
              <w:t>CCK</w:t>
            </w:r>
          </w:p>
        </w:tc>
        <w:tc>
          <w:tcPr>
            <w:tcW w:w="60" w:type="dxa"/>
            <w:tcBorders/>
            <w:vAlign w:val="center"/>
          </w:tcPr>
          <w:p>
            <w:pPr>
              <w:pStyle w:val="TableContents"/>
              <w:bidi w:val="0"/>
              <w:spacing w:before="0" w:after="283"/>
              <w:jc w:val="left"/>
              <w:rPr/>
            </w:pPr>
            <w:r>
              <w:rPr/>
              <w:t> </w:t>
            </w:r>
          </w:p>
        </w:tc>
        <w:tc>
          <w:tcPr>
            <w:tcW w:w="2660" w:type="dxa"/>
            <w:tcBorders/>
            <w:vAlign w:val="center"/>
          </w:tcPr>
          <w:p>
            <w:pPr>
              <w:pStyle w:val="TableContents"/>
              <w:bidi w:val="0"/>
              <w:spacing w:before="0" w:after="283"/>
              <w:jc w:val="center"/>
              <w:rPr/>
            </w:pPr>
            <w:r>
              <w:rPr/>
              <w:t>New York Stock Exchange</w:t>
            </w:r>
          </w:p>
        </w:tc>
      </w:tr>
      <w:tr>
        <w:trPr/>
        <w:tc>
          <w:tcPr>
            <w:tcW w:w="3125" w:type="dxa"/>
            <w:tcBorders/>
            <w:vAlign w:val="center"/>
          </w:tcPr>
          <w:p>
            <w:pPr>
              <w:pStyle w:val="TableContents"/>
              <w:bidi w:val="0"/>
              <w:spacing w:before="0" w:after="283"/>
              <w:jc w:val="center"/>
              <w:rPr/>
            </w:pPr>
            <w:r>
              <w:rPr/>
              <w:t>7 3/8% Debentures Due 2026</w:t>
            </w:r>
          </w:p>
        </w:tc>
        <w:tc>
          <w:tcPr>
            <w:tcW w:w="60" w:type="dxa"/>
            <w:tcBorders/>
            <w:vAlign w:val="center"/>
          </w:tcPr>
          <w:p>
            <w:pPr>
              <w:pStyle w:val="TableContents"/>
              <w:bidi w:val="0"/>
              <w:spacing w:before="0" w:after="283"/>
              <w:jc w:val="left"/>
              <w:rPr/>
            </w:pPr>
            <w:r>
              <w:rPr/>
              <w:t> </w:t>
            </w:r>
          </w:p>
        </w:tc>
        <w:tc>
          <w:tcPr>
            <w:tcW w:w="770" w:type="dxa"/>
            <w:tcBorders/>
            <w:vAlign w:val="center"/>
          </w:tcPr>
          <w:p>
            <w:pPr>
              <w:pStyle w:val="TableContents"/>
              <w:bidi w:val="0"/>
              <w:spacing w:before="0" w:after="283"/>
              <w:jc w:val="center"/>
              <w:rPr/>
            </w:pPr>
            <w:r>
              <w:rPr/>
              <w:t>CCK26</w:t>
            </w:r>
          </w:p>
        </w:tc>
        <w:tc>
          <w:tcPr>
            <w:tcW w:w="60" w:type="dxa"/>
            <w:tcBorders/>
            <w:vAlign w:val="center"/>
          </w:tcPr>
          <w:p>
            <w:pPr>
              <w:pStyle w:val="TableContents"/>
              <w:bidi w:val="0"/>
              <w:spacing w:before="0" w:after="283"/>
              <w:jc w:val="left"/>
              <w:rPr/>
            </w:pPr>
            <w:r>
              <w:rPr/>
              <w:t> </w:t>
            </w:r>
          </w:p>
        </w:tc>
        <w:tc>
          <w:tcPr>
            <w:tcW w:w="2660" w:type="dxa"/>
            <w:tcBorders/>
            <w:vAlign w:val="center"/>
          </w:tcPr>
          <w:p>
            <w:pPr>
              <w:pStyle w:val="TableContents"/>
              <w:bidi w:val="0"/>
              <w:spacing w:before="0" w:after="283"/>
              <w:jc w:val="center"/>
              <w:rPr/>
            </w:pPr>
            <w:r>
              <w:rPr/>
              <w:t>New York Stock Exchange</w:t>
            </w:r>
          </w:p>
        </w:tc>
      </w:tr>
      <w:tr>
        <w:trPr/>
        <w:tc>
          <w:tcPr>
            <w:tcW w:w="3125" w:type="dxa"/>
            <w:tcBorders/>
            <w:vAlign w:val="center"/>
          </w:tcPr>
          <w:p>
            <w:pPr>
              <w:pStyle w:val="TableContents"/>
              <w:bidi w:val="0"/>
              <w:spacing w:before="0" w:after="283"/>
              <w:jc w:val="center"/>
              <w:rPr/>
            </w:pPr>
            <w:r>
              <w:rPr/>
              <w:t>7 1/2% Debentures Due 2096</w:t>
            </w:r>
          </w:p>
        </w:tc>
        <w:tc>
          <w:tcPr>
            <w:tcW w:w="60" w:type="dxa"/>
            <w:tcBorders/>
            <w:vAlign w:val="center"/>
          </w:tcPr>
          <w:p>
            <w:pPr>
              <w:pStyle w:val="TableContents"/>
              <w:bidi w:val="0"/>
              <w:spacing w:before="0" w:after="283"/>
              <w:jc w:val="left"/>
              <w:rPr/>
            </w:pPr>
            <w:r>
              <w:rPr/>
              <w:t> </w:t>
            </w:r>
          </w:p>
        </w:tc>
        <w:tc>
          <w:tcPr>
            <w:tcW w:w="770" w:type="dxa"/>
            <w:tcBorders/>
            <w:vAlign w:val="center"/>
          </w:tcPr>
          <w:p>
            <w:pPr>
              <w:pStyle w:val="TableContents"/>
              <w:bidi w:val="0"/>
              <w:spacing w:before="0" w:after="283"/>
              <w:jc w:val="center"/>
              <w:rPr/>
            </w:pPr>
            <w:r>
              <w:rPr/>
              <w:t>CCK96</w:t>
            </w:r>
          </w:p>
        </w:tc>
        <w:tc>
          <w:tcPr>
            <w:tcW w:w="60" w:type="dxa"/>
            <w:tcBorders/>
            <w:vAlign w:val="center"/>
          </w:tcPr>
          <w:p>
            <w:pPr>
              <w:pStyle w:val="TableContents"/>
              <w:bidi w:val="0"/>
              <w:spacing w:before="0" w:after="283"/>
              <w:jc w:val="left"/>
              <w:rPr/>
            </w:pPr>
            <w:r>
              <w:rPr/>
              <w:t> </w:t>
            </w:r>
          </w:p>
        </w:tc>
        <w:tc>
          <w:tcPr>
            <w:tcW w:w="2660" w:type="dxa"/>
            <w:tcBorders/>
            <w:vAlign w:val="center"/>
          </w:tcPr>
          <w:p>
            <w:pPr>
              <w:pStyle w:val="TableContents"/>
              <w:bidi w:val="0"/>
              <w:spacing w:before="0" w:after="283"/>
              <w:jc w:val="center"/>
              <w:rPr/>
            </w:pPr>
            <w:r>
              <w:rPr/>
              <w:t>New York Stock Exchange</w:t>
            </w:r>
          </w:p>
        </w:tc>
      </w:tr>
    </w:tbl>
    <w:p>
      <w:pPr>
        <w:pStyle w:val="TextBody"/>
        <w:bidi w:val="0"/>
        <w:spacing w:before="240" w:after="0"/>
        <w:jc w:val="left"/>
        <w:rPr>
          <w:rFonts w:ascii="Times New Roman" w:hAnsi="Times New Roman"/>
          <w:sz w:val="20"/>
        </w:rPr>
      </w:pPr>
      <w:r>
        <w:rPr>
          <w:rFonts w:ascii="Times New Roman" w:hAnsi="Times New Roman"/>
          <w:sz w:val="20"/>
        </w:rPr>
        <w:t>Check the appropriate box below if the Form 8-K filing is intended to simultaneously satisfy the filing obligation of the registrant under any of the following provisions:</w:t>
      </w:r>
    </w:p>
    <w:p>
      <w:pPr>
        <w:pStyle w:val="TextBody"/>
        <w:bidi w:val="0"/>
        <w:spacing w:before="0" w:after="0"/>
        <w:jc w:val="left"/>
        <w:rPr/>
      </w:pPr>
      <w:r>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pPr>
            <w:r>
              <w:rPr/>
              <w:t>☐</w:t>
            </w:r>
          </w:p>
        </w:tc>
        <w:tc>
          <w:tcPr>
            <w:tcW w:w="72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Written communications pursuant to Rule 425 under the Securities Act (17 CFR 230.425)</w:t>
            </w:r>
          </w:p>
        </w:tc>
      </w:tr>
    </w:tbl>
    <w:p>
      <w:pPr>
        <w:pStyle w:val="TextBody"/>
        <w:bidi w:val="0"/>
        <w:spacing w:before="0" w:after="0"/>
        <w:jc w:val="left"/>
        <w:rPr/>
      </w:pPr>
      <w:r>
        <w:rPr/>
        <w:t> </w:t>
      </w:r>
    </w:p>
    <w:tbl>
      <w:tblPr>
        <w:tblW w:w="7525" w:type="dxa"/>
        <w:jc w:val="left"/>
        <w:tblInd w:w="0" w:type="dxa"/>
        <w:tblLayout w:type="fixed"/>
        <w:tblCellMar>
          <w:top w:w="0" w:type="dxa"/>
          <w:left w:w="0" w:type="dxa"/>
          <w:bottom w:w="0" w:type="dxa"/>
          <w:right w:w="0" w:type="dxa"/>
        </w:tblCellMar>
      </w:tblPr>
      <w:tblGrid>
        <w:gridCol w:w="245"/>
        <w:gridCol w:w="7280"/>
      </w:tblGrid>
      <w:tr>
        <w:trPr/>
        <w:tc>
          <w:tcPr>
            <w:tcW w:w="245" w:type="dxa"/>
            <w:tcBorders/>
            <w:vAlign w:val="center"/>
          </w:tcPr>
          <w:p>
            <w:pPr>
              <w:pStyle w:val="TableContents"/>
              <w:bidi w:val="0"/>
              <w:spacing w:before="0" w:after="283"/>
              <w:jc w:val="left"/>
              <w:rPr/>
            </w:pPr>
            <w:r>
              <w:rPr/>
              <w:t>☐</w:t>
            </w:r>
          </w:p>
        </w:tc>
        <w:tc>
          <w:tcPr>
            <w:tcW w:w="72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Soliciting material pursuant to Rule 14a-12 under the Exchange Act (17CFR 240.14a-12)</w:t>
            </w:r>
          </w:p>
        </w:tc>
      </w:tr>
    </w:tbl>
    <w:p>
      <w:pPr>
        <w:pStyle w:val="TextBody"/>
        <w:bidi w:val="0"/>
        <w:spacing w:before="0" w:after="0"/>
        <w:jc w:val="left"/>
        <w:rPr/>
      </w:pPr>
      <w:r>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r>
              <w:rPr/>
              <w:t>☐</w:t>
            </w:r>
          </w:p>
        </w:tc>
        <w:tc>
          <w:tcPr>
            <w:tcW w:w="90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14d-2(b) under the Exchange Act (17 CFR 240.14d-2(b))</w:t>
            </w:r>
          </w:p>
        </w:tc>
      </w:tr>
    </w:tbl>
    <w:p>
      <w:pPr>
        <w:pStyle w:val="TextBody"/>
        <w:bidi w:val="0"/>
        <w:spacing w:before="0" w:after="0"/>
        <w:jc w:val="left"/>
        <w:rPr/>
      </w:pPr>
      <w:r>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pPr>
            <w:r>
              <w:rPr/>
              <w:t>☐</w:t>
            </w:r>
          </w:p>
        </w:tc>
        <w:tc>
          <w:tcPr>
            <w:tcW w:w="90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13e-4(c) under the Exchange Act (17 CFR 240.13e-4(c))</w:t>
            </w:r>
          </w:p>
        </w:tc>
      </w:tr>
    </w:tbl>
    <w:p>
      <w:pPr>
        <w:pStyle w:val="TextBody"/>
        <w:bidi w:val="0"/>
        <w:spacing w:before="240" w:after="0"/>
        <w:jc w:val="left"/>
        <w:rPr>
          <w:rFonts w:ascii="Times New Roman" w:hAnsi="Times New Roman"/>
          <w:sz w:val="20"/>
        </w:rPr>
      </w:pPr>
      <w:r>
        <w:rPr>
          <w:rFonts w:ascii="Times New Roman" w:hAnsi="Times New Roman"/>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240" w:after="0"/>
        <w:jc w:val="left"/>
        <w:rPr>
          <w:rFonts w:ascii="Times New Roman" w:hAnsi="Times New Roman"/>
          <w:sz w:val="20"/>
        </w:rPr>
      </w:pPr>
      <w:r>
        <w:rPr>
          <w:rFonts w:ascii="Times New Roman" w:hAnsi="Times New Roman"/>
          <w:sz w:val="20"/>
        </w:rPr>
        <w:t>Emerging growth company ☐</w:t>
      </w:r>
    </w:p>
    <w:p>
      <w:pPr>
        <w:pStyle w:val="TextBody"/>
        <w:bidi w:val="0"/>
        <w:spacing w:before="240" w:after="0"/>
        <w:jc w:val="left"/>
        <w:rPr>
          <w:rFonts w:ascii="Times New Roman" w:hAnsi="Times New Roman"/>
          <w:sz w:val="20"/>
        </w:rPr>
      </w:pPr>
      <w:r>
        <w:rPr>
          <w:rFonts w:ascii="Times New Roman" w:hAnsi="Times New Roman"/>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t> </w:t>
      </w:r>
    </w:p>
    <w:p>
      <w:pPr>
        <w:pStyle w:val="TextBody"/>
        <w:pBdr>
          <w:bottom w:val="single" w:sz="2" w:space="1" w:color="000000"/>
        </w:pBdr>
        <w:bidi w:val="0"/>
        <w:spacing w:lineRule="atLeast" w:line="142" w:before="0" w:after="0"/>
        <w:jc w:val="left"/>
        <w:rPr/>
      </w:pPr>
      <w:r>
        <w:rPr/>
        <w:t> </w:t>
      </w:r>
    </w:p>
    <w:p>
      <w:pPr>
        <w:pStyle w:val="TextBody"/>
        <w:pBdr>
          <w:bottom w:val="single" w:sz="2" w:space="1" w:color="000000"/>
        </w:pBdr>
        <w:bidi w:val="0"/>
        <w:spacing w:lineRule="atLeast" w:line="142" w:before="0" w:after="40"/>
        <w:jc w:val="left"/>
        <w:rPr/>
      </w:pPr>
      <w:r>
        <w:rPr/>
        <w:t> </w:t>
      </w:r>
      <w:r>
        <w:br w:type="page"/>
      </w:r>
    </w:p>
    <w:p>
      <w:pPr>
        <w:pStyle w:val="HorizontalLine"/>
        <w:bidi w:val="0"/>
        <w:jc w:val="left"/>
        <w:rPr/>
      </w:pPr>
      <w:r>
        <w:rPr/>
      </w:r>
    </w:p>
    <w:tbl>
      <w:tblPr>
        <w:tblW w:w="3325" w:type="dxa"/>
        <w:jc w:val="left"/>
        <w:tblInd w:w="0" w:type="dxa"/>
        <w:tblLayout w:type="fixed"/>
        <w:tblCellMar>
          <w:top w:w="0" w:type="dxa"/>
          <w:left w:w="0" w:type="dxa"/>
          <w:bottom w:w="0" w:type="dxa"/>
          <w:right w:w="0" w:type="dxa"/>
        </w:tblCellMar>
      </w:tblPr>
      <w:tblGrid>
        <w:gridCol w:w="1040"/>
        <w:gridCol w:w="2285"/>
      </w:tblGrid>
      <w:tr>
        <w:trPr/>
        <w:tc>
          <w:tcPr>
            <w:tcW w:w="1040" w:type="dxa"/>
            <w:tcBorders/>
            <w:vAlign w:val="center"/>
          </w:tcPr>
          <w:p>
            <w:pPr>
              <w:pStyle w:val="TableContents"/>
              <w:bidi w:val="0"/>
              <w:spacing w:before="0" w:after="283"/>
              <w:jc w:val="left"/>
              <w:rPr>
                <w:b/>
              </w:rPr>
            </w:pPr>
            <w:r>
              <w:rPr>
                <w:b/>
              </w:rPr>
              <w:t>Item 7.01.</w:t>
            </w:r>
          </w:p>
        </w:tc>
        <w:tc>
          <w:tcPr>
            <w:tcW w:w="228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Regulation FD Disclosure. </w:t>
            </w:r>
          </w:p>
        </w:tc>
      </w:tr>
    </w:tbl>
    <w:p>
      <w:pPr>
        <w:pStyle w:val="TextBody"/>
        <w:bidi w:val="0"/>
        <w:spacing w:before="120" w:after="0"/>
        <w:jc w:val="left"/>
        <w:rPr>
          <w:rFonts w:ascii="Times New Roman" w:hAnsi="Times New Roman"/>
          <w:sz w:val="20"/>
        </w:rPr>
      </w:pPr>
      <w:r>
        <w:rPr>
          <w:rFonts w:ascii="Times New Roman" w:hAnsi="Times New Roman"/>
          <w:sz w:val="20"/>
        </w:rPr>
        <w:t>Crown Holdings, Inc. (the “</w:t>
      </w:r>
      <w:r>
        <w:rPr>
          <w:rFonts w:ascii="Times New Roman" w:hAnsi="Times New Roman"/>
          <w:sz w:val="20"/>
          <w:u w:val="single"/>
        </w:rPr>
        <w:t>Company</w:t>
      </w:r>
      <w:r>
        <w:rPr>
          <w:rFonts w:ascii="Times New Roman" w:hAnsi="Times New Roman"/>
          <w:sz w:val="20"/>
        </w:rPr>
        <w:t>”) intends to offer senior unsecured notes (the “</w:t>
      </w:r>
      <w:r>
        <w:rPr>
          <w:rFonts w:ascii="Times New Roman" w:hAnsi="Times New Roman"/>
          <w:sz w:val="20"/>
          <w:u w:val="single"/>
        </w:rPr>
        <w:t>Notes</w:t>
      </w:r>
      <w:r>
        <w:rPr>
          <w:rFonts w:ascii="Times New Roman" w:hAnsi="Times New Roman"/>
          <w:sz w:val="20"/>
        </w:rPr>
        <w:t>”) in the aggregate principal amount of €400,000,000 that will be issued by Crown European Holdings S.A. (the “</w:t>
      </w:r>
      <w:r>
        <w:rPr>
          <w:rFonts w:ascii="Times New Roman" w:hAnsi="Times New Roman"/>
          <w:sz w:val="20"/>
          <w:u w:val="single"/>
        </w:rPr>
        <w:t>Issuer</w:t>
      </w:r>
      <w:r>
        <w:rPr>
          <w:rFonts w:ascii="Times New Roman" w:hAnsi="Times New Roman"/>
          <w:sz w:val="20"/>
        </w:rPr>
        <w:t xml:space="preserve">”), a subsidiary of the Company. </w:t>
      </w:r>
    </w:p>
    <w:p>
      <w:pPr>
        <w:pStyle w:val="TextBody"/>
        <w:bidi w:val="0"/>
        <w:spacing w:before="240" w:after="0"/>
        <w:jc w:val="left"/>
        <w:rPr>
          <w:rFonts w:ascii="Times New Roman" w:hAnsi="Times New Roman"/>
          <w:sz w:val="20"/>
        </w:rPr>
      </w:pPr>
      <w:r>
        <w:rPr>
          <w:rFonts w:ascii="Times New Roman" w:hAnsi="Times New Roman"/>
          <w:sz w:val="20"/>
        </w:rPr>
        <w:t>The Notes will be sold in a private placement and resold by the initial purchasers to persons reasonably believed to be qualified institutional buyers pursuant to Rule 144A of the Securities Act of 1933, as amended (the “</w:t>
      </w:r>
      <w:r>
        <w:rPr>
          <w:rFonts w:ascii="Times New Roman" w:hAnsi="Times New Roman"/>
          <w:sz w:val="20"/>
          <w:u w:val="single"/>
        </w:rPr>
        <w:t>Securities Act</w:t>
      </w:r>
      <w:r>
        <w:rPr>
          <w:rFonts w:ascii="Times New Roman" w:hAnsi="Times New Roman"/>
          <w:sz w:val="20"/>
        </w:rPr>
        <w:t xml:space="preserve">”), and to non-U.S. persons outside the United States pursuant to Regulation S of the Securities Act. The Notes have not been registered under the Securities Act and may not be offered or sold in the United States absent registration or an applicable exemption from the registration requirements. This does not constitute an offer to sell or the solicitation of an offer to buy any security in any jurisdiction in which such offer or sale would be unlawful. </w:t>
      </w:r>
    </w:p>
    <w:p>
      <w:pPr>
        <w:pStyle w:val="TextBody"/>
        <w:bidi w:val="0"/>
        <w:spacing w:before="240" w:after="0"/>
        <w:jc w:val="left"/>
        <w:rPr>
          <w:rFonts w:ascii="Times New Roman" w:hAnsi="Times New Roman"/>
          <w:sz w:val="20"/>
        </w:rPr>
      </w:pPr>
      <w:r>
        <w:rPr>
          <w:rFonts w:ascii="Times New Roman" w:hAnsi="Times New Roman"/>
          <w:sz w:val="20"/>
        </w:rPr>
        <w:t xml:space="preserve">The Company intends to use a portion of the net proceeds from the offering for the partial repayment of indebtedness under the Company’s senior secured term loan credit facilities and to pay for related fees and expenses and intends to use the balance of the net proceeds for general corporate purposes. </w:t>
      </w:r>
    </w:p>
    <w:p>
      <w:pPr>
        <w:pStyle w:val="TextBody"/>
        <w:bidi w:val="0"/>
        <w:spacing w:before="240" w:after="0"/>
        <w:jc w:val="left"/>
        <w:rPr>
          <w:rFonts w:ascii="Times New Roman" w:hAnsi="Times New Roman"/>
          <w:sz w:val="20"/>
        </w:rPr>
      </w:pPr>
      <w:r>
        <w:rPr>
          <w:rFonts w:ascii="Times New Roman" w:hAnsi="Times New Roman"/>
          <w:sz w:val="20"/>
        </w:rPr>
        <w:t xml:space="preserve">Selected portions of information from the offering memorandum that the Company expects to disclose to investors in connection with the private placement are attached hereto as Exhibit 99.1. There can be no assurance that the private placements will be completed as described in the offering memorandum or at all. </w:t>
      </w:r>
    </w:p>
    <w:p>
      <w:pPr>
        <w:pStyle w:val="TextBody"/>
        <w:bidi w:val="0"/>
        <w:spacing w:before="240" w:after="0"/>
        <w:jc w:val="left"/>
        <w:rPr>
          <w:rFonts w:ascii="Times New Roman" w:hAnsi="Times New Roman"/>
          <w:sz w:val="20"/>
        </w:rPr>
      </w:pPr>
      <w:r>
        <w:rPr>
          <w:rFonts w:ascii="Times New Roman" w:hAnsi="Times New Roman"/>
          <w:sz w:val="20"/>
        </w:rPr>
        <w:t>The information in this Item 7.01 and Exhibit 99.1 shall not be deemed to be “filed” for purposes of Section 18 of the Securities Exchange Act of 1934, as amended (the “</w:t>
      </w:r>
      <w:r>
        <w:rPr>
          <w:rFonts w:ascii="Times New Roman" w:hAnsi="Times New Roman"/>
          <w:sz w:val="20"/>
          <w:u w:val="single"/>
        </w:rPr>
        <w:t>Exchange Act</w:t>
      </w:r>
      <w:r>
        <w:rPr>
          <w:rFonts w:ascii="Times New Roman" w:hAnsi="Times New Roman"/>
          <w:sz w:val="20"/>
        </w:rPr>
        <w:t xml:space="preserve">”), or otherwise subject to the liability of that section, and shall not be deemed incorporated by reference in any filing under the Securities Act or the Exchange Act, except as shall be expressly set forth by specific reference in such filing. </w:t>
      </w:r>
    </w:p>
    <w:p>
      <w:pPr>
        <w:pStyle w:val="TextBody"/>
        <w:bidi w:val="0"/>
        <w:spacing w:before="360" w:after="0"/>
        <w:jc w:val="left"/>
        <w:rPr>
          <w:rFonts w:ascii="Times New Roman" w:hAnsi="Times New Roman"/>
          <w:b/>
          <w:sz w:val="20"/>
        </w:rPr>
      </w:pPr>
      <w:r>
        <w:rPr>
          <w:rFonts w:ascii="Times New Roman" w:hAnsi="Times New Roman"/>
          <w:b/>
          <w:sz w:val="20"/>
        </w:rPr>
        <w:t xml:space="preserve">Cautionary Note Regarding Forward-Looking Statements </w:t>
      </w:r>
    </w:p>
    <w:p>
      <w:pPr>
        <w:pStyle w:val="TextBody"/>
        <w:bidi w:val="0"/>
        <w:spacing w:before="120" w:after="0"/>
        <w:jc w:val="left"/>
        <w:rPr>
          <w:rFonts w:ascii="Times New Roman" w:hAnsi="Times New Roman"/>
          <w:sz w:val="20"/>
        </w:rPr>
      </w:pPr>
      <w:r>
        <w:rPr>
          <w:rFonts w:ascii="Times New Roman" w:hAnsi="Times New Roman"/>
          <w:sz w:val="20"/>
        </w:rPr>
        <w:t xml:space="preserve">Except for historical information, all other information in this Form 8-K consists of forward-looking statements. These forward-looking statements involve a number of risks, uncertainties and other factors, including the expected completion of the offering of the Notes, which may cause the actual results to be materially different from those expressed or implied in the forward-looking statements. Other important factors that could cause the statements made in this Form 8-K or the actual results of operations or financial condition of the Company to differ include, without limitation, that the offering of the Notes is subject to a number of conditions. There can be no assurance that the offering of the Notes will be completed as described herein or at all. Other important factors are discussed under the caption “Forward Looking Statements” in the Company’s Form 10-K Annual Report for the year ended December 31, 2022 and in subsequent filings made prior to or after the date hereof. The Company does not intend to review or revise any particular forward-looking statement in light of future events. </w:t>
      </w:r>
    </w:p>
    <w:p>
      <w:pPr>
        <w:pStyle w:val="TextBody"/>
        <w:bidi w:val="0"/>
        <w:spacing w:before="360" w:after="0"/>
        <w:jc w:val="left"/>
        <w:rPr>
          <w:rFonts w:ascii="Times New Roman" w:hAnsi="Times New Roman"/>
          <w:b/>
          <w:sz w:val="20"/>
        </w:rPr>
      </w:pPr>
      <w:r>
        <w:rPr>
          <w:rFonts w:ascii="Times New Roman" w:hAnsi="Times New Roman"/>
          <w:b/>
          <w:sz w:val="20"/>
        </w:rPr>
        <w:t xml:space="preserve">SECTION 9 - FINANCIAL STATEMENTS AND EXHIBITS </w:t>
      </w:r>
    </w:p>
    <w:p>
      <w:pPr>
        <w:pStyle w:val="TextBody"/>
        <w:bidi w:val="0"/>
        <w:spacing w:before="0" w:after="0"/>
        <w:jc w:val="left"/>
        <w:rPr/>
      </w:pPr>
      <w:r>
        <w:rPr/>
        <w:t> </w:t>
      </w:r>
    </w:p>
    <w:tbl>
      <w:tblPr>
        <w:tblW w:w="4000" w:type="dxa"/>
        <w:jc w:val="left"/>
        <w:tblInd w:w="0" w:type="dxa"/>
        <w:tblLayout w:type="fixed"/>
        <w:tblCellMar>
          <w:top w:w="0" w:type="dxa"/>
          <w:left w:w="0" w:type="dxa"/>
          <w:bottom w:w="0" w:type="dxa"/>
          <w:right w:w="0" w:type="dxa"/>
        </w:tblCellMar>
      </w:tblPr>
      <w:tblGrid>
        <w:gridCol w:w="1040"/>
        <w:gridCol w:w="2960"/>
      </w:tblGrid>
      <w:tr>
        <w:trPr/>
        <w:tc>
          <w:tcPr>
            <w:tcW w:w="1040" w:type="dxa"/>
            <w:tcBorders/>
            <w:vAlign w:val="center"/>
          </w:tcPr>
          <w:p>
            <w:pPr>
              <w:pStyle w:val="TableContents"/>
              <w:bidi w:val="0"/>
              <w:spacing w:before="0" w:after="283"/>
              <w:jc w:val="left"/>
              <w:rPr>
                <w:b/>
              </w:rPr>
            </w:pPr>
            <w:r>
              <w:rPr>
                <w:b/>
              </w:rPr>
              <w:t>Item 9.01.</w:t>
            </w:r>
          </w:p>
        </w:tc>
        <w:tc>
          <w:tcPr>
            <w:tcW w:w="296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Financial Statements and Exhibits </w:t>
            </w:r>
          </w:p>
        </w:tc>
      </w:tr>
    </w:tbl>
    <w:p>
      <w:pPr>
        <w:pStyle w:val="TextBody"/>
        <w:bidi w:val="0"/>
        <w:spacing w:before="120" w:after="0"/>
        <w:jc w:val="left"/>
        <w:rPr>
          <w:rFonts w:ascii="Times New Roman" w:hAnsi="Times New Roman"/>
          <w:b/>
          <w:sz w:val="20"/>
        </w:rPr>
      </w:pPr>
      <w:r>
        <w:rPr>
          <w:rFonts w:ascii="Times New Roman" w:hAnsi="Times New Roman"/>
          <w:b/>
          <w:sz w:val="20"/>
        </w:rPr>
        <w:t xml:space="preserve">(d) Exhibits: </w:t>
      </w:r>
    </w:p>
    <w:p>
      <w:pPr>
        <w:pStyle w:val="TextBody"/>
        <w:bidi w:val="0"/>
        <w:spacing w:before="0" w:after="0"/>
        <w:jc w:val="left"/>
        <w:rPr/>
      </w:pPr>
      <w:r>
        <w:rPr/>
        <w:t> </w:t>
      </w:r>
    </w:p>
    <w:tbl>
      <w:tblPr>
        <w:tblW w:w="9070" w:type="dxa"/>
        <w:jc w:val="left"/>
        <w:tblInd w:w="0" w:type="dxa"/>
        <w:tblLayout w:type="fixed"/>
        <w:tblCellMar>
          <w:top w:w="0" w:type="dxa"/>
          <w:left w:w="0" w:type="dxa"/>
          <w:bottom w:w="0" w:type="dxa"/>
          <w:right w:w="0" w:type="dxa"/>
        </w:tblCellMar>
      </w:tblPr>
      <w:tblGrid>
        <w:gridCol w:w="1325"/>
        <w:gridCol w:w="120"/>
        <w:gridCol w:w="7625"/>
      </w:tblGrid>
      <w:tr>
        <w:trPr/>
        <w:tc>
          <w:tcPr>
            <w:tcW w:w="13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625" w:type="dxa"/>
            <w:tcBorders/>
            <w:vAlign w:val="center"/>
          </w:tcPr>
          <w:p>
            <w:pPr>
              <w:pStyle w:val="TableContents"/>
              <w:bidi w:val="0"/>
              <w:spacing w:before="0" w:after="283"/>
              <w:jc w:val="left"/>
              <w:rPr>
                <w:sz w:val="4"/>
                <w:szCs w:val="4"/>
              </w:rPr>
            </w:pPr>
            <w:r>
              <w:rPr>
                <w:sz w:val="4"/>
                <w:szCs w:val="4"/>
              </w:rPr>
            </w:r>
          </w:p>
        </w:tc>
      </w:tr>
      <w:tr>
        <w:trPr/>
        <w:tc>
          <w:tcPr>
            <w:tcW w:w="1325" w:type="dxa"/>
            <w:tcBorders/>
            <w:vAlign w:val="center"/>
          </w:tcPr>
          <w:p>
            <w:pPr>
              <w:pStyle w:val="TableContents"/>
              <w:bidi w:val="0"/>
              <w:spacing w:before="0" w:after="283"/>
              <w:jc w:val="center"/>
              <w:rPr>
                <w:b/>
              </w:rPr>
            </w:pPr>
            <w:r>
              <w:rPr>
                <w:b/>
              </w:rPr>
              <w:t>Exhibit</w:t>
            </w:r>
          </w:p>
        </w:tc>
        <w:tc>
          <w:tcPr>
            <w:tcW w:w="120" w:type="dxa"/>
            <w:tcBorders/>
            <w:vAlign w:val="center"/>
          </w:tcPr>
          <w:p>
            <w:pPr>
              <w:pStyle w:val="TableContents"/>
              <w:bidi w:val="0"/>
              <w:spacing w:before="0" w:after="283"/>
              <w:jc w:val="left"/>
              <w:rPr/>
            </w:pPr>
            <w:r>
              <w:rPr/>
              <w:t>  </w:t>
            </w:r>
          </w:p>
        </w:tc>
        <w:tc>
          <w:tcPr>
            <w:tcW w:w="7625" w:type="dxa"/>
            <w:tcBorders/>
            <w:vAlign w:val="center"/>
          </w:tcPr>
          <w:p>
            <w:pPr>
              <w:pStyle w:val="TableContents"/>
              <w:bidi w:val="0"/>
              <w:spacing w:before="0" w:after="283"/>
              <w:jc w:val="center"/>
              <w:rPr>
                <w:b/>
              </w:rPr>
            </w:pPr>
            <w:r>
              <w:rPr>
                <w:b/>
              </w:rPr>
              <w:t>Description</w:t>
            </w:r>
          </w:p>
        </w:tc>
      </w:tr>
      <w:tr>
        <w:trPr/>
        <w:tc>
          <w:tcPr>
            <w:tcW w:w="1325" w:type="dxa"/>
            <w:tcBorders/>
            <w:vAlign w:val="center"/>
          </w:tcPr>
          <w:p>
            <w:pPr>
              <w:pStyle w:val="TableContents"/>
              <w:bidi w:val="0"/>
              <w:spacing w:before="0" w:after="283"/>
              <w:jc w:val="left"/>
              <w:rPr>
                <w:sz w:val="4"/>
                <w:szCs w:val="4"/>
              </w:rPr>
            </w:pPr>
            <w:r>
              <w:rPr>
                <w:sz w:val="4"/>
                <w:szCs w:val="4"/>
              </w:rPr>
            </w:r>
          </w:p>
        </w:tc>
        <w:tc>
          <w:tcPr>
            <w:tcW w:w="7745" w:type="dxa"/>
            <w:gridSpan w:val="2"/>
            <w:tcBorders/>
            <w:vAlign w:val="center"/>
          </w:tcPr>
          <w:p>
            <w:pPr>
              <w:pStyle w:val="TableContents"/>
              <w:bidi w:val="0"/>
              <w:spacing w:before="0" w:after="283"/>
              <w:jc w:val="left"/>
              <w:rPr>
                <w:sz w:val="4"/>
                <w:szCs w:val="4"/>
              </w:rPr>
            </w:pPr>
            <w:r>
              <w:rPr>
                <w:sz w:val="4"/>
                <w:szCs w:val="4"/>
              </w:rPr>
            </w:r>
          </w:p>
        </w:tc>
      </w:tr>
      <w:tr>
        <w:trPr/>
        <w:tc>
          <w:tcPr>
            <w:tcW w:w="1325" w:type="dxa"/>
            <w:tcBorders/>
            <w:vAlign w:val="center"/>
          </w:tcPr>
          <w:p>
            <w:pPr>
              <w:pStyle w:val="TableContents"/>
              <w:bidi w:val="0"/>
              <w:spacing w:before="0" w:after="283"/>
              <w:jc w:val="left"/>
              <w:rPr/>
            </w:pPr>
            <w:r>
              <w:rPr/>
              <w:t>*Exhibit 99.1</w:t>
            </w:r>
          </w:p>
        </w:tc>
        <w:tc>
          <w:tcPr>
            <w:tcW w:w="120" w:type="dxa"/>
            <w:tcBorders/>
            <w:vAlign w:val="center"/>
          </w:tcPr>
          <w:p>
            <w:pPr>
              <w:pStyle w:val="TableContents"/>
              <w:bidi w:val="0"/>
              <w:spacing w:before="0" w:after="283"/>
              <w:jc w:val="left"/>
              <w:rPr/>
            </w:pPr>
            <w:r>
              <w:rPr/>
              <w:t>  </w:t>
            </w:r>
          </w:p>
        </w:tc>
        <w:tc>
          <w:tcPr>
            <w:tcW w:w="7625" w:type="dxa"/>
            <w:tcBorders/>
            <w:vAlign w:val="center"/>
          </w:tcPr>
          <w:p>
            <w:pPr>
              <w:pStyle w:val="TableContents"/>
              <w:bidi w:val="0"/>
              <w:spacing w:before="0" w:after="283"/>
              <w:jc w:val="left"/>
              <w:rPr/>
            </w:pPr>
            <w:hyperlink w:anchor="d615519dex991.htm">
              <w:r>
                <w:rPr>
                  <w:rStyle w:val="InternetLink"/>
                </w:rPr>
                <w:t xml:space="preserve">Certain information included in the Offering Memorandum </w:t>
              </w:r>
            </w:hyperlink>
          </w:p>
        </w:tc>
      </w:tr>
      <w:tr>
        <w:trPr/>
        <w:tc>
          <w:tcPr>
            <w:tcW w:w="1325" w:type="dxa"/>
            <w:tcBorders/>
            <w:vAlign w:val="center"/>
          </w:tcPr>
          <w:p>
            <w:pPr>
              <w:pStyle w:val="TableContents"/>
              <w:bidi w:val="0"/>
              <w:spacing w:before="0" w:after="283"/>
              <w:jc w:val="left"/>
              <w:rPr>
                <w:sz w:val="4"/>
                <w:szCs w:val="4"/>
              </w:rPr>
            </w:pPr>
            <w:r>
              <w:rPr>
                <w:sz w:val="4"/>
                <w:szCs w:val="4"/>
              </w:rPr>
            </w:r>
          </w:p>
        </w:tc>
        <w:tc>
          <w:tcPr>
            <w:tcW w:w="7745" w:type="dxa"/>
            <w:gridSpan w:val="2"/>
            <w:tcBorders/>
            <w:vAlign w:val="center"/>
          </w:tcPr>
          <w:p>
            <w:pPr>
              <w:pStyle w:val="TableContents"/>
              <w:bidi w:val="0"/>
              <w:spacing w:before="0" w:after="283"/>
              <w:jc w:val="left"/>
              <w:rPr>
                <w:sz w:val="4"/>
                <w:szCs w:val="4"/>
              </w:rPr>
            </w:pPr>
            <w:r>
              <w:rPr>
                <w:sz w:val="4"/>
                <w:szCs w:val="4"/>
              </w:rPr>
            </w:r>
          </w:p>
        </w:tc>
      </w:tr>
      <w:tr>
        <w:trPr/>
        <w:tc>
          <w:tcPr>
            <w:tcW w:w="1325" w:type="dxa"/>
            <w:tcBorders/>
            <w:vAlign w:val="center"/>
          </w:tcPr>
          <w:p>
            <w:pPr>
              <w:pStyle w:val="TableContents"/>
              <w:bidi w:val="0"/>
              <w:spacing w:before="0" w:after="283"/>
              <w:jc w:val="left"/>
              <w:rPr/>
            </w:pPr>
            <w:r>
              <w:rPr/>
              <w:t>Exhibit 104</w:t>
            </w:r>
          </w:p>
        </w:tc>
        <w:tc>
          <w:tcPr>
            <w:tcW w:w="120" w:type="dxa"/>
            <w:tcBorders/>
            <w:vAlign w:val="center"/>
          </w:tcPr>
          <w:p>
            <w:pPr>
              <w:pStyle w:val="TableContents"/>
              <w:bidi w:val="0"/>
              <w:spacing w:before="0" w:after="283"/>
              <w:jc w:val="left"/>
              <w:rPr/>
            </w:pPr>
            <w:r>
              <w:rPr/>
              <w:t>  </w:t>
            </w:r>
          </w:p>
        </w:tc>
        <w:tc>
          <w:tcPr>
            <w:tcW w:w="7625" w:type="dxa"/>
            <w:tcBorders/>
            <w:vAlign w:val="center"/>
          </w:tcPr>
          <w:p>
            <w:pPr>
              <w:pStyle w:val="TableContents"/>
              <w:bidi w:val="0"/>
              <w:spacing w:before="0" w:after="283"/>
              <w:jc w:val="left"/>
              <w:rPr/>
            </w:pPr>
            <w:r>
              <w:rPr/>
              <w:t>Cover Page Interactive Data File (embedded within the Inline XBRL document)</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55"/>
        <w:gridCol w:w="10050"/>
      </w:tblGrid>
      <w:tr>
        <w:trPr/>
        <w:tc>
          <w:tcPr>
            <w:tcW w:w="155" w:type="dxa"/>
            <w:tcBorders/>
            <w:vAlign w:val="center"/>
          </w:tcPr>
          <w:p>
            <w:pPr>
              <w:pStyle w:val="TableContents"/>
              <w:bidi w:val="0"/>
              <w:spacing w:before="0" w:after="283"/>
              <w:jc w:val="left"/>
              <w:rPr/>
            </w:pPr>
            <w:r>
              <w:rPr/>
              <w:t>*</w:t>
            </w:r>
          </w:p>
        </w:tc>
        <w:tc>
          <w:tcPr>
            <w:tcW w:w="100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information in this Item 9.01 shall not be deemed to be “filed” for purposes of Section 18 of the Exchange Act or otherwise subject to the liability of that section, and shall not be deemed incorporated by reference in any filing under the Securities Act or the Exchange Act, except as shall be expressly set forth by specific reference in such filing. </w:t>
            </w:r>
          </w:p>
        </w:tc>
      </w:tr>
    </w:tbl>
    <w:p>
      <w:pPr>
        <w:pStyle w:val="HorizontalLine"/>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as amended, the Registrant has duly caused this Form 8-K to be signed on its behalf by the undersigned hereunto duly authorized. </w:t>
      </w:r>
    </w:p>
    <w:p>
      <w:pPr>
        <w:pStyle w:val="TextBody"/>
        <w:bidi w:val="0"/>
        <w:spacing w:before="240" w:after="0"/>
        <w:jc w:val="left"/>
        <w:rPr>
          <w:rFonts w:ascii="Times New Roman" w:hAnsi="Times New Roman"/>
          <w:sz w:val="20"/>
        </w:rPr>
      </w:pPr>
      <w:r>
        <w:rPr>
          <w:rFonts w:ascii="Times New Roman" w:hAnsi="Times New Roman"/>
          <w:sz w:val="20"/>
        </w:rPr>
        <w:t xml:space="preserve">Dated: November 30, 2023 </w:t>
      </w:r>
    </w:p>
    <w:p>
      <w:pPr>
        <w:pStyle w:val="TextBody"/>
        <w:bidi w:val="0"/>
        <w:spacing w:before="0" w:after="0"/>
        <w:jc w:val="left"/>
        <w:rPr/>
      </w:pPr>
      <w:r>
        <w:rPr/>
        <w:t> </w:t>
      </w:r>
    </w:p>
    <w:tbl>
      <w:tblPr>
        <w:tblW w:w="4570" w:type="dxa"/>
        <w:jc w:val="left"/>
        <w:tblInd w:w="0" w:type="dxa"/>
        <w:tblLayout w:type="fixed"/>
        <w:tblCellMar>
          <w:top w:w="0" w:type="dxa"/>
          <w:left w:w="0" w:type="dxa"/>
          <w:bottom w:w="0" w:type="dxa"/>
          <w:right w:w="0" w:type="dxa"/>
        </w:tblCellMar>
      </w:tblPr>
      <w:tblGrid>
        <w:gridCol w:w="665"/>
        <w:gridCol w:w="60"/>
        <w:gridCol w:w="3845"/>
      </w:tblGrid>
      <w:tr>
        <w:trPr/>
        <w:tc>
          <w:tcPr>
            <w:tcW w:w="6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45" w:type="dxa"/>
            <w:tcBorders/>
            <w:vAlign w:val="center"/>
          </w:tcPr>
          <w:p>
            <w:pPr>
              <w:pStyle w:val="TableContents"/>
              <w:bidi w:val="0"/>
              <w:spacing w:before="0" w:after="283"/>
              <w:jc w:val="left"/>
              <w:rPr>
                <w:sz w:val="4"/>
                <w:szCs w:val="4"/>
              </w:rPr>
            </w:pPr>
            <w:r>
              <w:rPr>
                <w:sz w:val="4"/>
                <w:szCs w:val="4"/>
              </w:rPr>
            </w:r>
          </w:p>
        </w:tc>
      </w:tr>
      <w:tr>
        <w:trPr/>
        <w:tc>
          <w:tcPr>
            <w:tcW w:w="4570" w:type="dxa"/>
            <w:gridSpan w:val="3"/>
            <w:tcBorders/>
            <w:vAlign w:val="center"/>
          </w:tcPr>
          <w:p>
            <w:pPr>
              <w:pStyle w:val="TableContents"/>
              <w:bidi w:val="0"/>
              <w:spacing w:before="0" w:after="283"/>
              <w:jc w:val="left"/>
              <w:rPr/>
            </w:pPr>
            <w:r>
              <w:rPr/>
              <w:t>CROWN HOLDINGS, INC.</w:t>
            </w:r>
          </w:p>
        </w:tc>
      </w:tr>
      <w:tr>
        <w:trPr/>
        <w:tc>
          <w:tcPr>
            <w:tcW w:w="665" w:type="dxa"/>
            <w:tcBorders/>
            <w:vAlign w:val="center"/>
          </w:tcPr>
          <w:p>
            <w:pPr>
              <w:pStyle w:val="TableContents"/>
              <w:bidi w:val="0"/>
              <w:spacing w:before="0" w:after="283"/>
              <w:jc w:val="left"/>
              <w:rPr>
                <w:sz w:val="4"/>
                <w:szCs w:val="4"/>
              </w:rPr>
            </w:pPr>
            <w:r>
              <w:rPr>
                <w:sz w:val="4"/>
                <w:szCs w:val="4"/>
              </w:rPr>
            </w:r>
          </w:p>
        </w:tc>
        <w:tc>
          <w:tcPr>
            <w:tcW w:w="3905" w:type="dxa"/>
            <w:gridSpan w:val="2"/>
            <w:tcBorders/>
            <w:vAlign w:val="center"/>
          </w:tcPr>
          <w:p>
            <w:pPr>
              <w:pStyle w:val="TableContents"/>
              <w:bidi w:val="0"/>
              <w:spacing w:before="0" w:after="283"/>
              <w:jc w:val="left"/>
              <w:rPr>
                <w:sz w:val="4"/>
                <w:szCs w:val="4"/>
              </w:rPr>
            </w:pPr>
            <w:r>
              <w:rPr>
                <w:sz w:val="4"/>
                <w:szCs w:val="4"/>
              </w:rPr>
            </w:r>
          </w:p>
        </w:tc>
      </w:tr>
      <w:tr>
        <w:trPr/>
        <w:tc>
          <w:tcPr>
            <w:tcW w:w="665" w:type="dxa"/>
            <w:tcBorders/>
            <w:vAlign w:val="center"/>
          </w:tcPr>
          <w:p>
            <w:pPr>
              <w:pStyle w:val="TableContents"/>
              <w:bidi w:val="0"/>
              <w:spacing w:before="0" w:after="283"/>
              <w:jc w:val="left"/>
              <w:rPr/>
            </w:pPr>
            <w:r>
              <w:rPr/>
              <w:t>By:</w:t>
            </w:r>
          </w:p>
        </w:tc>
        <w:tc>
          <w:tcPr>
            <w:tcW w:w="60" w:type="dxa"/>
            <w:tcBorders/>
            <w:vAlign w:val="center"/>
          </w:tcPr>
          <w:p>
            <w:pPr>
              <w:pStyle w:val="TableContents"/>
              <w:bidi w:val="0"/>
              <w:spacing w:before="0" w:after="283"/>
              <w:jc w:val="left"/>
              <w:rPr/>
            </w:pPr>
            <w:r>
              <w:rPr/>
              <w:t> </w:t>
            </w:r>
          </w:p>
        </w:tc>
        <w:tc>
          <w:tcPr>
            <w:tcW w:w="3845" w:type="dxa"/>
            <w:tcBorders/>
            <w:vAlign w:val="center"/>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Christy L. Kalaus</w:t>
            </w:r>
          </w:p>
        </w:tc>
      </w:tr>
      <w:tr>
        <w:trPr/>
        <w:tc>
          <w:tcPr>
            <w:tcW w:w="665" w:type="dxa"/>
            <w:tcBorders/>
            <w:vAlign w:val="center"/>
          </w:tcPr>
          <w:p>
            <w:pPr>
              <w:pStyle w:val="TableContents"/>
              <w:bidi w:val="0"/>
              <w:spacing w:before="0" w:after="283"/>
              <w:jc w:val="left"/>
              <w:rPr/>
            </w:pPr>
            <w:r>
              <w:rPr/>
              <w:t>Name:</w:t>
            </w:r>
          </w:p>
        </w:tc>
        <w:tc>
          <w:tcPr>
            <w:tcW w:w="60" w:type="dxa"/>
            <w:tcBorders/>
            <w:vAlign w:val="center"/>
          </w:tcPr>
          <w:p>
            <w:pPr>
              <w:pStyle w:val="TableContents"/>
              <w:bidi w:val="0"/>
              <w:spacing w:before="0" w:after="283"/>
              <w:jc w:val="left"/>
              <w:rPr/>
            </w:pPr>
            <w:r>
              <w:rPr/>
              <w:t> </w:t>
            </w:r>
          </w:p>
        </w:tc>
        <w:tc>
          <w:tcPr>
            <w:tcW w:w="3845" w:type="dxa"/>
            <w:tcBorders/>
            <w:vAlign w:val="center"/>
          </w:tcPr>
          <w:p>
            <w:pPr>
              <w:pStyle w:val="TableContents"/>
              <w:bidi w:val="0"/>
              <w:spacing w:before="0" w:after="283"/>
              <w:jc w:val="left"/>
              <w:rPr/>
            </w:pPr>
            <w:r>
              <w:rPr/>
              <w:t>Christy L. Kalaus</w:t>
            </w:r>
          </w:p>
        </w:tc>
      </w:tr>
      <w:tr>
        <w:trPr/>
        <w:tc>
          <w:tcPr>
            <w:tcW w:w="665" w:type="dxa"/>
            <w:tcBorders/>
            <w:vAlign w:val="center"/>
          </w:tcPr>
          <w:p>
            <w:pPr>
              <w:pStyle w:val="TableContents"/>
              <w:bidi w:val="0"/>
              <w:spacing w:before="0" w:after="283"/>
              <w:jc w:val="left"/>
              <w:rPr/>
            </w:pPr>
            <w:r>
              <w:rPr/>
              <w:t>Title:</w:t>
            </w:r>
          </w:p>
        </w:tc>
        <w:tc>
          <w:tcPr>
            <w:tcW w:w="60" w:type="dxa"/>
            <w:tcBorders/>
            <w:vAlign w:val="center"/>
          </w:tcPr>
          <w:p>
            <w:pPr>
              <w:pStyle w:val="TableContents"/>
              <w:bidi w:val="0"/>
              <w:spacing w:before="0" w:after="283"/>
              <w:jc w:val="left"/>
              <w:rPr/>
            </w:pPr>
            <w:r>
              <w:rPr/>
              <w:t> </w:t>
            </w:r>
          </w:p>
        </w:tc>
        <w:tc>
          <w:tcPr>
            <w:tcW w:w="3845" w:type="dxa"/>
            <w:tcBorders/>
            <w:vAlign w:val="center"/>
          </w:tcPr>
          <w:p>
            <w:pPr>
              <w:pStyle w:val="TableContents"/>
              <w:bidi w:val="0"/>
              <w:spacing w:before="0" w:after="283"/>
              <w:jc w:val="left"/>
              <w:rPr/>
            </w:pPr>
            <w:r>
              <w:rPr/>
              <w:t>Vice President and Corporate Controller</w:t>
            </w:r>
          </w:p>
        </w:tc>
      </w:tr>
    </w:tbl>
    <w:p>
      <w:pPr>
        <w:pStyle w:val="TextBody"/>
        <w:bidi w:val="0"/>
        <w:spacing w:before="0" w:after="0"/>
        <w:jc w:val="right"/>
        <w:rPr>
          <w:rFonts w:ascii="Times New Roman" w:hAnsi="Times New Roman"/>
          <w:b/>
          <w:sz w:val="20"/>
        </w:rPr>
      </w:pPr>
      <w:bookmarkStart w:id="2" w:name="d615519dex991.htm"/>
      <w:bookmarkStart w:id="3" w:name="ksd615519dex991"/>
      <w:bookmarkEnd w:id="2"/>
      <w:bookmarkEnd w:id="3"/>
      <w:r>
        <w:rPr>
          <w:rFonts w:ascii="Times New Roman" w:hAnsi="Times New Roman"/>
          <w:b/>
          <w:sz w:val="20"/>
        </w:rPr>
        <w:t xml:space="preserve">EXHIBIT 99.1 </w:t>
      </w:r>
      <w:r>
        <w:br w:type="page"/>
      </w:r>
    </w:p>
    <w:p>
      <w:pPr>
        <w:pStyle w:val="TextBody"/>
        <w:bidi w:val="0"/>
        <w:spacing w:before="240" w:after="0"/>
        <w:jc w:val="left"/>
        <w:rPr>
          <w:rFonts w:ascii="Times New Roman" w:hAnsi="Times New Roman"/>
          <w:b/>
          <w:sz w:val="20"/>
        </w:rPr>
      </w:pPr>
      <w:r>
        <w:rPr>
          <w:rFonts w:ascii="Times New Roman" w:hAnsi="Times New Roman"/>
          <w:b/>
          <w:sz w:val="20"/>
        </w:rPr>
        <w:t xml:space="preserve">SUMMARY </w:t>
      </w:r>
    </w:p>
    <w:p>
      <w:pPr>
        <w:pStyle w:val="TextBody"/>
        <w:bidi w:val="0"/>
        <w:spacing w:before="120" w:after="0"/>
        <w:jc w:val="left"/>
        <w:rPr>
          <w:rFonts w:ascii="Times New Roman" w:hAnsi="Times New Roman"/>
          <w:sz w:val="20"/>
        </w:rPr>
      </w:pPr>
      <w:r>
        <w:rPr>
          <w:rFonts w:ascii="Times New Roman" w:hAnsi="Times New Roman"/>
          <w:sz w:val="20"/>
        </w:rPr>
        <w:t>Crown Holdings, Inc. (</w:t>
      </w:r>
      <w:r>
        <w:rPr>
          <w:rFonts w:ascii="Times New Roman" w:hAnsi="Times New Roman"/>
          <w:sz w:val="20"/>
          <w:u w:val="single"/>
        </w:rPr>
        <w:t>Crown</w:t>
      </w:r>
      <w:r>
        <w:rPr>
          <w:rFonts w:ascii="Times New Roman" w:hAnsi="Times New Roman"/>
          <w:sz w:val="20"/>
        </w:rPr>
        <w:t xml:space="preserve">) Crown is a worldwide leader in the design, manufacture and sale of packaging products for consumer goods and industrial products. Crowns consumer packaging solutions primarily support the beverage and food industries through the sale of aluminum and steel cans. Crowns packaging for industrial products includes steel and plastic strap consumables and equipment, paper-based protective packaging, and plastic film consumables and equipment, which are sold into the metals, food and beverage, construction, agricultural, corrugated and general industries. As of December 31, 2022, Crown operated 199 plants along with sales and service facilities throughout 40 countries and had approximately 26,000 employees. </w:t>
      </w:r>
    </w:p>
    <w:p>
      <w:pPr>
        <w:pStyle w:val="TextBody"/>
        <w:bidi w:val="0"/>
        <w:spacing w:before="240" w:after="0"/>
        <w:jc w:val="left"/>
        <w:rPr>
          <w:rFonts w:ascii="Times New Roman" w:hAnsi="Times New Roman"/>
          <w:sz w:val="20"/>
        </w:rPr>
      </w:pPr>
      <w:r>
        <w:rPr>
          <w:rFonts w:ascii="Times New Roman" w:hAnsi="Times New Roman"/>
          <w:sz w:val="20"/>
        </w:rPr>
        <w:t xml:space="preserve">For the fiscal year ended December 31, 2022 and the nine months ended September 30, 2023, Crown had net sales of approximately $12,943 million and $9,152 million, respectively. </w:t>
      </w:r>
    </w:p>
    <w:p>
      <w:pPr>
        <w:pStyle w:val="TextBody"/>
        <w:bidi w:val="0"/>
        <w:spacing w:before="120" w:after="0"/>
        <w:jc w:val="left"/>
        <w:rPr>
          <w:rFonts w:ascii="Times New Roman" w:hAnsi="Times New Roman"/>
          <w:sz w:val="20"/>
        </w:rPr>
      </w:pPr>
      <w:r>
        <w:rPr>
          <w:rFonts w:ascii="Times New Roman" w:hAnsi="Times New Roman"/>
          <w:sz w:val="20"/>
        </w:rPr>
        <w:t xml:space="preserve">The following chart demonstrates the breadth of Crowns product portfolio and its geographic presence: </w:t>
      </w:r>
    </w:p>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4650"/>
        <w:gridCol w:w="426"/>
        <w:gridCol w:w="295"/>
        <w:gridCol w:w="686"/>
        <w:gridCol w:w="60"/>
        <w:gridCol w:w="427"/>
        <w:gridCol w:w="235"/>
        <w:gridCol w:w="550"/>
        <w:gridCol w:w="60"/>
        <w:gridCol w:w="427"/>
        <w:gridCol w:w="208"/>
        <w:gridCol w:w="487"/>
        <w:gridCol w:w="61"/>
      </w:tblGrid>
      <w:tr>
        <w:trPr/>
        <w:tc>
          <w:tcPr>
            <w:tcW w:w="4650" w:type="dxa"/>
            <w:tcBorders/>
            <w:vAlign w:val="center"/>
          </w:tcPr>
          <w:p>
            <w:pPr>
              <w:pStyle w:val="TableContents"/>
              <w:bidi w:val="0"/>
              <w:spacing w:before="0" w:after="283"/>
              <w:jc w:val="left"/>
              <w:rPr>
                <w:sz w:val="4"/>
                <w:szCs w:val="4"/>
              </w:rPr>
            </w:pPr>
            <w:r>
              <w:rPr>
                <w:sz w:val="4"/>
                <w:szCs w:val="4"/>
              </w:rPr>
            </w:r>
          </w:p>
        </w:tc>
        <w:tc>
          <w:tcPr>
            <w:tcW w:w="426" w:type="dxa"/>
            <w:tcBorders/>
            <w:vAlign w:val="bottom"/>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27" w:type="dxa"/>
            <w:tcBorders/>
            <w:vAlign w:val="bottom"/>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27" w:type="dxa"/>
            <w:tcBorders/>
            <w:vAlign w:val="bottom"/>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61" w:type="dxa"/>
            <w:tcBorders/>
            <w:vAlign w:val="center"/>
          </w:tcPr>
          <w:p>
            <w:pPr>
              <w:pStyle w:val="TableContents"/>
              <w:bidi w:val="0"/>
              <w:spacing w:before="0" w:after="283"/>
              <w:jc w:val="left"/>
              <w:rPr>
                <w:sz w:val="4"/>
                <w:szCs w:val="4"/>
              </w:rPr>
            </w:pPr>
            <w:r>
              <w:rPr>
                <w:sz w:val="4"/>
                <w:szCs w:val="4"/>
              </w:rPr>
            </w:r>
          </w:p>
        </w:tc>
      </w:tr>
      <w:tr>
        <w:trPr/>
        <w:tc>
          <w:tcPr>
            <w:tcW w:w="4650" w:type="dxa"/>
            <w:tcBorders/>
            <w:vAlign w:val="bottom"/>
          </w:tcPr>
          <w:p>
            <w:pPr>
              <w:pStyle w:val="TableContents"/>
              <w:bidi w:val="0"/>
              <w:spacing w:before="0" w:after="283"/>
              <w:jc w:val="left"/>
              <w:rPr/>
            </w:pPr>
            <w:r>
              <w:rPr/>
              <w:t> </w:t>
            </w:r>
          </w:p>
        </w:tc>
        <w:tc>
          <w:tcPr>
            <w:tcW w:w="426" w:type="dxa"/>
            <w:tcBorders/>
            <w:vAlign w:val="bottom"/>
          </w:tcPr>
          <w:p>
            <w:pPr>
              <w:pStyle w:val="TableContents"/>
              <w:bidi w:val="0"/>
              <w:spacing w:before="0" w:after="283"/>
              <w:jc w:val="left"/>
              <w:rPr/>
            </w:pPr>
            <w:r>
              <w:rPr/>
              <w:t>  </w:t>
            </w:r>
          </w:p>
        </w:tc>
        <w:tc>
          <w:tcPr>
            <w:tcW w:w="98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Americas</w:t>
            </w:r>
          </w:p>
        </w:tc>
        <w:tc>
          <w:tcPr>
            <w:tcW w:w="60" w:type="dxa"/>
            <w:tcBorders/>
            <w:vAlign w:val="bottom"/>
          </w:tcPr>
          <w:p>
            <w:pPr>
              <w:pStyle w:val="TableContents"/>
              <w:bidi w:val="0"/>
              <w:spacing w:before="0" w:after="283"/>
              <w:jc w:val="left"/>
              <w:rPr/>
            </w:pPr>
            <w:r>
              <w:rPr/>
              <w:t> </w:t>
            </w:r>
          </w:p>
        </w:tc>
        <w:tc>
          <w:tcPr>
            <w:tcW w:w="427" w:type="dxa"/>
            <w:tcBorders/>
            <w:vAlign w:val="bottom"/>
          </w:tcPr>
          <w:p>
            <w:pPr>
              <w:pStyle w:val="TableContents"/>
              <w:bidi w:val="0"/>
              <w:spacing w:before="0" w:after="283"/>
              <w:jc w:val="left"/>
              <w:rPr/>
            </w:pPr>
            <w:r>
              <w:rPr/>
              <w:t>  </w:t>
            </w:r>
          </w:p>
        </w:tc>
        <w:tc>
          <w:tcPr>
            <w:tcW w:w="78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Europe</w:t>
            </w:r>
          </w:p>
        </w:tc>
        <w:tc>
          <w:tcPr>
            <w:tcW w:w="60" w:type="dxa"/>
            <w:tcBorders/>
            <w:vAlign w:val="bottom"/>
          </w:tcPr>
          <w:p>
            <w:pPr>
              <w:pStyle w:val="TableContents"/>
              <w:bidi w:val="0"/>
              <w:spacing w:before="0" w:after="283"/>
              <w:jc w:val="left"/>
              <w:rPr/>
            </w:pPr>
            <w:r>
              <w:rPr/>
              <w:t> </w:t>
            </w:r>
          </w:p>
        </w:tc>
        <w:tc>
          <w:tcPr>
            <w:tcW w:w="427" w:type="dxa"/>
            <w:tcBorders/>
            <w:vAlign w:val="bottom"/>
          </w:tcPr>
          <w:p>
            <w:pPr>
              <w:pStyle w:val="TableContents"/>
              <w:bidi w:val="0"/>
              <w:spacing w:before="0" w:after="283"/>
              <w:jc w:val="left"/>
              <w:rPr/>
            </w:pPr>
            <w:r>
              <w:rPr/>
              <w:t>  </w:t>
            </w:r>
          </w:p>
        </w:tc>
        <w:tc>
          <w:tcPr>
            <w:tcW w:w="69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Asia-</w:t>
              <w:br/>
              <w:t>Pacific</w:t>
            </w:r>
          </w:p>
        </w:tc>
        <w:tc>
          <w:tcPr>
            <w:tcW w:w="61" w:type="dxa"/>
            <w:tcBorders/>
            <w:vAlign w:val="bottom"/>
          </w:tcPr>
          <w:p>
            <w:pPr>
              <w:pStyle w:val="TableContents"/>
              <w:bidi w:val="0"/>
              <w:spacing w:before="0" w:after="283"/>
              <w:jc w:val="left"/>
              <w:rPr/>
            </w:pPr>
            <w:r>
              <w:rPr/>
              <w:t> </w:t>
            </w:r>
          </w:p>
        </w:tc>
      </w:tr>
      <w:tr>
        <w:trPr/>
        <w:tc>
          <w:tcPr>
            <w:tcW w:w="465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Beverage cans</w:t>
            </w:r>
          </w:p>
        </w:tc>
        <w:tc>
          <w:tcPr>
            <w:tcW w:w="426" w:type="dxa"/>
            <w:tcBorders/>
            <w:shd w:fill="CCEEFF" w:val="clear"/>
            <w:vAlign w:val="bottom"/>
          </w:tcPr>
          <w:p>
            <w:pPr>
              <w:pStyle w:val="TableContents"/>
              <w:bidi w:val="0"/>
              <w:spacing w:before="0" w:after="283"/>
              <w:jc w:val="left"/>
              <w:rPr/>
            </w:pPr>
            <w:r>
              <w:rPr/>
              <w:t>  </w:t>
            </w:r>
          </w:p>
        </w:tc>
        <w:tc>
          <w:tcPr>
            <w:tcW w:w="295" w:type="dxa"/>
            <w:tcBorders/>
            <w:shd w:fill="CCEEFF" w:val="clear"/>
            <w:vAlign w:val="bottom"/>
          </w:tcPr>
          <w:p>
            <w:pPr>
              <w:pStyle w:val="TableContents"/>
              <w:bidi w:val="0"/>
              <w:spacing w:before="0" w:after="283"/>
              <w:jc w:val="left"/>
              <w:rPr/>
            </w:pPr>
            <w:r>
              <w:rPr/>
              <w:t> </w:t>
            </w:r>
          </w:p>
        </w:tc>
        <w:tc>
          <w:tcPr>
            <w:tcW w:w="686"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427" w:type="dxa"/>
            <w:tcBorders/>
            <w:shd w:fill="CCEEFF" w:val="clear"/>
            <w:vAlign w:val="bottom"/>
          </w:tcPr>
          <w:p>
            <w:pPr>
              <w:pStyle w:val="TableContents"/>
              <w:bidi w:val="0"/>
              <w:spacing w:before="0" w:after="283"/>
              <w:jc w:val="left"/>
              <w:rPr/>
            </w:pPr>
            <w:r>
              <w:rPr/>
              <w:t>  </w:t>
            </w:r>
          </w:p>
        </w:tc>
        <w:tc>
          <w:tcPr>
            <w:tcW w:w="235" w:type="dxa"/>
            <w:tcBorders/>
            <w:shd w:fill="CCEEFF" w:val="clear"/>
            <w:vAlign w:val="bottom"/>
          </w:tcPr>
          <w:p>
            <w:pPr>
              <w:pStyle w:val="TableContents"/>
              <w:bidi w:val="0"/>
              <w:spacing w:before="0" w:after="283"/>
              <w:jc w:val="left"/>
              <w:rPr/>
            </w:pPr>
            <w:r>
              <w:rPr/>
              <w:t> </w:t>
            </w:r>
          </w:p>
        </w:tc>
        <w:tc>
          <w:tcPr>
            <w:tcW w:w="550"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427" w:type="dxa"/>
            <w:tcBorders/>
            <w:shd w:fill="CCEEFF" w:val="clear"/>
            <w:vAlign w:val="bottom"/>
          </w:tcPr>
          <w:p>
            <w:pPr>
              <w:pStyle w:val="TableContents"/>
              <w:bidi w:val="0"/>
              <w:spacing w:before="0" w:after="283"/>
              <w:jc w:val="left"/>
              <w:rPr/>
            </w:pPr>
            <w:r>
              <w:rPr/>
              <w:t>  </w:t>
            </w:r>
          </w:p>
        </w:tc>
        <w:tc>
          <w:tcPr>
            <w:tcW w:w="208" w:type="dxa"/>
            <w:tcBorders/>
            <w:shd w:fill="CCEEFF" w:val="clear"/>
            <w:vAlign w:val="bottom"/>
          </w:tcPr>
          <w:p>
            <w:pPr>
              <w:pStyle w:val="TableContents"/>
              <w:bidi w:val="0"/>
              <w:spacing w:before="0" w:after="283"/>
              <w:jc w:val="left"/>
              <w:rPr/>
            </w:pPr>
            <w:r>
              <w:rPr/>
              <w:t> </w:t>
            </w:r>
          </w:p>
        </w:tc>
        <w:tc>
          <w:tcPr>
            <w:tcW w:w="487" w:type="dxa"/>
            <w:tcBorders/>
            <w:shd w:fill="CCEEFF" w:val="clear"/>
            <w:vAlign w:val="bottom"/>
          </w:tcPr>
          <w:p>
            <w:pPr>
              <w:pStyle w:val="TableContents"/>
              <w:bidi w:val="0"/>
              <w:spacing w:before="0" w:after="283"/>
              <w:jc w:val="right"/>
              <w:rPr/>
            </w:pPr>
            <w:r>
              <w:rPr/>
              <w:t>*</w:t>
            </w:r>
          </w:p>
        </w:tc>
        <w:tc>
          <w:tcPr>
            <w:tcW w:w="61" w:type="dxa"/>
            <w:tcBorders/>
            <w:shd w:fill="CCEEFF" w:val="clear"/>
            <w:vAlign w:val="bottom"/>
          </w:tcPr>
          <w:p>
            <w:pPr>
              <w:pStyle w:val="TableContents"/>
              <w:bidi w:val="0"/>
              <w:spacing w:before="0" w:after="283"/>
              <w:jc w:val="left"/>
              <w:rPr/>
            </w:pPr>
            <w:r>
              <w:rPr/>
              <w:t> </w:t>
            </w:r>
          </w:p>
        </w:tc>
      </w:tr>
      <w:tr>
        <w:trPr/>
        <w:tc>
          <w:tcPr>
            <w:tcW w:w="4650" w:type="dxa"/>
            <w:tcBorders/>
          </w:tcPr>
          <w:p>
            <w:pPr>
              <w:pStyle w:val="TableContents"/>
              <w:bidi w:val="0"/>
              <w:spacing w:before="0" w:after="0"/>
              <w:jc w:val="left"/>
              <w:rPr>
                <w:rFonts w:ascii="Times New Roman" w:hAnsi="Times New Roman"/>
                <w:sz w:val="20"/>
              </w:rPr>
            </w:pPr>
            <w:r>
              <w:rPr>
                <w:rFonts w:ascii="Times New Roman" w:hAnsi="Times New Roman"/>
                <w:sz w:val="20"/>
              </w:rPr>
              <w:t>Food cans</w:t>
            </w:r>
          </w:p>
        </w:tc>
        <w:tc>
          <w:tcPr>
            <w:tcW w:w="426" w:type="dxa"/>
            <w:tcBorders/>
            <w:vAlign w:val="bottom"/>
          </w:tcPr>
          <w:p>
            <w:pPr>
              <w:pStyle w:val="TableContents"/>
              <w:bidi w:val="0"/>
              <w:spacing w:before="0" w:after="283"/>
              <w:jc w:val="left"/>
              <w:rPr/>
            </w:pPr>
            <w:r>
              <w:rPr/>
              <w:t>  </w:t>
            </w:r>
          </w:p>
        </w:tc>
        <w:tc>
          <w:tcPr>
            <w:tcW w:w="295" w:type="dxa"/>
            <w:tcBorders/>
            <w:vAlign w:val="bottom"/>
          </w:tcPr>
          <w:p>
            <w:pPr>
              <w:pStyle w:val="TableContents"/>
              <w:bidi w:val="0"/>
              <w:spacing w:before="0" w:after="283"/>
              <w:jc w:val="left"/>
              <w:rPr/>
            </w:pPr>
            <w:r>
              <w:rPr/>
              <w:t> </w:t>
            </w:r>
          </w:p>
        </w:tc>
        <w:tc>
          <w:tcPr>
            <w:tcW w:w="686"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427" w:type="dxa"/>
            <w:tcBorders/>
            <w:vAlign w:val="bottom"/>
          </w:tcPr>
          <w:p>
            <w:pPr>
              <w:pStyle w:val="TableContents"/>
              <w:bidi w:val="0"/>
              <w:spacing w:before="0" w:after="283"/>
              <w:jc w:val="left"/>
              <w:rPr/>
            </w:pPr>
            <w:r>
              <w:rPr/>
              <w:t>  </w:t>
            </w:r>
          </w:p>
        </w:tc>
        <w:tc>
          <w:tcPr>
            <w:tcW w:w="235" w:type="dxa"/>
            <w:tcBorders/>
            <w:vAlign w:val="bottom"/>
          </w:tcPr>
          <w:p>
            <w:pPr>
              <w:pStyle w:val="TableContents"/>
              <w:bidi w:val="0"/>
              <w:spacing w:before="0" w:after="283"/>
              <w:jc w:val="left"/>
              <w:rPr>
                <w:sz w:val="4"/>
                <w:szCs w:val="4"/>
              </w:rPr>
            </w:pPr>
            <w:r>
              <w:rPr>
                <w:sz w:val="4"/>
                <w:szCs w:val="4"/>
              </w:rPr>
            </w:r>
          </w:p>
        </w:tc>
        <w:tc>
          <w:tcPr>
            <w:tcW w:w="55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427" w:type="dxa"/>
            <w:tcBorders/>
            <w:vAlign w:val="bottom"/>
          </w:tcPr>
          <w:p>
            <w:pPr>
              <w:pStyle w:val="TableContents"/>
              <w:bidi w:val="0"/>
              <w:spacing w:before="0" w:after="283"/>
              <w:jc w:val="left"/>
              <w:rPr/>
            </w:pPr>
            <w:r>
              <w:rPr/>
              <w:t>  </w:t>
            </w:r>
          </w:p>
        </w:tc>
        <w:tc>
          <w:tcPr>
            <w:tcW w:w="208" w:type="dxa"/>
            <w:tcBorders/>
            <w:vAlign w:val="bottom"/>
          </w:tcPr>
          <w:p>
            <w:pPr>
              <w:pStyle w:val="TableContents"/>
              <w:bidi w:val="0"/>
              <w:spacing w:before="0" w:after="283"/>
              <w:jc w:val="left"/>
              <w:rPr/>
            </w:pPr>
            <w:r>
              <w:rPr/>
              <w:t> </w:t>
            </w:r>
          </w:p>
        </w:tc>
        <w:tc>
          <w:tcPr>
            <w:tcW w:w="487" w:type="dxa"/>
            <w:tcBorders/>
            <w:vAlign w:val="bottom"/>
          </w:tcPr>
          <w:p>
            <w:pPr>
              <w:pStyle w:val="TableContents"/>
              <w:bidi w:val="0"/>
              <w:spacing w:before="0" w:after="283"/>
              <w:jc w:val="right"/>
              <w:rPr/>
            </w:pPr>
            <w:r>
              <w:rPr/>
              <w:t>*</w:t>
            </w:r>
          </w:p>
        </w:tc>
        <w:tc>
          <w:tcPr>
            <w:tcW w:w="61" w:type="dxa"/>
            <w:tcBorders/>
            <w:vAlign w:val="bottom"/>
          </w:tcPr>
          <w:p>
            <w:pPr>
              <w:pStyle w:val="TableContents"/>
              <w:bidi w:val="0"/>
              <w:spacing w:before="0" w:after="283"/>
              <w:jc w:val="left"/>
              <w:rPr/>
            </w:pPr>
            <w:r>
              <w:rPr/>
              <w:t> </w:t>
            </w:r>
          </w:p>
        </w:tc>
      </w:tr>
      <w:tr>
        <w:trPr/>
        <w:tc>
          <w:tcPr>
            <w:tcW w:w="465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Aerosol cans</w:t>
            </w:r>
          </w:p>
        </w:tc>
        <w:tc>
          <w:tcPr>
            <w:tcW w:w="426" w:type="dxa"/>
            <w:tcBorders/>
            <w:shd w:fill="CCEEFF" w:val="clear"/>
            <w:vAlign w:val="bottom"/>
          </w:tcPr>
          <w:p>
            <w:pPr>
              <w:pStyle w:val="TableContents"/>
              <w:bidi w:val="0"/>
              <w:spacing w:before="0" w:after="283"/>
              <w:jc w:val="left"/>
              <w:rPr/>
            </w:pPr>
            <w:r>
              <w:rPr/>
              <w:t>  </w:t>
            </w:r>
          </w:p>
        </w:tc>
        <w:tc>
          <w:tcPr>
            <w:tcW w:w="295" w:type="dxa"/>
            <w:tcBorders/>
            <w:shd w:fill="CCEEFF" w:val="clear"/>
            <w:vAlign w:val="bottom"/>
          </w:tcPr>
          <w:p>
            <w:pPr>
              <w:pStyle w:val="TableContents"/>
              <w:bidi w:val="0"/>
              <w:spacing w:before="0" w:after="283"/>
              <w:jc w:val="left"/>
              <w:rPr/>
            </w:pPr>
            <w:r>
              <w:rPr/>
              <w:t> </w:t>
            </w:r>
          </w:p>
        </w:tc>
        <w:tc>
          <w:tcPr>
            <w:tcW w:w="686"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427" w:type="dxa"/>
            <w:tcBorders/>
            <w:shd w:fill="CCEEFF" w:val="clear"/>
            <w:vAlign w:val="bottom"/>
          </w:tcPr>
          <w:p>
            <w:pPr>
              <w:pStyle w:val="TableContents"/>
              <w:bidi w:val="0"/>
              <w:spacing w:before="0" w:after="283"/>
              <w:jc w:val="left"/>
              <w:rPr/>
            </w:pPr>
            <w:r>
              <w:rPr/>
              <w:t>  </w:t>
            </w:r>
          </w:p>
        </w:tc>
        <w:tc>
          <w:tcPr>
            <w:tcW w:w="235" w:type="dxa"/>
            <w:tcBorders/>
            <w:shd w:fill="CCEEFF" w:val="clear"/>
            <w:vAlign w:val="bottom"/>
          </w:tcPr>
          <w:p>
            <w:pPr>
              <w:pStyle w:val="TableContents"/>
              <w:bidi w:val="0"/>
              <w:spacing w:before="0" w:after="283"/>
              <w:jc w:val="left"/>
              <w:rPr>
                <w:sz w:val="4"/>
                <w:szCs w:val="4"/>
              </w:rPr>
            </w:pPr>
            <w:r>
              <w:rPr>
                <w:sz w:val="4"/>
                <w:szCs w:val="4"/>
              </w:rPr>
            </w:r>
          </w:p>
        </w:tc>
        <w:tc>
          <w:tcPr>
            <w:tcW w:w="55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427" w:type="dxa"/>
            <w:tcBorders/>
            <w:shd w:fill="CCEEFF" w:val="clear"/>
            <w:vAlign w:val="bottom"/>
          </w:tcPr>
          <w:p>
            <w:pPr>
              <w:pStyle w:val="TableContents"/>
              <w:bidi w:val="0"/>
              <w:spacing w:before="0" w:after="283"/>
              <w:jc w:val="left"/>
              <w:rPr/>
            </w:pPr>
            <w:r>
              <w:rPr/>
              <w:t>  </w:t>
            </w:r>
          </w:p>
        </w:tc>
        <w:tc>
          <w:tcPr>
            <w:tcW w:w="208" w:type="dxa"/>
            <w:tcBorders/>
            <w:shd w:fill="CCEEFF" w:val="clear"/>
            <w:vAlign w:val="bottom"/>
          </w:tcPr>
          <w:p>
            <w:pPr>
              <w:pStyle w:val="TableContents"/>
              <w:bidi w:val="0"/>
              <w:spacing w:before="0" w:after="283"/>
              <w:jc w:val="left"/>
              <w:rPr/>
            </w:pPr>
            <w:r>
              <w:rPr/>
              <w:t> </w:t>
            </w:r>
          </w:p>
        </w:tc>
        <w:tc>
          <w:tcPr>
            <w:tcW w:w="487" w:type="dxa"/>
            <w:tcBorders/>
            <w:shd w:fill="CCEEFF" w:val="clear"/>
            <w:vAlign w:val="bottom"/>
          </w:tcPr>
          <w:p>
            <w:pPr>
              <w:pStyle w:val="TableContents"/>
              <w:bidi w:val="0"/>
              <w:spacing w:before="0" w:after="283"/>
              <w:jc w:val="right"/>
              <w:rPr/>
            </w:pPr>
            <w:r>
              <w:rPr/>
              <w:t>*</w:t>
            </w:r>
          </w:p>
        </w:tc>
        <w:tc>
          <w:tcPr>
            <w:tcW w:w="61" w:type="dxa"/>
            <w:tcBorders/>
            <w:shd w:fill="CCEEFF" w:val="clear"/>
            <w:vAlign w:val="bottom"/>
          </w:tcPr>
          <w:p>
            <w:pPr>
              <w:pStyle w:val="TableContents"/>
              <w:bidi w:val="0"/>
              <w:spacing w:before="0" w:after="283"/>
              <w:jc w:val="left"/>
              <w:rPr/>
            </w:pPr>
            <w:r>
              <w:rPr/>
              <w:t> </w:t>
            </w:r>
          </w:p>
        </w:tc>
      </w:tr>
      <w:tr>
        <w:trPr/>
        <w:tc>
          <w:tcPr>
            <w:tcW w:w="4650" w:type="dxa"/>
            <w:tcBorders/>
          </w:tcPr>
          <w:p>
            <w:pPr>
              <w:pStyle w:val="TableContents"/>
              <w:bidi w:val="0"/>
              <w:spacing w:before="0" w:after="0"/>
              <w:jc w:val="left"/>
              <w:rPr>
                <w:rFonts w:ascii="Times New Roman" w:hAnsi="Times New Roman"/>
                <w:sz w:val="20"/>
              </w:rPr>
            </w:pPr>
            <w:r>
              <w:rPr>
                <w:rFonts w:ascii="Times New Roman" w:hAnsi="Times New Roman"/>
                <w:sz w:val="20"/>
              </w:rPr>
              <w:t>Specialty cans</w:t>
            </w:r>
          </w:p>
        </w:tc>
        <w:tc>
          <w:tcPr>
            <w:tcW w:w="426" w:type="dxa"/>
            <w:tcBorders/>
            <w:vAlign w:val="bottom"/>
          </w:tcPr>
          <w:p>
            <w:pPr>
              <w:pStyle w:val="TableContents"/>
              <w:bidi w:val="0"/>
              <w:spacing w:before="0" w:after="283"/>
              <w:jc w:val="left"/>
              <w:rPr/>
            </w:pPr>
            <w:r>
              <w:rPr/>
              <w:t>  </w:t>
            </w:r>
          </w:p>
        </w:tc>
        <w:tc>
          <w:tcPr>
            <w:tcW w:w="295" w:type="dxa"/>
            <w:tcBorders/>
            <w:vAlign w:val="bottom"/>
          </w:tcPr>
          <w:p>
            <w:pPr>
              <w:pStyle w:val="TableContents"/>
              <w:bidi w:val="0"/>
              <w:spacing w:before="0" w:after="283"/>
              <w:jc w:val="left"/>
              <w:rPr/>
            </w:pPr>
            <w:r>
              <w:rPr/>
              <w:t> </w:t>
            </w:r>
          </w:p>
        </w:tc>
        <w:tc>
          <w:tcPr>
            <w:tcW w:w="686"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427" w:type="dxa"/>
            <w:tcBorders/>
            <w:vAlign w:val="bottom"/>
          </w:tcPr>
          <w:p>
            <w:pPr>
              <w:pStyle w:val="TableContents"/>
              <w:bidi w:val="0"/>
              <w:spacing w:before="0" w:after="283"/>
              <w:jc w:val="left"/>
              <w:rPr/>
            </w:pPr>
            <w:r>
              <w:rPr/>
              <w:t>  </w:t>
            </w:r>
          </w:p>
        </w:tc>
        <w:tc>
          <w:tcPr>
            <w:tcW w:w="235" w:type="dxa"/>
            <w:tcBorders/>
            <w:vAlign w:val="bottom"/>
          </w:tcPr>
          <w:p>
            <w:pPr>
              <w:pStyle w:val="TableContents"/>
              <w:bidi w:val="0"/>
              <w:spacing w:before="0" w:after="283"/>
              <w:jc w:val="left"/>
              <w:rPr>
                <w:sz w:val="4"/>
                <w:szCs w:val="4"/>
              </w:rPr>
            </w:pPr>
            <w:r>
              <w:rPr>
                <w:sz w:val="4"/>
                <w:szCs w:val="4"/>
              </w:rPr>
            </w:r>
          </w:p>
        </w:tc>
        <w:tc>
          <w:tcPr>
            <w:tcW w:w="55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427" w:type="dxa"/>
            <w:tcBorders/>
            <w:vAlign w:val="bottom"/>
          </w:tcPr>
          <w:p>
            <w:pPr>
              <w:pStyle w:val="TableContents"/>
              <w:bidi w:val="0"/>
              <w:spacing w:before="0" w:after="283"/>
              <w:jc w:val="left"/>
              <w:rPr/>
            </w:pPr>
            <w:r>
              <w:rPr/>
              <w:t>  </w:t>
            </w:r>
          </w:p>
        </w:tc>
        <w:tc>
          <w:tcPr>
            <w:tcW w:w="208" w:type="dxa"/>
            <w:tcBorders/>
            <w:vAlign w:val="bottom"/>
          </w:tcPr>
          <w:p>
            <w:pPr>
              <w:pStyle w:val="TableContents"/>
              <w:bidi w:val="0"/>
              <w:spacing w:before="0" w:after="283"/>
              <w:jc w:val="left"/>
              <w:rPr/>
            </w:pPr>
            <w:r>
              <w:rPr/>
              <w:t> </w:t>
            </w:r>
          </w:p>
        </w:tc>
        <w:tc>
          <w:tcPr>
            <w:tcW w:w="487" w:type="dxa"/>
            <w:tcBorders/>
            <w:vAlign w:val="bottom"/>
          </w:tcPr>
          <w:p>
            <w:pPr>
              <w:pStyle w:val="TableContents"/>
              <w:bidi w:val="0"/>
              <w:spacing w:before="0" w:after="283"/>
              <w:jc w:val="right"/>
              <w:rPr/>
            </w:pPr>
            <w:r>
              <w:rPr/>
              <w:t>*</w:t>
            </w:r>
          </w:p>
        </w:tc>
        <w:tc>
          <w:tcPr>
            <w:tcW w:w="61" w:type="dxa"/>
            <w:tcBorders/>
            <w:vAlign w:val="bottom"/>
          </w:tcPr>
          <w:p>
            <w:pPr>
              <w:pStyle w:val="TableContents"/>
              <w:bidi w:val="0"/>
              <w:spacing w:before="0" w:after="283"/>
              <w:jc w:val="left"/>
              <w:rPr/>
            </w:pPr>
            <w:r>
              <w:rPr/>
              <w:t> </w:t>
            </w:r>
          </w:p>
        </w:tc>
      </w:tr>
      <w:tr>
        <w:trPr/>
        <w:tc>
          <w:tcPr>
            <w:tcW w:w="465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Glass bottles</w:t>
            </w:r>
          </w:p>
        </w:tc>
        <w:tc>
          <w:tcPr>
            <w:tcW w:w="426" w:type="dxa"/>
            <w:tcBorders/>
            <w:shd w:fill="CCEEFF" w:val="clear"/>
            <w:vAlign w:val="bottom"/>
          </w:tcPr>
          <w:p>
            <w:pPr>
              <w:pStyle w:val="TableContents"/>
              <w:bidi w:val="0"/>
              <w:spacing w:before="0" w:after="283"/>
              <w:jc w:val="left"/>
              <w:rPr/>
            </w:pPr>
            <w:r>
              <w:rPr/>
              <w:t>  </w:t>
            </w:r>
          </w:p>
        </w:tc>
        <w:tc>
          <w:tcPr>
            <w:tcW w:w="295" w:type="dxa"/>
            <w:tcBorders/>
            <w:shd w:fill="CCEEFF" w:val="clear"/>
            <w:vAlign w:val="bottom"/>
          </w:tcPr>
          <w:p>
            <w:pPr>
              <w:pStyle w:val="TableContents"/>
              <w:bidi w:val="0"/>
              <w:spacing w:before="0" w:after="283"/>
              <w:jc w:val="left"/>
              <w:rPr/>
            </w:pPr>
            <w:r>
              <w:rPr/>
              <w:t> </w:t>
            </w:r>
          </w:p>
        </w:tc>
        <w:tc>
          <w:tcPr>
            <w:tcW w:w="686"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427" w:type="dxa"/>
            <w:tcBorders/>
            <w:shd w:fill="CCEEFF" w:val="clear"/>
            <w:vAlign w:val="bottom"/>
          </w:tcPr>
          <w:p>
            <w:pPr>
              <w:pStyle w:val="TableContents"/>
              <w:bidi w:val="0"/>
              <w:spacing w:before="0" w:after="283"/>
              <w:jc w:val="left"/>
              <w:rPr/>
            </w:pPr>
            <w:r>
              <w:rPr/>
              <w:t>  </w:t>
            </w:r>
          </w:p>
        </w:tc>
        <w:tc>
          <w:tcPr>
            <w:tcW w:w="235" w:type="dxa"/>
            <w:tcBorders/>
            <w:shd w:fill="CCEEFF" w:val="clear"/>
            <w:vAlign w:val="bottom"/>
          </w:tcPr>
          <w:p>
            <w:pPr>
              <w:pStyle w:val="TableContents"/>
              <w:bidi w:val="0"/>
              <w:spacing w:before="0" w:after="283"/>
              <w:jc w:val="left"/>
              <w:rPr>
                <w:sz w:val="4"/>
                <w:szCs w:val="4"/>
              </w:rPr>
            </w:pPr>
            <w:r>
              <w:rPr>
                <w:sz w:val="4"/>
                <w:szCs w:val="4"/>
              </w:rPr>
            </w:r>
          </w:p>
        </w:tc>
        <w:tc>
          <w:tcPr>
            <w:tcW w:w="55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427" w:type="dxa"/>
            <w:tcBorders/>
            <w:shd w:fill="CCEEFF" w:val="clear"/>
            <w:vAlign w:val="bottom"/>
          </w:tcPr>
          <w:p>
            <w:pPr>
              <w:pStyle w:val="TableContents"/>
              <w:bidi w:val="0"/>
              <w:spacing w:before="0" w:after="283"/>
              <w:jc w:val="left"/>
              <w:rPr/>
            </w:pPr>
            <w:r>
              <w:rPr/>
              <w:t>  </w:t>
            </w:r>
          </w:p>
        </w:tc>
        <w:tc>
          <w:tcPr>
            <w:tcW w:w="208" w:type="dxa"/>
            <w:tcBorders/>
            <w:shd w:fill="CCEEFF" w:val="clear"/>
            <w:vAlign w:val="bottom"/>
          </w:tcPr>
          <w:p>
            <w:pPr>
              <w:pStyle w:val="TableContents"/>
              <w:bidi w:val="0"/>
              <w:spacing w:before="0" w:after="283"/>
              <w:jc w:val="left"/>
              <w:rPr>
                <w:sz w:val="4"/>
                <w:szCs w:val="4"/>
              </w:rPr>
            </w:pPr>
            <w:r>
              <w:rPr>
                <w:sz w:val="4"/>
                <w:szCs w:val="4"/>
              </w:rPr>
            </w:r>
          </w:p>
        </w:tc>
        <w:tc>
          <w:tcPr>
            <w:tcW w:w="487" w:type="dxa"/>
            <w:tcBorders/>
            <w:shd w:fill="CCEEFF" w:val="clear"/>
            <w:vAlign w:val="bottom"/>
          </w:tcPr>
          <w:p>
            <w:pPr>
              <w:pStyle w:val="TableContents"/>
              <w:bidi w:val="0"/>
              <w:spacing w:before="0" w:after="283"/>
              <w:jc w:val="left"/>
              <w:rPr>
                <w:sz w:val="4"/>
                <w:szCs w:val="4"/>
              </w:rPr>
            </w:pPr>
            <w:r>
              <w:rPr>
                <w:sz w:val="4"/>
                <w:szCs w:val="4"/>
              </w:rPr>
            </w:r>
          </w:p>
        </w:tc>
        <w:tc>
          <w:tcPr>
            <w:tcW w:w="61" w:type="dxa"/>
            <w:tcBorders/>
            <w:shd w:fill="CCEEFF" w:val="clear"/>
            <w:vAlign w:val="bottom"/>
          </w:tcPr>
          <w:p>
            <w:pPr>
              <w:pStyle w:val="TableContents"/>
              <w:bidi w:val="0"/>
              <w:spacing w:before="0" w:after="283"/>
              <w:jc w:val="left"/>
              <w:rPr>
                <w:sz w:val="4"/>
                <w:szCs w:val="4"/>
              </w:rPr>
            </w:pPr>
            <w:r>
              <w:rPr>
                <w:sz w:val="4"/>
                <w:szCs w:val="4"/>
              </w:rPr>
            </w:r>
          </w:p>
        </w:tc>
      </w:tr>
      <w:tr>
        <w:trPr/>
        <w:tc>
          <w:tcPr>
            <w:tcW w:w="4650" w:type="dxa"/>
            <w:tcBorders/>
          </w:tcPr>
          <w:p>
            <w:pPr>
              <w:pStyle w:val="TableContents"/>
              <w:bidi w:val="0"/>
              <w:spacing w:before="0" w:after="0"/>
              <w:jc w:val="left"/>
              <w:rPr>
                <w:rFonts w:ascii="Times New Roman" w:hAnsi="Times New Roman"/>
                <w:sz w:val="20"/>
              </w:rPr>
            </w:pPr>
            <w:r>
              <w:rPr>
                <w:rFonts w:ascii="Times New Roman" w:hAnsi="Times New Roman"/>
                <w:sz w:val="20"/>
              </w:rPr>
              <w:t>Closures and caps</w:t>
            </w:r>
          </w:p>
        </w:tc>
        <w:tc>
          <w:tcPr>
            <w:tcW w:w="426" w:type="dxa"/>
            <w:tcBorders/>
            <w:vAlign w:val="bottom"/>
          </w:tcPr>
          <w:p>
            <w:pPr>
              <w:pStyle w:val="TableContents"/>
              <w:bidi w:val="0"/>
              <w:spacing w:before="0" w:after="283"/>
              <w:jc w:val="left"/>
              <w:rPr/>
            </w:pPr>
            <w:r>
              <w:rPr/>
              <w:t>  </w:t>
            </w:r>
          </w:p>
        </w:tc>
        <w:tc>
          <w:tcPr>
            <w:tcW w:w="295" w:type="dxa"/>
            <w:tcBorders/>
            <w:vAlign w:val="bottom"/>
          </w:tcPr>
          <w:p>
            <w:pPr>
              <w:pStyle w:val="TableContents"/>
              <w:bidi w:val="0"/>
              <w:spacing w:before="0" w:after="283"/>
              <w:jc w:val="left"/>
              <w:rPr/>
            </w:pPr>
            <w:r>
              <w:rPr/>
              <w:t> </w:t>
            </w:r>
          </w:p>
        </w:tc>
        <w:tc>
          <w:tcPr>
            <w:tcW w:w="686"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427" w:type="dxa"/>
            <w:tcBorders/>
            <w:vAlign w:val="bottom"/>
          </w:tcPr>
          <w:p>
            <w:pPr>
              <w:pStyle w:val="TableContents"/>
              <w:bidi w:val="0"/>
              <w:spacing w:before="0" w:after="283"/>
              <w:jc w:val="left"/>
              <w:rPr/>
            </w:pPr>
            <w:r>
              <w:rPr/>
              <w:t>  </w:t>
            </w:r>
          </w:p>
        </w:tc>
        <w:tc>
          <w:tcPr>
            <w:tcW w:w="235" w:type="dxa"/>
            <w:tcBorders/>
            <w:vAlign w:val="bottom"/>
          </w:tcPr>
          <w:p>
            <w:pPr>
              <w:pStyle w:val="TableContents"/>
              <w:bidi w:val="0"/>
              <w:spacing w:before="0" w:after="283"/>
              <w:jc w:val="left"/>
              <w:rPr>
                <w:sz w:val="4"/>
                <w:szCs w:val="4"/>
              </w:rPr>
            </w:pPr>
            <w:r>
              <w:rPr>
                <w:sz w:val="4"/>
                <w:szCs w:val="4"/>
              </w:rPr>
            </w:r>
          </w:p>
        </w:tc>
        <w:tc>
          <w:tcPr>
            <w:tcW w:w="55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427" w:type="dxa"/>
            <w:tcBorders/>
            <w:vAlign w:val="bottom"/>
          </w:tcPr>
          <w:p>
            <w:pPr>
              <w:pStyle w:val="TableContents"/>
              <w:bidi w:val="0"/>
              <w:spacing w:before="0" w:after="283"/>
              <w:jc w:val="left"/>
              <w:rPr/>
            </w:pPr>
            <w:r>
              <w:rPr/>
              <w:t>  </w:t>
            </w:r>
          </w:p>
        </w:tc>
        <w:tc>
          <w:tcPr>
            <w:tcW w:w="208" w:type="dxa"/>
            <w:tcBorders/>
            <w:vAlign w:val="bottom"/>
          </w:tcPr>
          <w:p>
            <w:pPr>
              <w:pStyle w:val="TableContents"/>
              <w:bidi w:val="0"/>
              <w:spacing w:before="0" w:after="283"/>
              <w:jc w:val="left"/>
              <w:rPr/>
            </w:pPr>
            <w:r>
              <w:rPr/>
              <w:t> </w:t>
            </w:r>
          </w:p>
        </w:tc>
        <w:tc>
          <w:tcPr>
            <w:tcW w:w="487" w:type="dxa"/>
            <w:tcBorders/>
            <w:vAlign w:val="bottom"/>
          </w:tcPr>
          <w:p>
            <w:pPr>
              <w:pStyle w:val="TableContents"/>
              <w:bidi w:val="0"/>
              <w:spacing w:before="0" w:after="283"/>
              <w:jc w:val="right"/>
              <w:rPr/>
            </w:pPr>
            <w:r>
              <w:rPr/>
              <w:t>*</w:t>
            </w:r>
          </w:p>
        </w:tc>
        <w:tc>
          <w:tcPr>
            <w:tcW w:w="61" w:type="dxa"/>
            <w:tcBorders/>
            <w:vAlign w:val="bottom"/>
          </w:tcPr>
          <w:p>
            <w:pPr>
              <w:pStyle w:val="TableContents"/>
              <w:bidi w:val="0"/>
              <w:spacing w:before="0" w:after="283"/>
              <w:jc w:val="left"/>
              <w:rPr/>
            </w:pPr>
            <w:r>
              <w:rPr/>
              <w:t> </w:t>
            </w:r>
          </w:p>
        </w:tc>
      </w:tr>
      <w:tr>
        <w:trPr/>
        <w:tc>
          <w:tcPr>
            <w:tcW w:w="465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Can-making equipment and tooling</w:t>
            </w:r>
          </w:p>
        </w:tc>
        <w:tc>
          <w:tcPr>
            <w:tcW w:w="426" w:type="dxa"/>
            <w:tcBorders/>
            <w:shd w:fill="CCEEFF" w:val="clear"/>
            <w:vAlign w:val="bottom"/>
          </w:tcPr>
          <w:p>
            <w:pPr>
              <w:pStyle w:val="TableContents"/>
              <w:bidi w:val="0"/>
              <w:spacing w:before="0" w:after="283"/>
              <w:jc w:val="left"/>
              <w:rPr/>
            </w:pPr>
            <w:r>
              <w:rPr/>
              <w:t>  </w:t>
            </w:r>
          </w:p>
        </w:tc>
        <w:tc>
          <w:tcPr>
            <w:tcW w:w="295" w:type="dxa"/>
            <w:tcBorders/>
            <w:shd w:fill="CCEEFF" w:val="clear"/>
            <w:vAlign w:val="bottom"/>
          </w:tcPr>
          <w:p>
            <w:pPr>
              <w:pStyle w:val="TableContents"/>
              <w:bidi w:val="0"/>
              <w:spacing w:before="0" w:after="283"/>
              <w:jc w:val="left"/>
              <w:rPr/>
            </w:pPr>
            <w:r>
              <w:rPr/>
              <w:t> </w:t>
            </w:r>
          </w:p>
        </w:tc>
        <w:tc>
          <w:tcPr>
            <w:tcW w:w="686"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427" w:type="dxa"/>
            <w:tcBorders/>
            <w:shd w:fill="CCEEFF" w:val="clear"/>
            <w:vAlign w:val="bottom"/>
          </w:tcPr>
          <w:p>
            <w:pPr>
              <w:pStyle w:val="TableContents"/>
              <w:bidi w:val="0"/>
              <w:spacing w:before="0" w:after="283"/>
              <w:jc w:val="left"/>
              <w:rPr/>
            </w:pPr>
            <w:r>
              <w:rPr/>
              <w:t>  </w:t>
            </w:r>
          </w:p>
        </w:tc>
        <w:tc>
          <w:tcPr>
            <w:tcW w:w="235" w:type="dxa"/>
            <w:tcBorders/>
            <w:shd w:fill="CCEEFF" w:val="clear"/>
            <w:vAlign w:val="bottom"/>
          </w:tcPr>
          <w:p>
            <w:pPr>
              <w:pStyle w:val="TableContents"/>
              <w:bidi w:val="0"/>
              <w:spacing w:before="0" w:after="283"/>
              <w:jc w:val="left"/>
              <w:rPr/>
            </w:pPr>
            <w:r>
              <w:rPr/>
              <w:t> </w:t>
            </w:r>
          </w:p>
        </w:tc>
        <w:tc>
          <w:tcPr>
            <w:tcW w:w="550"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427" w:type="dxa"/>
            <w:tcBorders/>
            <w:shd w:fill="CCEEFF" w:val="clear"/>
            <w:vAlign w:val="bottom"/>
          </w:tcPr>
          <w:p>
            <w:pPr>
              <w:pStyle w:val="TableContents"/>
              <w:bidi w:val="0"/>
              <w:spacing w:before="0" w:after="283"/>
              <w:jc w:val="left"/>
              <w:rPr/>
            </w:pPr>
            <w:r>
              <w:rPr/>
              <w:t>  </w:t>
            </w:r>
          </w:p>
        </w:tc>
        <w:tc>
          <w:tcPr>
            <w:tcW w:w="208" w:type="dxa"/>
            <w:tcBorders/>
            <w:shd w:fill="CCEEFF" w:val="clear"/>
            <w:vAlign w:val="bottom"/>
          </w:tcPr>
          <w:p>
            <w:pPr>
              <w:pStyle w:val="TableContents"/>
              <w:bidi w:val="0"/>
              <w:spacing w:before="0" w:after="283"/>
              <w:jc w:val="left"/>
              <w:rPr>
                <w:sz w:val="4"/>
                <w:szCs w:val="4"/>
              </w:rPr>
            </w:pPr>
            <w:r>
              <w:rPr>
                <w:sz w:val="4"/>
                <w:szCs w:val="4"/>
              </w:rPr>
            </w:r>
          </w:p>
        </w:tc>
        <w:tc>
          <w:tcPr>
            <w:tcW w:w="487" w:type="dxa"/>
            <w:tcBorders/>
            <w:shd w:fill="CCEEFF" w:val="clear"/>
            <w:vAlign w:val="bottom"/>
          </w:tcPr>
          <w:p>
            <w:pPr>
              <w:pStyle w:val="TableContents"/>
              <w:bidi w:val="0"/>
              <w:spacing w:before="0" w:after="283"/>
              <w:jc w:val="left"/>
              <w:rPr>
                <w:sz w:val="4"/>
                <w:szCs w:val="4"/>
              </w:rPr>
            </w:pPr>
            <w:r>
              <w:rPr>
                <w:sz w:val="4"/>
                <w:szCs w:val="4"/>
              </w:rPr>
            </w:r>
          </w:p>
        </w:tc>
        <w:tc>
          <w:tcPr>
            <w:tcW w:w="61" w:type="dxa"/>
            <w:tcBorders/>
            <w:shd w:fill="CCEEFF" w:val="clear"/>
            <w:vAlign w:val="bottom"/>
          </w:tcPr>
          <w:p>
            <w:pPr>
              <w:pStyle w:val="TableContents"/>
              <w:bidi w:val="0"/>
              <w:spacing w:before="0" w:after="283"/>
              <w:jc w:val="left"/>
              <w:rPr>
                <w:sz w:val="4"/>
                <w:szCs w:val="4"/>
              </w:rPr>
            </w:pPr>
            <w:r>
              <w:rPr>
                <w:sz w:val="4"/>
                <w:szCs w:val="4"/>
              </w:rPr>
            </w:r>
          </w:p>
        </w:tc>
      </w:tr>
      <w:tr>
        <w:trPr/>
        <w:tc>
          <w:tcPr>
            <w:tcW w:w="4650" w:type="dxa"/>
            <w:tcBorders/>
          </w:tcPr>
          <w:p>
            <w:pPr>
              <w:pStyle w:val="TableContents"/>
              <w:bidi w:val="0"/>
              <w:spacing w:before="0" w:after="0"/>
              <w:jc w:val="left"/>
              <w:rPr>
                <w:rFonts w:ascii="Times New Roman" w:hAnsi="Times New Roman"/>
                <w:sz w:val="20"/>
              </w:rPr>
            </w:pPr>
            <w:r>
              <w:rPr>
                <w:rFonts w:ascii="Times New Roman" w:hAnsi="Times New Roman"/>
                <w:sz w:val="20"/>
              </w:rPr>
              <w:t>Transit packaging</w:t>
            </w:r>
          </w:p>
        </w:tc>
        <w:tc>
          <w:tcPr>
            <w:tcW w:w="426" w:type="dxa"/>
            <w:tcBorders/>
            <w:vAlign w:val="bottom"/>
          </w:tcPr>
          <w:p>
            <w:pPr>
              <w:pStyle w:val="TableContents"/>
              <w:bidi w:val="0"/>
              <w:spacing w:before="0" w:after="283"/>
              <w:jc w:val="left"/>
              <w:rPr/>
            </w:pPr>
            <w:r>
              <w:rPr/>
              <w:t>  </w:t>
            </w:r>
          </w:p>
        </w:tc>
        <w:tc>
          <w:tcPr>
            <w:tcW w:w="295" w:type="dxa"/>
            <w:tcBorders/>
            <w:vAlign w:val="bottom"/>
          </w:tcPr>
          <w:p>
            <w:pPr>
              <w:pStyle w:val="TableContents"/>
              <w:bidi w:val="0"/>
              <w:spacing w:before="0" w:after="283"/>
              <w:jc w:val="left"/>
              <w:rPr/>
            </w:pPr>
            <w:r>
              <w:rPr/>
              <w:t> </w:t>
            </w:r>
          </w:p>
        </w:tc>
        <w:tc>
          <w:tcPr>
            <w:tcW w:w="686"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427" w:type="dxa"/>
            <w:tcBorders/>
            <w:vAlign w:val="bottom"/>
          </w:tcPr>
          <w:p>
            <w:pPr>
              <w:pStyle w:val="TableContents"/>
              <w:bidi w:val="0"/>
              <w:spacing w:before="0" w:after="283"/>
              <w:jc w:val="left"/>
              <w:rPr/>
            </w:pPr>
            <w:r>
              <w:rPr/>
              <w:t>  </w:t>
            </w:r>
          </w:p>
        </w:tc>
        <w:tc>
          <w:tcPr>
            <w:tcW w:w="235" w:type="dxa"/>
            <w:tcBorders/>
            <w:vAlign w:val="bottom"/>
          </w:tcPr>
          <w:p>
            <w:pPr>
              <w:pStyle w:val="TableContents"/>
              <w:bidi w:val="0"/>
              <w:spacing w:before="0" w:after="283"/>
              <w:jc w:val="left"/>
              <w:rPr/>
            </w:pPr>
            <w:r>
              <w:rPr/>
              <w:t> </w:t>
            </w:r>
          </w:p>
        </w:tc>
        <w:tc>
          <w:tcPr>
            <w:tcW w:w="550"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427" w:type="dxa"/>
            <w:tcBorders/>
            <w:vAlign w:val="bottom"/>
          </w:tcPr>
          <w:p>
            <w:pPr>
              <w:pStyle w:val="TableContents"/>
              <w:bidi w:val="0"/>
              <w:spacing w:before="0" w:after="283"/>
              <w:jc w:val="left"/>
              <w:rPr/>
            </w:pPr>
            <w:r>
              <w:rPr/>
              <w:t>  </w:t>
            </w:r>
          </w:p>
        </w:tc>
        <w:tc>
          <w:tcPr>
            <w:tcW w:w="208" w:type="dxa"/>
            <w:tcBorders/>
            <w:vAlign w:val="bottom"/>
          </w:tcPr>
          <w:p>
            <w:pPr>
              <w:pStyle w:val="TableContents"/>
              <w:bidi w:val="0"/>
              <w:spacing w:before="0" w:after="283"/>
              <w:jc w:val="left"/>
              <w:rPr/>
            </w:pPr>
            <w:r>
              <w:rPr/>
              <w:t> </w:t>
            </w:r>
          </w:p>
        </w:tc>
        <w:tc>
          <w:tcPr>
            <w:tcW w:w="487" w:type="dxa"/>
            <w:tcBorders/>
            <w:vAlign w:val="bottom"/>
          </w:tcPr>
          <w:p>
            <w:pPr>
              <w:pStyle w:val="TableContents"/>
              <w:bidi w:val="0"/>
              <w:spacing w:before="0" w:after="283"/>
              <w:jc w:val="right"/>
              <w:rPr/>
            </w:pPr>
            <w:r>
              <w:rPr/>
              <w:t>*</w:t>
            </w:r>
          </w:p>
        </w:tc>
        <w:tc>
          <w:tcPr>
            <w:tcW w:w="61" w:type="dxa"/>
            <w:tcBorders/>
            <w:vAlign w:val="bottom"/>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Reportable Segments </w:t>
      </w:r>
    </w:p>
    <w:p>
      <w:pPr>
        <w:pStyle w:val="TextBody"/>
        <w:bidi w:val="0"/>
        <w:spacing w:before="120" w:after="0"/>
        <w:jc w:val="left"/>
        <w:rPr>
          <w:rFonts w:ascii="Times New Roman" w:hAnsi="Times New Roman"/>
          <w:sz w:val="20"/>
        </w:rPr>
      </w:pPr>
      <w:r>
        <w:rPr>
          <w:rFonts w:ascii="Times New Roman" w:hAnsi="Times New Roman"/>
          <w:sz w:val="20"/>
        </w:rPr>
        <w:t xml:space="preserve">Crowns business is generally organized by product line and geography. The reportable segments are: Americas Beverage, European Beverage, Asia Pacific and Transit Packaging. Crowns other segments include the food can, aerosol can and closures business in North America and beverage tooling and equipment operations in the U.S. and U.K. </w:t>
      </w:r>
    </w:p>
    <w:p>
      <w:pPr>
        <w:pStyle w:val="TextBody"/>
        <w:bidi w:val="0"/>
        <w:spacing w:before="360" w:after="0"/>
        <w:jc w:val="left"/>
        <w:rPr>
          <w:rFonts w:ascii="Times New Roman" w:hAnsi="Times New Roman"/>
          <w:b/>
          <w:sz w:val="20"/>
        </w:rPr>
      </w:pPr>
      <w:r>
        <w:rPr>
          <w:rFonts w:ascii="Times New Roman" w:hAnsi="Times New Roman"/>
          <w:b/>
          <w:sz w:val="20"/>
        </w:rPr>
        <w:t xml:space="preserve">Business Strengths </w:t>
      </w:r>
    </w:p>
    <w:p>
      <w:pPr>
        <w:pStyle w:val="TextBody"/>
        <w:bidi w:val="0"/>
        <w:spacing w:before="120" w:after="0"/>
        <w:jc w:val="left"/>
        <w:rPr>
          <w:rFonts w:ascii="Times New Roman" w:hAnsi="Times New Roman"/>
          <w:sz w:val="20"/>
        </w:rPr>
      </w:pPr>
      <w:r>
        <w:rPr>
          <w:rFonts w:ascii="Times New Roman" w:hAnsi="Times New Roman"/>
          <w:sz w:val="20"/>
        </w:rPr>
        <w:t xml:space="preserve">Crowns principal strength lies in its ability to meet the changing needs of its global customer base with products and processes from a broad range of well-established packaging businesses. Crown believes that it is well-positioned within the packaging industry because of its: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b/>
                <w:i/>
                <w:sz w:val="20"/>
              </w:rPr>
              <w:t>Global leadership positions</w:t>
            </w:r>
            <w:r>
              <w:rPr>
                <w:rFonts w:ascii="Times New Roman" w:hAnsi="Times New Roman"/>
                <w:sz w:val="20"/>
              </w:rPr>
              <w:t xml:space="preserve">. Crown is a leading producer of beverage cans in North America, Europe and Asia, and is a leading producer of food and aerosol cans and closures in North America. Crown maintains its leadership through an extensive geographic presence, with 199 plants located throughout the world as of December 31, 2022. Its large manufacturing base allows Crown to service its customers locally while achieving significant economies of scale.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b/>
                <w:i/>
                <w:sz w:val="20"/>
              </w:rPr>
              <w:t>Strong customer base</w:t>
            </w:r>
            <w:r>
              <w:rPr>
                <w:rFonts w:ascii="Times New Roman" w:hAnsi="Times New Roman"/>
                <w:sz w:val="20"/>
              </w:rPr>
              <w:t xml:space="preserve">. Crown provides packaging to many of the worlds leading consumer products companies. Major customers include Anheuser-Busch InBev, Coca-Cola, Heineken, Keurig Dr Pepper, Molson Coors, Pepsi-Cola and Refresco, among others. These consumer products companies represent generally stable businesses that provide consumer staples such as soft drinks and alcoholic beverages. In addition, Crown has long-standing relationships with many of its largest customers.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b/>
                <w:i/>
                <w:sz w:val="20"/>
              </w:rPr>
              <w:t>Broad and diversified product base</w:t>
            </w:r>
            <w:r>
              <w:rPr>
                <w:rFonts w:ascii="Times New Roman" w:hAnsi="Times New Roman"/>
                <w:sz w:val="20"/>
              </w:rPr>
              <w:t xml:space="preserve">. Crown continues to drive brand differentiation in the beverage can market by increasing its ability to offer multiple specialty can sizes. Size variations include slim and sleek cans, as well as larger sizes to help customers differentiate their products.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b/>
                <w:i/>
                <w:sz w:val="20"/>
              </w:rPr>
              <w:t>Business and industry fundamentals</w:t>
            </w:r>
            <w:r>
              <w:rPr>
                <w:rFonts w:ascii="Times New Roman" w:hAnsi="Times New Roman"/>
                <w:sz w:val="20"/>
              </w:rPr>
              <w:t xml:space="preserve">. Fundamental changes in its business, including global beverage can demand, price increases, cost reduction initiatives and working capital reductions, have improved Crowns business outlook. </w:t>
            </w:r>
          </w:p>
        </w:tc>
      </w:tr>
    </w:tbl>
    <w:p>
      <w:pPr>
        <w:pStyle w:val="HorizontalLine"/>
        <w:pBdr>
          <w:bottom w:val="double" w:sz="6" w:space="0" w:color="808080"/>
        </w:pBdr>
        <w:bidi w:val="0"/>
        <w:jc w:val="left"/>
        <w:rPr/>
      </w:pPr>
      <w:r>
        <w:br w:type="page"/>
      </w:r>
      <w:r>
        <w:rPr/>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b/>
                <w:i/>
                <w:sz w:val="20"/>
              </w:rPr>
              <w:t>Technological leadership resulting in superior new product and process development</w:t>
            </w:r>
            <w:r>
              <w:rPr>
                <w:rFonts w:ascii="Times New Roman" w:hAnsi="Times New Roman"/>
                <w:sz w:val="20"/>
              </w:rPr>
              <w:t xml:space="preserve">. Crown believes that it possesses the technology, processes and research, development and engineering capabilities to allow it to provide innovative and value-added packaging solutions to its customers, as well as to design cost-efficient manufacturing systems and materials.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b/>
                <w:i/>
                <w:sz w:val="20"/>
              </w:rPr>
              <w:t>Financially disciplined management team</w:t>
            </w:r>
            <w:r>
              <w:rPr>
                <w:rFonts w:ascii="Times New Roman" w:hAnsi="Times New Roman"/>
                <w:sz w:val="20"/>
              </w:rPr>
              <w:t xml:space="preserve">. Crowns current executive leadership is focused on improving profit and increasing free cash flow. Crown is prudent about its capital spending, attempting to pursue projects that provide an adequate return.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Business Strategy </w:t>
      </w:r>
    </w:p>
    <w:p>
      <w:pPr>
        <w:pStyle w:val="TextBody"/>
        <w:bidi w:val="0"/>
        <w:spacing w:before="120" w:after="0"/>
        <w:jc w:val="left"/>
        <w:rPr>
          <w:rFonts w:ascii="Times New Roman" w:hAnsi="Times New Roman"/>
          <w:sz w:val="20"/>
        </w:rPr>
      </w:pPr>
      <w:r>
        <w:rPr>
          <w:rFonts w:ascii="Times New Roman" w:hAnsi="Times New Roman"/>
          <w:sz w:val="20"/>
        </w:rPr>
        <w:t xml:space="preserve">Crown has several key business strategies: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b/>
                <w:i/>
                <w:sz w:val="20"/>
              </w:rPr>
              <w:t>Grow in targeted markets</w:t>
            </w:r>
            <w:r>
              <w:rPr>
                <w:rFonts w:ascii="Times New Roman" w:hAnsi="Times New Roman"/>
                <w:sz w:val="20"/>
              </w:rPr>
              <w:t xml:space="preserve">. Crown plans to capitalize on its leading positions by targeting geographic areas with strong growth potential. Crown believes that it is well-positioned to take advantage of the growth potential in North America, Mexico, Brazil and Southeast Asia with recent capacity additions concentrated in these markets. Crown also benefits from anticipated growth in the consumption of consumer goods in Western Europe.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b/>
                <w:i/>
                <w:sz w:val="20"/>
              </w:rPr>
              <w:t>Increase margins through ongoing cost reductions</w:t>
            </w:r>
            <w:r>
              <w:rPr>
                <w:rFonts w:ascii="Times New Roman" w:hAnsi="Times New Roman"/>
                <w:sz w:val="20"/>
              </w:rPr>
              <w:t xml:space="preserve">. Crown plans to continue to reduce manufacturing costs, enhance efficiencies and drive return on invested capital through investments in equipment and technology and through improvements in productivity and material usage and by maintaining a disciplined approach to managing supplier contracts.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b/>
                <w:i/>
                <w:sz w:val="20"/>
              </w:rPr>
              <w:t>Maximize cash flow generation</w:t>
            </w:r>
            <w:r>
              <w:rPr>
                <w:rFonts w:ascii="Times New Roman" w:hAnsi="Times New Roman"/>
                <w:sz w:val="20"/>
              </w:rPr>
              <w:t xml:space="preserve">. Crown has established performance-based incentives to increase its free cash flow and operating income. In recent years, Crown has used proceeds from the sale of the European Tinplate business, along with cash provided by operating activities, to support Crowns capital allocation strategy to reduce leverage, support beverage can expansion in North America, Western Europe and emerging markets, and return capital to shareholders in the form of dividends and repurchase of Crowns shares.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2"/>
        <w:gridCol w:w="8880"/>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Crown uses the economic profit concept in connection with its executive compensation program, which requires each business unit to exceed prior years returns on the capital that it employs.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1"/>
        <w:gridCol w:w="8881"/>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Crown will continue to focus its capital expenditures on projects that provide an adequate return.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b/>
                <w:i/>
                <w:sz w:val="20"/>
              </w:rPr>
              <w:t>Serve the changing needs of the worlds leading consumer products companies through technological innovation</w:t>
            </w:r>
            <w:r>
              <w:rPr>
                <w:rFonts w:ascii="Times New Roman" w:hAnsi="Times New Roman"/>
                <w:sz w:val="20"/>
              </w:rPr>
              <w:t xml:space="preserve">. Crown intends to capitalize on the demand of its customers for higher value-added packaging products. By continuing to improve the physical attributes of its products, such as strength of materials and graphics, Crown plans to further improve its existing customer relationships, as well as attract new customers. </w:t>
            </w:r>
          </w:p>
        </w:tc>
      </w:tr>
    </w:tbl>
    <w:p>
      <w:pPr>
        <w:pStyle w:val="TextBody"/>
        <w:bidi w:val="0"/>
        <w:spacing w:before="480" w:after="0"/>
        <w:jc w:val="center"/>
        <w:rPr>
          <w:rFonts w:ascii="Times New Roman" w:hAnsi="Times New Roman"/>
          <w:b/>
          <w:sz w:val="20"/>
        </w:rPr>
      </w:pPr>
      <w:r>
        <w:rPr>
          <w:rFonts w:ascii="Times New Roman" w:hAnsi="Times New Roman"/>
          <w:b/>
          <w:sz w:val="20"/>
        </w:rPr>
        <w:t xml:space="preserve">FORWARD-LOOKING STATEMENTS </w:t>
      </w:r>
    </w:p>
    <w:p>
      <w:pPr>
        <w:pStyle w:val="TextBody"/>
        <w:bidi w:val="0"/>
        <w:spacing w:before="240" w:after="0"/>
        <w:jc w:val="left"/>
        <w:rPr>
          <w:rFonts w:ascii="Times New Roman" w:hAnsi="Times New Roman"/>
          <w:sz w:val="20"/>
        </w:rPr>
      </w:pPr>
      <w:r>
        <w:rPr>
          <w:rFonts w:ascii="Times New Roman" w:hAnsi="Times New Roman"/>
          <w:sz w:val="20"/>
        </w:rPr>
        <w:t xml:space="preserve">Statements included herein that are not historical facts (including any statements concerning plans and objectives of management for future operations or economic performance, or assumptions related thereto) are forward-looking statements within the meaning of the U.S. federal securities laws. Forward-looking statements can be identified by words, such as believes, estimates, anticipates, expects and other words of similar meaning in connection with a discussion of future operating or financial performance. These may include, among others, statements relating to: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new senior notes offering and the use of proceeds therefrom, and Crowns ability to implement it on the terms described therein;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Crowns plans or objectives for future operations, products or financial performance;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Crowns indebtedness and other contractual obligations;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impact of an economic downturn or growth in particular regions;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anticipated uses of cash;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cost reduction efforts and expected savings;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Crowns policies with respect to executive compensation; </w:t>
            </w:r>
          </w:p>
        </w:tc>
      </w:tr>
    </w:tbl>
    <w:p>
      <w:pPr>
        <w:pStyle w:val="HorizontalLine"/>
        <w:pBdr>
          <w:bottom w:val="double" w:sz="6" w:space="0" w:color="808080"/>
        </w:pBdr>
        <w:bidi w:val="0"/>
        <w:jc w:val="left"/>
        <w:rPr/>
      </w:pPr>
      <w:r>
        <w:br w:type="page"/>
      </w:r>
      <w:r>
        <w:rPr/>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Crowns progress on sustainability and environmental matters;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expected outcome of contingencies, including with respect to asbestos-related litigation and Crowns pension and postretirement liabilities.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These forward-looking statements are made based upon Crowns expectations and beliefs concerning future events impacting Crown and, therefore, involve a number of risks and uncertainties. Crown cautions that forward-looking statements are not guarantees and that actual results could differ materially from those expressed or implied in the forward-looking statements. </w:t>
      </w:r>
    </w:p>
    <w:p>
      <w:pPr>
        <w:pStyle w:val="TextBody"/>
        <w:bidi w:val="0"/>
        <w:spacing w:before="240" w:after="0"/>
        <w:jc w:val="left"/>
        <w:rPr>
          <w:rFonts w:ascii="Times New Roman" w:hAnsi="Times New Roman"/>
          <w:sz w:val="20"/>
        </w:rPr>
      </w:pPr>
      <w:r>
        <w:rPr>
          <w:rFonts w:ascii="Times New Roman" w:hAnsi="Times New Roman"/>
          <w:sz w:val="20"/>
        </w:rPr>
        <w:t xml:space="preserve">Important factors that could cause the actual results of operations or financial condition of Crown to differ include, but are not necessarily limited to: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ability of Crown to expand successfully in international and emerging markets;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ability of Crown to repay, refinance or restructure its short and long-term indebtedness on adequate terms and to comply with the terms of its agreements relating to debt;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impact of Brexit;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Crowns ability to generate significant cash to meet its obligations and invest in its business and to maintain appropriate debt levels;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restrictions on Crowns use of available cash under its debt agreements;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changes or differences in U.S. or international economic or political conditions, such as inflation or fluctuations in interest or foreign exchange rates (and the effectiveness of any currency or interest rate hedges), tax rates, and tax laws (including with respect to taxation of unrepatriated non-U.S. earnings or as a result of the depletion of net loss or foreign tax credit carryforwards);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impact of foreign trade laws and practices;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collectability of receivables;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war, including the ongoing conflicts between Russia and Ukraine and Israel and Hamas, or acts of terrorism that may disrupt Crowns production or the supply or pricing of raw materials, impact the financial condition of customers or adversely affect Crowns ability to refinance or restructure its remaining indebtedness;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changes in the availability and pricing of raw materials (including aluminum can sheet, steel tinplate, energy, water, inks and coatings) and Crowns ability to pass raw material, energy and freight price increases and surcharges through to its customers or to otherwise manage these commodity pricing risks;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Crowns ability to obtain and maintain adequate pricing for its products, including the impact on Crowns revenue, margins and market share and the ongoing impact of price increases;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energy and natural resource costs;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cost and other effects of legal and administrative cases and proceedings, settlements and investigations;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the outcome of asbestos-related litigation (including the number and size of future claims and the terms of settlements, and the impact of bankruptcy filings by other companies with asbestos-related liabilities, any of which could increase the asbestos-related costs to Crown Cork &amp; Seal Company, Inc., a subsidiary of Crown (</w:t>
            </w:r>
            <w:r>
              <w:rPr>
                <w:rFonts w:ascii="Times New Roman" w:hAnsi="Times New Roman"/>
                <w:sz w:val="20"/>
                <w:u w:val="single"/>
              </w:rPr>
              <w:t>Crown Cork</w:t>
            </w:r>
            <w:r>
              <w:rPr>
                <w:rFonts w:ascii="Times New Roman" w:hAnsi="Times New Roman"/>
                <w:sz w:val="20"/>
              </w:rPr>
              <w:t xml:space="preserve">), over time, the adequacy of reserves established for asbestos-related liabilities, Crown Corks ability to obtain resolution without payment of asbestos-related claims by persons alleging first exposure to asbestos after 1964, and the impact of state legislation dealing with asbestos liabilities and any litigation challenging that legislation and any future state or federal legislation dealing with asbestos liabilities);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Crowns ability to realize deferred tax benefits;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changes in Crowns critical or other accounting policies or the assumptions underlying those policies;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labor relations and workforce and social costs, including Crowns pension and postretirement obligations and other employee or retiree costs;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investment performance of Crowns pension plans;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costs and difficulties related to the acquisition of a business and integration of acquired businesses;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impact of any actual or potential dispositions, acquisitions or other strategic realignments (such as Crowns recently completed divestiture of its European Tinplate business), which may impact Crowns operations, financial profile, investments or levels of indebtedness; </w:t>
            </w:r>
          </w:p>
        </w:tc>
      </w:tr>
    </w:tbl>
    <w:p>
      <w:pPr>
        <w:pStyle w:val="TextBody"/>
        <w:bidi w:val="0"/>
        <w:spacing w:before="0" w:after="0"/>
        <w:jc w:val="left"/>
        <w:rPr/>
      </w:pPr>
      <w:r>
        <w:rPr/>
        <w:t>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Crowns ability to realize efficient capacity utilization and inventory levels and to innovate new designs and technologies for its products in a cost-effective manner;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competitive pressures, including new product developments, industry overcapacity, or changes in competitors pricing for products;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Crowns ability to achieve high capacity utilization rates for its equipment;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Crowns ability to maintain, develop and capitalize on competitive technologies for the design and manufacture of products and to withstand competitive and legal challenges to the proprietary nature of such technology;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Crowns ability to protect its information technology systems from attacks or catastrophic failure;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strength of Crowns cyber-security (including with respect to human vulnerabilities associated with cyber-security risks);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Crowns ability to generate sufficient production capacity;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Crowns ability to improve and expand its existing product and product lines;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impact of overcapacity on the end-markets Crown serves;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loss of customers, including the loss of any significant customers;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changes in consumer preferences for different packaging products;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financial condition of Crowns vendors and customers;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weather conditions, including their effect on demand for beverages and on crop yields for fruits and vegetables stored in food containers;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impact of natural disasters, including in emerging markets;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impact of the COVID-19 pandemic, as well as the quarantines and other governmental and non-governmental restrictions which have been imposed throughout the world in an effort to contain, mitigate, or vaccinate against it;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changes in governmental regulations or enforcement practices, including with respect to environmental, health and safety matters and restrictions as to foreign investment or operation;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impact of increased governmental regulation on Crown and its products, including the regulation or restriction of the use of bisphenol-A;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impact of Crowns recent initiatives to generate additional cash, including the reduction of working capital levels and capital spending;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impact of Crowns comprehensive Board-led review of its portfolio and capital allocation/return;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ability of Crown to realize cost savings from its restructuring programs;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Crowns ability to maintain adequate sources of capital and liquidity;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costs and payments to certain of Crowns executive officers in connection with any termination of such executive officers or a change in control of Crown;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impact of existing and future legislation regarding refundable mandatory deposit laws in Europe for non-refillable beverage containers and the implementation of an effective return system;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impact of existing and future legislation regarding the taxation of sugar-sweetened beverages or energy drinks, the impact of tariffs and potential limits on steel supply in the U.S. from certain foreign countries;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changes in Crowns strategic areas of focus, which may impact Crowns operations, financial profile or levels of indebtedness. </w:t>
            </w:r>
          </w:p>
        </w:tc>
      </w:tr>
    </w:tbl>
    <w:p>
      <w:pPr>
        <w:pStyle w:val="TextBody"/>
        <w:bidi w:val="0"/>
        <w:spacing w:before="120" w:after="0"/>
        <w:jc w:val="left"/>
        <w:rPr>
          <w:rFonts w:ascii="Times New Roman" w:hAnsi="Times New Roman"/>
          <w:sz w:val="20"/>
        </w:rPr>
      </w:pPr>
      <w:r>
        <w:rPr>
          <w:rFonts w:ascii="Times New Roman" w:hAnsi="Times New Roman"/>
          <w:sz w:val="20"/>
        </w:rPr>
        <w:t xml:space="preserve">New risk factors emerge from time to time and it is not possible for Crown to predict all such risk factors. Crown cannot assess the impact of all risk factors on its business or the extent to which any factor, or combination of factors, may cause actual results to differ materially from those contained in any forward-looking statements. Given these risks and uncertainties, you should not place undue reliance on forward-looking statements as a prediction of actual results. While Crown periodically reassesses material trends and uncertainties affecting Crowns results of operations and financial condition, Crown does not intend to review or revise any particular forward-looking statement in light of future events.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GENERAL RISKS </w:t>
      </w:r>
    </w:p>
    <w:p>
      <w:pPr>
        <w:pStyle w:val="TextBody"/>
        <w:bidi w:val="0"/>
        <w:spacing w:before="240" w:after="0"/>
        <w:jc w:val="left"/>
        <w:rPr>
          <w:rFonts w:ascii="Times New Roman" w:hAnsi="Times New Roman"/>
          <w:b/>
          <w:i/>
          <w:sz w:val="20"/>
        </w:rPr>
      </w:pPr>
      <w:r>
        <w:rPr>
          <w:rFonts w:ascii="Times New Roman" w:hAnsi="Times New Roman"/>
          <w:b/>
          <w:i/>
          <w:sz w:val="20"/>
        </w:rPr>
        <w:t xml:space="preserve">Any financial or economic crisis, or perceived threat of such a crisis, including a significant decrease in consumer confidence, could materially and adversely affect Crowns business, financial condition and results of operations. </w:t>
      </w:r>
    </w:p>
    <w:p>
      <w:pPr>
        <w:pStyle w:val="TextBody"/>
        <w:bidi w:val="0"/>
        <w:spacing w:before="240" w:after="0"/>
        <w:jc w:val="left"/>
        <w:rPr>
          <w:rFonts w:ascii="Times New Roman" w:hAnsi="Times New Roman"/>
          <w:sz w:val="20"/>
        </w:rPr>
      </w:pPr>
      <w:r>
        <w:rPr>
          <w:rFonts w:ascii="Times New Roman" w:hAnsi="Times New Roman"/>
          <w:sz w:val="20"/>
        </w:rPr>
        <w:t xml:space="preserve">In recent years, the United States and global economies suffered dramatic downturns as the result of the COVID-19 pandemic, a deterioration in the credit markets and related financial crisis as well as a variety of other factors including, among other things, extreme volatility in security prices, severely diminished liquidity and credit availability, high inflation, financial distress caused by recent or potential bank failures (such as the recent closure of Silicon Valley Bank and receiverships of First Republic Bank and Signature Bank) and the associated banking crisis, ratings downgrades of certain investments and declining valuations of others. The United States and certain foreign governments have taken unprecedented actions in an attempt to address and rectify these extreme market and economic conditions by providing liquidity and stability to the financial markets. Over the past year, the United States, the EU, and the U.K. have experienced historically high levels of inflation. In response to high levels of inflation and recession fears, the U.S. Federal Reserve, the European Central Bank, and the Bank of England have raised, and may continue to raise, interest rates and implement fiscal policy interventions. Even if these interventions lower inflation, they may also reduce economic growth rates, create a recession, and have other similar effects. If the actions taken by these governments are not successful, the return of adverse economic conditions may negatively impact the demand for Crowns products and Crowns ability to raise capital, if needed, on a timely basis and on acceptable terms or at all. Furthermore, if additional banks and financial institutions enter receivership or become insolvent in the future in response to financial conditions affecting the banking system and financial markets, Crown might not be able to recover any or all of its assets deposited with those banks and financial institutions since Crown may be an unsecured creditor of the affected institution(s). Any such loss of funds could materially adversely affect Crowns business, financial condition and results of operations.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Crown is subject to litigation risks which could negatively impact its operations and net income. </w:t>
      </w:r>
    </w:p>
    <w:p>
      <w:pPr>
        <w:pStyle w:val="TextBody"/>
        <w:bidi w:val="0"/>
        <w:spacing w:before="120" w:after="0"/>
        <w:jc w:val="left"/>
        <w:rPr>
          <w:rFonts w:ascii="Times New Roman" w:hAnsi="Times New Roman"/>
          <w:sz w:val="20"/>
        </w:rPr>
      </w:pPr>
      <w:r>
        <w:rPr>
          <w:rFonts w:ascii="Times New Roman" w:hAnsi="Times New Roman"/>
          <w:sz w:val="20"/>
        </w:rPr>
        <w:t>Crown is subject to various lawsuits and claims with respect to matters such as governmental, environmental and employee benefits laws and regulations, securities, labor, and actions arising out of the normal course of business, in addition to asbestos-related litigation described under the risk factor titled </w:t>
      </w:r>
      <w:r>
        <w:rPr>
          <w:rFonts w:ascii="Times New Roman" w:hAnsi="Times New Roman"/>
          <w:i/>
          <w:sz w:val="20"/>
        </w:rPr>
        <w:t>[p]ending and future asbestos litigation and payments to settle asbestos-related claims could reduce Crowns cash flow and negatively impact its financial condition</w:t>
      </w:r>
      <w:r>
        <w:rPr>
          <w:rFonts w:ascii="Times New Roman" w:hAnsi="Times New Roman"/>
          <w:sz w:val="20"/>
        </w:rPr>
        <w:t xml:space="preserve"> contained in Crowns Annual Report on Form 10-K filed with the Securities and Exchange Commission. Crown is currently unable to determine the total expense or possible loss, if any, that may ultimately be incurred in the resolution of such legal proceedings. Regardless of the ultimate outcome of such legal proceedings, they could result in significant diversion of time by Crowns management. The results of Crowns pending legal proceedings, including any potential settlements, are uncertain and the outcome of these disputes may decrease its cash available for operations and investment, restrict its operations or otherwise negatively impact its business, operating results, financial condition and cash flow. </w:t>
      </w:r>
    </w:p>
    <w:p>
      <w:pPr>
        <w:pStyle w:val="TextBody"/>
        <w:bidi w:val="0"/>
        <w:spacing w:before="240" w:after="0"/>
        <w:jc w:val="left"/>
        <w:rPr>
          <w:rFonts w:ascii="Times New Roman" w:hAnsi="Times New Roman"/>
          <w:sz w:val="20"/>
        </w:rPr>
      </w:pPr>
      <w:r>
        <w:rPr>
          <w:rFonts w:ascii="Times New Roman" w:hAnsi="Times New Roman"/>
          <w:sz w:val="20"/>
        </w:rPr>
        <w:t>In March 2015, the Bundeskartellamt, or German Federal Cartel Office (</w:t>
      </w:r>
      <w:r>
        <w:rPr>
          <w:rFonts w:ascii="Times New Roman" w:hAnsi="Times New Roman"/>
          <w:sz w:val="20"/>
          <w:u w:val="single"/>
        </w:rPr>
        <w:t>FCO</w:t>
      </w:r>
      <w:r>
        <w:rPr>
          <w:rFonts w:ascii="Times New Roman" w:hAnsi="Times New Roman"/>
          <w:sz w:val="20"/>
        </w:rPr>
        <w:t>), conducted unannounced inspections of the premises of several metal packaging manufacturers, including a German subsidiary of Crown. The local court order authorizing the inspection cited FCO suspicions of anti-competitive agreements in the German market for the supply of metal packaging products. Crown conducted an internal investigation into the matter and discovered instances of inappropriate conduct by certain employees of German subsidiaries of Crown. Crown cooperated with the FCO and submitted a leniency application with the FCO which disclosed the findings of its internal investigation to date. In April 2018, the FCO discontinued its national investigation and referred the matter to the European Commission (the </w:t>
      </w:r>
      <w:r>
        <w:rPr>
          <w:rFonts w:ascii="Times New Roman" w:hAnsi="Times New Roman"/>
          <w:sz w:val="20"/>
          <w:u w:val="single"/>
        </w:rPr>
        <w:t>Commission</w:t>
      </w:r>
      <w:r>
        <w:rPr>
          <w:rFonts w:ascii="Times New Roman" w:hAnsi="Times New Roman"/>
          <w:sz w:val="20"/>
        </w:rPr>
        <w:t xml:space="preserve">). Following the referral, Commission officials conducted unannounced inspections of the premises of several metal packaging manufacturers, including Crowns subsidiaries in Germany, France and the U.K. Crown cooperated with the Commission and submitted a leniency application with the Commission with respect to the findings of its internal investigation in Germany. In July 2022, Crown reached a settlement with the Commission relating to the Commissions investigation, pursuant to which Crown agreed to pay a fine in the amount of 8 million. Fining decisions based on settlements can be appealed under EU law. Crown is seeking annulment of the Commissions fining decision on the basis that the referral of the case from the FCO to the Commission was unjustified. There can be no assurance regarding the outcome of such appeal.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On October 7, 2021, the French Autorité de la concurrence (the French Competition Authority or </w:t>
      </w:r>
      <w:r>
        <w:rPr>
          <w:rFonts w:ascii="Times New Roman" w:hAnsi="Times New Roman"/>
          <w:sz w:val="20"/>
          <w:u w:val="single"/>
        </w:rPr>
        <w:t>FCA</w:t>
      </w:r>
      <w:r>
        <w:rPr>
          <w:rFonts w:ascii="Times New Roman" w:hAnsi="Times New Roman"/>
          <w:sz w:val="20"/>
        </w:rPr>
        <w:t xml:space="preserve">) issued a statement of objections to 14 trade associations, one public entity and 101 legal entities from 28 corporate groups, including Crown, certain of its subsidiaries, other leading metal can manufacturers, certain can fillers and certain retailers in France. The FCA alleged violations of Articles 101 of the Treaty on the Functioning of the European Union and L.420-1 of the French Commercial Code. The statement of objections alleges, among other things, anti-competitive behavior in connection with the removal of bisphenol-A from metal packaging in France. The removal of bisphenol-A was mandated by French legislation that went into effect in 2015. If the FCA finds that Crown or its subsidiaries violated competition law, the FCA may levy fines. Proceedings with respect to this matter are ongoing and the first instance decision is likely to be made before the end of 2023. Crown is unable to predict the ultimate outcome including the amount of fines, if any, that may be levied by the FCA. Crown intends to vigorously defend against the allegations in the statement of objections. </w:t>
      </w:r>
    </w:p>
    <w:p>
      <w:pPr>
        <w:pStyle w:val="TextBody"/>
        <w:bidi w:val="0"/>
        <w:spacing w:before="480" w:after="0"/>
        <w:jc w:val="center"/>
        <w:rPr>
          <w:rFonts w:ascii="Times New Roman" w:hAnsi="Times New Roman"/>
          <w:b/>
          <w:sz w:val="20"/>
        </w:rPr>
      </w:pPr>
      <w:r>
        <w:rPr>
          <w:rFonts w:ascii="Times New Roman" w:hAnsi="Times New Roman"/>
          <w:b/>
          <w:sz w:val="20"/>
        </w:rPr>
        <w:t xml:space="preserve">CAPITALIZATION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sets forth the consolidated cash and cash equivalents and capitalization of Crown as of September 30, 2023 on an actual basis and on an adjusted basis to give effect to the new senior notes offering. Unless otherwise noted, all financial data presented herein is stated in U.S. dollars and in millions. </w:t>
      </w:r>
    </w:p>
    <w:p>
      <w:pPr>
        <w:pStyle w:val="TextBody"/>
        <w:bidi w:val="0"/>
        <w:spacing w:before="240" w:after="0"/>
        <w:jc w:val="left"/>
        <w:rPr>
          <w:rFonts w:ascii="Times New Roman" w:hAnsi="Times New Roman"/>
          <w:sz w:val="20"/>
        </w:rPr>
      </w:pPr>
      <w:r>
        <w:rPr>
          <w:rFonts w:ascii="Times New Roman" w:hAnsi="Times New Roman"/>
          <w:sz w:val="20"/>
        </w:rPr>
        <w:t xml:space="preserve">You should read this table in conjunction with Crowns consolidated financial statements and the related notes.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4810"/>
        <w:gridCol w:w="292"/>
        <w:gridCol w:w="140"/>
        <w:gridCol w:w="831"/>
        <w:gridCol w:w="354"/>
        <w:gridCol w:w="198"/>
        <w:gridCol w:w="140"/>
        <w:gridCol w:w="831"/>
        <w:gridCol w:w="159"/>
      </w:tblGrid>
      <w:tr>
        <w:trPr/>
        <w:tc>
          <w:tcPr>
            <w:tcW w:w="4810" w:type="dxa"/>
            <w:tcBorders/>
            <w:vAlign w:val="center"/>
          </w:tcPr>
          <w:p>
            <w:pPr>
              <w:pStyle w:val="TableContents"/>
              <w:bidi w:val="0"/>
              <w:spacing w:before="0" w:after="283"/>
              <w:jc w:val="left"/>
              <w:rPr>
                <w:sz w:val="4"/>
                <w:szCs w:val="4"/>
              </w:rPr>
            </w:pPr>
            <w:r>
              <w:rPr>
                <w:sz w:val="4"/>
                <w:szCs w:val="4"/>
              </w:rPr>
            </w:r>
          </w:p>
        </w:tc>
        <w:tc>
          <w:tcPr>
            <w:tcW w:w="292"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198"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810" w:type="dxa"/>
            <w:tcBorders/>
            <w:vAlign w:val="bottom"/>
          </w:tcPr>
          <w:p>
            <w:pPr>
              <w:pStyle w:val="TableContents"/>
              <w:bidi w:val="0"/>
              <w:spacing w:before="0" w:after="283"/>
              <w:jc w:val="left"/>
              <w:rPr/>
            </w:pPr>
            <w:r>
              <w:rPr/>
              <w:t> </w:t>
            </w:r>
          </w:p>
        </w:tc>
        <w:tc>
          <w:tcPr>
            <w:tcW w:w="292" w:type="dxa"/>
            <w:tcBorders/>
            <w:vAlign w:val="bottom"/>
          </w:tcPr>
          <w:p>
            <w:pPr>
              <w:pStyle w:val="TableContents"/>
              <w:bidi w:val="0"/>
              <w:spacing w:before="0" w:after="283"/>
              <w:jc w:val="left"/>
              <w:rPr/>
            </w:pPr>
            <w:r>
              <w:rPr/>
              <w:t>  </w:t>
            </w:r>
          </w:p>
        </w:tc>
        <w:tc>
          <w:tcPr>
            <w:tcW w:w="2494" w:type="dxa"/>
            <w:gridSpan w:val="6"/>
            <w:tcBorders>
              <w:bottom w:val="single" w:sz="8" w:space="0" w:color="000000"/>
            </w:tcBorders>
            <w:tcMar>
              <w:bottom w:w="28" w:type="dxa"/>
            </w:tcMar>
            <w:vAlign w:val="bottom"/>
          </w:tcPr>
          <w:p>
            <w:pPr>
              <w:pStyle w:val="TableContents"/>
              <w:bidi w:val="0"/>
              <w:spacing w:before="0" w:after="283"/>
              <w:jc w:val="center"/>
              <w:rPr/>
            </w:pPr>
            <w:r>
              <w:rPr/>
              <w:t>September 30, 2023</w:t>
            </w:r>
          </w:p>
        </w:tc>
        <w:tc>
          <w:tcPr>
            <w:tcW w:w="159" w:type="dxa"/>
            <w:tcBorders/>
            <w:vAlign w:val="bottom"/>
          </w:tcPr>
          <w:p>
            <w:pPr>
              <w:pStyle w:val="TableContents"/>
              <w:bidi w:val="0"/>
              <w:spacing w:before="0" w:after="283"/>
              <w:jc w:val="left"/>
              <w:rPr/>
            </w:pPr>
            <w:r>
              <w:rPr/>
              <w:t> </w:t>
            </w:r>
          </w:p>
        </w:tc>
      </w:tr>
      <w:tr>
        <w:trPr/>
        <w:tc>
          <w:tcPr>
            <w:tcW w:w="4810" w:type="dxa"/>
            <w:tcBorders/>
            <w:vAlign w:val="bottom"/>
          </w:tcPr>
          <w:p>
            <w:pPr>
              <w:pStyle w:val="TableContents"/>
              <w:bidi w:val="0"/>
              <w:spacing w:before="0" w:after="283"/>
              <w:jc w:val="left"/>
              <w:rPr/>
            </w:pPr>
            <w:r>
              <w:rPr/>
              <w:t> </w:t>
            </w:r>
          </w:p>
        </w:tc>
        <w:tc>
          <w:tcPr>
            <w:tcW w:w="292" w:type="dxa"/>
            <w:tcBorders/>
            <w:vAlign w:val="bottom"/>
          </w:tcPr>
          <w:p>
            <w:pPr>
              <w:pStyle w:val="TableContents"/>
              <w:bidi w:val="0"/>
              <w:spacing w:before="0" w:after="283"/>
              <w:jc w:val="left"/>
              <w:rPr/>
            </w:pPr>
            <w:r>
              <w:rPr/>
              <w:t>  </w:t>
            </w:r>
          </w:p>
        </w:tc>
        <w:tc>
          <w:tcPr>
            <w:tcW w:w="971" w:type="dxa"/>
            <w:gridSpan w:val="2"/>
            <w:tcBorders>
              <w:bottom w:val="single" w:sz="8" w:space="0" w:color="000000"/>
            </w:tcBorders>
            <w:tcMar>
              <w:bottom w:w="28" w:type="dxa"/>
            </w:tcMar>
            <w:vAlign w:val="bottom"/>
          </w:tcPr>
          <w:p>
            <w:pPr>
              <w:pStyle w:val="TableContents"/>
              <w:bidi w:val="0"/>
              <w:spacing w:before="0" w:after="283"/>
              <w:jc w:val="center"/>
              <w:rPr/>
            </w:pPr>
            <w:r>
              <w:rPr/>
              <w:t>Actual</w:t>
            </w:r>
          </w:p>
        </w:tc>
        <w:tc>
          <w:tcPr>
            <w:tcW w:w="354" w:type="dxa"/>
            <w:tcBorders/>
            <w:vAlign w:val="bottom"/>
          </w:tcPr>
          <w:p>
            <w:pPr>
              <w:pStyle w:val="TableContents"/>
              <w:bidi w:val="0"/>
              <w:spacing w:before="0" w:after="283"/>
              <w:jc w:val="left"/>
              <w:rPr/>
            </w:pPr>
            <w:r>
              <w:rPr/>
              <w:t> </w:t>
            </w:r>
          </w:p>
        </w:tc>
        <w:tc>
          <w:tcPr>
            <w:tcW w:w="198" w:type="dxa"/>
            <w:tcBorders/>
            <w:vAlign w:val="bottom"/>
          </w:tcPr>
          <w:p>
            <w:pPr>
              <w:pStyle w:val="TableContents"/>
              <w:bidi w:val="0"/>
              <w:spacing w:before="0" w:after="283"/>
              <w:jc w:val="left"/>
              <w:rPr/>
            </w:pPr>
            <w:r>
              <w:rPr/>
              <w:t> </w:t>
            </w:r>
          </w:p>
        </w:tc>
        <w:tc>
          <w:tcPr>
            <w:tcW w:w="971" w:type="dxa"/>
            <w:gridSpan w:val="2"/>
            <w:tcBorders>
              <w:bottom w:val="single" w:sz="8" w:space="0" w:color="000000"/>
            </w:tcBorders>
            <w:tcMar>
              <w:bottom w:w="28" w:type="dxa"/>
            </w:tcMar>
            <w:vAlign w:val="bottom"/>
          </w:tcPr>
          <w:p>
            <w:pPr>
              <w:pStyle w:val="TableContents"/>
              <w:bidi w:val="0"/>
              <w:spacing w:before="0" w:after="283"/>
              <w:jc w:val="center"/>
              <w:rPr/>
            </w:pPr>
            <w:r>
              <w:rPr/>
              <w:t>Adjusted</w:t>
            </w:r>
          </w:p>
        </w:tc>
        <w:tc>
          <w:tcPr>
            <w:tcW w:w="159" w:type="dxa"/>
            <w:tcBorders/>
            <w:vAlign w:val="bottom"/>
          </w:tcPr>
          <w:p>
            <w:pPr>
              <w:pStyle w:val="TableContents"/>
              <w:bidi w:val="0"/>
              <w:spacing w:before="0" w:after="283"/>
              <w:jc w:val="left"/>
              <w:rPr/>
            </w:pPr>
            <w:r>
              <w:rPr/>
              <w:t> </w:t>
            </w:r>
          </w:p>
        </w:tc>
      </w:tr>
      <w:tr>
        <w:trPr/>
        <w:tc>
          <w:tcPr>
            <w:tcW w:w="4810" w:type="dxa"/>
            <w:tcBorders/>
            <w:shd w:fill="CCEEFF" w:val="clear"/>
          </w:tcPr>
          <w:p>
            <w:pPr>
              <w:pStyle w:val="TableContents"/>
              <w:bidi w:val="0"/>
              <w:spacing w:before="0" w:after="0"/>
              <w:jc w:val="left"/>
              <w:rPr>
                <w:rFonts w:ascii="Times New Roman" w:hAnsi="Times New Roman"/>
                <w:sz w:val="20"/>
                <w:u w:val="single"/>
              </w:rPr>
            </w:pPr>
            <w:r>
              <w:rPr>
                <w:rFonts w:ascii="Times New Roman" w:hAnsi="Times New Roman"/>
                <w:sz w:val="20"/>
                <w:u w:val="single"/>
              </w:rPr>
              <w:t>Cash and cash equivalents</w:t>
            </w:r>
          </w:p>
        </w:tc>
        <w:tc>
          <w:tcPr>
            <w:tcW w:w="29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31" w:type="dxa"/>
            <w:tcBorders/>
            <w:shd w:fill="CCEEFF" w:val="clear"/>
            <w:vAlign w:val="bottom"/>
          </w:tcPr>
          <w:p>
            <w:pPr>
              <w:pStyle w:val="TableContents"/>
              <w:bidi w:val="0"/>
              <w:spacing w:before="0" w:after="283"/>
              <w:jc w:val="right"/>
              <w:rPr/>
            </w:pPr>
            <w:r>
              <w:rPr/>
              <w:t>807</w:t>
            </w:r>
          </w:p>
        </w:tc>
        <w:tc>
          <w:tcPr>
            <w:tcW w:w="354" w:type="dxa"/>
            <w:tcBorders/>
            <w:shd w:fill="CCEEFF" w:val="clear"/>
            <w:vAlign w:val="bottom"/>
          </w:tcPr>
          <w:p>
            <w:pPr>
              <w:pStyle w:val="TableContents"/>
              <w:bidi w:val="0"/>
              <w:spacing w:before="0" w:after="283"/>
              <w:jc w:val="left"/>
              <w:rPr/>
            </w:pPr>
            <w:r>
              <w:rPr/>
              <w:t> </w:t>
            </w:r>
          </w:p>
        </w:tc>
        <w:tc>
          <w:tcPr>
            <w:tcW w:w="19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31" w:type="dxa"/>
            <w:tcBorders/>
            <w:shd w:fill="CCEEFF" w:val="clear"/>
            <w:vAlign w:val="bottom"/>
          </w:tcPr>
          <w:p>
            <w:pPr>
              <w:pStyle w:val="TableContents"/>
              <w:bidi w:val="0"/>
              <w:spacing w:before="0" w:after="283"/>
              <w:jc w:val="right"/>
              <w:rPr/>
            </w:pPr>
            <w:r>
              <w:rPr/>
              <w:t>1,047</w:t>
            </w:r>
          </w:p>
        </w:tc>
        <w:tc>
          <w:tcPr>
            <w:tcW w:w="159" w:type="dxa"/>
            <w:tcBorders/>
            <w:shd w:fill="CCEEFF" w:val="clear"/>
            <w:vAlign w:val="bottom"/>
          </w:tcPr>
          <w:p>
            <w:pPr>
              <w:pStyle w:val="TableContents"/>
              <w:bidi w:val="0"/>
              <w:spacing w:before="0" w:after="283"/>
              <w:jc w:val="left"/>
              <w:rPr/>
            </w:pPr>
            <w:r>
              <w:rPr/>
              <w:t> </w:t>
            </w:r>
          </w:p>
        </w:tc>
      </w:tr>
      <w:tr>
        <w:trPr/>
        <w:tc>
          <w:tcPr>
            <w:tcW w:w="4810" w:type="dxa"/>
            <w:tcBorders/>
            <w:vAlign w:val="bottom"/>
          </w:tcPr>
          <w:p>
            <w:pPr>
              <w:pStyle w:val="TableContents"/>
              <w:bidi w:val="0"/>
              <w:spacing w:before="0" w:after="283"/>
              <w:jc w:val="left"/>
              <w:rPr>
                <w:sz w:val="4"/>
                <w:szCs w:val="4"/>
              </w:rPr>
            </w:pPr>
            <w:r>
              <w:rPr>
                <w:sz w:val="4"/>
                <w:szCs w:val="4"/>
              </w:rPr>
            </w:r>
          </w:p>
        </w:tc>
        <w:tc>
          <w:tcPr>
            <w:tcW w:w="29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31" w:type="dxa"/>
            <w:tcBorders/>
            <w:vAlign w:val="bottom"/>
          </w:tcPr>
          <w:p>
            <w:pPr>
              <w:pStyle w:val="TableContents"/>
              <w:pBdr>
                <w:top w:val="double" w:sz="6" w:space="1" w:color="000000"/>
              </w:pBdr>
              <w:bidi w:val="0"/>
              <w:spacing w:before="0" w:after="0"/>
              <w:jc w:val="left"/>
              <w:rPr/>
            </w:pPr>
            <w:r>
              <w:rPr/>
              <w:t> </w:t>
            </w:r>
          </w:p>
        </w:tc>
        <w:tc>
          <w:tcPr>
            <w:tcW w:w="354" w:type="dxa"/>
            <w:tcBorders/>
            <w:vAlign w:val="center"/>
          </w:tcPr>
          <w:p>
            <w:pPr>
              <w:pStyle w:val="TableContents"/>
              <w:bidi w:val="0"/>
              <w:spacing w:before="0" w:after="283"/>
              <w:jc w:val="left"/>
              <w:rPr/>
            </w:pPr>
            <w:r>
              <w:rPr/>
              <w:t> </w:t>
            </w:r>
          </w:p>
        </w:tc>
        <w:tc>
          <w:tcPr>
            <w:tcW w:w="19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31"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4810" w:type="dxa"/>
            <w:tcBorders/>
          </w:tcPr>
          <w:p>
            <w:pPr>
              <w:pStyle w:val="TableContents"/>
              <w:bidi w:val="0"/>
              <w:spacing w:before="0" w:after="0"/>
              <w:jc w:val="left"/>
              <w:rPr>
                <w:rFonts w:ascii="Times New Roman" w:hAnsi="Times New Roman"/>
                <w:sz w:val="20"/>
              </w:rPr>
            </w:pPr>
            <w:r>
              <w:rPr>
                <w:rFonts w:ascii="Times New Roman" w:hAnsi="Times New Roman"/>
                <w:sz w:val="20"/>
              </w:rPr>
              <w:t>Short-term debt</w:t>
            </w:r>
          </w:p>
        </w:tc>
        <w:tc>
          <w:tcPr>
            <w:tcW w:w="29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31" w:type="dxa"/>
            <w:tcBorders/>
            <w:vAlign w:val="bottom"/>
          </w:tcPr>
          <w:p>
            <w:pPr>
              <w:pStyle w:val="TableContents"/>
              <w:bidi w:val="0"/>
              <w:spacing w:before="0" w:after="283"/>
              <w:jc w:val="right"/>
              <w:rPr/>
            </w:pPr>
            <w:r>
              <w:rPr/>
              <w:t>51</w:t>
            </w:r>
          </w:p>
        </w:tc>
        <w:tc>
          <w:tcPr>
            <w:tcW w:w="354" w:type="dxa"/>
            <w:tcBorders/>
            <w:vAlign w:val="bottom"/>
          </w:tcPr>
          <w:p>
            <w:pPr>
              <w:pStyle w:val="TableContents"/>
              <w:bidi w:val="0"/>
              <w:spacing w:before="0" w:after="283"/>
              <w:jc w:val="left"/>
              <w:rPr/>
            </w:pPr>
            <w:r>
              <w:rPr/>
              <w:t> </w:t>
            </w:r>
          </w:p>
        </w:tc>
        <w:tc>
          <w:tcPr>
            <w:tcW w:w="19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31" w:type="dxa"/>
            <w:tcBorders/>
            <w:vAlign w:val="bottom"/>
          </w:tcPr>
          <w:p>
            <w:pPr>
              <w:pStyle w:val="TableContents"/>
              <w:bidi w:val="0"/>
              <w:spacing w:before="0" w:after="283"/>
              <w:jc w:val="right"/>
              <w:rPr/>
            </w:pPr>
            <w:r>
              <w:rPr/>
              <w:t>51</w:t>
            </w:r>
          </w:p>
        </w:tc>
        <w:tc>
          <w:tcPr>
            <w:tcW w:w="159" w:type="dxa"/>
            <w:tcBorders/>
            <w:vAlign w:val="bottom"/>
          </w:tcPr>
          <w:p>
            <w:pPr>
              <w:pStyle w:val="TableContents"/>
              <w:bidi w:val="0"/>
              <w:spacing w:before="0" w:after="283"/>
              <w:jc w:val="left"/>
              <w:rPr/>
            </w:pPr>
            <w:r>
              <w:rPr/>
              <w:t> </w:t>
            </w:r>
          </w:p>
        </w:tc>
      </w:tr>
      <w:tr>
        <w:trPr/>
        <w:tc>
          <w:tcPr>
            <w:tcW w:w="4810" w:type="dxa"/>
            <w:tcBorders/>
            <w:shd w:fill="CCEEFF" w:val="clear"/>
          </w:tcPr>
          <w:p>
            <w:pPr>
              <w:pStyle w:val="TableContents"/>
              <w:bidi w:val="0"/>
              <w:spacing w:before="0" w:after="0"/>
              <w:jc w:val="left"/>
              <w:rPr>
                <w:rFonts w:ascii="Times New Roman" w:hAnsi="Times New Roman"/>
                <w:sz w:val="20"/>
                <w:u w:val="single"/>
              </w:rPr>
            </w:pPr>
            <w:r>
              <w:rPr>
                <w:rFonts w:ascii="Times New Roman" w:hAnsi="Times New Roman"/>
                <w:sz w:val="20"/>
                <w:u w:val="single"/>
              </w:rPr>
              <w:t>Long-term debt</w:t>
            </w:r>
          </w:p>
        </w:tc>
        <w:tc>
          <w:tcPr>
            <w:tcW w:w="29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31" w:type="dxa"/>
            <w:tcBorders/>
            <w:shd w:fill="CCEEFF" w:val="clear"/>
            <w:vAlign w:val="bottom"/>
          </w:tcPr>
          <w:p>
            <w:pPr>
              <w:pStyle w:val="TableContents"/>
              <w:bidi w:val="0"/>
              <w:spacing w:before="0" w:after="283"/>
              <w:jc w:val="left"/>
              <w:rPr>
                <w:sz w:val="4"/>
                <w:szCs w:val="4"/>
              </w:rPr>
            </w:pPr>
            <w:r>
              <w:rPr>
                <w:sz w:val="4"/>
                <w:szCs w:val="4"/>
              </w:rPr>
            </w:r>
          </w:p>
        </w:tc>
        <w:tc>
          <w:tcPr>
            <w:tcW w:w="354" w:type="dxa"/>
            <w:tcBorders/>
            <w:shd w:fill="CCEEFF" w:val="clear"/>
            <w:vAlign w:val="bottom"/>
          </w:tcPr>
          <w:p>
            <w:pPr>
              <w:pStyle w:val="TableContents"/>
              <w:bidi w:val="0"/>
              <w:spacing w:before="0" w:after="283"/>
              <w:jc w:val="left"/>
              <w:rPr>
                <w:sz w:val="4"/>
                <w:szCs w:val="4"/>
              </w:rPr>
            </w:pPr>
            <w:r>
              <w:rPr>
                <w:sz w:val="4"/>
                <w:szCs w:val="4"/>
              </w:rPr>
            </w:r>
          </w:p>
        </w:tc>
        <w:tc>
          <w:tcPr>
            <w:tcW w:w="19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31"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r>
      <w:tr>
        <w:trPr/>
        <w:tc>
          <w:tcPr>
            <w:tcW w:w="4810" w:type="dxa"/>
            <w:tcBorders/>
          </w:tcPr>
          <w:p>
            <w:pPr>
              <w:pStyle w:val="TableContents"/>
              <w:bidi w:val="0"/>
              <w:spacing w:before="0" w:after="0"/>
              <w:jc w:val="left"/>
              <w:rPr>
                <w:rFonts w:ascii="Times New Roman" w:hAnsi="Times New Roman"/>
                <w:sz w:val="20"/>
              </w:rPr>
            </w:pPr>
            <w:r>
              <w:rPr>
                <w:rFonts w:ascii="Times New Roman" w:hAnsi="Times New Roman"/>
                <w:sz w:val="20"/>
              </w:rPr>
              <w:t>Senior secured borrowings:</w:t>
            </w:r>
          </w:p>
        </w:tc>
        <w:tc>
          <w:tcPr>
            <w:tcW w:w="29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31" w:type="dxa"/>
            <w:tcBorders/>
            <w:vAlign w:val="bottom"/>
          </w:tcPr>
          <w:p>
            <w:pPr>
              <w:pStyle w:val="TableContents"/>
              <w:bidi w:val="0"/>
              <w:spacing w:before="0" w:after="283"/>
              <w:jc w:val="left"/>
              <w:rPr>
                <w:sz w:val="4"/>
                <w:szCs w:val="4"/>
              </w:rPr>
            </w:pPr>
            <w:r>
              <w:rPr>
                <w:sz w:val="4"/>
                <w:szCs w:val="4"/>
              </w:rPr>
            </w:r>
          </w:p>
        </w:tc>
        <w:tc>
          <w:tcPr>
            <w:tcW w:w="354" w:type="dxa"/>
            <w:tcBorders/>
            <w:vAlign w:val="bottom"/>
          </w:tcPr>
          <w:p>
            <w:pPr>
              <w:pStyle w:val="TableContents"/>
              <w:bidi w:val="0"/>
              <w:spacing w:before="0" w:after="283"/>
              <w:jc w:val="left"/>
              <w:rPr>
                <w:sz w:val="4"/>
                <w:szCs w:val="4"/>
              </w:rPr>
            </w:pPr>
            <w:r>
              <w:rPr>
                <w:sz w:val="4"/>
                <w:szCs w:val="4"/>
              </w:rPr>
            </w:r>
          </w:p>
        </w:tc>
        <w:tc>
          <w:tcPr>
            <w:tcW w:w="19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31" w:type="dxa"/>
            <w:tcBorders/>
            <w:vAlign w:val="bottom"/>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sz w:val="4"/>
                <w:szCs w:val="4"/>
              </w:rPr>
            </w:pPr>
            <w:r>
              <w:rPr>
                <w:sz w:val="4"/>
                <w:szCs w:val="4"/>
              </w:rPr>
            </w:r>
          </w:p>
        </w:tc>
      </w:tr>
      <w:tr>
        <w:trPr/>
        <w:tc>
          <w:tcPr>
            <w:tcW w:w="481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Revolving credit facilities</w:t>
            </w:r>
          </w:p>
        </w:tc>
        <w:tc>
          <w:tcPr>
            <w:tcW w:w="29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31" w:type="dxa"/>
            <w:tcBorders/>
            <w:shd w:fill="CCEEFF" w:val="clear"/>
            <w:vAlign w:val="bottom"/>
          </w:tcPr>
          <w:p>
            <w:pPr>
              <w:pStyle w:val="TableContents"/>
              <w:bidi w:val="0"/>
              <w:spacing w:before="0" w:after="283"/>
              <w:jc w:val="right"/>
              <w:rPr/>
            </w:pPr>
            <w:r>
              <w:rPr/>
              <w:t>  </w:t>
            </w:r>
          </w:p>
        </w:tc>
        <w:tc>
          <w:tcPr>
            <w:tcW w:w="354" w:type="dxa"/>
            <w:tcBorders/>
            <w:shd w:fill="CCEEFF" w:val="clear"/>
            <w:vAlign w:val="bottom"/>
          </w:tcPr>
          <w:p>
            <w:pPr>
              <w:pStyle w:val="TableContents"/>
              <w:bidi w:val="0"/>
              <w:spacing w:before="0" w:after="283"/>
              <w:jc w:val="left"/>
              <w:rPr/>
            </w:pPr>
            <w:r>
              <w:rPr/>
              <w:t> </w:t>
            </w:r>
          </w:p>
        </w:tc>
        <w:tc>
          <w:tcPr>
            <w:tcW w:w="19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31" w:type="dxa"/>
            <w:tcBorders/>
            <w:shd w:fill="CCEEFF" w:val="clear"/>
            <w:vAlign w:val="bottom"/>
          </w:tcPr>
          <w:p>
            <w:pPr>
              <w:pStyle w:val="TableContents"/>
              <w:bidi w:val="0"/>
              <w:spacing w:before="0" w:after="283"/>
              <w:jc w:val="right"/>
              <w:rPr/>
            </w:pPr>
            <w:r>
              <w:rPr/>
              <w:t>  </w:t>
            </w:r>
          </w:p>
        </w:tc>
        <w:tc>
          <w:tcPr>
            <w:tcW w:w="159" w:type="dxa"/>
            <w:tcBorders/>
            <w:shd w:fill="CCEEFF" w:val="clear"/>
            <w:vAlign w:val="bottom"/>
          </w:tcPr>
          <w:p>
            <w:pPr>
              <w:pStyle w:val="TableContents"/>
              <w:bidi w:val="0"/>
              <w:spacing w:before="0" w:after="283"/>
              <w:jc w:val="left"/>
              <w:rPr/>
            </w:pPr>
            <w:r>
              <w:rPr/>
              <w:t> </w:t>
            </w:r>
          </w:p>
        </w:tc>
      </w:tr>
      <w:tr>
        <w:trPr/>
        <w:tc>
          <w:tcPr>
            <w:tcW w:w="4810" w:type="dxa"/>
            <w:tcBorders/>
          </w:tcPr>
          <w:p>
            <w:pPr>
              <w:pStyle w:val="TableContents"/>
              <w:bidi w:val="0"/>
              <w:spacing w:before="0" w:after="0"/>
              <w:jc w:val="left"/>
              <w:rPr>
                <w:rFonts w:ascii="Times New Roman" w:hAnsi="Times New Roman"/>
                <w:sz w:val="20"/>
              </w:rPr>
            </w:pPr>
            <w:r>
              <w:rPr>
                <w:rFonts w:ascii="Times New Roman" w:hAnsi="Times New Roman"/>
                <w:sz w:val="20"/>
              </w:rPr>
              <w:t>Term loan facilities</w:t>
            </w:r>
          </w:p>
        </w:tc>
        <w:tc>
          <w:tcPr>
            <w:tcW w:w="29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31" w:type="dxa"/>
            <w:tcBorders/>
            <w:vAlign w:val="bottom"/>
          </w:tcPr>
          <w:p>
            <w:pPr>
              <w:pStyle w:val="TableContents"/>
              <w:bidi w:val="0"/>
              <w:spacing w:before="0" w:after="283"/>
              <w:jc w:val="left"/>
              <w:rPr>
                <w:sz w:val="4"/>
                <w:szCs w:val="4"/>
              </w:rPr>
            </w:pPr>
            <w:r>
              <w:rPr>
                <w:sz w:val="4"/>
                <w:szCs w:val="4"/>
              </w:rPr>
            </w:r>
          </w:p>
        </w:tc>
        <w:tc>
          <w:tcPr>
            <w:tcW w:w="354" w:type="dxa"/>
            <w:tcBorders/>
            <w:vAlign w:val="bottom"/>
          </w:tcPr>
          <w:p>
            <w:pPr>
              <w:pStyle w:val="TableContents"/>
              <w:bidi w:val="0"/>
              <w:spacing w:before="0" w:after="283"/>
              <w:jc w:val="left"/>
              <w:rPr>
                <w:sz w:val="4"/>
                <w:szCs w:val="4"/>
              </w:rPr>
            </w:pPr>
            <w:r>
              <w:rPr>
                <w:sz w:val="4"/>
                <w:szCs w:val="4"/>
              </w:rPr>
            </w:r>
          </w:p>
        </w:tc>
        <w:tc>
          <w:tcPr>
            <w:tcW w:w="19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31" w:type="dxa"/>
            <w:tcBorders/>
            <w:vAlign w:val="bottom"/>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sz w:val="4"/>
                <w:szCs w:val="4"/>
              </w:rPr>
            </w:pPr>
            <w:r>
              <w:rPr>
                <w:sz w:val="4"/>
                <w:szCs w:val="4"/>
              </w:rPr>
            </w:r>
          </w:p>
        </w:tc>
      </w:tr>
      <w:tr>
        <w:trPr/>
        <w:tc>
          <w:tcPr>
            <w:tcW w:w="481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U.S. dollar due 2027</w:t>
            </w:r>
          </w:p>
        </w:tc>
        <w:tc>
          <w:tcPr>
            <w:tcW w:w="29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31" w:type="dxa"/>
            <w:tcBorders/>
            <w:shd w:fill="CCEEFF" w:val="clear"/>
            <w:vAlign w:val="bottom"/>
          </w:tcPr>
          <w:p>
            <w:pPr>
              <w:pStyle w:val="TableContents"/>
              <w:bidi w:val="0"/>
              <w:spacing w:before="0" w:after="283"/>
              <w:jc w:val="right"/>
              <w:rPr/>
            </w:pPr>
            <w:r>
              <w:rPr/>
              <w:t>1,789</w:t>
            </w:r>
          </w:p>
        </w:tc>
        <w:tc>
          <w:tcPr>
            <w:tcW w:w="354" w:type="dxa"/>
            <w:tcBorders/>
            <w:shd w:fill="CCEEFF" w:val="clear"/>
            <w:vAlign w:val="bottom"/>
          </w:tcPr>
          <w:p>
            <w:pPr>
              <w:pStyle w:val="TableContents"/>
              <w:bidi w:val="0"/>
              <w:spacing w:before="0" w:after="283"/>
              <w:jc w:val="left"/>
              <w:rPr/>
            </w:pPr>
            <w:r>
              <w:rPr/>
              <w:t> </w:t>
            </w:r>
          </w:p>
        </w:tc>
        <w:tc>
          <w:tcPr>
            <w:tcW w:w="19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31" w:type="dxa"/>
            <w:tcBorders/>
            <w:shd w:fill="CCEEFF" w:val="clear"/>
            <w:vAlign w:val="bottom"/>
          </w:tcPr>
          <w:p>
            <w:pPr>
              <w:pStyle w:val="TableContents"/>
              <w:bidi w:val="0"/>
              <w:spacing w:before="0" w:after="283"/>
              <w:jc w:val="right"/>
              <w:rPr/>
            </w:pPr>
            <w:r>
              <w:rPr/>
              <w:t>1,654</w:t>
            </w:r>
          </w:p>
        </w:tc>
        <w:tc>
          <w:tcPr>
            <w:tcW w:w="159" w:type="dxa"/>
            <w:tcBorders/>
            <w:shd w:fill="CCEEFF" w:val="clear"/>
            <w:vAlign w:val="bottom"/>
          </w:tcPr>
          <w:p>
            <w:pPr>
              <w:pStyle w:val="TableContents"/>
              <w:bidi w:val="0"/>
              <w:spacing w:before="0" w:after="283"/>
              <w:jc w:val="left"/>
              <w:rPr/>
            </w:pPr>
            <w:r>
              <w:rPr/>
              <w:t> </w:t>
            </w:r>
          </w:p>
        </w:tc>
      </w:tr>
      <w:tr>
        <w:trPr>
          <w:trHeight w:val="120" w:hRule="atLeast"/>
        </w:trPr>
        <w:tc>
          <w:tcPr>
            <w:tcW w:w="4810" w:type="dxa"/>
            <w:tcBorders/>
            <w:vAlign w:val="center"/>
          </w:tcPr>
          <w:p>
            <w:pPr>
              <w:pStyle w:val="TableContents"/>
              <w:bidi w:val="0"/>
              <w:spacing w:before="0" w:after="283"/>
              <w:jc w:val="left"/>
              <w:rPr>
                <w:sz w:val="4"/>
                <w:szCs w:val="4"/>
              </w:rPr>
            </w:pPr>
            <w:r>
              <w:rPr>
                <w:sz w:val="4"/>
                <w:szCs w:val="4"/>
              </w:rPr>
            </w:r>
          </w:p>
        </w:tc>
        <w:tc>
          <w:tcPr>
            <w:tcW w:w="1617" w:type="dxa"/>
            <w:gridSpan w:val="4"/>
            <w:tcBorders/>
            <w:vAlign w:val="center"/>
          </w:tcPr>
          <w:p>
            <w:pPr>
              <w:pStyle w:val="TableContents"/>
              <w:bidi w:val="0"/>
              <w:spacing w:before="0" w:after="283"/>
              <w:jc w:val="left"/>
              <w:rPr>
                <w:sz w:val="4"/>
                <w:szCs w:val="4"/>
              </w:rPr>
            </w:pPr>
            <w:r>
              <w:rPr>
                <w:sz w:val="4"/>
                <w:szCs w:val="4"/>
              </w:rPr>
            </w:r>
          </w:p>
        </w:tc>
        <w:tc>
          <w:tcPr>
            <w:tcW w:w="1328" w:type="dxa"/>
            <w:gridSpan w:val="4"/>
            <w:tcBorders/>
            <w:vAlign w:val="center"/>
          </w:tcPr>
          <w:p>
            <w:pPr>
              <w:pStyle w:val="TableContents"/>
              <w:bidi w:val="0"/>
              <w:spacing w:before="0" w:after="283"/>
              <w:jc w:val="left"/>
              <w:rPr>
                <w:sz w:val="4"/>
                <w:szCs w:val="4"/>
              </w:rPr>
            </w:pPr>
            <w:r>
              <w:rPr>
                <w:sz w:val="4"/>
                <w:szCs w:val="4"/>
              </w:rPr>
            </w:r>
          </w:p>
        </w:tc>
      </w:tr>
      <w:tr>
        <w:trPr/>
        <w:tc>
          <w:tcPr>
            <w:tcW w:w="4810" w:type="dxa"/>
            <w:tcBorders/>
          </w:tcPr>
          <w:p>
            <w:pPr>
              <w:pStyle w:val="TableContents"/>
              <w:bidi w:val="0"/>
              <w:spacing w:before="0" w:after="0"/>
              <w:jc w:val="left"/>
              <w:rPr>
                <w:rFonts w:ascii="Times New Roman" w:hAnsi="Times New Roman"/>
                <w:sz w:val="20"/>
              </w:rPr>
            </w:pPr>
            <w:r>
              <w:rPr>
                <w:rFonts w:ascii="Times New Roman" w:hAnsi="Times New Roman"/>
                <w:sz w:val="20"/>
              </w:rPr>
              <w:t>Euro due 2027</w:t>
            </w:r>
          </w:p>
        </w:tc>
        <w:tc>
          <w:tcPr>
            <w:tcW w:w="29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31" w:type="dxa"/>
            <w:tcBorders/>
            <w:vAlign w:val="bottom"/>
          </w:tcPr>
          <w:p>
            <w:pPr>
              <w:pStyle w:val="TableContents"/>
              <w:bidi w:val="0"/>
              <w:spacing w:before="0" w:after="283"/>
              <w:jc w:val="right"/>
              <w:rPr/>
            </w:pPr>
            <w:r>
              <w:rPr/>
              <w:t>567</w:t>
            </w:r>
          </w:p>
        </w:tc>
        <w:tc>
          <w:tcPr>
            <w:tcW w:w="354" w:type="dxa"/>
            <w:tcBorders/>
            <w:vAlign w:val="bottom"/>
          </w:tcPr>
          <w:p>
            <w:pPr>
              <w:pStyle w:val="TableContents"/>
              <w:bidi w:val="0"/>
              <w:spacing w:before="0" w:after="283"/>
              <w:jc w:val="left"/>
              <w:rPr/>
            </w:pPr>
            <w:r>
              <w:rPr/>
              <w:t>(1) </w:t>
            </w:r>
          </w:p>
        </w:tc>
        <w:tc>
          <w:tcPr>
            <w:tcW w:w="19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31" w:type="dxa"/>
            <w:tcBorders/>
            <w:vAlign w:val="bottom"/>
          </w:tcPr>
          <w:p>
            <w:pPr>
              <w:pStyle w:val="TableContents"/>
              <w:bidi w:val="0"/>
              <w:spacing w:before="0" w:after="283"/>
              <w:jc w:val="right"/>
              <w:rPr/>
            </w:pPr>
            <w:r>
              <w:rPr/>
              <w:t>524</w:t>
            </w:r>
          </w:p>
        </w:tc>
        <w:tc>
          <w:tcPr>
            <w:tcW w:w="159" w:type="dxa"/>
            <w:tcBorders/>
            <w:vAlign w:val="bottom"/>
          </w:tcPr>
          <w:p>
            <w:pPr>
              <w:pStyle w:val="TableContents"/>
              <w:bidi w:val="0"/>
              <w:spacing w:before="0" w:after="283"/>
              <w:jc w:val="left"/>
              <w:rPr/>
            </w:pPr>
            <w:r>
              <w:rPr/>
              <w:t> </w:t>
            </w:r>
          </w:p>
        </w:tc>
      </w:tr>
      <w:tr>
        <w:trPr>
          <w:trHeight w:val="120" w:hRule="atLeast"/>
        </w:trPr>
        <w:tc>
          <w:tcPr>
            <w:tcW w:w="4810" w:type="dxa"/>
            <w:tcBorders/>
            <w:vAlign w:val="center"/>
          </w:tcPr>
          <w:p>
            <w:pPr>
              <w:pStyle w:val="TableContents"/>
              <w:bidi w:val="0"/>
              <w:spacing w:before="0" w:after="283"/>
              <w:jc w:val="left"/>
              <w:rPr>
                <w:sz w:val="4"/>
                <w:szCs w:val="4"/>
              </w:rPr>
            </w:pPr>
            <w:r>
              <w:rPr>
                <w:sz w:val="4"/>
                <w:szCs w:val="4"/>
              </w:rPr>
            </w:r>
          </w:p>
        </w:tc>
        <w:tc>
          <w:tcPr>
            <w:tcW w:w="1617" w:type="dxa"/>
            <w:gridSpan w:val="4"/>
            <w:tcBorders/>
            <w:vAlign w:val="center"/>
          </w:tcPr>
          <w:p>
            <w:pPr>
              <w:pStyle w:val="TableContents"/>
              <w:bidi w:val="0"/>
              <w:spacing w:before="0" w:after="283"/>
              <w:jc w:val="left"/>
              <w:rPr>
                <w:sz w:val="4"/>
                <w:szCs w:val="4"/>
              </w:rPr>
            </w:pPr>
            <w:r>
              <w:rPr>
                <w:sz w:val="4"/>
                <w:szCs w:val="4"/>
              </w:rPr>
            </w:r>
          </w:p>
        </w:tc>
        <w:tc>
          <w:tcPr>
            <w:tcW w:w="1328" w:type="dxa"/>
            <w:gridSpan w:val="4"/>
            <w:tcBorders/>
            <w:vAlign w:val="center"/>
          </w:tcPr>
          <w:p>
            <w:pPr>
              <w:pStyle w:val="TableContents"/>
              <w:bidi w:val="0"/>
              <w:spacing w:before="0" w:after="283"/>
              <w:jc w:val="left"/>
              <w:rPr>
                <w:sz w:val="4"/>
                <w:szCs w:val="4"/>
              </w:rPr>
            </w:pPr>
            <w:r>
              <w:rPr>
                <w:sz w:val="4"/>
                <w:szCs w:val="4"/>
              </w:rPr>
            </w:r>
          </w:p>
        </w:tc>
      </w:tr>
      <w:tr>
        <w:trPr/>
        <w:tc>
          <w:tcPr>
            <w:tcW w:w="481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Senior notes and debentures:</w:t>
            </w:r>
          </w:p>
        </w:tc>
        <w:tc>
          <w:tcPr>
            <w:tcW w:w="29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31" w:type="dxa"/>
            <w:tcBorders/>
            <w:shd w:fill="CCEEFF" w:val="clear"/>
            <w:vAlign w:val="bottom"/>
          </w:tcPr>
          <w:p>
            <w:pPr>
              <w:pStyle w:val="TableContents"/>
              <w:bidi w:val="0"/>
              <w:spacing w:before="0" w:after="283"/>
              <w:jc w:val="left"/>
              <w:rPr>
                <w:sz w:val="4"/>
                <w:szCs w:val="4"/>
              </w:rPr>
            </w:pPr>
            <w:r>
              <w:rPr>
                <w:sz w:val="4"/>
                <w:szCs w:val="4"/>
              </w:rPr>
            </w:r>
          </w:p>
        </w:tc>
        <w:tc>
          <w:tcPr>
            <w:tcW w:w="354" w:type="dxa"/>
            <w:tcBorders/>
            <w:shd w:fill="CCEEFF" w:val="clear"/>
            <w:vAlign w:val="bottom"/>
          </w:tcPr>
          <w:p>
            <w:pPr>
              <w:pStyle w:val="TableContents"/>
              <w:bidi w:val="0"/>
              <w:spacing w:before="0" w:after="283"/>
              <w:jc w:val="left"/>
              <w:rPr>
                <w:sz w:val="4"/>
                <w:szCs w:val="4"/>
              </w:rPr>
            </w:pPr>
            <w:r>
              <w:rPr>
                <w:sz w:val="4"/>
                <w:szCs w:val="4"/>
              </w:rPr>
            </w:r>
          </w:p>
        </w:tc>
        <w:tc>
          <w:tcPr>
            <w:tcW w:w="19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31"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r>
      <w:tr>
        <w:trPr>
          <w:trHeight w:val="120" w:hRule="atLeast"/>
        </w:trPr>
        <w:tc>
          <w:tcPr>
            <w:tcW w:w="4810" w:type="dxa"/>
            <w:tcBorders/>
            <w:vAlign w:val="center"/>
          </w:tcPr>
          <w:p>
            <w:pPr>
              <w:pStyle w:val="TableContents"/>
              <w:bidi w:val="0"/>
              <w:spacing w:before="0" w:after="283"/>
              <w:jc w:val="left"/>
              <w:rPr>
                <w:sz w:val="4"/>
                <w:szCs w:val="4"/>
              </w:rPr>
            </w:pPr>
            <w:r>
              <w:rPr>
                <w:sz w:val="4"/>
                <w:szCs w:val="4"/>
              </w:rPr>
            </w:r>
          </w:p>
        </w:tc>
        <w:tc>
          <w:tcPr>
            <w:tcW w:w="1617" w:type="dxa"/>
            <w:gridSpan w:val="4"/>
            <w:tcBorders/>
            <w:vAlign w:val="center"/>
          </w:tcPr>
          <w:p>
            <w:pPr>
              <w:pStyle w:val="TableContents"/>
              <w:bidi w:val="0"/>
              <w:spacing w:before="0" w:after="283"/>
              <w:jc w:val="left"/>
              <w:rPr>
                <w:sz w:val="4"/>
                <w:szCs w:val="4"/>
              </w:rPr>
            </w:pPr>
            <w:r>
              <w:rPr>
                <w:sz w:val="4"/>
                <w:szCs w:val="4"/>
              </w:rPr>
            </w:r>
          </w:p>
        </w:tc>
        <w:tc>
          <w:tcPr>
            <w:tcW w:w="1328" w:type="dxa"/>
            <w:gridSpan w:val="4"/>
            <w:tcBorders/>
            <w:vAlign w:val="center"/>
          </w:tcPr>
          <w:p>
            <w:pPr>
              <w:pStyle w:val="TableContents"/>
              <w:bidi w:val="0"/>
              <w:spacing w:before="0" w:after="283"/>
              <w:jc w:val="left"/>
              <w:rPr>
                <w:sz w:val="4"/>
                <w:szCs w:val="4"/>
              </w:rPr>
            </w:pPr>
            <w:r>
              <w:rPr>
                <w:sz w:val="4"/>
                <w:szCs w:val="4"/>
              </w:rPr>
            </w:r>
          </w:p>
        </w:tc>
      </w:tr>
      <w:tr>
        <w:trPr/>
        <w:tc>
          <w:tcPr>
            <w:tcW w:w="4810" w:type="dxa"/>
            <w:tcBorders/>
          </w:tcPr>
          <w:p>
            <w:pPr>
              <w:pStyle w:val="TableContents"/>
              <w:bidi w:val="0"/>
              <w:spacing w:before="0" w:after="0"/>
              <w:jc w:val="left"/>
              <w:rPr>
                <w:rFonts w:ascii="Times New Roman" w:hAnsi="Times New Roman"/>
                <w:sz w:val="20"/>
              </w:rPr>
            </w:pPr>
            <w:r>
              <w:rPr>
                <w:rFonts w:ascii="Times New Roman" w:hAnsi="Times New Roman"/>
                <w:sz w:val="20"/>
              </w:rPr>
              <w:t>600 at 2.625% due 2024</w:t>
            </w:r>
          </w:p>
        </w:tc>
        <w:tc>
          <w:tcPr>
            <w:tcW w:w="29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31" w:type="dxa"/>
            <w:tcBorders/>
            <w:vAlign w:val="bottom"/>
          </w:tcPr>
          <w:p>
            <w:pPr>
              <w:pStyle w:val="TableContents"/>
              <w:bidi w:val="0"/>
              <w:spacing w:before="0" w:after="283"/>
              <w:jc w:val="right"/>
              <w:rPr/>
            </w:pPr>
            <w:r>
              <w:rPr/>
              <w:t>634</w:t>
            </w:r>
          </w:p>
        </w:tc>
        <w:tc>
          <w:tcPr>
            <w:tcW w:w="354" w:type="dxa"/>
            <w:tcBorders/>
            <w:vAlign w:val="bottom"/>
          </w:tcPr>
          <w:p>
            <w:pPr>
              <w:pStyle w:val="TableContents"/>
              <w:bidi w:val="0"/>
              <w:spacing w:before="0" w:after="283"/>
              <w:jc w:val="left"/>
              <w:rPr/>
            </w:pPr>
            <w:r>
              <w:rPr/>
              <w:t> </w:t>
            </w:r>
          </w:p>
        </w:tc>
        <w:tc>
          <w:tcPr>
            <w:tcW w:w="19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31" w:type="dxa"/>
            <w:tcBorders/>
            <w:vAlign w:val="bottom"/>
          </w:tcPr>
          <w:p>
            <w:pPr>
              <w:pStyle w:val="TableContents"/>
              <w:bidi w:val="0"/>
              <w:spacing w:before="0" w:after="283"/>
              <w:jc w:val="right"/>
              <w:rPr/>
            </w:pPr>
            <w:r>
              <w:rPr/>
              <w:t>634</w:t>
            </w:r>
          </w:p>
        </w:tc>
        <w:tc>
          <w:tcPr>
            <w:tcW w:w="159" w:type="dxa"/>
            <w:tcBorders/>
            <w:vAlign w:val="bottom"/>
          </w:tcPr>
          <w:p>
            <w:pPr>
              <w:pStyle w:val="TableContents"/>
              <w:bidi w:val="0"/>
              <w:spacing w:before="0" w:after="283"/>
              <w:jc w:val="left"/>
              <w:rPr/>
            </w:pPr>
            <w:r>
              <w:rPr/>
              <w:t> </w:t>
            </w:r>
          </w:p>
        </w:tc>
      </w:tr>
      <w:tr>
        <w:trPr/>
        <w:tc>
          <w:tcPr>
            <w:tcW w:w="481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600 at 3.375% due 2025</w:t>
            </w:r>
          </w:p>
        </w:tc>
        <w:tc>
          <w:tcPr>
            <w:tcW w:w="29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31" w:type="dxa"/>
            <w:tcBorders/>
            <w:shd w:fill="CCEEFF" w:val="clear"/>
            <w:vAlign w:val="bottom"/>
          </w:tcPr>
          <w:p>
            <w:pPr>
              <w:pStyle w:val="TableContents"/>
              <w:bidi w:val="0"/>
              <w:spacing w:before="0" w:after="283"/>
              <w:jc w:val="right"/>
              <w:rPr/>
            </w:pPr>
            <w:r>
              <w:rPr/>
              <w:t>634</w:t>
            </w:r>
          </w:p>
        </w:tc>
        <w:tc>
          <w:tcPr>
            <w:tcW w:w="354" w:type="dxa"/>
            <w:tcBorders/>
            <w:shd w:fill="CCEEFF" w:val="clear"/>
            <w:vAlign w:val="bottom"/>
          </w:tcPr>
          <w:p>
            <w:pPr>
              <w:pStyle w:val="TableContents"/>
              <w:bidi w:val="0"/>
              <w:spacing w:before="0" w:after="283"/>
              <w:jc w:val="left"/>
              <w:rPr/>
            </w:pPr>
            <w:r>
              <w:rPr/>
              <w:t> </w:t>
            </w:r>
          </w:p>
        </w:tc>
        <w:tc>
          <w:tcPr>
            <w:tcW w:w="19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31" w:type="dxa"/>
            <w:tcBorders/>
            <w:shd w:fill="CCEEFF" w:val="clear"/>
            <w:vAlign w:val="bottom"/>
          </w:tcPr>
          <w:p>
            <w:pPr>
              <w:pStyle w:val="TableContents"/>
              <w:bidi w:val="0"/>
              <w:spacing w:before="0" w:after="283"/>
              <w:jc w:val="right"/>
              <w:rPr/>
            </w:pPr>
            <w:r>
              <w:rPr/>
              <w:t>634</w:t>
            </w:r>
          </w:p>
        </w:tc>
        <w:tc>
          <w:tcPr>
            <w:tcW w:w="159" w:type="dxa"/>
            <w:tcBorders/>
            <w:shd w:fill="CCEEFF" w:val="clear"/>
            <w:vAlign w:val="bottom"/>
          </w:tcPr>
          <w:p>
            <w:pPr>
              <w:pStyle w:val="TableContents"/>
              <w:bidi w:val="0"/>
              <w:spacing w:before="0" w:after="283"/>
              <w:jc w:val="left"/>
              <w:rPr/>
            </w:pPr>
            <w:r>
              <w:rPr/>
              <w:t> </w:t>
            </w:r>
          </w:p>
        </w:tc>
      </w:tr>
      <w:tr>
        <w:trPr/>
        <w:tc>
          <w:tcPr>
            <w:tcW w:w="4810" w:type="dxa"/>
            <w:tcBorders/>
          </w:tcPr>
          <w:p>
            <w:pPr>
              <w:pStyle w:val="TableContents"/>
              <w:bidi w:val="0"/>
              <w:spacing w:before="0" w:after="0"/>
              <w:jc w:val="left"/>
              <w:rPr>
                <w:rFonts w:ascii="Times New Roman" w:hAnsi="Times New Roman"/>
                <w:sz w:val="20"/>
              </w:rPr>
            </w:pPr>
            <w:r>
              <w:rPr>
                <w:rFonts w:ascii="Times New Roman" w:hAnsi="Times New Roman"/>
                <w:sz w:val="20"/>
              </w:rPr>
              <w:t>U.S. dollar at 4.25% due 2026</w:t>
            </w:r>
          </w:p>
        </w:tc>
        <w:tc>
          <w:tcPr>
            <w:tcW w:w="29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31" w:type="dxa"/>
            <w:tcBorders/>
            <w:vAlign w:val="bottom"/>
          </w:tcPr>
          <w:p>
            <w:pPr>
              <w:pStyle w:val="TableContents"/>
              <w:bidi w:val="0"/>
              <w:spacing w:before="0" w:after="283"/>
              <w:jc w:val="right"/>
              <w:rPr/>
            </w:pPr>
            <w:r>
              <w:rPr/>
              <w:t>400</w:t>
            </w:r>
          </w:p>
        </w:tc>
        <w:tc>
          <w:tcPr>
            <w:tcW w:w="354" w:type="dxa"/>
            <w:tcBorders/>
            <w:vAlign w:val="bottom"/>
          </w:tcPr>
          <w:p>
            <w:pPr>
              <w:pStyle w:val="TableContents"/>
              <w:bidi w:val="0"/>
              <w:spacing w:before="0" w:after="283"/>
              <w:jc w:val="left"/>
              <w:rPr/>
            </w:pPr>
            <w:r>
              <w:rPr/>
              <w:t> </w:t>
            </w:r>
          </w:p>
        </w:tc>
        <w:tc>
          <w:tcPr>
            <w:tcW w:w="19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31" w:type="dxa"/>
            <w:tcBorders/>
            <w:vAlign w:val="bottom"/>
          </w:tcPr>
          <w:p>
            <w:pPr>
              <w:pStyle w:val="TableContents"/>
              <w:bidi w:val="0"/>
              <w:spacing w:before="0" w:after="283"/>
              <w:jc w:val="right"/>
              <w:rPr/>
            </w:pPr>
            <w:r>
              <w:rPr/>
              <w:t>400</w:t>
            </w:r>
          </w:p>
        </w:tc>
        <w:tc>
          <w:tcPr>
            <w:tcW w:w="159" w:type="dxa"/>
            <w:tcBorders/>
            <w:vAlign w:val="bottom"/>
          </w:tcPr>
          <w:p>
            <w:pPr>
              <w:pStyle w:val="TableContents"/>
              <w:bidi w:val="0"/>
              <w:spacing w:before="0" w:after="283"/>
              <w:jc w:val="left"/>
              <w:rPr/>
            </w:pPr>
            <w:r>
              <w:rPr/>
              <w:t> </w:t>
            </w:r>
          </w:p>
        </w:tc>
      </w:tr>
      <w:tr>
        <w:trPr/>
        <w:tc>
          <w:tcPr>
            <w:tcW w:w="481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U.S. dollar at 4.75% due 2026</w:t>
            </w:r>
          </w:p>
        </w:tc>
        <w:tc>
          <w:tcPr>
            <w:tcW w:w="29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31" w:type="dxa"/>
            <w:tcBorders/>
            <w:shd w:fill="CCEEFF" w:val="clear"/>
            <w:vAlign w:val="bottom"/>
          </w:tcPr>
          <w:p>
            <w:pPr>
              <w:pStyle w:val="TableContents"/>
              <w:bidi w:val="0"/>
              <w:spacing w:before="0" w:after="283"/>
              <w:jc w:val="right"/>
              <w:rPr/>
            </w:pPr>
            <w:r>
              <w:rPr/>
              <w:t>875</w:t>
            </w:r>
          </w:p>
        </w:tc>
        <w:tc>
          <w:tcPr>
            <w:tcW w:w="354" w:type="dxa"/>
            <w:tcBorders/>
            <w:shd w:fill="CCEEFF" w:val="clear"/>
            <w:vAlign w:val="bottom"/>
          </w:tcPr>
          <w:p>
            <w:pPr>
              <w:pStyle w:val="TableContents"/>
              <w:bidi w:val="0"/>
              <w:spacing w:before="0" w:after="283"/>
              <w:jc w:val="left"/>
              <w:rPr/>
            </w:pPr>
            <w:r>
              <w:rPr/>
              <w:t> </w:t>
            </w:r>
          </w:p>
        </w:tc>
        <w:tc>
          <w:tcPr>
            <w:tcW w:w="19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31" w:type="dxa"/>
            <w:tcBorders/>
            <w:shd w:fill="CCEEFF" w:val="clear"/>
            <w:vAlign w:val="bottom"/>
          </w:tcPr>
          <w:p>
            <w:pPr>
              <w:pStyle w:val="TableContents"/>
              <w:bidi w:val="0"/>
              <w:spacing w:before="0" w:after="283"/>
              <w:jc w:val="right"/>
              <w:rPr/>
            </w:pPr>
            <w:r>
              <w:rPr/>
              <w:t>875</w:t>
            </w:r>
          </w:p>
        </w:tc>
        <w:tc>
          <w:tcPr>
            <w:tcW w:w="159" w:type="dxa"/>
            <w:tcBorders/>
            <w:shd w:fill="CCEEFF" w:val="clear"/>
            <w:vAlign w:val="bottom"/>
          </w:tcPr>
          <w:p>
            <w:pPr>
              <w:pStyle w:val="TableContents"/>
              <w:bidi w:val="0"/>
              <w:spacing w:before="0" w:after="283"/>
              <w:jc w:val="left"/>
              <w:rPr/>
            </w:pPr>
            <w:r>
              <w:rPr/>
              <w:t> </w:t>
            </w:r>
          </w:p>
        </w:tc>
      </w:tr>
      <w:tr>
        <w:trPr/>
        <w:tc>
          <w:tcPr>
            <w:tcW w:w="4810" w:type="dxa"/>
            <w:tcBorders/>
          </w:tcPr>
          <w:p>
            <w:pPr>
              <w:pStyle w:val="TableContents"/>
              <w:bidi w:val="0"/>
              <w:spacing w:before="0" w:after="0"/>
              <w:jc w:val="left"/>
              <w:rPr>
                <w:rFonts w:ascii="Times New Roman" w:hAnsi="Times New Roman"/>
                <w:sz w:val="20"/>
              </w:rPr>
            </w:pPr>
            <w:r>
              <w:rPr>
                <w:rFonts w:ascii="Times New Roman" w:hAnsi="Times New Roman"/>
                <w:sz w:val="20"/>
              </w:rPr>
              <w:t>U.S. dollar at 7.375% due 2026</w:t>
            </w:r>
          </w:p>
        </w:tc>
        <w:tc>
          <w:tcPr>
            <w:tcW w:w="29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31" w:type="dxa"/>
            <w:tcBorders/>
            <w:vAlign w:val="bottom"/>
          </w:tcPr>
          <w:p>
            <w:pPr>
              <w:pStyle w:val="TableContents"/>
              <w:bidi w:val="0"/>
              <w:spacing w:before="0" w:after="283"/>
              <w:jc w:val="right"/>
              <w:rPr/>
            </w:pPr>
            <w:r>
              <w:rPr/>
              <w:t>350</w:t>
            </w:r>
          </w:p>
        </w:tc>
        <w:tc>
          <w:tcPr>
            <w:tcW w:w="354" w:type="dxa"/>
            <w:tcBorders/>
            <w:vAlign w:val="bottom"/>
          </w:tcPr>
          <w:p>
            <w:pPr>
              <w:pStyle w:val="TableContents"/>
              <w:bidi w:val="0"/>
              <w:spacing w:before="0" w:after="283"/>
              <w:jc w:val="left"/>
              <w:rPr/>
            </w:pPr>
            <w:r>
              <w:rPr/>
              <w:t> </w:t>
            </w:r>
          </w:p>
        </w:tc>
        <w:tc>
          <w:tcPr>
            <w:tcW w:w="19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31" w:type="dxa"/>
            <w:tcBorders/>
            <w:vAlign w:val="bottom"/>
          </w:tcPr>
          <w:p>
            <w:pPr>
              <w:pStyle w:val="TableContents"/>
              <w:bidi w:val="0"/>
              <w:spacing w:before="0" w:after="283"/>
              <w:jc w:val="right"/>
              <w:rPr/>
            </w:pPr>
            <w:r>
              <w:rPr/>
              <w:t>350</w:t>
            </w:r>
          </w:p>
        </w:tc>
        <w:tc>
          <w:tcPr>
            <w:tcW w:w="159" w:type="dxa"/>
            <w:tcBorders/>
            <w:vAlign w:val="bottom"/>
          </w:tcPr>
          <w:p>
            <w:pPr>
              <w:pStyle w:val="TableContents"/>
              <w:bidi w:val="0"/>
              <w:spacing w:before="0" w:after="283"/>
              <w:jc w:val="left"/>
              <w:rPr/>
            </w:pPr>
            <w:r>
              <w:rPr/>
              <w:t> </w:t>
            </w:r>
          </w:p>
        </w:tc>
      </w:tr>
      <w:tr>
        <w:trPr/>
        <w:tc>
          <w:tcPr>
            <w:tcW w:w="481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500 at 2.875% due 2026</w:t>
            </w:r>
          </w:p>
        </w:tc>
        <w:tc>
          <w:tcPr>
            <w:tcW w:w="29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31" w:type="dxa"/>
            <w:tcBorders/>
            <w:shd w:fill="CCEEFF" w:val="clear"/>
            <w:vAlign w:val="bottom"/>
          </w:tcPr>
          <w:p>
            <w:pPr>
              <w:pStyle w:val="TableContents"/>
              <w:bidi w:val="0"/>
              <w:spacing w:before="0" w:after="283"/>
              <w:jc w:val="right"/>
              <w:rPr/>
            </w:pPr>
            <w:r>
              <w:rPr/>
              <w:t>529</w:t>
            </w:r>
          </w:p>
        </w:tc>
        <w:tc>
          <w:tcPr>
            <w:tcW w:w="354" w:type="dxa"/>
            <w:tcBorders/>
            <w:shd w:fill="CCEEFF" w:val="clear"/>
            <w:vAlign w:val="bottom"/>
          </w:tcPr>
          <w:p>
            <w:pPr>
              <w:pStyle w:val="TableContents"/>
              <w:bidi w:val="0"/>
              <w:spacing w:before="0" w:after="283"/>
              <w:jc w:val="left"/>
              <w:rPr/>
            </w:pPr>
            <w:r>
              <w:rPr/>
              <w:t> </w:t>
            </w:r>
          </w:p>
        </w:tc>
        <w:tc>
          <w:tcPr>
            <w:tcW w:w="19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31" w:type="dxa"/>
            <w:tcBorders/>
            <w:shd w:fill="CCEEFF" w:val="clear"/>
            <w:vAlign w:val="bottom"/>
          </w:tcPr>
          <w:p>
            <w:pPr>
              <w:pStyle w:val="TableContents"/>
              <w:bidi w:val="0"/>
              <w:spacing w:before="0" w:after="283"/>
              <w:jc w:val="right"/>
              <w:rPr/>
            </w:pPr>
            <w:r>
              <w:rPr/>
              <w:t>529</w:t>
            </w:r>
          </w:p>
        </w:tc>
        <w:tc>
          <w:tcPr>
            <w:tcW w:w="159" w:type="dxa"/>
            <w:tcBorders/>
            <w:shd w:fill="CCEEFF" w:val="clear"/>
            <w:vAlign w:val="bottom"/>
          </w:tcPr>
          <w:p>
            <w:pPr>
              <w:pStyle w:val="TableContents"/>
              <w:bidi w:val="0"/>
              <w:spacing w:before="0" w:after="283"/>
              <w:jc w:val="left"/>
              <w:rPr/>
            </w:pPr>
            <w:r>
              <w:rPr/>
              <w:t> </w:t>
            </w:r>
          </w:p>
        </w:tc>
      </w:tr>
      <w:tr>
        <w:trPr/>
        <w:tc>
          <w:tcPr>
            <w:tcW w:w="4810" w:type="dxa"/>
            <w:tcBorders/>
          </w:tcPr>
          <w:p>
            <w:pPr>
              <w:pStyle w:val="TableContents"/>
              <w:bidi w:val="0"/>
              <w:spacing w:before="0" w:after="0"/>
              <w:jc w:val="left"/>
              <w:rPr>
                <w:rFonts w:ascii="Times New Roman" w:hAnsi="Times New Roman"/>
                <w:sz w:val="20"/>
              </w:rPr>
            </w:pPr>
            <w:r>
              <w:rPr>
                <w:rFonts w:ascii="Times New Roman" w:hAnsi="Times New Roman"/>
                <w:sz w:val="20"/>
              </w:rPr>
              <w:t>500 at 5.000% due 2028</w:t>
            </w:r>
          </w:p>
        </w:tc>
        <w:tc>
          <w:tcPr>
            <w:tcW w:w="29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31" w:type="dxa"/>
            <w:tcBorders/>
            <w:vAlign w:val="bottom"/>
          </w:tcPr>
          <w:p>
            <w:pPr>
              <w:pStyle w:val="TableContents"/>
              <w:bidi w:val="0"/>
              <w:spacing w:before="0" w:after="283"/>
              <w:jc w:val="right"/>
              <w:rPr/>
            </w:pPr>
            <w:r>
              <w:rPr/>
              <w:t>529</w:t>
            </w:r>
          </w:p>
        </w:tc>
        <w:tc>
          <w:tcPr>
            <w:tcW w:w="354" w:type="dxa"/>
            <w:tcBorders/>
            <w:vAlign w:val="bottom"/>
          </w:tcPr>
          <w:p>
            <w:pPr>
              <w:pStyle w:val="TableContents"/>
              <w:bidi w:val="0"/>
              <w:spacing w:before="0" w:after="283"/>
              <w:jc w:val="left"/>
              <w:rPr/>
            </w:pPr>
            <w:r>
              <w:rPr/>
              <w:t> </w:t>
            </w:r>
          </w:p>
        </w:tc>
        <w:tc>
          <w:tcPr>
            <w:tcW w:w="19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31" w:type="dxa"/>
            <w:tcBorders/>
            <w:vAlign w:val="bottom"/>
          </w:tcPr>
          <w:p>
            <w:pPr>
              <w:pStyle w:val="TableContents"/>
              <w:bidi w:val="0"/>
              <w:spacing w:before="0" w:after="283"/>
              <w:jc w:val="right"/>
              <w:rPr/>
            </w:pPr>
            <w:r>
              <w:rPr/>
              <w:t>529</w:t>
            </w:r>
          </w:p>
        </w:tc>
        <w:tc>
          <w:tcPr>
            <w:tcW w:w="159" w:type="dxa"/>
            <w:tcBorders/>
            <w:vAlign w:val="bottom"/>
          </w:tcPr>
          <w:p>
            <w:pPr>
              <w:pStyle w:val="TableContents"/>
              <w:bidi w:val="0"/>
              <w:spacing w:before="0" w:after="283"/>
              <w:jc w:val="left"/>
              <w:rPr/>
            </w:pPr>
            <w:r>
              <w:rPr/>
              <w:t> </w:t>
            </w:r>
          </w:p>
        </w:tc>
      </w:tr>
      <w:tr>
        <w:trPr/>
        <w:tc>
          <w:tcPr>
            <w:tcW w:w="481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400 at         % due 2029(2)</w:t>
            </w:r>
          </w:p>
        </w:tc>
        <w:tc>
          <w:tcPr>
            <w:tcW w:w="29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31" w:type="dxa"/>
            <w:tcBorders/>
            <w:shd w:fill="CCEEFF" w:val="clear"/>
            <w:vAlign w:val="bottom"/>
          </w:tcPr>
          <w:p>
            <w:pPr>
              <w:pStyle w:val="TableContents"/>
              <w:bidi w:val="0"/>
              <w:spacing w:before="0" w:after="283"/>
              <w:jc w:val="right"/>
              <w:rPr/>
            </w:pPr>
            <w:r>
              <w:rPr/>
              <w:t>  </w:t>
            </w:r>
          </w:p>
        </w:tc>
        <w:tc>
          <w:tcPr>
            <w:tcW w:w="354" w:type="dxa"/>
            <w:tcBorders/>
            <w:shd w:fill="CCEEFF" w:val="clear"/>
            <w:vAlign w:val="bottom"/>
          </w:tcPr>
          <w:p>
            <w:pPr>
              <w:pStyle w:val="TableContents"/>
              <w:bidi w:val="0"/>
              <w:spacing w:before="0" w:after="283"/>
              <w:jc w:val="left"/>
              <w:rPr/>
            </w:pPr>
            <w:r>
              <w:rPr/>
              <w:t> </w:t>
            </w:r>
          </w:p>
        </w:tc>
        <w:tc>
          <w:tcPr>
            <w:tcW w:w="19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31" w:type="dxa"/>
            <w:tcBorders/>
            <w:shd w:fill="CCEEFF" w:val="clear"/>
            <w:vAlign w:val="bottom"/>
          </w:tcPr>
          <w:p>
            <w:pPr>
              <w:pStyle w:val="TableContents"/>
              <w:bidi w:val="0"/>
              <w:spacing w:before="0" w:after="283"/>
              <w:jc w:val="right"/>
              <w:rPr/>
            </w:pPr>
            <w:r>
              <w:rPr/>
              <w:t>423</w:t>
            </w:r>
          </w:p>
        </w:tc>
        <w:tc>
          <w:tcPr>
            <w:tcW w:w="159" w:type="dxa"/>
            <w:tcBorders/>
            <w:shd w:fill="CCEEFF" w:val="clear"/>
            <w:vAlign w:val="bottom"/>
          </w:tcPr>
          <w:p>
            <w:pPr>
              <w:pStyle w:val="TableContents"/>
              <w:bidi w:val="0"/>
              <w:spacing w:before="0" w:after="283"/>
              <w:jc w:val="left"/>
              <w:rPr/>
            </w:pPr>
            <w:r>
              <w:rPr/>
              <w:t> </w:t>
            </w:r>
          </w:p>
        </w:tc>
      </w:tr>
      <w:tr>
        <w:trPr/>
        <w:tc>
          <w:tcPr>
            <w:tcW w:w="4810" w:type="dxa"/>
            <w:tcBorders/>
          </w:tcPr>
          <w:p>
            <w:pPr>
              <w:pStyle w:val="TableContents"/>
              <w:bidi w:val="0"/>
              <w:spacing w:before="0" w:after="0"/>
              <w:jc w:val="left"/>
              <w:rPr>
                <w:rFonts w:ascii="Times New Roman" w:hAnsi="Times New Roman"/>
                <w:sz w:val="20"/>
              </w:rPr>
            </w:pPr>
            <w:r>
              <w:rPr>
                <w:rFonts w:ascii="Times New Roman" w:hAnsi="Times New Roman"/>
                <w:sz w:val="20"/>
              </w:rPr>
              <w:t>U.S. dollar at 5.250% due 2030</w:t>
            </w:r>
          </w:p>
        </w:tc>
        <w:tc>
          <w:tcPr>
            <w:tcW w:w="29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31" w:type="dxa"/>
            <w:tcBorders/>
            <w:vAlign w:val="bottom"/>
          </w:tcPr>
          <w:p>
            <w:pPr>
              <w:pStyle w:val="TableContents"/>
              <w:bidi w:val="0"/>
              <w:spacing w:before="0" w:after="283"/>
              <w:jc w:val="right"/>
              <w:rPr/>
            </w:pPr>
            <w:r>
              <w:rPr/>
              <w:t>500</w:t>
            </w:r>
          </w:p>
        </w:tc>
        <w:tc>
          <w:tcPr>
            <w:tcW w:w="354" w:type="dxa"/>
            <w:tcBorders/>
            <w:vAlign w:val="bottom"/>
          </w:tcPr>
          <w:p>
            <w:pPr>
              <w:pStyle w:val="TableContents"/>
              <w:bidi w:val="0"/>
              <w:spacing w:before="0" w:after="283"/>
              <w:jc w:val="left"/>
              <w:rPr/>
            </w:pPr>
            <w:r>
              <w:rPr/>
              <w:t> </w:t>
            </w:r>
          </w:p>
        </w:tc>
        <w:tc>
          <w:tcPr>
            <w:tcW w:w="19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31" w:type="dxa"/>
            <w:tcBorders/>
            <w:vAlign w:val="bottom"/>
          </w:tcPr>
          <w:p>
            <w:pPr>
              <w:pStyle w:val="TableContents"/>
              <w:bidi w:val="0"/>
              <w:spacing w:before="0" w:after="283"/>
              <w:jc w:val="right"/>
              <w:rPr/>
            </w:pPr>
            <w:r>
              <w:rPr/>
              <w:t>500</w:t>
            </w:r>
          </w:p>
        </w:tc>
        <w:tc>
          <w:tcPr>
            <w:tcW w:w="159" w:type="dxa"/>
            <w:tcBorders/>
            <w:vAlign w:val="bottom"/>
          </w:tcPr>
          <w:p>
            <w:pPr>
              <w:pStyle w:val="TableContents"/>
              <w:bidi w:val="0"/>
              <w:spacing w:before="0" w:after="283"/>
              <w:jc w:val="left"/>
              <w:rPr/>
            </w:pPr>
            <w:r>
              <w:rPr/>
              <w:t> </w:t>
            </w:r>
          </w:p>
        </w:tc>
      </w:tr>
      <w:tr>
        <w:trPr/>
        <w:tc>
          <w:tcPr>
            <w:tcW w:w="481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U.S. dollar at 7.50% due 2096</w:t>
            </w:r>
          </w:p>
        </w:tc>
        <w:tc>
          <w:tcPr>
            <w:tcW w:w="29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31" w:type="dxa"/>
            <w:tcBorders/>
            <w:shd w:fill="CCEEFF" w:val="clear"/>
            <w:vAlign w:val="bottom"/>
          </w:tcPr>
          <w:p>
            <w:pPr>
              <w:pStyle w:val="TableContents"/>
              <w:bidi w:val="0"/>
              <w:spacing w:before="0" w:after="283"/>
              <w:jc w:val="right"/>
              <w:rPr/>
            </w:pPr>
            <w:r>
              <w:rPr/>
              <w:t>40</w:t>
            </w:r>
          </w:p>
        </w:tc>
        <w:tc>
          <w:tcPr>
            <w:tcW w:w="354" w:type="dxa"/>
            <w:tcBorders/>
            <w:shd w:fill="CCEEFF" w:val="clear"/>
            <w:vAlign w:val="bottom"/>
          </w:tcPr>
          <w:p>
            <w:pPr>
              <w:pStyle w:val="TableContents"/>
              <w:bidi w:val="0"/>
              <w:spacing w:before="0" w:after="283"/>
              <w:jc w:val="left"/>
              <w:rPr/>
            </w:pPr>
            <w:r>
              <w:rPr/>
              <w:t> </w:t>
            </w:r>
          </w:p>
        </w:tc>
        <w:tc>
          <w:tcPr>
            <w:tcW w:w="19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31" w:type="dxa"/>
            <w:tcBorders/>
            <w:shd w:fill="CCEEFF" w:val="clear"/>
            <w:vAlign w:val="bottom"/>
          </w:tcPr>
          <w:p>
            <w:pPr>
              <w:pStyle w:val="TableContents"/>
              <w:bidi w:val="0"/>
              <w:spacing w:before="0" w:after="283"/>
              <w:jc w:val="right"/>
              <w:rPr/>
            </w:pPr>
            <w:r>
              <w:rPr/>
              <w:t>40</w:t>
            </w:r>
          </w:p>
        </w:tc>
        <w:tc>
          <w:tcPr>
            <w:tcW w:w="159" w:type="dxa"/>
            <w:tcBorders/>
            <w:shd w:fill="CCEEFF" w:val="clear"/>
            <w:vAlign w:val="bottom"/>
          </w:tcPr>
          <w:p>
            <w:pPr>
              <w:pStyle w:val="TableContents"/>
              <w:bidi w:val="0"/>
              <w:spacing w:before="0" w:after="283"/>
              <w:jc w:val="left"/>
              <w:rPr/>
            </w:pPr>
            <w:r>
              <w:rPr/>
              <w:t> </w:t>
            </w:r>
          </w:p>
        </w:tc>
      </w:tr>
      <w:tr>
        <w:trPr/>
        <w:tc>
          <w:tcPr>
            <w:tcW w:w="4810" w:type="dxa"/>
            <w:tcBorders/>
          </w:tcPr>
          <w:p>
            <w:pPr>
              <w:pStyle w:val="TableContents"/>
              <w:bidi w:val="0"/>
              <w:spacing w:before="0" w:after="0"/>
              <w:jc w:val="left"/>
              <w:rPr>
                <w:rFonts w:ascii="Times New Roman" w:hAnsi="Times New Roman"/>
                <w:sz w:val="20"/>
              </w:rPr>
            </w:pPr>
            <w:r>
              <w:rPr>
                <w:rFonts w:ascii="Times New Roman" w:hAnsi="Times New Roman"/>
                <w:sz w:val="20"/>
              </w:rPr>
              <w:t>Other indebtedness in various currencies:</w:t>
            </w:r>
          </w:p>
        </w:tc>
        <w:tc>
          <w:tcPr>
            <w:tcW w:w="29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31" w:type="dxa"/>
            <w:tcBorders/>
            <w:vAlign w:val="bottom"/>
          </w:tcPr>
          <w:p>
            <w:pPr>
              <w:pStyle w:val="TableContents"/>
              <w:bidi w:val="0"/>
              <w:spacing w:before="0" w:after="283"/>
              <w:jc w:val="right"/>
              <w:rPr/>
            </w:pPr>
            <w:r>
              <w:rPr/>
              <w:t>200</w:t>
            </w:r>
          </w:p>
        </w:tc>
        <w:tc>
          <w:tcPr>
            <w:tcW w:w="354" w:type="dxa"/>
            <w:tcBorders/>
            <w:vAlign w:val="bottom"/>
          </w:tcPr>
          <w:p>
            <w:pPr>
              <w:pStyle w:val="TableContents"/>
              <w:bidi w:val="0"/>
              <w:spacing w:before="0" w:after="283"/>
              <w:jc w:val="left"/>
              <w:rPr/>
            </w:pPr>
            <w:r>
              <w:rPr/>
              <w:t> </w:t>
            </w:r>
          </w:p>
        </w:tc>
        <w:tc>
          <w:tcPr>
            <w:tcW w:w="19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31" w:type="dxa"/>
            <w:tcBorders/>
            <w:vAlign w:val="bottom"/>
          </w:tcPr>
          <w:p>
            <w:pPr>
              <w:pStyle w:val="TableContents"/>
              <w:bidi w:val="0"/>
              <w:spacing w:before="0" w:after="283"/>
              <w:jc w:val="right"/>
              <w:rPr/>
            </w:pPr>
            <w:r>
              <w:rPr/>
              <w:t>200</w:t>
            </w:r>
          </w:p>
        </w:tc>
        <w:tc>
          <w:tcPr>
            <w:tcW w:w="159" w:type="dxa"/>
            <w:tcBorders/>
            <w:vAlign w:val="bottom"/>
          </w:tcPr>
          <w:p>
            <w:pPr>
              <w:pStyle w:val="TableContents"/>
              <w:bidi w:val="0"/>
              <w:spacing w:before="0" w:after="283"/>
              <w:jc w:val="left"/>
              <w:rPr/>
            </w:pPr>
            <w:r>
              <w:rPr/>
              <w:t> </w:t>
            </w:r>
          </w:p>
        </w:tc>
      </w:tr>
      <w:tr>
        <w:trPr/>
        <w:tc>
          <w:tcPr>
            <w:tcW w:w="4810" w:type="dxa"/>
            <w:tcBorders/>
            <w:vAlign w:val="bottom"/>
          </w:tcPr>
          <w:p>
            <w:pPr>
              <w:pStyle w:val="TableContents"/>
              <w:bidi w:val="0"/>
              <w:spacing w:before="0" w:after="283"/>
              <w:jc w:val="left"/>
              <w:rPr>
                <w:sz w:val="4"/>
                <w:szCs w:val="4"/>
              </w:rPr>
            </w:pPr>
            <w:r>
              <w:rPr>
                <w:sz w:val="4"/>
                <w:szCs w:val="4"/>
              </w:rPr>
            </w:r>
          </w:p>
        </w:tc>
        <w:tc>
          <w:tcPr>
            <w:tcW w:w="29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31" w:type="dxa"/>
            <w:tcBorders/>
            <w:vAlign w:val="bottom"/>
          </w:tcPr>
          <w:p>
            <w:pPr>
              <w:pStyle w:val="TableContents"/>
              <w:pBdr>
                <w:top w:val="single" w:sz="2" w:space="1" w:color="000000"/>
              </w:pBdr>
              <w:bidi w:val="0"/>
              <w:spacing w:before="0" w:after="0"/>
              <w:jc w:val="left"/>
              <w:rPr/>
            </w:pPr>
            <w:r>
              <w:rPr/>
              <w:t> </w:t>
            </w:r>
          </w:p>
        </w:tc>
        <w:tc>
          <w:tcPr>
            <w:tcW w:w="354" w:type="dxa"/>
            <w:tcBorders/>
            <w:vAlign w:val="center"/>
          </w:tcPr>
          <w:p>
            <w:pPr>
              <w:pStyle w:val="TableContents"/>
              <w:bidi w:val="0"/>
              <w:spacing w:before="0" w:after="283"/>
              <w:jc w:val="left"/>
              <w:rPr/>
            </w:pPr>
            <w:r>
              <w:rPr/>
              <w:t> </w:t>
            </w:r>
          </w:p>
        </w:tc>
        <w:tc>
          <w:tcPr>
            <w:tcW w:w="19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31"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481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long-term debt</w:t>
            </w:r>
          </w:p>
        </w:tc>
        <w:tc>
          <w:tcPr>
            <w:tcW w:w="29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31" w:type="dxa"/>
            <w:tcBorders/>
            <w:shd w:fill="CCEEFF" w:val="clear"/>
            <w:vAlign w:val="bottom"/>
          </w:tcPr>
          <w:p>
            <w:pPr>
              <w:pStyle w:val="TableContents"/>
              <w:bidi w:val="0"/>
              <w:spacing w:before="0" w:after="283"/>
              <w:jc w:val="right"/>
              <w:rPr/>
            </w:pPr>
            <w:r>
              <w:rPr/>
              <w:t>7,047</w:t>
            </w:r>
          </w:p>
        </w:tc>
        <w:tc>
          <w:tcPr>
            <w:tcW w:w="354" w:type="dxa"/>
            <w:tcBorders/>
            <w:shd w:fill="CCEEFF" w:val="clear"/>
            <w:vAlign w:val="bottom"/>
          </w:tcPr>
          <w:p>
            <w:pPr>
              <w:pStyle w:val="TableContents"/>
              <w:bidi w:val="0"/>
              <w:spacing w:before="0" w:after="283"/>
              <w:jc w:val="left"/>
              <w:rPr/>
            </w:pPr>
            <w:r>
              <w:rPr/>
              <w:t> </w:t>
            </w:r>
          </w:p>
        </w:tc>
        <w:tc>
          <w:tcPr>
            <w:tcW w:w="19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31" w:type="dxa"/>
            <w:tcBorders/>
            <w:shd w:fill="CCEEFF" w:val="clear"/>
            <w:vAlign w:val="bottom"/>
          </w:tcPr>
          <w:p>
            <w:pPr>
              <w:pStyle w:val="TableContents"/>
              <w:bidi w:val="0"/>
              <w:spacing w:before="0" w:after="283"/>
              <w:jc w:val="right"/>
              <w:rPr/>
            </w:pPr>
            <w:r>
              <w:rPr/>
              <w:t>7,292</w:t>
            </w:r>
          </w:p>
        </w:tc>
        <w:tc>
          <w:tcPr>
            <w:tcW w:w="159" w:type="dxa"/>
            <w:tcBorders/>
            <w:shd w:fill="CCEEFF" w:val="clear"/>
            <w:vAlign w:val="bottom"/>
          </w:tcPr>
          <w:p>
            <w:pPr>
              <w:pStyle w:val="TableContents"/>
              <w:bidi w:val="0"/>
              <w:spacing w:before="0" w:after="283"/>
              <w:jc w:val="left"/>
              <w:rPr/>
            </w:pPr>
            <w:r>
              <w:rPr/>
              <w:t> </w:t>
            </w:r>
          </w:p>
        </w:tc>
      </w:tr>
      <w:tr>
        <w:trPr/>
        <w:tc>
          <w:tcPr>
            <w:tcW w:w="4810" w:type="dxa"/>
            <w:tcBorders/>
            <w:vAlign w:val="bottom"/>
          </w:tcPr>
          <w:p>
            <w:pPr>
              <w:pStyle w:val="TableContents"/>
              <w:bidi w:val="0"/>
              <w:spacing w:before="0" w:after="283"/>
              <w:jc w:val="left"/>
              <w:rPr>
                <w:sz w:val="4"/>
                <w:szCs w:val="4"/>
              </w:rPr>
            </w:pPr>
            <w:r>
              <w:rPr>
                <w:sz w:val="4"/>
                <w:szCs w:val="4"/>
              </w:rPr>
            </w:r>
          </w:p>
        </w:tc>
        <w:tc>
          <w:tcPr>
            <w:tcW w:w="29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31" w:type="dxa"/>
            <w:tcBorders/>
            <w:vAlign w:val="bottom"/>
          </w:tcPr>
          <w:p>
            <w:pPr>
              <w:pStyle w:val="TableContents"/>
              <w:pBdr>
                <w:top w:val="single" w:sz="2" w:space="1" w:color="000000"/>
              </w:pBdr>
              <w:bidi w:val="0"/>
              <w:spacing w:before="0" w:after="0"/>
              <w:jc w:val="left"/>
              <w:rPr/>
            </w:pPr>
            <w:r>
              <w:rPr/>
              <w:t> </w:t>
            </w:r>
          </w:p>
        </w:tc>
        <w:tc>
          <w:tcPr>
            <w:tcW w:w="354" w:type="dxa"/>
            <w:tcBorders/>
            <w:vAlign w:val="center"/>
          </w:tcPr>
          <w:p>
            <w:pPr>
              <w:pStyle w:val="TableContents"/>
              <w:bidi w:val="0"/>
              <w:spacing w:before="0" w:after="283"/>
              <w:jc w:val="left"/>
              <w:rPr/>
            </w:pPr>
            <w:r>
              <w:rPr/>
              <w:t> </w:t>
            </w:r>
          </w:p>
        </w:tc>
        <w:tc>
          <w:tcPr>
            <w:tcW w:w="19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31"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4810" w:type="dxa"/>
            <w:tcBorders/>
          </w:tcPr>
          <w:p>
            <w:pPr>
              <w:pStyle w:val="TableContents"/>
              <w:bidi w:val="0"/>
              <w:spacing w:before="0" w:after="0"/>
              <w:jc w:val="left"/>
              <w:rPr>
                <w:rFonts w:ascii="Times New Roman" w:hAnsi="Times New Roman"/>
                <w:sz w:val="20"/>
              </w:rPr>
            </w:pPr>
            <w:r>
              <w:rPr>
                <w:rFonts w:ascii="Times New Roman" w:hAnsi="Times New Roman"/>
                <w:sz w:val="20"/>
              </w:rPr>
              <w:t>Less: current maturities</w:t>
            </w:r>
          </w:p>
        </w:tc>
        <w:tc>
          <w:tcPr>
            <w:tcW w:w="29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31" w:type="dxa"/>
            <w:tcBorders/>
            <w:vAlign w:val="bottom"/>
          </w:tcPr>
          <w:p>
            <w:pPr>
              <w:pStyle w:val="TableContents"/>
              <w:bidi w:val="0"/>
              <w:spacing w:before="0" w:after="283"/>
              <w:jc w:val="right"/>
              <w:rPr/>
            </w:pPr>
            <w:r>
              <w:rPr/>
              <w:t>(774</w:t>
            </w:r>
          </w:p>
        </w:tc>
        <w:tc>
          <w:tcPr>
            <w:tcW w:w="354" w:type="dxa"/>
            <w:tcBorders/>
            <w:vAlign w:val="bottom"/>
          </w:tcPr>
          <w:p>
            <w:pPr>
              <w:pStyle w:val="TableContents"/>
              <w:bidi w:val="0"/>
              <w:spacing w:before="0" w:after="283"/>
              <w:jc w:val="left"/>
              <w:rPr/>
            </w:pPr>
            <w:r>
              <w:rPr/>
              <w:t>) </w:t>
            </w:r>
          </w:p>
        </w:tc>
        <w:tc>
          <w:tcPr>
            <w:tcW w:w="19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31" w:type="dxa"/>
            <w:tcBorders/>
            <w:vAlign w:val="bottom"/>
          </w:tcPr>
          <w:p>
            <w:pPr>
              <w:pStyle w:val="TableContents"/>
              <w:bidi w:val="0"/>
              <w:spacing w:before="0" w:after="283"/>
              <w:jc w:val="right"/>
              <w:rPr/>
            </w:pPr>
            <w:r>
              <w:rPr/>
              <w:t>(774</w:t>
            </w:r>
          </w:p>
        </w:tc>
        <w:tc>
          <w:tcPr>
            <w:tcW w:w="159" w:type="dxa"/>
            <w:tcBorders/>
            <w:vAlign w:val="bottom"/>
          </w:tcPr>
          <w:p>
            <w:pPr>
              <w:pStyle w:val="TableContents"/>
              <w:bidi w:val="0"/>
              <w:spacing w:before="0" w:after="283"/>
              <w:jc w:val="left"/>
              <w:rPr/>
            </w:pPr>
            <w:r>
              <w:rPr/>
              <w:t>) </w:t>
            </w:r>
          </w:p>
        </w:tc>
      </w:tr>
      <w:tr>
        <w:trPr/>
        <w:tc>
          <w:tcPr>
            <w:tcW w:w="4810" w:type="dxa"/>
            <w:tcBorders/>
            <w:vAlign w:val="bottom"/>
          </w:tcPr>
          <w:p>
            <w:pPr>
              <w:pStyle w:val="TableContents"/>
              <w:bidi w:val="0"/>
              <w:spacing w:before="0" w:after="283"/>
              <w:jc w:val="left"/>
              <w:rPr>
                <w:sz w:val="4"/>
                <w:szCs w:val="4"/>
              </w:rPr>
            </w:pPr>
            <w:r>
              <w:rPr>
                <w:sz w:val="4"/>
                <w:szCs w:val="4"/>
              </w:rPr>
            </w:r>
          </w:p>
        </w:tc>
        <w:tc>
          <w:tcPr>
            <w:tcW w:w="29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31" w:type="dxa"/>
            <w:tcBorders/>
            <w:vAlign w:val="bottom"/>
          </w:tcPr>
          <w:p>
            <w:pPr>
              <w:pStyle w:val="TableContents"/>
              <w:pBdr>
                <w:top w:val="single" w:sz="2" w:space="1" w:color="000000"/>
              </w:pBdr>
              <w:bidi w:val="0"/>
              <w:spacing w:before="0" w:after="0"/>
              <w:jc w:val="left"/>
              <w:rPr/>
            </w:pPr>
            <w:r>
              <w:rPr/>
              <w:t> </w:t>
            </w:r>
          </w:p>
        </w:tc>
        <w:tc>
          <w:tcPr>
            <w:tcW w:w="354" w:type="dxa"/>
            <w:tcBorders/>
            <w:vAlign w:val="center"/>
          </w:tcPr>
          <w:p>
            <w:pPr>
              <w:pStyle w:val="TableContents"/>
              <w:bidi w:val="0"/>
              <w:spacing w:before="0" w:after="283"/>
              <w:jc w:val="left"/>
              <w:rPr/>
            </w:pPr>
            <w:r>
              <w:rPr/>
              <w:t> </w:t>
            </w:r>
          </w:p>
        </w:tc>
        <w:tc>
          <w:tcPr>
            <w:tcW w:w="19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31"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481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long-term debt, less current maturities(3)</w:t>
            </w:r>
          </w:p>
        </w:tc>
        <w:tc>
          <w:tcPr>
            <w:tcW w:w="29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31" w:type="dxa"/>
            <w:tcBorders/>
            <w:shd w:fill="CCEEFF" w:val="clear"/>
            <w:vAlign w:val="bottom"/>
          </w:tcPr>
          <w:p>
            <w:pPr>
              <w:pStyle w:val="TableContents"/>
              <w:bidi w:val="0"/>
              <w:spacing w:before="0" w:after="283"/>
              <w:jc w:val="right"/>
              <w:rPr/>
            </w:pPr>
            <w:r>
              <w:rPr/>
              <w:t>    </w:t>
            </w:r>
            <w:r>
              <w:rPr/>
              <w:t>6,273</w:t>
            </w:r>
          </w:p>
        </w:tc>
        <w:tc>
          <w:tcPr>
            <w:tcW w:w="354" w:type="dxa"/>
            <w:tcBorders/>
            <w:shd w:fill="CCEEFF" w:val="clear"/>
            <w:vAlign w:val="bottom"/>
          </w:tcPr>
          <w:p>
            <w:pPr>
              <w:pStyle w:val="TableContents"/>
              <w:bidi w:val="0"/>
              <w:spacing w:before="0" w:after="283"/>
              <w:jc w:val="left"/>
              <w:rPr/>
            </w:pPr>
            <w:r>
              <w:rPr/>
              <w:t> </w:t>
            </w:r>
          </w:p>
        </w:tc>
        <w:tc>
          <w:tcPr>
            <w:tcW w:w="19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31" w:type="dxa"/>
            <w:tcBorders/>
            <w:shd w:fill="CCEEFF" w:val="clear"/>
            <w:vAlign w:val="bottom"/>
          </w:tcPr>
          <w:p>
            <w:pPr>
              <w:pStyle w:val="TableContents"/>
              <w:bidi w:val="0"/>
              <w:spacing w:before="0" w:after="283"/>
              <w:jc w:val="right"/>
              <w:rPr/>
            </w:pPr>
            <w:r>
              <w:rPr/>
              <w:t>    </w:t>
            </w:r>
            <w:r>
              <w:rPr/>
              <w:t>6,518</w:t>
            </w:r>
          </w:p>
        </w:tc>
        <w:tc>
          <w:tcPr>
            <w:tcW w:w="159" w:type="dxa"/>
            <w:tcBorders/>
            <w:shd w:fill="CCEEFF" w:val="clear"/>
            <w:vAlign w:val="bottom"/>
          </w:tcPr>
          <w:p>
            <w:pPr>
              <w:pStyle w:val="TableContents"/>
              <w:bidi w:val="0"/>
              <w:spacing w:before="0" w:after="283"/>
              <w:jc w:val="left"/>
              <w:rPr/>
            </w:pPr>
            <w:r>
              <w:rPr/>
              <w:t> </w:t>
            </w:r>
          </w:p>
        </w:tc>
      </w:tr>
      <w:tr>
        <w:trPr/>
        <w:tc>
          <w:tcPr>
            <w:tcW w:w="4810" w:type="dxa"/>
            <w:tcBorders/>
            <w:vAlign w:val="bottom"/>
          </w:tcPr>
          <w:p>
            <w:pPr>
              <w:pStyle w:val="TableContents"/>
              <w:bidi w:val="0"/>
              <w:spacing w:before="0" w:after="283"/>
              <w:jc w:val="left"/>
              <w:rPr>
                <w:sz w:val="4"/>
                <w:szCs w:val="4"/>
              </w:rPr>
            </w:pPr>
            <w:r>
              <w:rPr>
                <w:sz w:val="4"/>
                <w:szCs w:val="4"/>
              </w:rPr>
            </w:r>
          </w:p>
        </w:tc>
        <w:tc>
          <w:tcPr>
            <w:tcW w:w="29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31" w:type="dxa"/>
            <w:tcBorders/>
            <w:vAlign w:val="bottom"/>
          </w:tcPr>
          <w:p>
            <w:pPr>
              <w:pStyle w:val="TableContents"/>
              <w:pBdr>
                <w:top w:val="double" w:sz="6" w:space="1" w:color="000000"/>
              </w:pBdr>
              <w:bidi w:val="0"/>
              <w:spacing w:before="0" w:after="0"/>
              <w:jc w:val="left"/>
              <w:rPr/>
            </w:pPr>
            <w:r>
              <w:rPr/>
              <w:t> </w:t>
            </w:r>
          </w:p>
        </w:tc>
        <w:tc>
          <w:tcPr>
            <w:tcW w:w="354" w:type="dxa"/>
            <w:tcBorders/>
            <w:vAlign w:val="center"/>
          </w:tcPr>
          <w:p>
            <w:pPr>
              <w:pStyle w:val="TableContents"/>
              <w:bidi w:val="0"/>
              <w:spacing w:before="0" w:after="283"/>
              <w:jc w:val="left"/>
              <w:rPr/>
            </w:pPr>
            <w:r>
              <w:rPr/>
              <w:t> </w:t>
            </w:r>
          </w:p>
        </w:tc>
        <w:tc>
          <w:tcPr>
            <w:tcW w:w="19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31"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537 at September 30, 2023.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(2)</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Consists of 400 senior notes offered in the new senior notes offering and does not give effect to original issue discount, if any. The 400 in aggregate principal amount of senior notes are reflected at an assumed exchange rate of $1.058 U.S. dollars per euro.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(3)</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Reflects outstanding principal balance with no reduction for unamortized debt issue costs and associated issuance discounts or premiums. </w:t>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4643</Words>
  <Characters>25229</Characters>
  <CharactersWithSpaces>30032</CharactersWithSpaces>
  <Paragraphs>815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EX-99.1</dc:title>
</cp:coreProperties>
</file>