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31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NOVAES DJALMA JR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770 TOWNSHIP LINE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95"/>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CROWN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CCK</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01/04/2023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525"/>
        <w:spacing w:after="0"/>
        <w:rPr>
          <w:sz w:val="20"/>
          <w:szCs w:val="20"/>
          <w:color w:val="auto"/>
        </w:rPr>
      </w:pPr>
      <w:r>
        <w:rPr>
          <w:rFonts w:ascii="Times New Roman" w:cs="Times New Roman" w:eastAsia="Times New Roman" w:hAnsi="Times New Roman"/>
          <w:sz w:val="17"/>
          <w:szCs w:val="17"/>
          <w:color w:val="0000FF"/>
        </w:rPr>
        <w:t>President - Americas Division</w:t>
      </w:r>
    </w:p>
    <w:p>
      <w:pPr>
        <w:spacing w:after="0" w:line="326"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6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YARDLEY</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PA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19067</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01/04/2023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14,486</w:t>
            </w:r>
            <w:r>
              <w:rPr>
                <w:rFonts w:ascii="Times New Roman" w:cs="Times New Roman" w:eastAsia="Times New Roman" w:hAnsi="Times New Roman"/>
                <w:sz w:val="22"/>
                <w:szCs w:val="22"/>
                <w:color w:val="008000"/>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94,814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01/05/2023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ind w:right="73"/>
              <w:spacing w:after="0"/>
              <w:rPr>
                <w:sz w:val="20"/>
                <w:szCs w:val="20"/>
                <w:color w:val="auto"/>
              </w:rPr>
            </w:pPr>
            <w:r>
              <w:rPr>
                <w:rFonts w:ascii="Times New Roman" w:cs="Times New Roman" w:eastAsia="Times New Roman" w:hAnsi="Times New Roman"/>
                <w:sz w:val="17"/>
                <w:szCs w:val="17"/>
                <w:color w:val="0000FF"/>
              </w:rPr>
              <w:t>522</w:t>
            </w:r>
            <w:r>
              <w:rPr>
                <w:rFonts w:ascii="Times New Roman" w:cs="Times New Roman" w:eastAsia="Times New Roman" w:hAnsi="Times New Roman"/>
                <w:sz w:val="22"/>
                <w:szCs w:val="22"/>
                <w:color w:val="008000"/>
                <w:vertAlign w:val="superscript"/>
              </w:rPr>
              <w:t>(2)</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83.27</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94,292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14,486 shares of Restricted Common Stock under the 2022 Stock-Based Compensation Plan. 5,035 time-vested restricted shares vest over a three year period as follows: 1,679 time-vested restricted shares on January 4, 2024, 1,678 time-vested restricted shares on January 6, 2025 and January 5, 2026, respectively. 4,372 performance-based restricted shares are targeted to vest on January 5, 2026 based on the Company's Total Shareholder Return versus a defined peer group of companies, with the final number of performance-based vested shares varying from 0 to 200% of 4,372. 5,079 performance-based restricted shares are targeted to vest on January 5, 2026 based on the Return on Invested Capital achieved by the Company compared to the ROIC target, with the final number of performance-based vested shares varying from 0 to 5,079.</w:t>
      </w:r>
    </w:p>
    <w:p>
      <w:pPr>
        <w:spacing w:after="0" w:line="26"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transferred to the Company for tax withholding in connection with vesting of restricted stock.</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Rosemary Haselroth, by</w:t>
            </w:r>
          </w:p>
        </w:tc>
        <w:tc>
          <w:tcPr>
            <w:tcW w:w="18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01/06/2023</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27599" TargetMode="External"/><Relationship Id="rId13" Type="http://schemas.openxmlformats.org/officeDocument/2006/relationships/hyperlink" Target="http://www.sec.gov/cgi-bin/browse-edgar?action=getcompany&amp;CIK=00012196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2023-01-06T14:47:31Z</dcterms:created>
  <dcterms:modified xsi:type="dcterms:W3CDTF">2023-01-06T14:47:31Z</dcterms:modified>
</cp:coreProperties>
</file>