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1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KELLY THOMAS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CROWN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CCK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Senior Vice President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YARDLEY</w:t>
            </w:r>
          </w:p>
        </w:tc>
        <w:tc>
          <w:tcPr>
            <w:tcW w:w="1060" w:type="dxa"/>
            <w:vAlign w:val="bottom"/>
          </w:tcPr>
          <w:p>
            <w:pPr>
              <w:ind w:left="220"/>
              <w:spacing w:after="0"/>
              <w:rPr>
                <w:sz w:val="20"/>
                <w:szCs w:val="20"/>
                <w:color w:val="auto"/>
              </w:rPr>
            </w:pPr>
            <w:r>
              <w:rPr>
                <w:rFonts w:ascii="Arial" w:cs="Arial" w:eastAsia="Arial" w:hAnsi="Arial"/>
                <w:sz w:val="18"/>
                <w:szCs w:val="18"/>
                <w:color w:val="0000FF"/>
              </w:rPr>
              <w:t>PA</w:t>
            </w:r>
          </w:p>
        </w:tc>
        <w:tc>
          <w:tcPr>
            <w:tcW w:w="1680" w:type="dxa"/>
            <w:vAlign w:val="bottom"/>
          </w:tcPr>
          <w:p>
            <w:pPr>
              <w:ind w:left="420"/>
              <w:spacing w:after="0"/>
              <w:rPr>
                <w:sz w:val="20"/>
                <w:szCs w:val="20"/>
                <w:color w:val="auto"/>
              </w:rPr>
            </w:pPr>
            <w:r>
              <w:rPr>
                <w:rFonts w:ascii="Arial" w:cs="Arial" w:eastAsia="Arial" w:hAnsi="Arial"/>
                <w:sz w:val="18"/>
                <w:szCs w:val="18"/>
                <w:color w:val="0000FF"/>
              </w:rPr>
              <w:t>19067</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center"/>
              <w:ind w:right="337"/>
              <w:spacing w:after="0"/>
              <w:rPr>
                <w:sz w:val="20"/>
                <w:szCs w:val="20"/>
                <w:color w:val="auto"/>
              </w:rPr>
            </w:pPr>
            <w:r>
              <w:rPr>
                <w:rFonts w:ascii="Arial" w:cs="Arial" w:eastAsia="Arial" w:hAnsi="Arial"/>
                <w:sz w:val="18"/>
                <w:szCs w:val="18"/>
                <w:color w:val="0000FF"/>
                <w:w w:val="88"/>
              </w:rPr>
              <w:t>1,050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01/07/2019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27,382</w:t>
            </w:r>
            <w:r>
              <w:rPr>
                <w:rFonts w:ascii="Arial" w:cs="Arial" w:eastAsia="Arial" w:hAnsi="Arial"/>
                <w:sz w:val="22"/>
                <w:szCs w:val="22"/>
                <w:color w:val="008000"/>
                <w:w w:val="84"/>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129,191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01/08/2019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D</w:t>
            </w:r>
          </w:p>
        </w:tc>
        <w:tc>
          <w:tcPr>
            <w:tcW w:w="740" w:type="dxa"/>
            <w:vAlign w:val="bottom"/>
          </w:tcPr>
          <w:p>
            <w:pPr>
              <w:jc w:val="center"/>
              <w:ind w:left="153"/>
              <w:spacing w:after="0"/>
              <w:rPr>
                <w:sz w:val="20"/>
                <w:szCs w:val="20"/>
                <w:color w:val="auto"/>
              </w:rPr>
            </w:pPr>
            <w:r>
              <w:rPr>
                <w:rFonts w:ascii="Arial" w:cs="Arial" w:eastAsia="Arial" w:hAnsi="Arial"/>
                <w:sz w:val="18"/>
                <w:szCs w:val="18"/>
                <w:color w:val="0000FF"/>
                <w:w w:val="87"/>
              </w:rPr>
              <w:t>13,520</w:t>
            </w:r>
          </w:p>
        </w:tc>
        <w:tc>
          <w:tcPr>
            <w:tcW w:w="32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420" w:type="dxa"/>
            <w:vAlign w:val="bottom"/>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115,671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01/08/2019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ind w:left="153"/>
              <w:spacing w:after="0" w:line="324" w:lineRule="exact"/>
              <w:rPr>
                <w:sz w:val="20"/>
                <w:szCs w:val="20"/>
                <w:color w:val="auto"/>
              </w:rPr>
            </w:pPr>
            <w:r>
              <w:rPr>
                <w:rFonts w:ascii="Arial" w:cs="Arial" w:eastAsia="Arial" w:hAnsi="Arial"/>
                <w:sz w:val="35"/>
                <w:szCs w:val="35"/>
                <w:color w:val="0000FF"/>
                <w:w w:val="76"/>
                <w:vertAlign w:val="subscript"/>
              </w:rPr>
              <w:t>680</w:t>
            </w:r>
            <w:r>
              <w:rPr>
                <w:rFonts w:ascii="Arial" w:cs="Arial" w:eastAsia="Arial" w:hAnsi="Arial"/>
                <w:sz w:val="11"/>
                <w:szCs w:val="11"/>
                <w:color w:val="008000"/>
                <w:w w:val="76"/>
              </w:rPr>
              <w:t>(2)</w:t>
            </w: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45.45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114,991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was granted 27,382 shares of Restricted Common Stock under the 2013 Stock-Based Compensation Plan. 9,543 time-vested restricted shares vest over a three year period as follows: 3,181 time-vested restricted shares on January 7, 2020, 2021 and 2022, respectively. 8,296 performance-based restricted shares are targeted to vest on January 7, 2022 based on the Company's Total Shareholder Return versus a defined peer group of companies, with the final number of performance-based vested shares varying from 0 to 200% of 8,296. 9,543 performance-based restricted shares are targeted to vest on January 7, 2022 based on the Return on Invested Capital achieved by the Company compared to the ROIC target, with the final number of performance-based vested shares varying from 0 to 200% of 9,543.</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transferred to the Company for tax withholding in connection with vesting of restricted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Rosemary M. Haselroth, by</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01/09/2019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90"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2019-12-24T06:29:03Z</dcterms:created>
  <dcterms:modified xsi:type="dcterms:W3CDTF">2019-12-24T06:29:03Z</dcterms:modified>
</cp:coreProperties>
</file>