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p>
    <w:p>
      <w:pPr>
        <w:spacing w:after="0" w:line="200" w:lineRule="exact"/>
        <w:rPr>
          <w:sz w:val="24"/>
          <w:szCs w:val="24"/>
          <w:color w:val="auto"/>
        </w:rPr>
      </w:pPr>
    </w:p>
    <w:p>
      <w:pPr>
        <w:spacing w:after="0" w:line="294"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33"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21"/>
          <w:szCs w:val="21"/>
          <w:b w:val="1"/>
          <w:bCs w:val="1"/>
          <w:color w:val="auto"/>
        </w:rPr>
        <w:t>SECURITIES AND EXCHANGE COMMISSION</w:t>
      </w:r>
    </w:p>
    <w:p>
      <w:pPr>
        <w:spacing w:after="0" w:line="29"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22"/>
          <w:szCs w:val="22"/>
          <w:b w:val="1"/>
          <w:bCs w:val="1"/>
          <w:color w:val="auto"/>
        </w:rPr>
        <w:t>Washington, D. C. 20549</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60" w:lineRule="exact"/>
        <w:rPr>
          <w:sz w:val="24"/>
          <w:szCs w:val="24"/>
          <w:color w:val="auto"/>
        </w:rPr>
      </w:pPr>
    </w:p>
    <w:p>
      <w:pPr>
        <w:ind w:left="4280"/>
        <w:spacing w:after="0"/>
        <w:rPr>
          <w:sz w:val="20"/>
          <w:szCs w:val="20"/>
          <w:color w:val="auto"/>
        </w:rPr>
      </w:pPr>
      <w:r>
        <w:rPr>
          <w:rFonts w:ascii="Times New Roman" w:cs="Times New Roman" w:eastAsia="Times New Roman" w:hAnsi="Times New Roman"/>
          <w:sz w:val="29"/>
          <w:szCs w:val="29"/>
          <w:b w:val="1"/>
          <w:bCs w:val="1"/>
          <w:color w:val="auto"/>
        </w:rPr>
        <w:t>FORM 11-K</w:t>
      </w:r>
    </w:p>
    <w:p>
      <w:pPr>
        <w:sectPr>
          <w:pgSz w:w="11900" w:h="16838" w:orient="portrait"/>
          <w:cols w:equalWidth="0" w:num="1">
            <w:col w:w="9559"/>
          </w:cols>
          <w:pgMar w:left="900" w:top="1440" w:right="1440" w:bottom="1440" w:gutter="0" w:footer="0" w:header="0"/>
        </w:sectPr>
      </w:pPr>
    </w:p>
    <w:p>
      <w:pPr>
        <w:spacing w:after="0" w:line="200" w:lineRule="exact"/>
        <w:rPr>
          <w:sz w:val="24"/>
          <w:szCs w:val="24"/>
          <w:color w:val="auto"/>
        </w:rPr>
      </w:pP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 X ]</w:t>
      </w:r>
    </w:p>
    <w:p>
      <w:pPr>
        <w:spacing w:after="0" w:line="20" w:lineRule="exact"/>
        <w:rPr>
          <w:sz w:val="24"/>
          <w:szCs w:val="24"/>
          <w:color w:val="auto"/>
        </w:rPr>
      </w:pPr>
      <w:r>
        <w:rPr>
          <w:sz w:val="24"/>
          <w:szCs w:val="24"/>
          <w:color w:val="auto"/>
        </w:rPr>
        <w:br w:type="column"/>
      </w:r>
    </w:p>
    <w:p>
      <w:pPr>
        <w:spacing w:after="0" w:line="382"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ANNUAL REPORT PURSUANT TO SECTION 15(d)</w:t>
      </w:r>
    </w:p>
    <w:p>
      <w:pPr>
        <w:spacing w:after="0" w:line="4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200" w:lineRule="exact"/>
        <w:rPr>
          <w:sz w:val="24"/>
          <w:szCs w:val="24"/>
          <w:color w:val="auto"/>
        </w:rPr>
      </w:pPr>
    </w:p>
    <w:p>
      <w:pPr>
        <w:sectPr>
          <w:pgSz w:w="11900" w:h="16838" w:orient="portrait"/>
          <w:cols w:equalWidth="0" w:num="2">
            <w:col w:w="920" w:space="720"/>
            <w:col w:w="7919"/>
          </w:cols>
          <w:pgMar w:left="900" w:top="1440" w:right="1440" w:bottom="1440" w:gutter="0" w:footer="0" w:header="0"/>
          <w:type w:val="continuous"/>
        </w:sectPr>
      </w:pPr>
    </w:p>
    <w:p>
      <w:pPr>
        <w:spacing w:after="0" w:line="341" w:lineRule="exact"/>
        <w:rPr>
          <w:sz w:val="24"/>
          <w:szCs w:val="24"/>
          <w:color w:val="auto"/>
        </w:rPr>
      </w:pPr>
    </w:p>
    <w:p>
      <w:pPr>
        <w:ind w:left="1640"/>
        <w:spacing w:after="0"/>
        <w:rPr>
          <w:sz w:val="20"/>
          <w:szCs w:val="20"/>
          <w:color w:val="auto"/>
        </w:rPr>
      </w:pPr>
      <w:r>
        <w:rPr>
          <w:rFonts w:ascii="Times New Roman" w:cs="Times New Roman" w:eastAsia="Times New Roman" w:hAnsi="Times New Roman"/>
          <w:sz w:val="21"/>
          <w:szCs w:val="21"/>
          <w:b w:val="1"/>
          <w:bCs w:val="1"/>
          <w:color w:val="auto"/>
        </w:rPr>
        <w:t>For the fiscal year ended December 31, 2023</w:t>
      </w:r>
    </w:p>
    <w:p>
      <w:pPr>
        <w:spacing w:after="0" w:line="299" w:lineRule="exact"/>
        <w:rPr>
          <w:sz w:val="24"/>
          <w:szCs w:val="24"/>
          <w:color w:val="auto"/>
        </w:rPr>
      </w:pPr>
    </w:p>
    <w:p>
      <w:pPr>
        <w:ind w:left="1640"/>
        <w:spacing w:after="0"/>
        <w:rPr>
          <w:sz w:val="20"/>
          <w:szCs w:val="20"/>
          <w:color w:val="auto"/>
        </w:rPr>
      </w:pPr>
      <w:r>
        <w:rPr>
          <w:rFonts w:ascii="Times New Roman" w:cs="Times New Roman" w:eastAsia="Times New Roman" w:hAnsi="Times New Roman"/>
          <w:sz w:val="22"/>
          <w:szCs w:val="22"/>
          <w:b w:val="1"/>
          <w:bCs w:val="1"/>
          <w:color w:val="auto"/>
        </w:rPr>
        <w:t>Commission File Number 001-41550</w:t>
      </w:r>
    </w:p>
    <w:p>
      <w:pPr>
        <w:sectPr>
          <w:pgSz w:w="11900" w:h="16838" w:orient="portrait"/>
          <w:cols w:equalWidth="0" w:num="1">
            <w:col w:w="9559"/>
          </w:cols>
          <w:pgMar w:left="900" w:top="1440" w:right="1440" w:bottom="1440" w:gutter="0" w:footer="0" w:header="0"/>
          <w:type w:val="continuous"/>
        </w:sectPr>
      </w:pPr>
    </w:p>
    <w:p>
      <w:pPr>
        <w:spacing w:after="0" w:line="200" w:lineRule="exact"/>
        <w:rPr>
          <w:sz w:val="24"/>
          <w:szCs w:val="24"/>
          <w:color w:val="auto"/>
        </w:rPr>
      </w:pPr>
    </w:p>
    <w:p>
      <w:pPr>
        <w:spacing w:after="0" w:line="263" w:lineRule="exact"/>
        <w:rPr>
          <w:sz w:val="24"/>
          <w:szCs w:val="24"/>
          <w:color w:val="auto"/>
        </w:rPr>
      </w:pPr>
    </w:p>
    <w:p>
      <w:pPr>
        <w:ind w:left="2200" w:hanging="469"/>
        <w:spacing w:after="0"/>
        <w:tabs>
          <w:tab w:leader="none" w:pos="2200"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Full title of the plan:</w:t>
      </w:r>
    </w:p>
    <w:p>
      <w:pPr>
        <w:spacing w:after="0" w:line="287" w:lineRule="exact"/>
        <w:rPr>
          <w:rFonts w:ascii="Times New Roman" w:cs="Times New Roman" w:eastAsia="Times New Roman" w:hAnsi="Times New Roman"/>
          <w:sz w:val="22"/>
          <w:szCs w:val="22"/>
          <w:b w:val="1"/>
          <w:bCs w:val="1"/>
          <w:color w:val="auto"/>
        </w:rPr>
      </w:pPr>
    </w:p>
    <w:p>
      <w:pPr>
        <w:ind w:left="2200" w:right="4119"/>
        <w:spacing w:after="0" w:line="287" w:lineRule="auto"/>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Crown Cork &amp; Seal Company, Inc. Retirement Thrift Plan</w:t>
      </w:r>
    </w:p>
    <w:p>
      <w:pPr>
        <w:spacing w:after="0" w:line="204" w:lineRule="exact"/>
        <w:rPr>
          <w:rFonts w:ascii="Times New Roman" w:cs="Times New Roman" w:eastAsia="Times New Roman" w:hAnsi="Times New Roman"/>
          <w:sz w:val="22"/>
          <w:szCs w:val="22"/>
          <w:b w:val="1"/>
          <w:bCs w:val="1"/>
          <w:color w:val="auto"/>
        </w:rPr>
      </w:pPr>
    </w:p>
    <w:p>
      <w:pPr>
        <w:ind w:left="2200" w:right="2079" w:hanging="457"/>
        <w:spacing w:after="0" w:line="287" w:lineRule="auto"/>
        <w:tabs>
          <w:tab w:leader="none" w:pos="2200"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Name of issuer of the Securities held pursuant to the plan and the address of its principal executive office:</w:t>
      </w:r>
    </w:p>
    <w:p>
      <w:pPr>
        <w:spacing w:after="0" w:line="200" w:lineRule="exact"/>
        <w:rPr>
          <w:sz w:val="24"/>
          <w:szCs w:val="24"/>
          <w:color w:val="auto"/>
        </w:rPr>
      </w:pPr>
    </w:p>
    <w:p>
      <w:pPr>
        <w:spacing w:after="0" w:line="200" w:lineRule="exact"/>
        <w:rPr>
          <w:sz w:val="24"/>
          <w:szCs w:val="24"/>
          <w:color w:val="auto"/>
        </w:rPr>
      </w:pPr>
    </w:p>
    <w:p>
      <w:pPr>
        <w:spacing w:after="0" w:line="223"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CROWN HOLDINGS, INC.</w:t>
      </w:r>
    </w:p>
    <w:p>
      <w:pPr>
        <w:spacing w:after="0" w:line="33"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14025 Riveredge Drive, Suite 300</w:t>
      </w:r>
    </w:p>
    <w:p>
      <w:pPr>
        <w:spacing w:after="0" w:line="17"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Tampa, FL 33637-2015</w:t>
      </w:r>
    </w:p>
    <w:p>
      <w:pPr>
        <w:sectPr>
          <w:pgSz w:w="11900" w:h="16838" w:orient="portrait"/>
          <w:cols w:equalWidth="0" w:num="1">
            <w:col w:w="9559"/>
          </w:cols>
          <w:pgMar w:left="900" w:top="1440" w:right="1440"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25"/>
          <w:szCs w:val="25"/>
          <w:b w:val="1"/>
          <w:bCs w:val="1"/>
          <w:color w:val="auto"/>
        </w:rPr>
        <w:t>Crown Cork &amp; Seal Company, Inc.</w:t>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Retirement Thrift Plan</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71755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tbl>
      <w:tblPr>
        <w:tblLayout w:type="fixed"/>
        <w:tblInd w:w="1080" w:type="dxa"/>
        <w:tblCellMar>
          <w:top w:w="0" w:type="dxa"/>
          <w:left w:w="0" w:type="dxa"/>
          <w:bottom w:w="0" w:type="dxa"/>
          <w:right w:w="0" w:type="dxa"/>
        </w:tblCellMar>
      </w:tblPr>
      <w:tr>
        <w:trPr>
          <w:trHeight w:val="258"/>
        </w:trPr>
        <w:tc>
          <w:tcPr>
            <w:tcW w:w="7620" w:type="dxa"/>
            <w:vAlign w:val="bottom"/>
          </w:tcPr>
          <w:p>
            <w:pPr>
              <w:spacing w:after="0"/>
              <w:rPr>
                <w:sz w:val="22"/>
                <w:szCs w:val="22"/>
                <w:color w:val="auto"/>
              </w:rPr>
            </w:pPr>
          </w:p>
        </w:tc>
        <w:tc>
          <w:tcPr>
            <w:tcW w:w="1140" w:type="dxa"/>
            <w:vAlign w:val="bottom"/>
          </w:tcPr>
          <w:p>
            <w:pPr>
              <w:ind w:left="560"/>
              <w:spacing w:after="0"/>
              <w:rPr>
                <w:sz w:val="20"/>
                <w:szCs w:val="20"/>
                <w:color w:val="auto"/>
              </w:rPr>
            </w:pPr>
            <w:r>
              <w:rPr>
                <w:rFonts w:ascii="Times New Roman" w:cs="Times New Roman" w:eastAsia="Times New Roman" w:hAnsi="Times New Roman"/>
                <w:sz w:val="20"/>
                <w:szCs w:val="20"/>
                <w:color w:val="auto"/>
                <w:w w:val="93"/>
              </w:rPr>
              <w:t>Page(s)</w:t>
            </w:r>
          </w:p>
        </w:tc>
        <w:tc>
          <w:tcPr>
            <w:tcW w:w="0" w:type="dxa"/>
            <w:vAlign w:val="bottom"/>
          </w:tcPr>
          <w:p>
            <w:pPr>
              <w:spacing w:after="0"/>
              <w:rPr>
                <w:sz w:val="1"/>
                <w:szCs w:val="1"/>
                <w:color w:val="auto"/>
              </w:rPr>
            </w:pPr>
          </w:p>
        </w:tc>
      </w:tr>
      <w:tr>
        <w:trPr>
          <w:trHeight w:val="540"/>
        </w:trPr>
        <w:tc>
          <w:tcPr>
            <w:tcW w:w="7620" w:type="dxa"/>
            <w:vAlign w:val="bottom"/>
          </w:tcPr>
          <w:p>
            <w:pPr>
              <w:spacing w:after="0"/>
              <w:rPr>
                <w:sz w:val="20"/>
                <w:szCs w:val="20"/>
                <w:color w:val="auto"/>
              </w:rPr>
            </w:pPr>
            <w:r>
              <w:rPr>
                <w:rFonts w:ascii="Times New Roman" w:cs="Times New Roman" w:eastAsia="Times New Roman" w:hAnsi="Times New Roman"/>
                <w:sz w:val="20"/>
                <w:szCs w:val="20"/>
                <w:color w:val="auto"/>
              </w:rPr>
              <w:t>Reports of Independent Registered Public Accounting Firms</w:t>
            </w:r>
          </w:p>
        </w:tc>
        <w:tc>
          <w:tcPr>
            <w:tcW w:w="1140" w:type="dxa"/>
            <w:vAlign w:val="bottom"/>
          </w:tcPr>
          <w:p>
            <w:pPr>
              <w:jc w:val="center"/>
              <w:ind w:left="461"/>
              <w:spacing w:after="0"/>
              <w:rPr>
                <w:sz w:val="20"/>
                <w:szCs w:val="20"/>
                <w:color w:val="auto"/>
              </w:rPr>
            </w:pPr>
            <w:r>
              <w:rPr>
                <w:rFonts w:ascii="Times New Roman" w:cs="Times New Roman" w:eastAsia="Times New Roman" w:hAnsi="Times New Roman"/>
                <w:sz w:val="20"/>
                <w:szCs w:val="20"/>
                <w:color w:val="auto"/>
                <w:w w:val="97"/>
              </w:rPr>
              <w:t>1-2</w:t>
            </w:r>
          </w:p>
        </w:tc>
        <w:tc>
          <w:tcPr>
            <w:tcW w:w="0" w:type="dxa"/>
            <w:vAlign w:val="bottom"/>
          </w:tcPr>
          <w:p>
            <w:pPr>
              <w:spacing w:after="0"/>
              <w:rPr>
                <w:sz w:val="1"/>
                <w:szCs w:val="1"/>
                <w:color w:val="auto"/>
              </w:rPr>
            </w:pPr>
          </w:p>
        </w:tc>
      </w:tr>
      <w:tr>
        <w:trPr>
          <w:trHeight w:val="540"/>
        </w:trPr>
        <w:tc>
          <w:tcPr>
            <w:tcW w:w="7620" w:type="dxa"/>
            <w:vAlign w:val="bottom"/>
          </w:tcPr>
          <w:p>
            <w:pPr>
              <w:spacing w:after="0"/>
              <w:rPr>
                <w:sz w:val="20"/>
                <w:szCs w:val="20"/>
                <w:color w:val="auto"/>
              </w:rPr>
            </w:pPr>
            <w:r>
              <w:rPr>
                <w:rFonts w:ascii="Times New Roman" w:cs="Times New Roman" w:eastAsia="Times New Roman" w:hAnsi="Times New Roman"/>
                <w:sz w:val="20"/>
                <w:szCs w:val="20"/>
                <w:color w:val="auto"/>
              </w:rPr>
              <w:t>Financial Statements</w:t>
            </w: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762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Statements of Net Assets Available for Benefits as of December 31, 2023 and 2022</w:t>
            </w:r>
          </w:p>
        </w:tc>
        <w:tc>
          <w:tcPr>
            <w:tcW w:w="1140" w:type="dxa"/>
            <w:vAlign w:val="bottom"/>
          </w:tcPr>
          <w:p>
            <w:pPr>
              <w:jc w:val="center"/>
              <w:ind w:left="461"/>
              <w:spacing w:after="0"/>
              <w:rPr>
                <w:sz w:val="20"/>
                <w:szCs w:val="20"/>
                <w:color w:val="auto"/>
              </w:rPr>
            </w:pPr>
            <w:r>
              <w:rPr>
                <w:rFonts w:ascii="Times New Roman" w:cs="Times New Roman" w:eastAsia="Times New Roman" w:hAnsi="Times New Roman"/>
                <w:sz w:val="20"/>
                <w:szCs w:val="20"/>
                <w:color w:val="auto"/>
                <w:w w:val="99"/>
              </w:rPr>
              <w:t>3</w:t>
            </w:r>
          </w:p>
        </w:tc>
        <w:tc>
          <w:tcPr>
            <w:tcW w:w="0" w:type="dxa"/>
            <w:vAlign w:val="bottom"/>
          </w:tcPr>
          <w:p>
            <w:pPr>
              <w:spacing w:after="0"/>
              <w:rPr>
                <w:sz w:val="1"/>
                <w:szCs w:val="1"/>
                <w:color w:val="auto"/>
              </w:rPr>
            </w:pPr>
          </w:p>
        </w:tc>
      </w:tr>
      <w:tr>
        <w:trPr>
          <w:trHeight w:val="498"/>
        </w:trPr>
        <w:tc>
          <w:tcPr>
            <w:tcW w:w="762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Statements of Changes in Net Assets Available for Benefits for the years ended</w:t>
            </w:r>
          </w:p>
        </w:tc>
        <w:tc>
          <w:tcPr>
            <w:tcW w:w="1140" w:type="dxa"/>
            <w:vAlign w:val="bottom"/>
            <w:vMerge w:val="restart"/>
          </w:tcPr>
          <w:p>
            <w:pPr>
              <w:jc w:val="center"/>
              <w:ind w:left="461"/>
              <w:spacing w:after="0"/>
              <w:rPr>
                <w:sz w:val="20"/>
                <w:szCs w:val="20"/>
                <w:color w:val="auto"/>
              </w:rPr>
            </w:pPr>
            <w:r>
              <w:rPr>
                <w:rFonts w:ascii="Times New Roman" w:cs="Times New Roman" w:eastAsia="Times New Roman" w:hAnsi="Times New Roman"/>
                <w:sz w:val="20"/>
                <w:szCs w:val="20"/>
                <w:color w:val="auto"/>
                <w:w w:val="99"/>
              </w:rPr>
              <w:t>4</w:t>
            </w:r>
          </w:p>
        </w:tc>
        <w:tc>
          <w:tcPr>
            <w:tcW w:w="0" w:type="dxa"/>
            <w:vAlign w:val="bottom"/>
          </w:tcPr>
          <w:p>
            <w:pPr>
              <w:spacing w:after="0"/>
              <w:rPr>
                <w:sz w:val="1"/>
                <w:szCs w:val="1"/>
                <w:color w:val="auto"/>
              </w:rPr>
            </w:pPr>
          </w:p>
        </w:tc>
      </w:tr>
      <w:tr>
        <w:trPr>
          <w:trHeight w:val="258"/>
        </w:trPr>
        <w:tc>
          <w:tcPr>
            <w:tcW w:w="762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December 31, 2023 and 2022</w:t>
            </w:r>
          </w:p>
        </w:tc>
        <w:tc>
          <w:tcPr>
            <w:tcW w:w="114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526"/>
        </w:trPr>
        <w:tc>
          <w:tcPr>
            <w:tcW w:w="762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Notes to Financial Statements</w:t>
            </w:r>
          </w:p>
        </w:tc>
        <w:tc>
          <w:tcPr>
            <w:tcW w:w="1140" w:type="dxa"/>
            <w:vAlign w:val="bottom"/>
          </w:tcPr>
          <w:p>
            <w:pPr>
              <w:jc w:val="center"/>
              <w:ind w:left="481"/>
              <w:spacing w:after="0"/>
              <w:rPr>
                <w:sz w:val="20"/>
                <w:szCs w:val="20"/>
                <w:color w:val="auto"/>
              </w:rPr>
            </w:pPr>
            <w:r>
              <w:rPr>
                <w:rFonts w:ascii="Times New Roman" w:cs="Times New Roman" w:eastAsia="Times New Roman" w:hAnsi="Times New Roman"/>
                <w:sz w:val="20"/>
                <w:szCs w:val="20"/>
                <w:color w:val="auto"/>
                <w:w w:val="98"/>
              </w:rPr>
              <w:t>5-10</w:t>
            </w:r>
          </w:p>
        </w:tc>
        <w:tc>
          <w:tcPr>
            <w:tcW w:w="0" w:type="dxa"/>
            <w:vAlign w:val="bottom"/>
          </w:tcPr>
          <w:p>
            <w:pPr>
              <w:spacing w:after="0"/>
              <w:rPr>
                <w:sz w:val="1"/>
                <w:szCs w:val="1"/>
                <w:color w:val="auto"/>
              </w:rPr>
            </w:pPr>
          </w:p>
        </w:tc>
      </w:tr>
      <w:tr>
        <w:trPr>
          <w:trHeight w:val="540"/>
        </w:trPr>
        <w:tc>
          <w:tcPr>
            <w:tcW w:w="7620" w:type="dxa"/>
            <w:vAlign w:val="bottom"/>
          </w:tcPr>
          <w:p>
            <w:pPr>
              <w:spacing w:after="0"/>
              <w:rPr>
                <w:sz w:val="20"/>
                <w:szCs w:val="20"/>
                <w:color w:val="auto"/>
              </w:rPr>
            </w:pPr>
            <w:r>
              <w:rPr>
                <w:rFonts w:ascii="Times New Roman" w:cs="Times New Roman" w:eastAsia="Times New Roman" w:hAnsi="Times New Roman"/>
                <w:sz w:val="20"/>
                <w:szCs w:val="20"/>
                <w:color w:val="auto"/>
              </w:rPr>
              <w:t>Supplemental Information *</w:t>
            </w: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762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Schedule H, Line 4i - Schedule of Assets (Held at End of Year)</w:t>
            </w:r>
          </w:p>
        </w:tc>
        <w:tc>
          <w:tcPr>
            <w:tcW w:w="1140" w:type="dxa"/>
            <w:vAlign w:val="bottom"/>
          </w:tcPr>
          <w:p>
            <w:pPr>
              <w:jc w:val="center"/>
              <w:ind w:left="461"/>
              <w:spacing w:after="0"/>
              <w:rPr>
                <w:sz w:val="20"/>
                <w:szCs w:val="20"/>
                <w:color w:val="auto"/>
              </w:rPr>
            </w:pPr>
            <w:r>
              <w:rPr>
                <w:rFonts w:ascii="Times New Roman" w:cs="Times New Roman" w:eastAsia="Times New Roman" w:hAnsi="Times New Roman"/>
                <w:sz w:val="20"/>
                <w:szCs w:val="20"/>
                <w:color w:val="auto"/>
                <w:w w:val="89"/>
              </w:rPr>
              <w:t>11</w:t>
            </w:r>
          </w:p>
        </w:tc>
        <w:tc>
          <w:tcPr>
            <w:tcW w:w="0" w:type="dxa"/>
            <w:vAlign w:val="bottom"/>
          </w:tcPr>
          <w:p>
            <w:pPr>
              <w:spacing w:after="0"/>
              <w:rPr>
                <w:sz w:val="1"/>
                <w:szCs w:val="1"/>
                <w:color w:val="auto"/>
              </w:rPr>
            </w:pPr>
          </w:p>
        </w:tc>
      </w:tr>
      <w:tr>
        <w:trPr>
          <w:trHeight w:val="540"/>
        </w:trPr>
        <w:tc>
          <w:tcPr>
            <w:tcW w:w="762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Exhibit Index</w:t>
            </w:r>
          </w:p>
        </w:tc>
        <w:tc>
          <w:tcPr>
            <w:tcW w:w="1140" w:type="dxa"/>
            <w:vAlign w:val="bottom"/>
          </w:tcPr>
          <w:p>
            <w:pPr>
              <w:jc w:val="center"/>
              <w:ind w:left="481"/>
              <w:spacing w:after="0"/>
              <w:rPr>
                <w:sz w:val="20"/>
                <w:szCs w:val="20"/>
                <w:color w:val="auto"/>
              </w:rPr>
            </w:pPr>
            <w:r>
              <w:rPr>
                <w:rFonts w:ascii="Times New Roman" w:cs="Times New Roman" w:eastAsia="Times New Roman" w:hAnsi="Times New Roman"/>
                <w:sz w:val="20"/>
                <w:szCs w:val="20"/>
                <w:color w:val="auto"/>
                <w:w w:val="99"/>
              </w:rPr>
              <w:t>12</w:t>
            </w:r>
          </w:p>
        </w:tc>
        <w:tc>
          <w:tcPr>
            <w:tcW w:w="0" w:type="dxa"/>
            <w:vAlign w:val="bottom"/>
          </w:tcPr>
          <w:p>
            <w:pPr>
              <w:spacing w:after="0"/>
              <w:rPr>
                <w:sz w:val="1"/>
                <w:szCs w:val="1"/>
                <w:color w:val="auto"/>
              </w:rPr>
            </w:pPr>
          </w:p>
        </w:tc>
      </w:tr>
      <w:tr>
        <w:trPr>
          <w:trHeight w:val="540"/>
        </w:trPr>
        <w:tc>
          <w:tcPr>
            <w:tcW w:w="762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Signature</w:t>
            </w:r>
          </w:p>
        </w:tc>
        <w:tc>
          <w:tcPr>
            <w:tcW w:w="1140" w:type="dxa"/>
            <w:vAlign w:val="bottom"/>
          </w:tcPr>
          <w:p>
            <w:pPr>
              <w:jc w:val="center"/>
              <w:ind w:left="481"/>
              <w:spacing w:after="0"/>
              <w:rPr>
                <w:sz w:val="20"/>
                <w:szCs w:val="20"/>
                <w:color w:val="auto"/>
              </w:rPr>
            </w:pPr>
            <w:r>
              <w:rPr>
                <w:rFonts w:ascii="Times New Roman" w:cs="Times New Roman" w:eastAsia="Times New Roman" w:hAnsi="Times New Roman"/>
                <w:sz w:val="20"/>
                <w:szCs w:val="20"/>
                <w:color w:val="auto"/>
                <w:w w:val="99"/>
              </w:rPr>
              <w:t>12</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180" w:hanging="172"/>
        <w:spacing w:after="0" w:line="282" w:lineRule="auto"/>
        <w:tabs>
          <w:tab w:leader="none" w:pos="1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supplemental schedules required by Section 2520.103-10 of the Department of Labor's Rules and Regulations for Reporting and Disclosure under the Employee Retirement Income Security Act of 1974 have been omitted because they are not applicable.</w:t>
      </w:r>
    </w:p>
    <w:p>
      <w:pPr>
        <w:sectPr>
          <w:pgSz w:w="11900" w:h="16838" w:orient="portrait"/>
          <w:cols w:equalWidth="0" w:num="1">
            <w:col w:w="11240"/>
          </w:cols>
          <w:pgMar w:left="320" w:top="678"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22"/>
          <w:szCs w:val="22"/>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Participants of Crown Cork &amp; Seal Company, Inc. Retirement Thrift Plan and Members of the Benefit Plans Committee: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239" w:lineRule="exact"/>
        <w:rPr>
          <w:sz w:val="20"/>
          <w:szCs w:val="20"/>
          <w:color w:val="auto"/>
        </w:rPr>
      </w:pPr>
    </w:p>
    <w:p>
      <w:pPr>
        <w:jc w:val="both"/>
        <w:spacing w:after="0"/>
        <w:rPr>
          <w:sz w:val="20"/>
          <w:szCs w:val="20"/>
          <w:color w:val="auto"/>
        </w:rPr>
      </w:pPr>
      <w:r>
        <w:rPr>
          <w:rFonts w:ascii="Arial" w:cs="Arial" w:eastAsia="Arial" w:hAnsi="Arial"/>
          <w:sz w:val="18"/>
          <w:szCs w:val="18"/>
          <w:color w:val="auto"/>
        </w:rPr>
        <w:t>We have audited the accompanying statement of net assets available for benefits of Crown Cork &amp; Seal Company, Inc. Retirement Thrift Plan (the “Plan”) as of December 31, 2023, and the related statement of changes in net assets available for benefits for the year ended December 31, 2023, and the related notes and schedule (collectively referred to as the “financial statements”). In our opinion, the financial statements present fairly, in all material respects, the net assets available for benefits of the Plan as of December 31, 2023, and the changes</w:t>
      </w:r>
    </w:p>
    <w:p>
      <w:pPr>
        <w:jc w:val="both"/>
        <w:spacing w:after="0" w:line="237" w:lineRule="auto"/>
        <w:rPr>
          <w:sz w:val="20"/>
          <w:szCs w:val="20"/>
          <w:color w:val="auto"/>
        </w:rPr>
      </w:pPr>
      <w:r>
        <w:rPr>
          <w:rFonts w:ascii="Arial" w:cs="Arial" w:eastAsia="Arial" w:hAnsi="Arial"/>
          <w:sz w:val="18"/>
          <w:szCs w:val="18"/>
          <w:color w:val="auto"/>
        </w:rPr>
        <w:t>in net assets available for benefits for the year ended December 31, 2023, in conformity with accounting principles generally accepted in the United States of America.</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39"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These financial statements are the responsibility of the Plan’s management. Our responsibility is to express an opinion on these financial statements based on our audit. We are a public accounting firm registered with the Public Company Accounting Oversight Board (United States) ("PCAOB") and are required to be independent with respect to the Plan in accordance with the U.S. federal securities laws and the applicable rules and regulations of the Securities and Exchange Commission and the PCAOB.</w:t>
      </w:r>
    </w:p>
    <w:p>
      <w:pPr>
        <w:spacing w:after="0" w:line="201"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We conducted our audit in accordance with the standards of the PCAOB. Those standards require that we plan and perform the audit to obtain reasonable assurance about whether the financial statements are free of material misstatement, whether due to error or fraud. The Plan is not required to have, nor were we engaged to perform, an audit of its internal control over financial reporting. As part of our audit, we are required to obtain an understanding of internal control over financial reporting, but not for the purposes of expressing an opinion on the effectiveness of the Plan’s internal control over financial reporting. Accordingly, we express no such opinion.</w:t>
      </w:r>
    </w:p>
    <w:p>
      <w:pPr>
        <w:spacing w:after="0" w:line="203" w:lineRule="exact"/>
        <w:rPr>
          <w:sz w:val="20"/>
          <w:szCs w:val="20"/>
          <w:color w:val="auto"/>
        </w:rPr>
      </w:pPr>
    </w:p>
    <w:p>
      <w:pPr>
        <w:jc w:val="both"/>
        <w:spacing w:after="0" w:line="245" w:lineRule="auto"/>
        <w:rPr>
          <w:sz w:val="20"/>
          <w:szCs w:val="20"/>
          <w:color w:val="auto"/>
        </w:rPr>
      </w:pPr>
      <w:r>
        <w:rPr>
          <w:rFonts w:ascii="Arial" w:cs="Arial" w:eastAsia="Arial" w:hAnsi="Arial"/>
          <w:sz w:val="18"/>
          <w:szCs w:val="18"/>
          <w:color w:val="auto"/>
        </w:rPr>
        <w:t>Our audit included performing procedures to assess the risks of material misstatement of the financial statements, whether due to error or fraud, and performing procedures that respond to those risks. Such procedures included examining, on a test basis, evidence regarding the</w:t>
      </w:r>
    </w:p>
    <w:p>
      <w:pPr>
        <w:jc w:val="both"/>
        <w:spacing w:after="0" w:line="226" w:lineRule="auto"/>
        <w:rPr>
          <w:sz w:val="20"/>
          <w:szCs w:val="20"/>
          <w:color w:val="auto"/>
        </w:rPr>
      </w:pPr>
      <w:r>
        <w:rPr>
          <w:rFonts w:ascii="Arial" w:cs="Arial" w:eastAsia="Arial" w:hAnsi="Arial"/>
          <w:sz w:val="18"/>
          <w:szCs w:val="18"/>
          <w:color w:val="auto"/>
        </w:rPr>
        <w:t>amounts and disclosures in the financial statements. Our audit also included evaluating the accounting principles used and significant estimates made by management, as well as evaluating the overall presentation of the financial statements. We believe that our audit</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provides a reasonable basis for our opinion.</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Supplemental Information</w:t>
      </w:r>
    </w:p>
    <w:p>
      <w:pPr>
        <w:spacing w:after="0" w:line="239" w:lineRule="exact"/>
        <w:rPr>
          <w:sz w:val="20"/>
          <w:szCs w:val="20"/>
          <w:color w:val="auto"/>
        </w:rPr>
      </w:pPr>
    </w:p>
    <w:p>
      <w:pPr>
        <w:jc w:val="both"/>
        <w:spacing w:after="0"/>
        <w:rPr>
          <w:sz w:val="20"/>
          <w:szCs w:val="20"/>
          <w:color w:val="auto"/>
        </w:rPr>
      </w:pPr>
      <w:r>
        <w:rPr>
          <w:rFonts w:ascii="Arial" w:cs="Arial" w:eastAsia="Arial" w:hAnsi="Arial"/>
          <w:sz w:val="18"/>
          <w:szCs w:val="18"/>
          <w:color w:val="auto"/>
        </w:rPr>
        <w:t>The supplemental information in the accompanying Schedule of Assets (Held at End of Year) as of December 31, 2023 has been subjected to audit procedures performed in conjunction with the audit of the Plan’s financial statements. The supplemental information is the responsibility of the Plan’s management. Our audit procedures included determining whether the supplemental information reconciles to the financial statements or the underlying accounting and other records, as applicable, and performing procedures to test the completeness and accuracy of the information presented in the supplemental information. In forming our opinion on the supplemental information, we evaluated whether the supplemental information, including its form and content, is presented in conformity with the Department of Labor’s Rules and Regulations for Reporting and Disclosure under the Employee Retirement Income Security Act of 1974. In our opinion, the supplemental information is fairly stated, in all material respects, in relation to the financial statements as a whole.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/s/ WithumSmith+Brown, PC</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auditor of the Crown Cork &amp; Seal Company, Inc. Retirement Thrift Plan since 2024.</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Whippany, New Jersey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June 21, 2024</w:t>
      </w:r>
    </w:p>
    <w:p>
      <w:pPr>
        <w:spacing w:after="0"/>
        <w:rPr>
          <w:sz w:val="20"/>
          <w:szCs w:val="20"/>
          <w:color w:val="auto"/>
        </w:rPr>
      </w:pPr>
      <w:r>
        <w:rPr>
          <w:rFonts w:ascii="Arial" w:cs="Arial" w:eastAsia="Arial" w:hAnsi="Arial"/>
          <w:sz w:val="18"/>
          <w:szCs w:val="18"/>
          <w:color w:val="auto"/>
        </w:rPr>
        <w:t>PCAOB ID Number 100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240"/>
          </w:cols>
          <w:pgMar w:left="320" w:top="881" w:right="339" w:bottom="1440" w:gutter="0" w:footer="0" w:header="0"/>
        </w:sectPr>
      </w:pPr>
    </w:p>
    <w:bookmarkStart w:id="3" w:name="page4"/>
    <w:bookmarkEnd w:id="3"/>
    <w:p>
      <w:pPr>
        <w:jc w:val="center"/>
        <w:ind w:right="-39"/>
        <w:spacing w:after="0"/>
        <w:rPr>
          <w:sz w:val="20"/>
          <w:szCs w:val="20"/>
          <w:color w:val="auto"/>
        </w:rPr>
      </w:pPr>
      <w:r>
        <w:rPr>
          <w:rFonts w:ascii="Arial" w:cs="Arial" w:eastAsia="Arial" w:hAnsi="Arial"/>
          <w:sz w:val="22"/>
          <w:szCs w:val="22"/>
          <w:b w:val="1"/>
          <w:bCs w:val="1"/>
          <w:color w:val="auto"/>
        </w:rPr>
        <w:t>Report of Independent Registered Public Accounting Firm</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auto"/>
        </w:rPr>
        <w:t>To the Plan Administrator and Plan Participants of Crown Cork &amp; Seal Company, Inc. Retirement Thrift Plan:</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239" w:lineRule="exact"/>
        <w:rPr>
          <w:sz w:val="20"/>
          <w:szCs w:val="20"/>
          <w:color w:val="auto"/>
        </w:rPr>
      </w:pPr>
    </w:p>
    <w:p>
      <w:pPr>
        <w:spacing w:after="0" w:line="244" w:lineRule="auto"/>
        <w:rPr>
          <w:sz w:val="20"/>
          <w:szCs w:val="20"/>
          <w:color w:val="auto"/>
        </w:rPr>
      </w:pPr>
      <w:r>
        <w:rPr>
          <w:rFonts w:ascii="Arial" w:cs="Arial" w:eastAsia="Arial" w:hAnsi="Arial"/>
          <w:sz w:val="18"/>
          <w:szCs w:val="18"/>
          <w:color w:val="auto"/>
        </w:rPr>
        <w:t>We have audited the accompanying statement of net assets available for benefits of the Crown Cork &amp; Seal Company, Inc. Retirement Thrift Plan (the Plan) as of December 31, 2022 and the related statement of changes in net assets available for benefits for the year then ended, and the related notes (collectively referred to as the financial statements). In our opinion, the financial statements present fairly, in all material respects, the net assets available for benefits of the Plan as of December 31, 2022, and the changes in net assets available for benefits for the year then ended, in conformity with accounting principles generally accepted in the United States of America.</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25" w:lineRule="exact"/>
        <w:rPr>
          <w:sz w:val="20"/>
          <w:szCs w:val="20"/>
          <w:color w:val="auto"/>
        </w:rPr>
      </w:pPr>
    </w:p>
    <w:p>
      <w:pPr>
        <w:spacing w:after="0" w:line="247" w:lineRule="auto"/>
        <w:rPr>
          <w:sz w:val="20"/>
          <w:szCs w:val="20"/>
          <w:color w:val="auto"/>
        </w:rPr>
      </w:pPr>
      <w:r>
        <w:rPr>
          <w:rFonts w:ascii="Arial" w:cs="Arial" w:eastAsia="Arial" w:hAnsi="Arial"/>
          <w:sz w:val="18"/>
          <w:szCs w:val="18"/>
          <w:color w:val="auto"/>
        </w:rPr>
        <w:t>These financial statements are the responsibility of the Plan's management. Our responsibility is to express an opinion on the Plan's financial statements based on our audit. We are a public accounting firm registered with the Public Company Accounting Oversight Board (United States) (PCAOB) and are required to be independent with respect to the Plan in accordance with the U.S. federal securities laws and the applicable rules and regulations of the Securities and Exchange Commission and the PCAOB.</w:t>
      </w:r>
    </w:p>
    <w:p>
      <w:pPr>
        <w:spacing w:after="0" w:line="201" w:lineRule="exact"/>
        <w:rPr>
          <w:sz w:val="20"/>
          <w:szCs w:val="20"/>
          <w:color w:val="auto"/>
        </w:rPr>
      </w:pPr>
    </w:p>
    <w:p>
      <w:pPr>
        <w:ind w:right="400"/>
        <w:spacing w:after="0" w:line="271" w:lineRule="auto"/>
        <w:rPr>
          <w:sz w:val="20"/>
          <w:szCs w:val="20"/>
          <w:color w:val="auto"/>
        </w:rPr>
      </w:pPr>
      <w:r>
        <w:rPr>
          <w:rFonts w:ascii="Arial" w:cs="Arial" w:eastAsia="Arial" w:hAnsi="Arial"/>
          <w:sz w:val="18"/>
          <w:szCs w:val="18"/>
          <w:color w:val="auto"/>
        </w:rPr>
        <w:t>We conducted our audit in accordance with the standards of the PCAOB. Those standards require that we plan and perform the audit to obtain reasonable assurance about whether the financial statements are free of material misstatement, whether due to error or fraud.</w:t>
      </w:r>
    </w:p>
    <w:p>
      <w:pPr>
        <w:spacing w:after="0" w:line="181" w:lineRule="exact"/>
        <w:rPr>
          <w:sz w:val="20"/>
          <w:szCs w:val="20"/>
          <w:color w:val="auto"/>
        </w:rPr>
      </w:pPr>
    </w:p>
    <w:p>
      <w:pPr>
        <w:ind w:right="120"/>
        <w:spacing w:after="0" w:line="244" w:lineRule="auto"/>
        <w:rPr>
          <w:sz w:val="20"/>
          <w:szCs w:val="20"/>
          <w:color w:val="auto"/>
        </w:rPr>
      </w:pPr>
      <w:r>
        <w:rPr>
          <w:rFonts w:ascii="Arial" w:cs="Arial" w:eastAsia="Arial" w:hAnsi="Arial"/>
          <w:sz w:val="18"/>
          <w:szCs w:val="18"/>
          <w:color w:val="auto"/>
        </w:rPr>
        <w:t>Our audit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 also included evaluating the accounting principles used and significant estimates made by management, as well as evaluating the overall presentation of the financial statements. We believe that our audit provides a reasonable basis for our opinion.</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/s/ BAKER TILLY US, LLP</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We served as the Plan's auditor from 2005 to 2023.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Philadelphia, Pennsylvania</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June 23,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200"/>
          </w:cols>
          <w:pgMar w:left="320" w:top="881" w:right="379" w:bottom="1440" w:gutter="0" w:footer="0" w:header="0"/>
        </w:sectPr>
      </w:pPr>
    </w:p>
    <w:bookmarkStart w:id="4" w:name="page5"/>
    <w:bookmarkEnd w:id="4"/>
    <w:p>
      <w:pPr>
        <w:ind w:left="180"/>
        <w:spacing w:after="0"/>
        <w:rPr>
          <w:sz w:val="20"/>
          <w:szCs w:val="20"/>
          <w:color w:val="auto"/>
        </w:rPr>
      </w:pPr>
      <w:r>
        <w:rPr>
          <w:rFonts w:ascii="Times New Roman" w:cs="Times New Roman" w:eastAsia="Times New Roman" w:hAnsi="Times New Roman"/>
          <w:sz w:val="22"/>
          <w:szCs w:val="22"/>
          <w:b w:val="1"/>
          <w:bCs w:val="1"/>
          <w:color w:val="auto"/>
        </w:rPr>
        <w:t>CROWN CORK &amp; SEAL COMPANY, INC.</w:t>
      </w:r>
    </w:p>
    <w:p>
      <w:pPr>
        <w:spacing w:after="0" w:line="3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2"/>
          <w:szCs w:val="22"/>
          <w:b w:val="1"/>
          <w:bCs w:val="1"/>
          <w:color w:val="auto"/>
        </w:rPr>
        <w:t>RETIREMENT THRIFT PLAN</w:t>
      </w:r>
    </w:p>
    <w:p>
      <w:pPr>
        <w:spacing w:after="0" w:line="1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2"/>
          <w:szCs w:val="22"/>
          <w:b w:val="1"/>
          <w:bCs w:val="1"/>
          <w:color w:val="auto"/>
        </w:rPr>
        <w:t>Statements of Net Assets Available for Benefits</w:t>
      </w:r>
    </w:p>
    <w:p>
      <w:pPr>
        <w:spacing w:after="0" w:line="17" w:lineRule="exact"/>
        <w:rPr>
          <w:sz w:val="20"/>
          <w:szCs w:val="20"/>
          <w:color w:val="auto"/>
        </w:rPr>
      </w:pPr>
    </w:p>
    <w:tbl>
      <w:tblPr>
        <w:tblLayout w:type="fixed"/>
        <w:tblInd w:w="160" w:type="dxa"/>
        <w:tblCellMar>
          <w:top w:w="0" w:type="dxa"/>
          <w:left w:w="0" w:type="dxa"/>
          <w:bottom w:w="0" w:type="dxa"/>
          <w:right w:w="0" w:type="dxa"/>
        </w:tblCellMar>
      </w:tblPr>
      <w:tr>
        <w:trPr>
          <w:trHeight w:val="272"/>
        </w:trPr>
        <w:tc>
          <w:tcPr>
            <w:tcW w:w="6000" w:type="dxa"/>
            <w:vAlign w:val="bottom"/>
            <w:tcBorders>
              <w:top w:val="single" w:sz="8" w:color="auto"/>
            </w:tcBorders>
          </w:tcPr>
          <w:p>
            <w:pPr>
              <w:spacing w:after="0"/>
              <w:rPr>
                <w:sz w:val="23"/>
                <w:szCs w:val="23"/>
                <w:color w:val="auto"/>
              </w:rPr>
            </w:pPr>
          </w:p>
        </w:tc>
        <w:tc>
          <w:tcPr>
            <w:tcW w:w="300" w:type="dxa"/>
            <w:vAlign w:val="bottom"/>
            <w:tcBorders>
              <w:top w:val="single" w:sz="8" w:color="auto"/>
              <w:bottom w:val="single" w:sz="8" w:color="auto"/>
            </w:tcBorders>
          </w:tcPr>
          <w:p>
            <w:pPr>
              <w:spacing w:after="0"/>
              <w:rPr>
                <w:sz w:val="23"/>
                <w:szCs w:val="23"/>
                <w:color w:val="auto"/>
              </w:rPr>
            </w:pPr>
          </w:p>
        </w:tc>
        <w:tc>
          <w:tcPr>
            <w:tcW w:w="2880" w:type="dxa"/>
            <w:vAlign w:val="bottom"/>
            <w:tcBorders>
              <w:top w:val="single" w:sz="8" w:color="auto"/>
              <w:bottom w:val="single" w:sz="8" w:color="auto"/>
            </w:tcBorders>
            <w:gridSpan w:val="3"/>
          </w:tcPr>
          <w:p>
            <w:pPr>
              <w:jc w:val="right"/>
              <w:ind w:right="61"/>
              <w:spacing w:after="0"/>
              <w:rPr>
                <w:sz w:val="20"/>
                <w:szCs w:val="20"/>
                <w:color w:val="auto"/>
              </w:rPr>
            </w:pPr>
            <w:r>
              <w:rPr>
                <w:rFonts w:ascii="Times New Roman" w:cs="Times New Roman" w:eastAsia="Times New Roman" w:hAnsi="Times New Roman"/>
                <w:sz w:val="20"/>
                <w:szCs w:val="20"/>
                <w:b w:val="1"/>
                <w:bCs w:val="1"/>
                <w:color w:val="auto"/>
              </w:rPr>
              <w:t>As of December 31,</w:t>
            </w:r>
          </w:p>
        </w:tc>
        <w:tc>
          <w:tcPr>
            <w:tcW w:w="1240" w:type="dxa"/>
            <w:vAlign w:val="bottom"/>
            <w:tcBorders>
              <w:top w:val="single" w:sz="8" w:color="auto"/>
              <w:bottom w:val="single" w:sz="8" w:color="auto"/>
            </w:tcBorders>
          </w:tcPr>
          <w:p>
            <w:pPr>
              <w:spacing w:after="0"/>
              <w:rPr>
                <w:sz w:val="23"/>
                <w:szCs w:val="23"/>
                <w:color w:val="auto"/>
              </w:rPr>
            </w:pPr>
          </w:p>
        </w:tc>
      </w:tr>
      <w:tr>
        <w:trPr>
          <w:trHeight w:val="263"/>
        </w:trPr>
        <w:tc>
          <w:tcPr>
            <w:tcW w:w="60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501"/>
              <w:spacing w:after="0"/>
              <w:rPr>
                <w:sz w:val="20"/>
                <w:szCs w:val="20"/>
                <w:color w:val="auto"/>
              </w:rPr>
            </w:pPr>
            <w:r>
              <w:rPr>
                <w:rFonts w:ascii="Times New Roman" w:cs="Times New Roman" w:eastAsia="Times New Roman" w:hAnsi="Times New Roman"/>
                <w:sz w:val="20"/>
                <w:szCs w:val="20"/>
                <w:b w:val="1"/>
                <w:bCs w:val="1"/>
                <w:color w:val="auto"/>
              </w:rPr>
              <w:t>2023</w:t>
            </w:r>
          </w:p>
        </w:tc>
        <w:tc>
          <w:tcPr>
            <w:tcW w:w="13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501"/>
              <w:spacing w:after="0"/>
              <w:rPr>
                <w:sz w:val="20"/>
                <w:szCs w:val="20"/>
                <w:color w:val="auto"/>
              </w:rPr>
            </w:pPr>
            <w:r>
              <w:rPr>
                <w:rFonts w:ascii="Times New Roman" w:cs="Times New Roman" w:eastAsia="Times New Roman" w:hAnsi="Times New Roman"/>
                <w:sz w:val="20"/>
                <w:szCs w:val="20"/>
                <w:b w:val="1"/>
                <w:bCs w:val="1"/>
                <w:color w:val="auto"/>
              </w:rPr>
              <w:t>2022</w:t>
            </w:r>
          </w:p>
        </w:tc>
      </w:tr>
      <w:tr>
        <w:trPr>
          <w:trHeight w:val="243"/>
        </w:trPr>
        <w:tc>
          <w:tcPr>
            <w:tcW w:w="6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0"/>
                <w:szCs w:val="20"/>
                <w:b w:val="1"/>
                <w:bCs w:val="1"/>
                <w:color w:val="auto"/>
              </w:rPr>
              <w:t>ASSETS</w:t>
            </w:r>
          </w:p>
        </w:tc>
        <w:tc>
          <w:tcPr>
            <w:tcW w:w="30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r>
      <w:tr>
        <w:trPr>
          <w:trHeight w:val="257"/>
        </w:trPr>
        <w:tc>
          <w:tcPr>
            <w:tcW w:w="6000" w:type="dxa"/>
            <w:vAlign w:val="bottom"/>
          </w:tcPr>
          <w:p>
            <w:pPr>
              <w:ind w:left="20"/>
              <w:spacing w:after="0"/>
              <w:rPr>
                <w:sz w:val="20"/>
                <w:szCs w:val="20"/>
                <w:color w:val="auto"/>
              </w:rPr>
            </w:pPr>
            <w:r>
              <w:rPr>
                <w:rFonts w:ascii="Times New Roman" w:cs="Times New Roman" w:eastAsia="Times New Roman" w:hAnsi="Times New Roman"/>
                <w:sz w:val="20"/>
                <w:szCs w:val="20"/>
                <w:b w:val="1"/>
                <w:bCs w:val="1"/>
                <w:color w:val="auto"/>
              </w:rPr>
              <w:t>Investments, at fair value</w:t>
            </w:r>
          </w:p>
        </w:tc>
        <w:tc>
          <w:tcPr>
            <w:tcW w:w="30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40" w:type="dxa"/>
            <w:vAlign w:val="bottom"/>
          </w:tcPr>
          <w:p>
            <w:pPr>
              <w:spacing w:after="0"/>
              <w:rPr>
                <w:sz w:val="22"/>
                <w:szCs w:val="22"/>
                <w:color w:val="auto"/>
              </w:rPr>
            </w:pPr>
          </w:p>
        </w:tc>
      </w:tr>
      <w:tr>
        <w:trPr>
          <w:trHeight w:val="257"/>
        </w:trPr>
        <w:tc>
          <w:tcPr>
            <w:tcW w:w="6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Registered investment companies:</w:t>
            </w:r>
          </w:p>
        </w:tc>
        <w:tc>
          <w:tcPr>
            <w:tcW w:w="30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r>
      <w:tr>
        <w:trPr>
          <w:trHeight w:val="257"/>
        </w:trPr>
        <w:tc>
          <w:tcPr>
            <w:tcW w:w="600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Baird Core Plus Bond Fund</w:t>
            </w:r>
          </w:p>
        </w:tc>
        <w:tc>
          <w:tcPr>
            <w:tcW w:w="300" w:type="dxa"/>
            <w:vAlign w:val="bottom"/>
          </w:tcPr>
          <w:p>
            <w:pPr>
              <w:jc w:val="right"/>
              <w:ind w:right="81"/>
              <w:spacing w:after="0"/>
              <w:rPr>
                <w:sz w:val="20"/>
                <w:szCs w:val="20"/>
                <w:color w:val="auto"/>
              </w:rPr>
            </w:pPr>
            <w:r>
              <w:rPr>
                <w:rFonts w:ascii="Times New Roman" w:cs="Times New Roman" w:eastAsia="Times New Roman" w:hAnsi="Times New Roman"/>
                <w:sz w:val="20"/>
                <w:szCs w:val="20"/>
                <w:color w:val="auto"/>
                <w:w w:val="99"/>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8,306,654</w:t>
            </w:r>
          </w:p>
        </w:tc>
        <w:tc>
          <w:tcPr>
            <w:tcW w:w="1300" w:type="dxa"/>
            <w:vAlign w:val="bottom"/>
          </w:tcPr>
          <w:p>
            <w:pPr>
              <w:spacing w:after="0"/>
              <w:rPr>
                <w:sz w:val="22"/>
                <w:szCs w:val="22"/>
                <w:color w:val="auto"/>
              </w:rPr>
            </w:pPr>
          </w:p>
        </w:tc>
        <w:tc>
          <w:tcPr>
            <w:tcW w:w="320" w:type="dxa"/>
            <w:vAlign w:val="bottom"/>
          </w:tcPr>
          <w:p>
            <w:pPr>
              <w:jc w:val="right"/>
              <w:ind w:right="101"/>
              <w:spacing w:after="0"/>
              <w:rPr>
                <w:sz w:val="20"/>
                <w:szCs w:val="20"/>
                <w:color w:val="auto"/>
              </w:rPr>
            </w:pPr>
            <w:r>
              <w:rPr>
                <w:rFonts w:ascii="Times New Roman" w:cs="Times New Roman" w:eastAsia="Times New Roman" w:hAnsi="Times New Roman"/>
                <w:sz w:val="20"/>
                <w:szCs w:val="20"/>
                <w:color w:val="auto"/>
                <w:w w:val="99"/>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7,696,908</w:t>
            </w:r>
          </w:p>
        </w:tc>
      </w:tr>
      <w:tr>
        <w:trPr>
          <w:trHeight w:val="257"/>
        </w:trPr>
        <w:tc>
          <w:tcPr>
            <w:tcW w:w="6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20"/>
                <w:szCs w:val="20"/>
                <w:color w:val="auto"/>
              </w:rPr>
              <w:t>DFA Emerging Markets Core Equity Portfolio</w:t>
            </w:r>
          </w:p>
        </w:tc>
        <w:tc>
          <w:tcPr>
            <w:tcW w:w="30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1,032,339</w:t>
            </w:r>
          </w:p>
        </w:tc>
        <w:tc>
          <w:tcPr>
            <w:tcW w:w="13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736,338</w:t>
            </w:r>
          </w:p>
        </w:tc>
      </w:tr>
      <w:tr>
        <w:trPr>
          <w:trHeight w:val="256"/>
        </w:trPr>
        <w:tc>
          <w:tcPr>
            <w:tcW w:w="600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DFA US Targeted Value Portfolio</w:t>
            </w:r>
          </w:p>
        </w:tc>
        <w:tc>
          <w:tcPr>
            <w:tcW w:w="30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1,030,415</w:t>
            </w:r>
          </w:p>
        </w:tc>
        <w:tc>
          <w:tcPr>
            <w:tcW w:w="13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814,230</w:t>
            </w:r>
          </w:p>
        </w:tc>
      </w:tr>
      <w:tr>
        <w:trPr>
          <w:trHeight w:val="257"/>
        </w:trPr>
        <w:tc>
          <w:tcPr>
            <w:tcW w:w="6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20"/>
                <w:szCs w:val="20"/>
                <w:color w:val="auto"/>
              </w:rPr>
              <w:t>Fidelity Small Cap Growth Fund</w:t>
            </w:r>
          </w:p>
        </w:tc>
        <w:tc>
          <w:tcPr>
            <w:tcW w:w="30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9,814,681</w:t>
            </w:r>
          </w:p>
        </w:tc>
        <w:tc>
          <w:tcPr>
            <w:tcW w:w="13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8,682,195</w:t>
            </w:r>
          </w:p>
        </w:tc>
      </w:tr>
      <w:tr>
        <w:trPr>
          <w:trHeight w:val="257"/>
        </w:trPr>
        <w:tc>
          <w:tcPr>
            <w:tcW w:w="600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T. Rowe Price International Discovery Fund</w:t>
            </w:r>
          </w:p>
        </w:tc>
        <w:tc>
          <w:tcPr>
            <w:tcW w:w="300" w:type="dxa"/>
            <w:vAlign w:val="bottom"/>
          </w:tcPr>
          <w:p>
            <w:pPr>
              <w:spacing w:after="0"/>
              <w:rPr>
                <w:sz w:val="22"/>
                <w:szCs w:val="22"/>
                <w:color w:val="auto"/>
              </w:rPr>
            </w:pPr>
          </w:p>
        </w:tc>
        <w:tc>
          <w:tcPr>
            <w:tcW w:w="126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155,109</w:t>
            </w:r>
          </w:p>
        </w:tc>
        <w:tc>
          <w:tcPr>
            <w:tcW w:w="13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219,687</w:t>
            </w:r>
          </w:p>
        </w:tc>
      </w:tr>
      <w:tr>
        <w:trPr>
          <w:trHeight w:val="257"/>
        </w:trPr>
        <w:tc>
          <w:tcPr>
            <w:tcW w:w="6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20"/>
                <w:szCs w:val="20"/>
                <w:color w:val="auto"/>
              </w:rPr>
              <w:t>Vanguard Developed Markets Index Fund</w:t>
            </w:r>
          </w:p>
        </w:tc>
        <w:tc>
          <w:tcPr>
            <w:tcW w:w="30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3,807,976</w:t>
            </w:r>
          </w:p>
        </w:tc>
        <w:tc>
          <w:tcPr>
            <w:tcW w:w="13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3,076,463</w:t>
            </w:r>
          </w:p>
        </w:tc>
      </w:tr>
      <w:tr>
        <w:trPr>
          <w:trHeight w:val="256"/>
        </w:trPr>
        <w:tc>
          <w:tcPr>
            <w:tcW w:w="600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Vanguard International Growth Fund</w:t>
            </w:r>
          </w:p>
        </w:tc>
        <w:tc>
          <w:tcPr>
            <w:tcW w:w="30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7,504,457</w:t>
            </w:r>
          </w:p>
        </w:tc>
        <w:tc>
          <w:tcPr>
            <w:tcW w:w="13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7,085,747</w:t>
            </w:r>
          </w:p>
        </w:tc>
      </w:tr>
      <w:tr>
        <w:trPr>
          <w:trHeight w:val="257"/>
        </w:trPr>
        <w:tc>
          <w:tcPr>
            <w:tcW w:w="6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20"/>
                <w:szCs w:val="20"/>
                <w:color w:val="auto"/>
              </w:rPr>
              <w:t>Vanguard Russell 1000 Growth Index Fund</w:t>
            </w:r>
          </w:p>
        </w:tc>
        <w:tc>
          <w:tcPr>
            <w:tcW w:w="30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2,363,880</w:t>
            </w:r>
          </w:p>
        </w:tc>
        <w:tc>
          <w:tcPr>
            <w:tcW w:w="13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57"/>
        </w:trPr>
        <w:tc>
          <w:tcPr>
            <w:tcW w:w="600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Vanguard Cash Reserve Federal Money Market Fund</w:t>
            </w:r>
          </w:p>
        </w:tc>
        <w:tc>
          <w:tcPr>
            <w:tcW w:w="300" w:type="dxa"/>
            <w:vAlign w:val="bottom"/>
          </w:tcPr>
          <w:p>
            <w:pPr>
              <w:spacing w:after="0"/>
              <w:rPr>
                <w:sz w:val="22"/>
                <w:szCs w:val="22"/>
                <w:color w:val="auto"/>
              </w:rPr>
            </w:pPr>
          </w:p>
        </w:tc>
        <w:tc>
          <w:tcPr>
            <w:tcW w:w="126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167,809</w:t>
            </w:r>
          </w:p>
        </w:tc>
        <w:tc>
          <w:tcPr>
            <w:tcW w:w="13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151,705</w:t>
            </w:r>
          </w:p>
        </w:tc>
      </w:tr>
      <w:tr>
        <w:trPr>
          <w:trHeight w:val="257"/>
        </w:trPr>
        <w:tc>
          <w:tcPr>
            <w:tcW w:w="6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20"/>
                <w:szCs w:val="20"/>
                <w:color w:val="auto"/>
              </w:rPr>
              <w:t>Vanguard Target Retirement 2020 Fund</w:t>
            </w:r>
          </w:p>
        </w:tc>
        <w:tc>
          <w:tcPr>
            <w:tcW w:w="300" w:type="dxa"/>
            <w:vAlign w:val="bottom"/>
            <w:shd w:val="clear" w:color="auto" w:fill="CCEEFF"/>
          </w:tcPr>
          <w:p>
            <w:pPr>
              <w:spacing w:after="0"/>
              <w:rPr>
                <w:sz w:val="22"/>
                <w:szCs w:val="22"/>
                <w:color w:val="auto"/>
              </w:rPr>
            </w:pPr>
          </w:p>
        </w:tc>
        <w:tc>
          <w:tcPr>
            <w:tcW w:w="12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20"/>
                <w:szCs w:val="20"/>
                <w:color w:val="auto"/>
              </w:rPr>
              <w:t>846,976</w:t>
            </w:r>
          </w:p>
        </w:tc>
        <w:tc>
          <w:tcPr>
            <w:tcW w:w="13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716,642</w:t>
            </w:r>
          </w:p>
        </w:tc>
      </w:tr>
      <w:tr>
        <w:trPr>
          <w:trHeight w:val="256"/>
        </w:trPr>
        <w:tc>
          <w:tcPr>
            <w:tcW w:w="600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Vanguard Target Retirement 2025 Fund</w:t>
            </w:r>
          </w:p>
        </w:tc>
        <w:tc>
          <w:tcPr>
            <w:tcW w:w="30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5,413,046</w:t>
            </w:r>
          </w:p>
        </w:tc>
        <w:tc>
          <w:tcPr>
            <w:tcW w:w="13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4,744,197</w:t>
            </w:r>
          </w:p>
        </w:tc>
      </w:tr>
      <w:tr>
        <w:trPr>
          <w:trHeight w:val="257"/>
        </w:trPr>
        <w:tc>
          <w:tcPr>
            <w:tcW w:w="6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20"/>
                <w:szCs w:val="20"/>
                <w:color w:val="auto"/>
              </w:rPr>
              <w:t>Vanguard Target Retirement 2030 Fund</w:t>
            </w:r>
          </w:p>
        </w:tc>
        <w:tc>
          <w:tcPr>
            <w:tcW w:w="30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7,036,012</w:t>
            </w:r>
          </w:p>
        </w:tc>
        <w:tc>
          <w:tcPr>
            <w:tcW w:w="13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5,616,495</w:t>
            </w:r>
          </w:p>
        </w:tc>
      </w:tr>
      <w:tr>
        <w:trPr>
          <w:trHeight w:val="257"/>
        </w:trPr>
        <w:tc>
          <w:tcPr>
            <w:tcW w:w="600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Vanguard Target Retirement 2035 Fund</w:t>
            </w:r>
          </w:p>
        </w:tc>
        <w:tc>
          <w:tcPr>
            <w:tcW w:w="30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5,800,662</w:t>
            </w:r>
          </w:p>
        </w:tc>
        <w:tc>
          <w:tcPr>
            <w:tcW w:w="13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4,584,308</w:t>
            </w:r>
          </w:p>
        </w:tc>
      </w:tr>
      <w:tr>
        <w:trPr>
          <w:trHeight w:val="257"/>
        </w:trPr>
        <w:tc>
          <w:tcPr>
            <w:tcW w:w="6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20"/>
                <w:szCs w:val="20"/>
                <w:color w:val="auto"/>
              </w:rPr>
              <w:t>Vanguard Target Retirement 2040 Fund</w:t>
            </w:r>
          </w:p>
        </w:tc>
        <w:tc>
          <w:tcPr>
            <w:tcW w:w="30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5,199,932</w:t>
            </w:r>
          </w:p>
        </w:tc>
        <w:tc>
          <w:tcPr>
            <w:tcW w:w="13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4,008,682</w:t>
            </w:r>
          </w:p>
        </w:tc>
      </w:tr>
      <w:tr>
        <w:trPr>
          <w:trHeight w:val="256"/>
        </w:trPr>
        <w:tc>
          <w:tcPr>
            <w:tcW w:w="600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Vanguard Target Retirement 2045 Fund</w:t>
            </w:r>
          </w:p>
        </w:tc>
        <w:tc>
          <w:tcPr>
            <w:tcW w:w="30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3,144,460</w:t>
            </w:r>
          </w:p>
        </w:tc>
        <w:tc>
          <w:tcPr>
            <w:tcW w:w="13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2,440,353</w:t>
            </w:r>
          </w:p>
        </w:tc>
      </w:tr>
      <w:tr>
        <w:trPr>
          <w:trHeight w:val="257"/>
        </w:trPr>
        <w:tc>
          <w:tcPr>
            <w:tcW w:w="6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20"/>
                <w:szCs w:val="20"/>
                <w:color w:val="auto"/>
              </w:rPr>
              <w:t>Vanguard Target Retirement 2050 Fund</w:t>
            </w:r>
          </w:p>
        </w:tc>
        <w:tc>
          <w:tcPr>
            <w:tcW w:w="30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4,407,342</w:t>
            </w:r>
          </w:p>
        </w:tc>
        <w:tc>
          <w:tcPr>
            <w:tcW w:w="13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3,323,241</w:t>
            </w:r>
          </w:p>
        </w:tc>
      </w:tr>
      <w:tr>
        <w:trPr>
          <w:trHeight w:val="256"/>
        </w:trPr>
        <w:tc>
          <w:tcPr>
            <w:tcW w:w="600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Vanguard Target Retirement 2055 Fund</w:t>
            </w:r>
          </w:p>
        </w:tc>
        <w:tc>
          <w:tcPr>
            <w:tcW w:w="30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2,363,510</w:t>
            </w:r>
          </w:p>
        </w:tc>
        <w:tc>
          <w:tcPr>
            <w:tcW w:w="13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1,873,233</w:t>
            </w:r>
          </w:p>
        </w:tc>
      </w:tr>
      <w:tr>
        <w:trPr>
          <w:trHeight w:val="257"/>
        </w:trPr>
        <w:tc>
          <w:tcPr>
            <w:tcW w:w="6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20"/>
                <w:szCs w:val="20"/>
                <w:color w:val="auto"/>
              </w:rPr>
              <w:t>Vanguard Target Retirement 2060 Fund</w:t>
            </w:r>
          </w:p>
        </w:tc>
        <w:tc>
          <w:tcPr>
            <w:tcW w:w="30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2,620,217</w:t>
            </w:r>
          </w:p>
        </w:tc>
        <w:tc>
          <w:tcPr>
            <w:tcW w:w="13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1,521,075</w:t>
            </w:r>
          </w:p>
        </w:tc>
      </w:tr>
      <w:tr>
        <w:trPr>
          <w:trHeight w:val="256"/>
        </w:trPr>
        <w:tc>
          <w:tcPr>
            <w:tcW w:w="600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Vanguard Target Retirement 2065 Fund</w:t>
            </w:r>
          </w:p>
        </w:tc>
        <w:tc>
          <w:tcPr>
            <w:tcW w:w="300" w:type="dxa"/>
            <w:vAlign w:val="bottom"/>
          </w:tcPr>
          <w:p>
            <w:pPr>
              <w:spacing w:after="0"/>
              <w:rPr>
                <w:sz w:val="22"/>
                <w:szCs w:val="22"/>
                <w:color w:val="auto"/>
              </w:rPr>
            </w:pPr>
          </w:p>
        </w:tc>
        <w:tc>
          <w:tcPr>
            <w:tcW w:w="126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726,556</w:t>
            </w:r>
          </w:p>
        </w:tc>
        <w:tc>
          <w:tcPr>
            <w:tcW w:w="13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432,046</w:t>
            </w:r>
          </w:p>
        </w:tc>
      </w:tr>
      <w:tr>
        <w:trPr>
          <w:trHeight w:val="257"/>
        </w:trPr>
        <w:tc>
          <w:tcPr>
            <w:tcW w:w="6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20"/>
                <w:szCs w:val="20"/>
                <w:color w:val="auto"/>
              </w:rPr>
              <w:t>Vanguard Target Retirement 2070 Fund</w:t>
            </w:r>
          </w:p>
        </w:tc>
        <w:tc>
          <w:tcPr>
            <w:tcW w:w="300" w:type="dxa"/>
            <w:vAlign w:val="bottom"/>
            <w:shd w:val="clear" w:color="auto" w:fill="CCEEFF"/>
          </w:tcPr>
          <w:p>
            <w:pPr>
              <w:spacing w:after="0"/>
              <w:rPr>
                <w:sz w:val="22"/>
                <w:szCs w:val="22"/>
                <w:color w:val="auto"/>
              </w:rPr>
            </w:pPr>
          </w:p>
        </w:tc>
        <w:tc>
          <w:tcPr>
            <w:tcW w:w="12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20"/>
                <w:szCs w:val="20"/>
                <w:color w:val="auto"/>
              </w:rPr>
              <w:t>27,399</w:t>
            </w:r>
          </w:p>
        </w:tc>
        <w:tc>
          <w:tcPr>
            <w:tcW w:w="13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1,092</w:t>
            </w:r>
          </w:p>
        </w:tc>
      </w:tr>
      <w:tr>
        <w:trPr>
          <w:trHeight w:val="257"/>
        </w:trPr>
        <w:tc>
          <w:tcPr>
            <w:tcW w:w="600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Vanguard Target Retirement Income Fund</w:t>
            </w:r>
          </w:p>
        </w:tc>
        <w:tc>
          <w:tcPr>
            <w:tcW w:w="30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4,091,958</w:t>
            </w:r>
          </w:p>
        </w:tc>
        <w:tc>
          <w:tcPr>
            <w:tcW w:w="13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3,817,026</w:t>
            </w:r>
          </w:p>
        </w:tc>
      </w:tr>
      <w:tr>
        <w:trPr>
          <w:trHeight w:val="256"/>
        </w:trPr>
        <w:tc>
          <w:tcPr>
            <w:tcW w:w="6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20"/>
                <w:szCs w:val="20"/>
                <w:color w:val="auto"/>
              </w:rPr>
              <w:t>Vanguard Total Stock Market Index Fund</w:t>
            </w:r>
          </w:p>
        </w:tc>
        <w:tc>
          <w:tcPr>
            <w:tcW w:w="30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47,114,553</w:t>
            </w:r>
          </w:p>
        </w:tc>
        <w:tc>
          <w:tcPr>
            <w:tcW w:w="13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38,869,375</w:t>
            </w:r>
          </w:p>
        </w:tc>
      </w:tr>
      <w:tr>
        <w:trPr>
          <w:trHeight w:val="257"/>
        </w:trPr>
        <w:tc>
          <w:tcPr>
            <w:tcW w:w="600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Vanguard U.S. Growth Fund</w:t>
            </w:r>
          </w:p>
        </w:tc>
        <w:tc>
          <w:tcPr>
            <w:tcW w:w="300" w:type="dxa"/>
            <w:vAlign w:val="bottom"/>
          </w:tcPr>
          <w:p>
            <w:pPr>
              <w:spacing w:after="0"/>
              <w:rPr>
                <w:sz w:val="22"/>
                <w:szCs w:val="22"/>
                <w:color w:val="auto"/>
              </w:rPr>
            </w:pPr>
          </w:p>
        </w:tc>
        <w:tc>
          <w:tcPr>
            <w:tcW w:w="2560" w:type="dxa"/>
            <w:vAlign w:val="bottom"/>
            <w:gridSpan w:val="2"/>
          </w:tcPr>
          <w:p>
            <w:pPr>
              <w:jc w:val="right"/>
              <w:ind w:right="1380"/>
              <w:spacing w:after="0"/>
              <w:rPr>
                <w:sz w:val="20"/>
                <w:szCs w:val="20"/>
                <w:color w:val="auto"/>
              </w:rPr>
            </w:pPr>
            <w:r>
              <w:rPr>
                <w:rFonts w:ascii="Times New Roman" w:cs="Times New Roman" w:eastAsia="Times New Roman" w:hAnsi="Times New Roman"/>
                <w:sz w:val="20"/>
                <w:szCs w:val="20"/>
                <w:color w:val="auto"/>
              </w:rPr>
              <w:t>—</w:t>
            </w:r>
          </w:p>
        </w:tc>
        <w:tc>
          <w:tcPr>
            <w:tcW w:w="32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1,612,921</w:t>
            </w:r>
          </w:p>
        </w:tc>
      </w:tr>
      <w:tr>
        <w:trPr>
          <w:trHeight w:val="256"/>
        </w:trPr>
        <w:tc>
          <w:tcPr>
            <w:tcW w:w="6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20"/>
                <w:szCs w:val="20"/>
                <w:color w:val="auto"/>
              </w:rPr>
              <w:t>Vanguard Wellington Fund</w:t>
            </w:r>
          </w:p>
        </w:tc>
        <w:tc>
          <w:tcPr>
            <w:tcW w:w="30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10,924,815</w:t>
            </w:r>
          </w:p>
        </w:tc>
        <w:tc>
          <w:tcPr>
            <w:tcW w:w="13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9,715,992</w:t>
            </w:r>
          </w:p>
        </w:tc>
      </w:tr>
      <w:tr>
        <w:trPr>
          <w:trHeight w:val="257"/>
        </w:trPr>
        <w:tc>
          <w:tcPr>
            <w:tcW w:w="60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20"/>
                <w:szCs w:val="20"/>
                <w:color w:val="auto"/>
              </w:rPr>
              <w:t>Vanguard Windsor II Fund</w:t>
            </w:r>
          </w:p>
        </w:tc>
        <w:tc>
          <w:tcPr>
            <w:tcW w:w="30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2,800,495</w:t>
            </w:r>
          </w:p>
        </w:tc>
        <w:tc>
          <w:tcPr>
            <w:tcW w:w="13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2,271,610</w:t>
            </w:r>
          </w:p>
        </w:tc>
      </w:tr>
      <w:tr>
        <w:trPr>
          <w:trHeight w:val="223"/>
        </w:trPr>
        <w:tc>
          <w:tcPr>
            <w:tcW w:w="60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136,701,253</w:t>
            </w:r>
          </w:p>
        </w:tc>
        <w:tc>
          <w:tcPr>
            <w:tcW w:w="13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114,011,561</w:t>
            </w:r>
          </w:p>
        </w:tc>
      </w:tr>
      <w:tr>
        <w:trPr>
          <w:trHeight w:val="256"/>
        </w:trPr>
        <w:tc>
          <w:tcPr>
            <w:tcW w:w="60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40" w:type="dxa"/>
            <w:vAlign w:val="bottom"/>
          </w:tcPr>
          <w:p>
            <w:pPr>
              <w:spacing w:after="0"/>
              <w:rPr>
                <w:sz w:val="22"/>
                <w:szCs w:val="22"/>
                <w:color w:val="auto"/>
              </w:rPr>
            </w:pPr>
          </w:p>
        </w:tc>
      </w:tr>
      <w:tr>
        <w:trPr>
          <w:trHeight w:val="257"/>
        </w:trPr>
        <w:tc>
          <w:tcPr>
            <w:tcW w:w="6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Vanguard Retirement Savings Trust</w:t>
            </w:r>
          </w:p>
        </w:tc>
        <w:tc>
          <w:tcPr>
            <w:tcW w:w="30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23,549,248</w:t>
            </w:r>
          </w:p>
        </w:tc>
        <w:tc>
          <w:tcPr>
            <w:tcW w:w="13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25,645,430</w:t>
            </w:r>
          </w:p>
        </w:tc>
      </w:tr>
      <w:tr>
        <w:trPr>
          <w:trHeight w:val="257"/>
        </w:trPr>
        <w:tc>
          <w:tcPr>
            <w:tcW w:w="60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20"/>
                <w:szCs w:val="20"/>
                <w:color w:val="auto"/>
              </w:rPr>
              <w:t>Crown Holdings, Inc. Stock Fund</w:t>
            </w:r>
          </w:p>
        </w:tc>
        <w:tc>
          <w:tcPr>
            <w:tcW w:w="30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5,443,353</w:t>
            </w:r>
          </w:p>
        </w:tc>
        <w:tc>
          <w:tcPr>
            <w:tcW w:w="13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4,871,250</w:t>
            </w:r>
          </w:p>
        </w:tc>
      </w:tr>
      <w:tr>
        <w:trPr>
          <w:trHeight w:val="250"/>
        </w:trPr>
        <w:tc>
          <w:tcPr>
            <w:tcW w:w="6000" w:type="dxa"/>
            <w:vAlign w:val="bottom"/>
            <w:shd w:val="clear" w:color="auto" w:fill="CCEEFF"/>
          </w:tcPr>
          <w:p>
            <w:pPr>
              <w:ind w:left="820"/>
              <w:spacing w:after="0"/>
              <w:rPr>
                <w:sz w:val="20"/>
                <w:szCs w:val="20"/>
                <w:color w:val="auto"/>
              </w:rPr>
            </w:pPr>
            <w:r>
              <w:rPr>
                <w:rFonts w:ascii="Times New Roman" w:cs="Times New Roman" w:eastAsia="Times New Roman" w:hAnsi="Times New Roman"/>
                <w:sz w:val="20"/>
                <w:szCs w:val="20"/>
                <w:b w:val="1"/>
                <w:bCs w:val="1"/>
                <w:color w:val="auto"/>
              </w:rPr>
              <w:t>Total investments, at fair value</w:t>
            </w:r>
          </w:p>
        </w:tc>
        <w:tc>
          <w:tcPr>
            <w:tcW w:w="30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165,693,854</w:t>
            </w:r>
          </w:p>
        </w:tc>
        <w:tc>
          <w:tcPr>
            <w:tcW w:w="130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144,528,241</w:t>
            </w:r>
          </w:p>
        </w:tc>
      </w:tr>
      <w:tr>
        <w:trPr>
          <w:trHeight w:val="142"/>
        </w:trPr>
        <w:tc>
          <w:tcPr>
            <w:tcW w:w="60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40" w:type="dxa"/>
            <w:vAlign w:val="bottom"/>
          </w:tcPr>
          <w:p>
            <w:pPr>
              <w:spacing w:after="0"/>
              <w:rPr>
                <w:sz w:val="12"/>
                <w:szCs w:val="12"/>
                <w:color w:val="auto"/>
              </w:rPr>
            </w:pPr>
          </w:p>
        </w:tc>
      </w:tr>
      <w:tr>
        <w:trPr>
          <w:trHeight w:val="257"/>
        </w:trPr>
        <w:tc>
          <w:tcPr>
            <w:tcW w:w="6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0"/>
                <w:szCs w:val="20"/>
                <w:b w:val="1"/>
                <w:bCs w:val="1"/>
                <w:color w:val="auto"/>
              </w:rPr>
              <w:t>Receivables</w:t>
            </w:r>
          </w:p>
        </w:tc>
        <w:tc>
          <w:tcPr>
            <w:tcW w:w="30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r>
      <w:tr>
        <w:trPr>
          <w:trHeight w:val="256"/>
        </w:trPr>
        <w:tc>
          <w:tcPr>
            <w:tcW w:w="600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Notes receivable from participants</w:t>
            </w:r>
          </w:p>
        </w:tc>
        <w:tc>
          <w:tcPr>
            <w:tcW w:w="30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3,583,864</w:t>
            </w:r>
          </w:p>
        </w:tc>
        <w:tc>
          <w:tcPr>
            <w:tcW w:w="13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3,479,341</w:t>
            </w:r>
          </w:p>
        </w:tc>
      </w:tr>
      <w:tr>
        <w:trPr>
          <w:trHeight w:val="257"/>
        </w:trPr>
        <w:tc>
          <w:tcPr>
            <w:tcW w:w="6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Employer contributions receivable</w:t>
            </w:r>
          </w:p>
        </w:tc>
        <w:tc>
          <w:tcPr>
            <w:tcW w:w="300" w:type="dxa"/>
            <w:vAlign w:val="bottom"/>
            <w:tcBorders>
              <w:bottom w:val="single" w:sz="8" w:color="auto"/>
            </w:tcBorders>
            <w:shd w:val="clear" w:color="auto" w:fill="CCEEFF"/>
          </w:tcPr>
          <w:p>
            <w:pPr>
              <w:spacing w:after="0"/>
              <w:rPr>
                <w:sz w:val="22"/>
                <w:szCs w:val="22"/>
                <w:color w:val="auto"/>
              </w:rPr>
            </w:pPr>
          </w:p>
        </w:tc>
        <w:tc>
          <w:tcPr>
            <w:tcW w:w="126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20"/>
                <w:szCs w:val="20"/>
                <w:color w:val="auto"/>
              </w:rPr>
              <w:t>764,324</w:t>
            </w:r>
          </w:p>
        </w:tc>
        <w:tc>
          <w:tcPr>
            <w:tcW w:w="1300" w:type="dxa"/>
            <w:vAlign w:val="bottom"/>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634,967</w:t>
            </w:r>
          </w:p>
        </w:tc>
      </w:tr>
      <w:tr>
        <w:trPr>
          <w:trHeight w:val="250"/>
        </w:trPr>
        <w:tc>
          <w:tcPr>
            <w:tcW w:w="6000" w:type="dxa"/>
            <w:vAlign w:val="bottom"/>
            <w:tcBorders>
              <w:bottom w:val="single" w:sz="8" w:color="CCEEFF"/>
            </w:tcBorders>
          </w:tcPr>
          <w:p>
            <w:pPr>
              <w:ind w:left="860"/>
              <w:spacing w:after="0"/>
              <w:rPr>
                <w:sz w:val="20"/>
                <w:szCs w:val="20"/>
                <w:color w:val="auto"/>
              </w:rPr>
            </w:pPr>
            <w:r>
              <w:rPr>
                <w:rFonts w:ascii="Times New Roman" w:cs="Times New Roman" w:eastAsia="Times New Roman" w:hAnsi="Times New Roman"/>
                <w:sz w:val="20"/>
                <w:szCs w:val="20"/>
                <w:b w:val="1"/>
                <w:bCs w:val="1"/>
                <w:color w:val="auto"/>
              </w:rPr>
              <w:t>Total receivables</w:t>
            </w:r>
          </w:p>
        </w:tc>
        <w:tc>
          <w:tcPr>
            <w:tcW w:w="30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4,348,188</w:t>
            </w:r>
          </w:p>
        </w:tc>
        <w:tc>
          <w:tcPr>
            <w:tcW w:w="130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4,114,308</w:t>
            </w:r>
          </w:p>
        </w:tc>
      </w:tr>
      <w:tr>
        <w:trPr>
          <w:trHeight w:val="142"/>
        </w:trPr>
        <w:tc>
          <w:tcPr>
            <w:tcW w:w="60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r>
      <w:tr>
        <w:trPr>
          <w:trHeight w:val="256"/>
        </w:trPr>
        <w:tc>
          <w:tcPr>
            <w:tcW w:w="6000" w:type="dxa"/>
            <w:vAlign w:val="bottom"/>
          </w:tcPr>
          <w:p>
            <w:pPr>
              <w:ind w:left="820"/>
              <w:spacing w:after="0"/>
              <w:rPr>
                <w:sz w:val="20"/>
                <w:szCs w:val="20"/>
                <w:color w:val="auto"/>
              </w:rPr>
            </w:pPr>
            <w:r>
              <w:rPr>
                <w:rFonts w:ascii="Times New Roman" w:cs="Times New Roman" w:eastAsia="Times New Roman" w:hAnsi="Times New Roman"/>
                <w:sz w:val="20"/>
                <w:szCs w:val="20"/>
                <w:b w:val="1"/>
                <w:bCs w:val="1"/>
                <w:color w:val="auto"/>
              </w:rPr>
              <w:t>Total assets</w:t>
            </w:r>
          </w:p>
        </w:tc>
        <w:tc>
          <w:tcPr>
            <w:tcW w:w="30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170,042,042</w:t>
            </w:r>
          </w:p>
        </w:tc>
        <w:tc>
          <w:tcPr>
            <w:tcW w:w="13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148,642,549</w:t>
            </w:r>
          </w:p>
        </w:tc>
      </w:tr>
      <w:tr>
        <w:trPr>
          <w:trHeight w:val="162"/>
        </w:trPr>
        <w:tc>
          <w:tcPr>
            <w:tcW w:w="60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r>
      <w:tr>
        <w:trPr>
          <w:trHeight w:val="256"/>
        </w:trPr>
        <w:tc>
          <w:tcPr>
            <w:tcW w:w="6000" w:type="dxa"/>
            <w:vAlign w:val="bottom"/>
          </w:tcPr>
          <w:p>
            <w:pPr>
              <w:ind w:left="20"/>
              <w:spacing w:after="0"/>
              <w:rPr>
                <w:sz w:val="20"/>
                <w:szCs w:val="20"/>
                <w:color w:val="auto"/>
              </w:rPr>
            </w:pPr>
            <w:r>
              <w:rPr>
                <w:rFonts w:ascii="Times New Roman" w:cs="Times New Roman" w:eastAsia="Times New Roman" w:hAnsi="Times New Roman"/>
                <w:sz w:val="20"/>
                <w:szCs w:val="20"/>
                <w:b w:val="1"/>
                <w:bCs w:val="1"/>
                <w:color w:val="auto"/>
              </w:rPr>
              <w:t>LIABILITIES</w:t>
            </w:r>
          </w:p>
        </w:tc>
        <w:tc>
          <w:tcPr>
            <w:tcW w:w="300" w:type="dxa"/>
            <w:vAlign w:val="bottom"/>
          </w:tcPr>
          <w:p>
            <w:pPr>
              <w:spacing w:after="0"/>
              <w:rPr>
                <w:sz w:val="22"/>
                <w:szCs w:val="22"/>
                <w:color w:val="auto"/>
              </w:rPr>
            </w:pPr>
          </w:p>
        </w:tc>
        <w:tc>
          <w:tcPr>
            <w:tcW w:w="2560" w:type="dxa"/>
            <w:vAlign w:val="bottom"/>
            <w:gridSpan w:val="2"/>
          </w:tcPr>
          <w:p>
            <w:pPr>
              <w:jc w:val="right"/>
              <w:ind w:right="1380"/>
              <w:spacing w:after="0"/>
              <w:rPr>
                <w:sz w:val="20"/>
                <w:szCs w:val="20"/>
                <w:color w:val="auto"/>
              </w:rPr>
            </w:pPr>
            <w:r>
              <w:rPr>
                <w:rFonts w:ascii="Times New Roman" w:cs="Times New Roman" w:eastAsia="Times New Roman" w:hAnsi="Times New Roman"/>
                <w:sz w:val="20"/>
                <w:szCs w:val="20"/>
                <w:color w:val="auto"/>
              </w:rPr>
              <w:t>—</w:t>
            </w:r>
          </w:p>
        </w:tc>
        <w:tc>
          <w:tcPr>
            <w:tcW w:w="32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162"/>
        </w:trPr>
        <w:tc>
          <w:tcPr>
            <w:tcW w:w="6000" w:type="dxa"/>
            <w:vAlign w:val="bottom"/>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spacing w:after="0"/>
              <w:rPr>
                <w:sz w:val="14"/>
                <w:szCs w:val="14"/>
                <w:color w:val="auto"/>
              </w:rPr>
            </w:pPr>
          </w:p>
        </w:tc>
        <w:tc>
          <w:tcPr>
            <w:tcW w:w="1260" w:type="dxa"/>
            <w:vAlign w:val="bottom"/>
            <w:tcBorders>
              <w:bottom w:val="single" w:sz="8" w:color="auto"/>
            </w:tcBorders>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1240" w:type="dxa"/>
            <w:vAlign w:val="bottom"/>
            <w:tcBorders>
              <w:bottom w:val="single" w:sz="8" w:color="auto"/>
            </w:tcBorders>
            <w:shd w:val="clear" w:color="auto" w:fill="CCEEFF"/>
          </w:tcPr>
          <w:p>
            <w:pPr>
              <w:spacing w:after="0"/>
              <w:rPr>
                <w:sz w:val="14"/>
                <w:szCs w:val="14"/>
                <w:color w:val="auto"/>
              </w:rPr>
            </w:pPr>
          </w:p>
        </w:tc>
      </w:tr>
      <w:tr>
        <w:trPr>
          <w:trHeight w:val="250"/>
        </w:trPr>
        <w:tc>
          <w:tcPr>
            <w:tcW w:w="6000" w:type="dxa"/>
            <w:vAlign w:val="bottom"/>
          </w:tcPr>
          <w:p>
            <w:pPr>
              <w:ind w:left="20"/>
              <w:spacing w:after="0"/>
              <w:rPr>
                <w:sz w:val="20"/>
                <w:szCs w:val="20"/>
                <w:color w:val="auto"/>
              </w:rPr>
            </w:pPr>
            <w:r>
              <w:rPr>
                <w:rFonts w:ascii="Times New Roman" w:cs="Times New Roman" w:eastAsia="Times New Roman" w:hAnsi="Times New Roman"/>
                <w:sz w:val="20"/>
                <w:szCs w:val="20"/>
                <w:b w:val="1"/>
                <w:bCs w:val="1"/>
                <w:color w:val="auto"/>
              </w:rPr>
              <w:t>Net assets available for benefits</w:t>
            </w:r>
          </w:p>
        </w:tc>
        <w:tc>
          <w:tcPr>
            <w:tcW w:w="300" w:type="dxa"/>
            <w:vAlign w:val="bottom"/>
            <w:tcBorders>
              <w:bottom w:val="single" w:sz="8" w:color="auto"/>
            </w:tcBorders>
          </w:tcPr>
          <w:p>
            <w:pPr>
              <w:jc w:val="right"/>
              <w:ind w:right="81"/>
              <w:spacing w:after="0"/>
              <w:rPr>
                <w:sz w:val="20"/>
                <w:szCs w:val="20"/>
                <w:color w:val="auto"/>
              </w:rPr>
            </w:pPr>
            <w:r>
              <w:rPr>
                <w:rFonts w:ascii="Times New Roman" w:cs="Times New Roman" w:eastAsia="Times New Roman" w:hAnsi="Times New Roman"/>
                <w:sz w:val="20"/>
                <w:szCs w:val="20"/>
                <w:color w:val="auto"/>
                <w:w w:val="99"/>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170,042,042</w:t>
            </w:r>
          </w:p>
        </w:tc>
        <w:tc>
          <w:tcPr>
            <w:tcW w:w="1300" w:type="dxa"/>
            <w:vAlign w:val="bottom"/>
          </w:tcPr>
          <w:p>
            <w:pPr>
              <w:spacing w:after="0"/>
              <w:rPr>
                <w:sz w:val="21"/>
                <w:szCs w:val="21"/>
                <w:color w:val="auto"/>
              </w:rPr>
            </w:pPr>
          </w:p>
        </w:tc>
        <w:tc>
          <w:tcPr>
            <w:tcW w:w="320" w:type="dxa"/>
            <w:vAlign w:val="bottom"/>
            <w:tcBorders>
              <w:bottom w:val="single" w:sz="8" w:color="auto"/>
            </w:tcBorders>
          </w:tcPr>
          <w:p>
            <w:pPr>
              <w:jc w:val="right"/>
              <w:ind w:right="101"/>
              <w:spacing w:after="0"/>
              <w:rPr>
                <w:sz w:val="20"/>
                <w:szCs w:val="20"/>
                <w:color w:val="auto"/>
              </w:rPr>
            </w:pPr>
            <w:r>
              <w:rPr>
                <w:rFonts w:ascii="Times New Roman" w:cs="Times New Roman" w:eastAsia="Times New Roman" w:hAnsi="Times New Roman"/>
                <w:sz w:val="20"/>
                <w:szCs w:val="20"/>
                <w:color w:val="auto"/>
                <w:w w:val="99"/>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148,642,549</w:t>
            </w:r>
          </w:p>
        </w:tc>
      </w:tr>
      <w:tr>
        <w:trPr>
          <w:trHeight w:val="21"/>
        </w:trPr>
        <w:tc>
          <w:tcPr>
            <w:tcW w:w="60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accompanying notes are an integral part of these financial statements.</w:t>
      </w:r>
    </w:p>
    <w:p>
      <w:pPr>
        <w:sectPr>
          <w:pgSz w:w="11900" w:h="16838" w:orient="portrait"/>
          <w:cols w:equalWidth="0" w:num="1">
            <w:col w:w="10580"/>
          </w:cols>
          <w:pgMar w:left="580" w:top="918" w:right="739" w:bottom="1440" w:gutter="0" w:footer="0" w:header="0"/>
        </w:sectPr>
      </w:pPr>
    </w:p>
    <w:p>
      <w:pPr>
        <w:spacing w:after="0" w:line="200" w:lineRule="exact"/>
        <w:rPr>
          <w:sz w:val="20"/>
          <w:szCs w:val="20"/>
          <w:color w:val="auto"/>
        </w:rPr>
      </w:pPr>
    </w:p>
    <w:p>
      <w:pPr>
        <w:spacing w:after="0" w:line="35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6"/>
          <w:szCs w:val="16"/>
          <w:color w:val="auto"/>
        </w:rPr>
        <w:t>3</w:t>
      </w:r>
    </w:p>
    <w:p>
      <w:pPr>
        <w:sectPr>
          <w:pgSz w:w="11900" w:h="16838" w:orient="portrait"/>
          <w:cols w:equalWidth="0" w:num="1">
            <w:col w:w="10580"/>
          </w:cols>
          <w:pgMar w:left="580" w:top="918" w:right="739" w:bottom="1440" w:gutter="0" w:footer="0" w:header="0"/>
          <w:type w:val="continuous"/>
        </w:sectPr>
      </w:pPr>
    </w:p>
    <w:bookmarkStart w:id="5" w:name="page6"/>
    <w:bookmarkEnd w:id="5"/>
    <w:p>
      <w:pPr>
        <w:ind w:left="20"/>
        <w:spacing w:after="0"/>
        <w:rPr>
          <w:sz w:val="20"/>
          <w:szCs w:val="20"/>
          <w:color w:val="auto"/>
        </w:rPr>
      </w:pPr>
      <w:r>
        <w:rPr>
          <w:rFonts w:ascii="Times New Roman" w:cs="Times New Roman" w:eastAsia="Times New Roman" w:hAnsi="Times New Roman"/>
          <w:sz w:val="25"/>
          <w:szCs w:val="25"/>
          <w:b w:val="1"/>
          <w:bCs w:val="1"/>
          <w:color w:val="auto"/>
        </w:rPr>
        <w:t>CROWN CORK &amp; SEAL COMPANY, INC.</w:t>
      </w:r>
    </w:p>
    <w:p>
      <w:pPr>
        <w:spacing w:after="0" w:line="4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5"/>
          <w:szCs w:val="25"/>
          <w:b w:val="1"/>
          <w:bCs w:val="1"/>
          <w:color w:val="auto"/>
        </w:rPr>
        <w:t>RETIREMENT THRIFT PLAN</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b w:val="1"/>
          <w:bCs w:val="1"/>
          <w:color w:val="auto"/>
        </w:rPr>
        <w:t>Statements of Changes in Net Assets Available for Benefits</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272"/>
        </w:trPr>
        <w:tc>
          <w:tcPr>
            <w:tcW w:w="6180" w:type="dxa"/>
            <w:vAlign w:val="bottom"/>
            <w:tcBorders>
              <w:top w:val="single" w:sz="8" w:color="auto"/>
            </w:tcBorders>
          </w:tcPr>
          <w:p>
            <w:pPr>
              <w:spacing w:after="0"/>
              <w:rPr>
                <w:sz w:val="23"/>
                <w:szCs w:val="23"/>
                <w:color w:val="auto"/>
              </w:rPr>
            </w:pPr>
          </w:p>
        </w:tc>
        <w:tc>
          <w:tcPr>
            <w:tcW w:w="300" w:type="dxa"/>
            <w:vAlign w:val="bottom"/>
            <w:tcBorders>
              <w:top w:val="single" w:sz="8" w:color="auto"/>
              <w:bottom w:val="single" w:sz="8" w:color="auto"/>
            </w:tcBorders>
          </w:tcPr>
          <w:p>
            <w:pPr>
              <w:spacing w:after="0"/>
              <w:rPr>
                <w:sz w:val="23"/>
                <w:szCs w:val="23"/>
                <w:color w:val="auto"/>
              </w:rPr>
            </w:pPr>
          </w:p>
        </w:tc>
        <w:tc>
          <w:tcPr>
            <w:tcW w:w="3900" w:type="dxa"/>
            <w:vAlign w:val="bottom"/>
            <w:tcBorders>
              <w:top w:val="single" w:sz="8" w:color="auto"/>
              <w:bottom w:val="single" w:sz="8" w:color="auto"/>
            </w:tcBorders>
            <w:gridSpan w:val="4"/>
          </w:tcPr>
          <w:p>
            <w:pPr>
              <w:jc w:val="right"/>
              <w:ind w:right="581"/>
              <w:spacing w:after="0"/>
              <w:rPr>
                <w:sz w:val="20"/>
                <w:szCs w:val="20"/>
                <w:color w:val="auto"/>
              </w:rPr>
            </w:pPr>
            <w:r>
              <w:rPr>
                <w:rFonts w:ascii="Times New Roman" w:cs="Times New Roman" w:eastAsia="Times New Roman" w:hAnsi="Times New Roman"/>
                <w:sz w:val="20"/>
                <w:szCs w:val="20"/>
                <w:b w:val="1"/>
                <w:bCs w:val="1"/>
                <w:color w:val="auto"/>
              </w:rPr>
              <w:t>For the Year Ended December 31,</w:t>
            </w:r>
          </w:p>
        </w:tc>
        <w:tc>
          <w:tcPr>
            <w:tcW w:w="0" w:type="dxa"/>
            <w:vAlign w:val="bottom"/>
          </w:tcPr>
          <w:p>
            <w:pPr>
              <w:spacing w:after="0"/>
              <w:rPr>
                <w:sz w:val="1"/>
                <w:szCs w:val="1"/>
                <w:color w:val="auto"/>
              </w:rPr>
            </w:pPr>
          </w:p>
        </w:tc>
      </w:tr>
      <w:tr>
        <w:trPr>
          <w:trHeight w:val="263"/>
        </w:trPr>
        <w:tc>
          <w:tcPr>
            <w:tcW w:w="618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481"/>
              <w:spacing w:after="0"/>
              <w:rPr>
                <w:sz w:val="20"/>
                <w:szCs w:val="20"/>
                <w:color w:val="auto"/>
              </w:rPr>
            </w:pPr>
            <w:r>
              <w:rPr>
                <w:rFonts w:ascii="Times New Roman" w:cs="Times New Roman" w:eastAsia="Times New Roman" w:hAnsi="Times New Roman"/>
                <w:sz w:val="20"/>
                <w:szCs w:val="20"/>
                <w:b w:val="1"/>
                <w:bCs w:val="1"/>
                <w:color w:val="auto"/>
              </w:rPr>
              <w:t>2023</w:t>
            </w:r>
          </w:p>
        </w:tc>
        <w:tc>
          <w:tcPr>
            <w:tcW w:w="108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481"/>
              <w:spacing w:after="0"/>
              <w:rPr>
                <w:sz w:val="20"/>
                <w:szCs w:val="20"/>
                <w:color w:val="auto"/>
              </w:rPr>
            </w:pPr>
            <w:r>
              <w:rPr>
                <w:rFonts w:ascii="Times New Roman" w:cs="Times New Roman" w:eastAsia="Times New Roman" w:hAnsi="Times New Roman"/>
                <w:sz w:val="20"/>
                <w:szCs w:val="20"/>
                <w:b w:val="1"/>
                <w:bCs w:val="1"/>
                <w:color w:val="auto"/>
              </w:rPr>
              <w:t>2022</w:t>
            </w:r>
          </w:p>
        </w:tc>
        <w:tc>
          <w:tcPr>
            <w:tcW w:w="0" w:type="dxa"/>
            <w:vAlign w:val="bottom"/>
          </w:tcPr>
          <w:p>
            <w:pPr>
              <w:spacing w:after="0"/>
              <w:rPr>
                <w:sz w:val="1"/>
                <w:szCs w:val="1"/>
                <w:color w:val="auto"/>
              </w:rPr>
            </w:pPr>
          </w:p>
        </w:tc>
      </w:tr>
      <w:tr>
        <w:trPr>
          <w:trHeight w:val="243"/>
        </w:trPr>
        <w:tc>
          <w:tcPr>
            <w:tcW w:w="6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0"/>
                <w:szCs w:val="20"/>
                <w:b w:val="1"/>
                <w:bCs w:val="1"/>
                <w:color w:val="auto"/>
              </w:rPr>
              <w:t>Additions/Changes:</w:t>
            </w:r>
          </w:p>
        </w:tc>
        <w:tc>
          <w:tcPr>
            <w:tcW w:w="30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618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Investment income (loss):</w:t>
            </w:r>
          </w:p>
        </w:tc>
        <w:tc>
          <w:tcPr>
            <w:tcW w:w="30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61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20"/>
                <w:szCs w:val="20"/>
                <w:color w:val="auto"/>
              </w:rPr>
              <w:t>Interest and dividend income</w:t>
            </w:r>
          </w:p>
        </w:tc>
        <w:tc>
          <w:tcPr>
            <w:tcW w:w="30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20"/>
                <w:szCs w:val="20"/>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3,942,858</w:t>
            </w:r>
          </w:p>
        </w:tc>
        <w:tc>
          <w:tcPr>
            <w:tcW w:w="108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20"/>
                <w:szCs w:val="20"/>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4,275,578</w:t>
            </w:r>
          </w:p>
        </w:tc>
        <w:tc>
          <w:tcPr>
            <w:tcW w:w="0" w:type="dxa"/>
            <w:vAlign w:val="bottom"/>
          </w:tcPr>
          <w:p>
            <w:pPr>
              <w:spacing w:after="0"/>
              <w:rPr>
                <w:sz w:val="1"/>
                <w:szCs w:val="1"/>
                <w:color w:val="auto"/>
              </w:rPr>
            </w:pPr>
          </w:p>
        </w:tc>
      </w:tr>
      <w:tr>
        <w:trPr>
          <w:trHeight w:val="257"/>
        </w:trPr>
        <w:tc>
          <w:tcPr>
            <w:tcW w:w="6180" w:type="dxa"/>
            <w:vAlign w:val="bottom"/>
            <w:tcBorders>
              <w:bottom w:val="single" w:sz="8" w:color="CCEEFF"/>
            </w:tcBorders>
          </w:tcPr>
          <w:p>
            <w:pPr>
              <w:ind w:left="160"/>
              <w:spacing w:after="0"/>
              <w:rPr>
                <w:sz w:val="20"/>
                <w:szCs w:val="20"/>
                <w:color w:val="auto"/>
              </w:rPr>
            </w:pPr>
            <w:r>
              <w:rPr>
                <w:rFonts w:ascii="Times New Roman" w:cs="Times New Roman" w:eastAsia="Times New Roman" w:hAnsi="Times New Roman"/>
                <w:sz w:val="20"/>
                <w:szCs w:val="20"/>
                <w:color w:val="auto"/>
              </w:rPr>
              <w:t>Net appreciation (depreciation) in fair value of investments</w:t>
            </w:r>
          </w:p>
        </w:tc>
        <w:tc>
          <w:tcPr>
            <w:tcW w:w="30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19,635,366</w:t>
            </w:r>
          </w:p>
        </w:tc>
        <w:tc>
          <w:tcPr>
            <w:tcW w:w="108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(33,561,334)</w:t>
            </w:r>
          </w:p>
        </w:tc>
        <w:tc>
          <w:tcPr>
            <w:tcW w:w="0" w:type="dxa"/>
            <w:vAlign w:val="bottom"/>
          </w:tcPr>
          <w:p>
            <w:pPr>
              <w:spacing w:after="0"/>
              <w:rPr>
                <w:sz w:val="1"/>
                <w:szCs w:val="1"/>
                <w:color w:val="auto"/>
              </w:rPr>
            </w:pPr>
          </w:p>
        </w:tc>
      </w:tr>
      <w:tr>
        <w:trPr>
          <w:trHeight w:val="250"/>
        </w:trPr>
        <w:tc>
          <w:tcPr>
            <w:tcW w:w="618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20"/>
                <w:szCs w:val="20"/>
                <w:b w:val="1"/>
                <w:bCs w:val="1"/>
                <w:color w:val="auto"/>
              </w:rPr>
              <w:t>Total investment income (loss)</w:t>
            </w:r>
          </w:p>
        </w:tc>
        <w:tc>
          <w:tcPr>
            <w:tcW w:w="30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23,578,224</w:t>
            </w:r>
          </w:p>
        </w:tc>
        <w:tc>
          <w:tcPr>
            <w:tcW w:w="108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(29,285,756)</w:t>
            </w:r>
          </w:p>
        </w:tc>
        <w:tc>
          <w:tcPr>
            <w:tcW w:w="0" w:type="dxa"/>
            <w:vAlign w:val="bottom"/>
          </w:tcPr>
          <w:p>
            <w:pPr>
              <w:spacing w:after="0"/>
              <w:rPr>
                <w:sz w:val="1"/>
                <w:szCs w:val="1"/>
                <w:color w:val="auto"/>
              </w:rPr>
            </w:pPr>
          </w:p>
        </w:tc>
      </w:tr>
      <w:tr>
        <w:trPr>
          <w:trHeight w:val="250"/>
        </w:trPr>
        <w:tc>
          <w:tcPr>
            <w:tcW w:w="61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6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Interest income, notes receivable from participants</w:t>
            </w:r>
          </w:p>
        </w:tc>
        <w:tc>
          <w:tcPr>
            <w:tcW w:w="300" w:type="dxa"/>
            <w:vAlign w:val="bottom"/>
            <w:tcBorders>
              <w:bottom w:val="single" w:sz="8" w:color="auto"/>
            </w:tcBorders>
            <w:shd w:val="clear" w:color="auto" w:fill="CCEEFF"/>
          </w:tcPr>
          <w:p>
            <w:pPr>
              <w:spacing w:after="0"/>
              <w:rPr>
                <w:sz w:val="22"/>
                <w:szCs w:val="22"/>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220,556</w:t>
            </w:r>
          </w:p>
        </w:tc>
        <w:tc>
          <w:tcPr>
            <w:tcW w:w="1080" w:type="dxa"/>
            <w:vAlign w:val="bottom"/>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162,038</w:t>
            </w:r>
          </w:p>
        </w:tc>
        <w:tc>
          <w:tcPr>
            <w:tcW w:w="0" w:type="dxa"/>
            <w:vAlign w:val="bottom"/>
          </w:tcPr>
          <w:p>
            <w:pPr>
              <w:spacing w:after="0"/>
              <w:rPr>
                <w:sz w:val="1"/>
                <w:szCs w:val="1"/>
                <w:color w:val="auto"/>
              </w:rPr>
            </w:pPr>
          </w:p>
        </w:tc>
      </w:tr>
      <w:tr>
        <w:trPr>
          <w:trHeight w:val="250"/>
        </w:trPr>
        <w:tc>
          <w:tcPr>
            <w:tcW w:w="61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6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Contributions:</w:t>
            </w:r>
          </w:p>
        </w:tc>
        <w:tc>
          <w:tcPr>
            <w:tcW w:w="30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618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Employer</w:t>
            </w:r>
          </w:p>
        </w:tc>
        <w:tc>
          <w:tcPr>
            <w:tcW w:w="30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2,484,868</w:t>
            </w:r>
          </w:p>
        </w:tc>
        <w:tc>
          <w:tcPr>
            <w:tcW w:w="10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2,242,368</w:t>
            </w:r>
          </w:p>
        </w:tc>
        <w:tc>
          <w:tcPr>
            <w:tcW w:w="0" w:type="dxa"/>
            <w:vAlign w:val="bottom"/>
          </w:tcPr>
          <w:p>
            <w:pPr>
              <w:spacing w:after="0"/>
              <w:rPr>
                <w:sz w:val="1"/>
                <w:szCs w:val="1"/>
                <w:color w:val="auto"/>
              </w:rPr>
            </w:pPr>
          </w:p>
        </w:tc>
      </w:tr>
      <w:tr>
        <w:trPr>
          <w:trHeight w:val="257"/>
        </w:trPr>
        <w:tc>
          <w:tcPr>
            <w:tcW w:w="61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20"/>
                <w:szCs w:val="20"/>
                <w:color w:val="auto"/>
              </w:rPr>
              <w:t>Participant</w:t>
            </w:r>
          </w:p>
        </w:tc>
        <w:tc>
          <w:tcPr>
            <w:tcW w:w="300" w:type="dxa"/>
            <w:vAlign w:val="bottom"/>
            <w:tcBorders>
              <w:bottom w:val="single" w:sz="8" w:color="auto"/>
            </w:tcBorders>
            <w:shd w:val="clear" w:color="auto" w:fill="CCEEFF"/>
          </w:tcPr>
          <w:p>
            <w:pPr>
              <w:spacing w:after="0"/>
              <w:rPr>
                <w:sz w:val="22"/>
                <w:szCs w:val="22"/>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7,946,236</w:t>
            </w:r>
          </w:p>
        </w:tc>
        <w:tc>
          <w:tcPr>
            <w:tcW w:w="1080" w:type="dxa"/>
            <w:vAlign w:val="bottom"/>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7,874,870</w:t>
            </w:r>
          </w:p>
        </w:tc>
        <w:tc>
          <w:tcPr>
            <w:tcW w:w="0" w:type="dxa"/>
            <w:vAlign w:val="bottom"/>
          </w:tcPr>
          <w:p>
            <w:pPr>
              <w:spacing w:after="0"/>
              <w:rPr>
                <w:sz w:val="1"/>
                <w:szCs w:val="1"/>
                <w:color w:val="auto"/>
              </w:rPr>
            </w:pPr>
          </w:p>
        </w:tc>
      </w:tr>
      <w:tr>
        <w:trPr>
          <w:trHeight w:val="250"/>
        </w:trPr>
        <w:tc>
          <w:tcPr>
            <w:tcW w:w="6180" w:type="dxa"/>
            <w:vAlign w:val="bottom"/>
            <w:tcBorders>
              <w:bottom w:val="single" w:sz="8" w:color="CCEEFF"/>
            </w:tcBorders>
          </w:tcPr>
          <w:p>
            <w:pPr>
              <w:ind w:left="600"/>
              <w:spacing w:after="0"/>
              <w:rPr>
                <w:sz w:val="20"/>
                <w:szCs w:val="20"/>
                <w:color w:val="auto"/>
              </w:rPr>
            </w:pPr>
            <w:r>
              <w:rPr>
                <w:rFonts w:ascii="Times New Roman" w:cs="Times New Roman" w:eastAsia="Times New Roman" w:hAnsi="Times New Roman"/>
                <w:sz w:val="20"/>
                <w:szCs w:val="20"/>
                <w:b w:val="1"/>
                <w:bCs w:val="1"/>
                <w:color w:val="auto"/>
              </w:rPr>
              <w:t>Total contributions</w:t>
            </w:r>
          </w:p>
        </w:tc>
        <w:tc>
          <w:tcPr>
            <w:tcW w:w="30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10,431,104</w:t>
            </w:r>
          </w:p>
        </w:tc>
        <w:tc>
          <w:tcPr>
            <w:tcW w:w="108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10,117,238</w:t>
            </w:r>
          </w:p>
        </w:tc>
        <w:tc>
          <w:tcPr>
            <w:tcW w:w="0" w:type="dxa"/>
            <w:vAlign w:val="bottom"/>
          </w:tcPr>
          <w:p>
            <w:pPr>
              <w:spacing w:after="0"/>
              <w:rPr>
                <w:sz w:val="1"/>
                <w:szCs w:val="1"/>
                <w:color w:val="auto"/>
              </w:rPr>
            </w:pPr>
          </w:p>
        </w:tc>
      </w:tr>
      <w:tr>
        <w:trPr>
          <w:trHeight w:val="250"/>
        </w:trPr>
        <w:tc>
          <w:tcPr>
            <w:tcW w:w="618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6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20"/>
                <w:szCs w:val="20"/>
                <w:color w:val="auto"/>
              </w:rPr>
              <w:t>Other additions</w:t>
            </w:r>
          </w:p>
        </w:tc>
        <w:tc>
          <w:tcPr>
            <w:tcW w:w="30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25,801</w:t>
            </w:r>
          </w:p>
        </w:tc>
        <w:tc>
          <w:tcPr>
            <w:tcW w:w="108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18,573</w:t>
            </w:r>
          </w:p>
        </w:tc>
        <w:tc>
          <w:tcPr>
            <w:tcW w:w="0" w:type="dxa"/>
            <w:vAlign w:val="bottom"/>
          </w:tcPr>
          <w:p>
            <w:pPr>
              <w:spacing w:after="0"/>
              <w:rPr>
                <w:sz w:val="1"/>
                <w:szCs w:val="1"/>
                <w:color w:val="auto"/>
              </w:rPr>
            </w:pPr>
          </w:p>
        </w:tc>
      </w:tr>
      <w:tr>
        <w:trPr>
          <w:trHeight w:val="250"/>
        </w:trPr>
        <w:tc>
          <w:tcPr>
            <w:tcW w:w="618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20"/>
                <w:szCs w:val="20"/>
                <w:b w:val="1"/>
                <w:bCs w:val="1"/>
                <w:color w:val="auto"/>
              </w:rPr>
              <w:t>Total additions/changes</w:t>
            </w:r>
          </w:p>
        </w:tc>
        <w:tc>
          <w:tcPr>
            <w:tcW w:w="30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34,255,685</w:t>
            </w:r>
          </w:p>
        </w:tc>
        <w:tc>
          <w:tcPr>
            <w:tcW w:w="108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(18,987,907)</w:t>
            </w:r>
          </w:p>
        </w:tc>
        <w:tc>
          <w:tcPr>
            <w:tcW w:w="0" w:type="dxa"/>
            <w:vAlign w:val="bottom"/>
          </w:tcPr>
          <w:p>
            <w:pPr>
              <w:spacing w:after="0"/>
              <w:rPr>
                <w:sz w:val="1"/>
                <w:szCs w:val="1"/>
                <w:color w:val="auto"/>
              </w:rPr>
            </w:pPr>
          </w:p>
        </w:tc>
      </w:tr>
      <w:tr>
        <w:trPr>
          <w:trHeight w:val="250"/>
        </w:trPr>
        <w:tc>
          <w:tcPr>
            <w:tcW w:w="61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6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0"/>
                <w:szCs w:val="20"/>
                <w:b w:val="1"/>
                <w:bCs w:val="1"/>
                <w:color w:val="auto"/>
              </w:rPr>
              <w:t>Deductions:</w:t>
            </w:r>
          </w:p>
        </w:tc>
        <w:tc>
          <w:tcPr>
            <w:tcW w:w="30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618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Benefits paid to participants</w:t>
            </w:r>
          </w:p>
        </w:tc>
        <w:tc>
          <w:tcPr>
            <w:tcW w:w="30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12,228,225</w:t>
            </w:r>
          </w:p>
        </w:tc>
        <w:tc>
          <w:tcPr>
            <w:tcW w:w="10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15,848,716</w:t>
            </w:r>
          </w:p>
        </w:tc>
        <w:tc>
          <w:tcPr>
            <w:tcW w:w="0" w:type="dxa"/>
            <w:vAlign w:val="bottom"/>
          </w:tcPr>
          <w:p>
            <w:pPr>
              <w:spacing w:after="0"/>
              <w:rPr>
                <w:sz w:val="1"/>
                <w:szCs w:val="1"/>
                <w:color w:val="auto"/>
              </w:rPr>
            </w:pPr>
          </w:p>
        </w:tc>
      </w:tr>
      <w:tr>
        <w:trPr>
          <w:trHeight w:val="257"/>
        </w:trPr>
        <w:tc>
          <w:tcPr>
            <w:tcW w:w="6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Administrative expenses</w:t>
            </w:r>
          </w:p>
        </w:tc>
        <w:tc>
          <w:tcPr>
            <w:tcW w:w="30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198,781</w:t>
            </w:r>
          </w:p>
        </w:tc>
        <w:tc>
          <w:tcPr>
            <w:tcW w:w="108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231,705</w:t>
            </w:r>
          </w:p>
        </w:tc>
        <w:tc>
          <w:tcPr>
            <w:tcW w:w="0" w:type="dxa"/>
            <w:vAlign w:val="bottom"/>
          </w:tcPr>
          <w:p>
            <w:pPr>
              <w:spacing w:after="0"/>
              <w:rPr>
                <w:sz w:val="1"/>
                <w:szCs w:val="1"/>
                <w:color w:val="auto"/>
              </w:rPr>
            </w:pPr>
          </w:p>
        </w:tc>
      </w:tr>
      <w:tr>
        <w:trPr>
          <w:trHeight w:val="257"/>
        </w:trPr>
        <w:tc>
          <w:tcPr>
            <w:tcW w:w="6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20"/>
                <w:szCs w:val="20"/>
                <w:color w:val="auto"/>
              </w:rPr>
              <w:t>Other deductions</w:t>
            </w:r>
          </w:p>
        </w:tc>
        <w:tc>
          <w:tcPr>
            <w:tcW w:w="30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17,615</w:t>
            </w:r>
          </w:p>
        </w:tc>
        <w:tc>
          <w:tcPr>
            <w:tcW w:w="108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50"/>
        </w:trPr>
        <w:tc>
          <w:tcPr>
            <w:tcW w:w="618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20"/>
                <w:szCs w:val="20"/>
                <w:b w:val="1"/>
                <w:bCs w:val="1"/>
                <w:color w:val="auto"/>
              </w:rPr>
              <w:t>Total deductions</w:t>
            </w:r>
          </w:p>
        </w:tc>
        <w:tc>
          <w:tcPr>
            <w:tcW w:w="30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12,444,621</w:t>
            </w:r>
          </w:p>
        </w:tc>
        <w:tc>
          <w:tcPr>
            <w:tcW w:w="108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16,080,421</w:t>
            </w:r>
          </w:p>
        </w:tc>
        <w:tc>
          <w:tcPr>
            <w:tcW w:w="0" w:type="dxa"/>
            <w:vAlign w:val="bottom"/>
          </w:tcPr>
          <w:p>
            <w:pPr>
              <w:spacing w:after="0"/>
              <w:rPr>
                <w:sz w:val="1"/>
                <w:szCs w:val="1"/>
                <w:color w:val="auto"/>
              </w:rPr>
            </w:pPr>
          </w:p>
        </w:tc>
      </w:tr>
      <w:tr>
        <w:trPr>
          <w:trHeight w:val="250"/>
        </w:trPr>
        <w:tc>
          <w:tcPr>
            <w:tcW w:w="61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6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0"/>
                <w:szCs w:val="20"/>
                <w:b w:val="1"/>
                <w:bCs w:val="1"/>
                <w:color w:val="auto"/>
              </w:rPr>
              <w:t>Net increase (decrease)</w:t>
            </w:r>
          </w:p>
        </w:tc>
        <w:tc>
          <w:tcPr>
            <w:tcW w:w="30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21,811,064</w:t>
            </w:r>
          </w:p>
        </w:tc>
        <w:tc>
          <w:tcPr>
            <w:tcW w:w="108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(35,068,328)</w:t>
            </w:r>
          </w:p>
        </w:tc>
        <w:tc>
          <w:tcPr>
            <w:tcW w:w="0" w:type="dxa"/>
            <w:vAlign w:val="bottom"/>
          </w:tcPr>
          <w:p>
            <w:pPr>
              <w:spacing w:after="0"/>
              <w:rPr>
                <w:sz w:val="1"/>
                <w:szCs w:val="1"/>
                <w:color w:val="auto"/>
              </w:rPr>
            </w:pPr>
          </w:p>
        </w:tc>
      </w:tr>
      <w:tr>
        <w:trPr>
          <w:trHeight w:val="270"/>
        </w:trPr>
        <w:tc>
          <w:tcPr>
            <w:tcW w:w="61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93"/>
        </w:trPr>
        <w:tc>
          <w:tcPr>
            <w:tcW w:w="6180" w:type="dxa"/>
            <w:vAlign w:val="bottom"/>
            <w:shd w:val="clear" w:color="auto" w:fill="CCEEFF"/>
          </w:tcPr>
          <w:p>
            <w:pPr>
              <w:ind w:left="20"/>
              <w:spacing w:after="0" w:line="193" w:lineRule="exact"/>
              <w:rPr>
                <w:sz w:val="20"/>
                <w:szCs w:val="20"/>
                <w:color w:val="auto"/>
              </w:rPr>
            </w:pPr>
            <w:r>
              <w:rPr>
                <w:rFonts w:ascii="Times New Roman" w:cs="Times New Roman" w:eastAsia="Times New Roman" w:hAnsi="Times New Roman"/>
                <w:sz w:val="20"/>
                <w:szCs w:val="20"/>
                <w:color w:val="auto"/>
              </w:rPr>
              <w:t>Transfers from Crown Cork &amp; Seal Company Inc. 401(k) Retirement</w:t>
            </w:r>
          </w:p>
        </w:tc>
        <w:tc>
          <w:tcPr>
            <w:tcW w:w="300" w:type="dxa"/>
            <w:vAlign w:val="bottom"/>
            <w:shd w:val="clear" w:color="auto" w:fill="CCEEFF"/>
          </w:tcPr>
          <w:p>
            <w:pPr>
              <w:spacing w:after="0"/>
              <w:rPr>
                <w:sz w:val="16"/>
                <w:szCs w:val="16"/>
                <w:color w:val="auto"/>
              </w:rPr>
            </w:pPr>
          </w:p>
        </w:tc>
        <w:tc>
          <w:tcPr>
            <w:tcW w:w="12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110,950</w:t>
            </w:r>
          </w:p>
        </w:tc>
        <w:tc>
          <w:tcPr>
            <w:tcW w:w="10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2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54,285</w:t>
            </w:r>
          </w:p>
        </w:tc>
        <w:tc>
          <w:tcPr>
            <w:tcW w:w="0" w:type="dxa"/>
            <w:vAlign w:val="bottom"/>
          </w:tcPr>
          <w:p>
            <w:pPr>
              <w:spacing w:after="0"/>
              <w:rPr>
                <w:sz w:val="1"/>
                <w:szCs w:val="1"/>
                <w:color w:val="auto"/>
              </w:rPr>
            </w:pPr>
          </w:p>
        </w:tc>
      </w:tr>
      <w:tr>
        <w:trPr>
          <w:trHeight w:val="252"/>
        </w:trPr>
        <w:tc>
          <w:tcPr>
            <w:tcW w:w="6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Savings Plan</w:t>
            </w:r>
          </w:p>
        </w:tc>
        <w:tc>
          <w:tcPr>
            <w:tcW w:w="300" w:type="dxa"/>
            <w:vAlign w:val="bottom"/>
            <w:shd w:val="clear" w:color="auto" w:fill="CCEEFF"/>
          </w:tcPr>
          <w:p>
            <w:pPr>
              <w:spacing w:after="0"/>
              <w:rPr>
                <w:sz w:val="21"/>
                <w:szCs w:val="21"/>
                <w:color w:val="auto"/>
              </w:rPr>
            </w:pPr>
          </w:p>
        </w:tc>
        <w:tc>
          <w:tcPr>
            <w:tcW w:w="1260" w:type="dxa"/>
            <w:vAlign w:val="bottom"/>
            <w:vMerge w:val="continue"/>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26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61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93"/>
        </w:trPr>
        <w:tc>
          <w:tcPr>
            <w:tcW w:w="6180" w:type="dxa"/>
            <w:vAlign w:val="bottom"/>
            <w:shd w:val="clear" w:color="auto" w:fill="CCEEFF"/>
          </w:tcPr>
          <w:p>
            <w:pPr>
              <w:ind w:left="20"/>
              <w:spacing w:after="0" w:line="193" w:lineRule="exact"/>
              <w:rPr>
                <w:sz w:val="20"/>
                <w:szCs w:val="20"/>
                <w:color w:val="auto"/>
              </w:rPr>
            </w:pPr>
            <w:r>
              <w:rPr>
                <w:rFonts w:ascii="Times New Roman" w:cs="Times New Roman" w:eastAsia="Times New Roman" w:hAnsi="Times New Roman"/>
                <w:sz w:val="20"/>
                <w:szCs w:val="20"/>
                <w:color w:val="auto"/>
              </w:rPr>
              <w:t>Transfers to Crown Cork &amp; Seal Company Inc. 401(k) Retirement Savings</w:t>
            </w:r>
          </w:p>
        </w:tc>
        <w:tc>
          <w:tcPr>
            <w:tcW w:w="300" w:type="dxa"/>
            <w:vAlign w:val="bottom"/>
            <w:shd w:val="clear" w:color="auto" w:fill="CCEEFF"/>
          </w:tcPr>
          <w:p>
            <w:pPr>
              <w:spacing w:after="0"/>
              <w:rPr>
                <w:sz w:val="16"/>
                <w:szCs w:val="16"/>
                <w:color w:val="auto"/>
              </w:rPr>
            </w:pPr>
          </w:p>
        </w:tc>
        <w:tc>
          <w:tcPr>
            <w:tcW w:w="12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(522,521)</w:t>
            </w:r>
          </w:p>
        </w:tc>
        <w:tc>
          <w:tcPr>
            <w:tcW w:w="10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2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(5,892,369)</w:t>
            </w:r>
          </w:p>
        </w:tc>
        <w:tc>
          <w:tcPr>
            <w:tcW w:w="0" w:type="dxa"/>
            <w:vAlign w:val="bottom"/>
          </w:tcPr>
          <w:p>
            <w:pPr>
              <w:spacing w:after="0"/>
              <w:rPr>
                <w:sz w:val="1"/>
                <w:szCs w:val="1"/>
                <w:color w:val="auto"/>
              </w:rPr>
            </w:pPr>
          </w:p>
        </w:tc>
      </w:tr>
      <w:tr>
        <w:trPr>
          <w:trHeight w:val="252"/>
        </w:trPr>
        <w:tc>
          <w:tcPr>
            <w:tcW w:w="6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Plan</w:t>
            </w:r>
          </w:p>
        </w:tc>
        <w:tc>
          <w:tcPr>
            <w:tcW w:w="300" w:type="dxa"/>
            <w:vAlign w:val="bottom"/>
            <w:shd w:val="clear" w:color="auto" w:fill="CCEEFF"/>
          </w:tcPr>
          <w:p>
            <w:pPr>
              <w:spacing w:after="0"/>
              <w:rPr>
                <w:sz w:val="21"/>
                <w:szCs w:val="21"/>
                <w:color w:val="auto"/>
              </w:rPr>
            </w:pPr>
          </w:p>
        </w:tc>
        <w:tc>
          <w:tcPr>
            <w:tcW w:w="1260" w:type="dxa"/>
            <w:vAlign w:val="bottom"/>
            <w:vMerge w:val="continue"/>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26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61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6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0"/>
                <w:szCs w:val="20"/>
                <w:b w:val="1"/>
                <w:bCs w:val="1"/>
                <w:color w:val="auto"/>
              </w:rPr>
              <w:t>Net Assets Available for Benefits:</w:t>
            </w:r>
          </w:p>
        </w:tc>
        <w:tc>
          <w:tcPr>
            <w:tcW w:w="30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618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20"/>
                <w:szCs w:val="20"/>
                <w:color w:val="auto"/>
              </w:rPr>
              <w:t>Beginning of year</w:t>
            </w:r>
          </w:p>
        </w:tc>
        <w:tc>
          <w:tcPr>
            <w:tcW w:w="30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148,642,549</w:t>
            </w:r>
          </w:p>
        </w:tc>
        <w:tc>
          <w:tcPr>
            <w:tcW w:w="108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189,548,961</w:t>
            </w:r>
          </w:p>
        </w:tc>
        <w:tc>
          <w:tcPr>
            <w:tcW w:w="0" w:type="dxa"/>
            <w:vAlign w:val="bottom"/>
          </w:tcPr>
          <w:p>
            <w:pPr>
              <w:spacing w:after="0"/>
              <w:rPr>
                <w:sz w:val="1"/>
                <w:szCs w:val="1"/>
                <w:color w:val="auto"/>
              </w:rPr>
            </w:pPr>
          </w:p>
        </w:tc>
      </w:tr>
      <w:tr>
        <w:trPr>
          <w:trHeight w:val="257"/>
        </w:trPr>
        <w:tc>
          <w:tcPr>
            <w:tcW w:w="61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20"/>
                <w:szCs w:val="20"/>
                <w:color w:val="auto"/>
              </w:rPr>
              <w:t>End of year</w:t>
            </w:r>
          </w:p>
        </w:tc>
        <w:tc>
          <w:tcPr>
            <w:tcW w:w="300" w:type="dxa"/>
            <w:vAlign w:val="bottom"/>
            <w:tcBorders>
              <w:bottom w:val="single" w:sz="8" w:color="auto"/>
            </w:tcBorders>
            <w:shd w:val="clear" w:color="auto" w:fill="CCEEFF"/>
          </w:tcPr>
          <w:p>
            <w:pPr>
              <w:jc w:val="right"/>
              <w:ind w:right="81"/>
              <w:spacing w:after="0"/>
              <w:rPr>
                <w:sz w:val="20"/>
                <w:szCs w:val="20"/>
                <w:color w:val="auto"/>
              </w:rPr>
            </w:pPr>
            <w:r>
              <w:rPr>
                <w:rFonts w:ascii="Times New Roman" w:cs="Times New Roman" w:eastAsia="Times New Roman" w:hAnsi="Times New Roman"/>
                <w:sz w:val="20"/>
                <w:szCs w:val="20"/>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170,042,042</w:t>
            </w:r>
          </w:p>
        </w:tc>
        <w:tc>
          <w:tcPr>
            <w:tcW w:w="108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81"/>
              <w:spacing w:after="0"/>
              <w:rPr>
                <w:sz w:val="20"/>
                <w:szCs w:val="20"/>
                <w:color w:val="auto"/>
              </w:rPr>
            </w:pPr>
            <w:r>
              <w:rPr>
                <w:rFonts w:ascii="Times New Roman" w:cs="Times New Roman" w:eastAsia="Times New Roman" w:hAnsi="Times New Roman"/>
                <w:sz w:val="20"/>
                <w:szCs w:val="20"/>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148,642,549</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accompanying notes are an integral part of these financial statements.</w:t>
      </w:r>
    </w:p>
    <w:p>
      <w:pPr>
        <w:sectPr>
          <w:pgSz w:w="11900" w:h="16838" w:orient="portrait"/>
          <w:cols w:equalWidth="0" w:num="1">
            <w:col w:w="10380"/>
          </w:cols>
          <w:pgMar w:left="760" w:top="907" w:right="7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4</w:t>
      </w:r>
    </w:p>
    <w:p>
      <w:pPr>
        <w:sectPr>
          <w:pgSz w:w="11900" w:h="16838" w:orient="portrait"/>
          <w:cols w:equalWidth="0" w:num="1">
            <w:col w:w="10380"/>
          </w:cols>
          <w:pgMar w:left="760" w:top="907" w:right="759" w:bottom="1440" w:gutter="0" w:footer="0" w:header="0"/>
          <w:type w:val="continuous"/>
        </w:sectPr>
      </w:pPr>
    </w:p>
    <w:bookmarkStart w:id="6" w:name="page7"/>
    <w:bookmarkEnd w:id="6"/>
    <w:p>
      <w:pPr>
        <w:spacing w:after="0"/>
        <w:rPr>
          <w:sz w:val="20"/>
          <w:szCs w:val="20"/>
          <w:color w:val="auto"/>
        </w:rPr>
      </w:pPr>
      <w:r>
        <w:rPr>
          <w:rFonts w:ascii="Times New Roman" w:cs="Times New Roman" w:eastAsia="Times New Roman" w:hAnsi="Times New Roman"/>
          <w:sz w:val="25"/>
          <w:szCs w:val="25"/>
          <w:b w:val="1"/>
          <w:bCs w:val="1"/>
          <w:color w:val="auto"/>
        </w:rPr>
        <w:t>CROWN CORK &amp; SEAL COMPANY, INC.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5"/>
          <w:szCs w:val="25"/>
          <w:b w:val="1"/>
          <w:bCs w:val="1"/>
          <w:color w:val="auto"/>
        </w:rPr>
        <w:t>RETIREMENT THRIFT PLAN</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Notes to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74295</wp:posOffset>
            </wp:positionV>
            <wp:extent cx="7003415"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03415" cy="17145"/>
                    </a:xfrm>
                    <a:prstGeom prst="rect">
                      <a:avLst/>
                    </a:prstGeom>
                    <a:noFill/>
                  </pic:spPr>
                </pic:pic>
              </a:graphicData>
            </a:graphic>
          </wp:anchor>
        </w:drawing>
      </w: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1 - DESCRIPTION OF PLAN</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description of the Crown Cork &amp; Seal Company, Inc. Retirement Thrift Plan (the "Plan") provides only general information.</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Participants should refer to the Plan document for a more complete description of the Plan's provisions.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General</w:t>
      </w:r>
    </w:p>
    <w:p>
      <w:pPr>
        <w:spacing w:after="0" w:line="32"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0"/>
          <w:szCs w:val="20"/>
          <w:color w:val="auto"/>
        </w:rPr>
        <w:t>The Plan is a voluntary defined contribution plan. The purpose of the Plan is to provide a convenient method by which eligible employees may save regularly through salary deferrals. Participation in the Plan is determined by an agreement among recognized collective bargaining units and Crown Holdings, Inc. and subsidiaries (the “Company”) or as otherwise agreed upon between the Company and non-organized hourly employees. Generally, employees are eligible to participate in the Plan upon date of hire. Employees are automatically enrolled on the first of the month following 30 days of service with a before-tax rate of 3% or 6%, as defined in the Plan document, unless they affirmatively elect not to participate in the Plan or elect to contribute at a different rate. The Plan is subject to the provisions of the Employee Retirement Income Security Act of 1974 (“ERISA”).</w:t>
      </w:r>
    </w:p>
    <w:p>
      <w:pPr>
        <w:spacing w:after="0" w:line="205"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20"/>
          <w:szCs w:val="20"/>
          <w:color w:val="auto"/>
        </w:rPr>
        <w:t>The Plan is administered by the Crown Cork &amp; Seal Company, Inc. Benefit Plans Committee (the “Committee”). The Committee has appointed Vanguard Fiduciary Trust Company (“VFTC”) as the trustee and recordkeeper of the Plan.</w:t>
      </w:r>
    </w:p>
    <w:p>
      <w:pPr>
        <w:spacing w:after="0" w:line="173" w:lineRule="exact"/>
        <w:rPr>
          <w:sz w:val="20"/>
          <w:szCs w:val="20"/>
          <w:color w:val="auto"/>
        </w:rPr>
      </w:pPr>
    </w:p>
    <w:p>
      <w:pPr>
        <w:jc w:val="both"/>
        <w:ind w:right="20"/>
        <w:spacing w:after="0" w:line="268" w:lineRule="auto"/>
        <w:rPr>
          <w:sz w:val="20"/>
          <w:szCs w:val="20"/>
          <w:color w:val="auto"/>
        </w:rPr>
      </w:pPr>
      <w:r>
        <w:rPr>
          <w:rFonts w:ascii="Times New Roman" w:cs="Times New Roman" w:eastAsia="Times New Roman" w:hAnsi="Times New Roman"/>
          <w:sz w:val="20"/>
          <w:szCs w:val="20"/>
          <w:color w:val="auto"/>
        </w:rPr>
        <w:t>The Secure 2.0 Act of 2022 was signed into law on December 29, 2022. This legislation includes a vast array of provisional changes to retirement plans. Plan management is adopting any mandatory provisions as they become applicable and evaluating those provisions deemed discretionary.</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Contributions</w:t>
      </w:r>
    </w:p>
    <w:p>
      <w:pPr>
        <w:spacing w:after="0" w:line="32"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The Plan allows before-tax and Roth participant contributions of 2% to 75% of eligible compensation. The Plan also allows after-tax participant contributions of 1% to 10% of eligible compensation. Catch-up contributions are permitted by the Plan. Participants direct the investment of their contributions into various investment options offered by the Plan. Company contributions, where applicable, are invested in accordance with participant investment directions. Before-tax and Roth contributions may be matched by the Company at various rates as determined by the employer company, as defined in the Plan document. In addition, certain participants receive profit sharing contributions, some of which are discretionary, from the Company at varying rates as determined by the employer company, as defined in the Plan document. Discretionary contributions in 2023 and 2022 totaled $764,324 and $634,967, respectively. Contribution amounts are subject to certain Internal Revenue Service (“IRS”) limitations.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Participant Accounts</w:t>
      </w:r>
    </w:p>
    <w:p>
      <w:pPr>
        <w:spacing w:after="0" w:line="3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Each participant’s account is credited with (a) the participant’s contributions, (b) the Company’s contribution and (c) Plan earnings, and charged with administrative fees. The benefit to which a participant is entitled is the benefit that can be provided from the participant’s vested account.</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Vesting</w:t>
      </w:r>
    </w:p>
    <w:p>
      <w:pPr>
        <w:spacing w:after="0" w:line="26"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Participants are immediately vested in their contributions plus actual earnings thereon. Vesting in the Company’s matching and profit sharing contribution portions of their accounts plus earnings thereon is based on various rates established in the collective bargaining agreements or in the Plan document. The Plan uses graded vesting that results in a participant becoming 100% vested in the matching contribution portion after completing 4 or 5 years of credited service depending on the employer company and as defined in the Plan document. If eligible, a participant becomes 100% vested in the profit sharing contribution portion either immediately or after completing 5 years of credited service on a graded scale, depending on the employer company and as defined in the Plan document.</w:t>
      </w:r>
    </w:p>
    <w:p>
      <w:pPr>
        <w:sectPr>
          <w:pgSz w:w="11900" w:h="16838" w:orient="portrait"/>
          <w:cols w:equalWidth="0" w:num="1">
            <w:col w:w="11240"/>
          </w:cols>
          <w:pgMar w:left="320" w:top="88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w:t>
      </w:r>
    </w:p>
    <w:p>
      <w:pPr>
        <w:sectPr>
          <w:pgSz w:w="11900" w:h="16838" w:orient="portrait"/>
          <w:cols w:equalWidth="0" w:num="1">
            <w:col w:w="11240"/>
          </w:cols>
          <w:pgMar w:left="320" w:top="880" w:right="339" w:bottom="1440" w:gutter="0" w:footer="0" w:header="0"/>
          <w:type w:val="continuous"/>
        </w:sectPr>
      </w:pPr>
    </w:p>
    <w:bookmarkStart w:id="7" w:name="page8"/>
    <w:bookmarkEnd w:id="7"/>
    <w:p>
      <w:pPr>
        <w:spacing w:after="0"/>
        <w:rPr>
          <w:sz w:val="20"/>
          <w:szCs w:val="20"/>
          <w:color w:val="auto"/>
        </w:rPr>
      </w:pPr>
      <w:r>
        <w:rPr>
          <w:rFonts w:ascii="Times New Roman" w:cs="Times New Roman" w:eastAsia="Times New Roman" w:hAnsi="Times New Roman"/>
          <w:sz w:val="25"/>
          <w:szCs w:val="25"/>
          <w:b w:val="1"/>
          <w:bCs w:val="1"/>
          <w:color w:val="auto"/>
        </w:rPr>
        <w:t>CROWN CORK &amp; SEAL COMPANY, INC.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5"/>
          <w:szCs w:val="25"/>
          <w:b w:val="1"/>
          <w:bCs w:val="1"/>
          <w:color w:val="auto"/>
        </w:rPr>
        <w:t>RETIREMENT THRIFT PLAN</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Notes to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74295</wp:posOffset>
            </wp:positionV>
            <wp:extent cx="700341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003415" cy="17145"/>
                    </a:xfrm>
                    <a:prstGeom prst="rect">
                      <a:avLst/>
                    </a:prstGeom>
                    <a:noFill/>
                  </pic:spPr>
                </pic:pic>
              </a:graphicData>
            </a:graphic>
          </wp:anchor>
        </w:drawing>
      </w: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Notes Receivable from Participants</w:t>
      </w:r>
    </w:p>
    <w:p>
      <w:pPr>
        <w:spacing w:after="0" w:line="26"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0"/>
          <w:szCs w:val="20"/>
          <w:color w:val="auto"/>
        </w:rPr>
        <w:t>The Plan does not generally permit participants to borrow from their accounts. However, in some circumstances participants who are employees of certain divisions of the Company and participants who are former participants of certain plans, which have merged into the Plan, are permitted to borrow from their accounts. Generally, these participants may borrow from their account a minimum of $1,000 up to a maximum of the lesser of $50,000 or 50% of their vested account balance.</w:t>
      </w:r>
    </w:p>
    <w:p>
      <w:pPr>
        <w:spacing w:after="0" w:line="21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Notes receivable terms range from 1 to 5 years or up to 10 years for the purchase of a primary residence. The notes receivable are secured by the balance in the participant’s account and bear interest at prevailing interest rates. Interest rates on notes receivable outstanding as of December 31, 2023 and 2022 range from 4.25% to 9.50% and 4.25% to 8.50%, respectively. Principal and interest are paid ratably through monthly payroll deductions.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Payment of Benefits</w:t>
      </w:r>
    </w:p>
    <w:p>
      <w:pPr>
        <w:spacing w:after="0" w:line="32"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On termination of service due to retirement, attainment of age 65, permanent plant shutdown, permanent disability, or death, the participant, or his or her beneficiary, automatically becomes fully vested in the Company contributions. For termination of service due to these or any other reasons, a participant may receive the value of the vested interest in his or her account as a lump-sum distribution. An active employee may take an in-service withdrawal if he or she has attained age 59.5 or if other criteria are met as defined in the Plan document. All distributions are paid in either cash or Company stock at the participant’s election.</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Forfeited Accounts</w:t>
      </w:r>
    </w:p>
    <w:p>
      <w:pPr>
        <w:spacing w:after="0" w:line="26"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9"/>
          <w:szCs w:val="19"/>
          <w:color w:val="auto"/>
        </w:rPr>
        <w:t>When certain terminations of participation in the Plan occur, the non-vested portion of the participant’s account, as defined, represents a forfeiture. Total unallocated forfeitures, which will be used to reduce future Company contributions, were $24 and $14 at December 31, 2023 and 2022, respectively. Forfeitures used to offset Company contributions in 2023 and 2022 totaled $105,298 and $74,422, respectively.</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Plan Transfers</w:t>
      </w:r>
    </w:p>
    <w:p>
      <w:pPr>
        <w:spacing w:after="0" w:line="26"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0"/>
          <w:szCs w:val="20"/>
          <w:color w:val="auto"/>
        </w:rPr>
        <w:t>A participant's balance may be transferred to or from the Crown Cork &amp; Seal Company, Inc. 401(k) Retirement Savings Plan due to an employee's eligibility changing as a result of a promotion or relocation.</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Plan Termination</w:t>
      </w:r>
    </w:p>
    <w:p>
      <w:pPr>
        <w:spacing w:after="0" w:line="26"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0"/>
          <w:szCs w:val="20"/>
          <w:color w:val="auto"/>
        </w:rPr>
        <w:t>The Company reserves the right to retroactively amend or modify any of the provisions of the Plan in any respect in order to qualify or maintain the Plan as a plan meeting the requirements of ERISA or any other applicable legislation. Although it has not expressed any intent to do so, the Company has the right under the Plan to discontinue its contributions at any time and to terminate the Plan subject to the provisions of ERISA. In the event of Plan termination, participants will become 100% vested in their Company contributions.</w:t>
      </w: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2 - SUMMARY OF SIGNIFICANT ACCOUNTING POLICIES</w:t>
      </w:r>
    </w:p>
    <w:p>
      <w:pPr>
        <w:spacing w:after="0" w:line="247"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20"/>
          <w:szCs w:val="20"/>
          <w:color w:val="auto"/>
        </w:rPr>
        <w:t>The following significant accounting policies, which conform with accounting principles generally accepted in the United States of America, have been used consistently in the preparation of the Plan’s financial statements.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Basis of Accounting</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accompanying financial statements of the Plan are prepared under the accrual basis of accounting.</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Use of Estimates</w:t>
      </w:r>
    </w:p>
    <w:p>
      <w:pPr>
        <w:spacing w:after="0" w:line="26"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0"/>
          <w:szCs w:val="20"/>
          <w:color w:val="auto"/>
        </w:rPr>
        <w:t>The preparation of financial statements, in conformity with accounting principles generally accepted in the United States of America, requires management to make estimates and assumptions that affect the reported amounts of assets</w:t>
      </w:r>
    </w:p>
    <w:p>
      <w:pPr>
        <w:sectPr>
          <w:pgSz w:w="11900" w:h="16838" w:orient="portrait"/>
          <w:cols w:equalWidth="0" w:num="1">
            <w:col w:w="11240"/>
          </w:cols>
          <w:pgMar w:left="320" w:top="880" w:right="339" w:bottom="1440" w:gutter="0" w:footer="0" w:header="0"/>
        </w:sect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w:t>
      </w:r>
    </w:p>
    <w:p>
      <w:pPr>
        <w:sectPr>
          <w:pgSz w:w="11900" w:h="16838" w:orient="portrait"/>
          <w:cols w:equalWidth="0" w:num="1">
            <w:col w:w="11240"/>
          </w:cols>
          <w:pgMar w:left="320" w:top="880" w:right="339" w:bottom="1440" w:gutter="0" w:footer="0" w:header="0"/>
          <w:type w:val="continuous"/>
        </w:sectPr>
      </w:pPr>
    </w:p>
    <w:bookmarkStart w:id="8" w:name="page9"/>
    <w:bookmarkEnd w:id="8"/>
    <w:p>
      <w:pPr>
        <w:spacing w:after="0"/>
        <w:rPr>
          <w:sz w:val="20"/>
          <w:szCs w:val="20"/>
          <w:color w:val="auto"/>
        </w:rPr>
      </w:pPr>
      <w:r>
        <w:rPr>
          <w:rFonts w:ascii="Times New Roman" w:cs="Times New Roman" w:eastAsia="Times New Roman" w:hAnsi="Times New Roman"/>
          <w:sz w:val="25"/>
          <w:szCs w:val="25"/>
          <w:b w:val="1"/>
          <w:bCs w:val="1"/>
          <w:color w:val="auto"/>
        </w:rPr>
        <w:t>CROWN CORK &amp; SEAL COMPANY, INC.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5"/>
          <w:szCs w:val="25"/>
          <w:b w:val="1"/>
          <w:bCs w:val="1"/>
          <w:color w:val="auto"/>
        </w:rPr>
        <w:t>RETIREMENT THRIFT PLAN</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Notes to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74295</wp:posOffset>
            </wp:positionV>
            <wp:extent cx="700341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03415" cy="17145"/>
                    </a:xfrm>
                    <a:prstGeom prst="rect">
                      <a:avLst/>
                    </a:prstGeom>
                    <a:noFill/>
                  </pic:spPr>
                </pic:pic>
              </a:graphicData>
            </a:graphic>
          </wp:anchor>
        </w:drawing>
      </w:r>
    </w:p>
    <w:p>
      <w:pPr>
        <w:spacing w:after="0" w:line="200" w:lineRule="exact"/>
        <w:rPr>
          <w:sz w:val="20"/>
          <w:szCs w:val="20"/>
          <w:color w:val="auto"/>
        </w:rPr>
      </w:pPr>
    </w:p>
    <w:p>
      <w:pPr>
        <w:spacing w:after="0" w:line="238" w:lineRule="exact"/>
        <w:rPr>
          <w:sz w:val="20"/>
          <w:szCs w:val="20"/>
          <w:color w:val="auto"/>
        </w:rPr>
      </w:pPr>
    </w:p>
    <w:p>
      <w:pPr>
        <w:jc w:val="both"/>
        <w:ind w:right="20"/>
        <w:spacing w:after="0" w:line="269" w:lineRule="auto"/>
        <w:rPr>
          <w:sz w:val="20"/>
          <w:szCs w:val="20"/>
          <w:color w:val="auto"/>
        </w:rPr>
      </w:pPr>
      <w:r>
        <w:rPr>
          <w:rFonts w:ascii="Times New Roman" w:cs="Times New Roman" w:eastAsia="Times New Roman" w:hAnsi="Times New Roman"/>
          <w:sz w:val="20"/>
          <w:szCs w:val="20"/>
          <w:color w:val="auto"/>
        </w:rPr>
        <w:t>and liabilities and disclosures of contingent assets and liabilities at the date of the financial statements, as well as reported amounts of additions and deductions during the reporting period. Actual results could differ from those estimates.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Investment Valuation and Income Recognition</w:t>
      </w:r>
    </w:p>
    <w:p>
      <w:pPr>
        <w:spacing w:after="0" w:line="32"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The Plan’s investments are reported at fair value</w:t>
      </w:r>
      <w:r>
        <w:rPr>
          <w:rFonts w:ascii="Times New Roman" w:cs="Times New Roman" w:eastAsia="Times New Roman" w:hAnsi="Times New Roman"/>
          <w:sz w:val="21"/>
          <w:szCs w:val="21"/>
          <w:color w:val="auto"/>
        </w:rPr>
        <w:t>.</w:t>
      </w:r>
      <w:r>
        <w:rPr>
          <w:rFonts w:ascii="Times New Roman" w:cs="Times New Roman" w:eastAsia="Times New Roman" w:hAnsi="Times New Roman"/>
          <w:sz w:val="20"/>
          <w:szCs w:val="20"/>
          <w:color w:val="auto"/>
        </w:rPr>
        <w:t xml:space="preserve"> Fair value is the price that would be received to sell an asset or paid to transfer a liability in an orderly transaction between market participants at the measurement date. See Note 3 for a discussion of fair value measurements.</w:t>
      </w:r>
    </w:p>
    <w:p>
      <w:pPr>
        <w:spacing w:after="0" w:line="19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Purchases and sales of securities are recorded on the trade-date basis. Interest income is recorded on the accrual basis. Dividends are recorded on the ex-dividend date. Net appreciation (depreciation) includes the Plan’s gains and losses on investments bought and sold as well as held during the year.</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Notes Receivable From Participants</w:t>
      </w:r>
    </w:p>
    <w:p>
      <w:pPr>
        <w:spacing w:after="0" w:line="3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Notes receivable from participants are measured at their unpaid principal balance plus any accrued but unpaid interest. Related fees are recorded as administrative expenses and are expensed when they are incurred. Interest income is recorded on the accrual basis. No allowance for credit losses has been recorded as of December 31, 2023 and 2022.</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Payment of Benefits</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Benefits are recorded when paid.</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Expenses</w:t>
      </w:r>
    </w:p>
    <w:p>
      <w:pPr>
        <w:spacing w:after="0" w:line="3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Recordkeeping expenses, investment advisory fees, and miscellaneous administrative fees are charged directly to the participant’s account and are included in administrative expenses. Investment related expenses are included in net appreciation (depreciation) in fair value of investments. Expenses paid by the Company are excluded from these financial statements.</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3 - FAIR VALUE MEASUREMENTS</w:t>
      </w:r>
    </w:p>
    <w:p>
      <w:pPr>
        <w:spacing w:after="0" w:line="26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The framework for measuring fair value provides a fair value hierarchy that prioritizes the inputs to valuation techniques used to measure fair value. The hierarchy gives the highest priority to unadjusted quoted prices in active markets for identical assets or liabilities (Level 1) and the lowest priority to unobservable inputs (Level 3). The three levels of the fair value hierarchy under authoritative guidance are described as follows:</w:t>
      </w:r>
    </w:p>
    <w:p>
      <w:pPr>
        <w:spacing w:after="0" w:line="172" w:lineRule="exact"/>
        <w:rPr>
          <w:sz w:val="20"/>
          <w:szCs w:val="20"/>
          <w:color w:val="auto"/>
        </w:rPr>
      </w:pPr>
    </w:p>
    <w:p>
      <w:pPr>
        <w:ind w:left="660"/>
        <w:spacing w:after="0" w:line="283" w:lineRule="auto"/>
        <w:rPr>
          <w:sz w:val="20"/>
          <w:szCs w:val="20"/>
          <w:color w:val="auto"/>
        </w:rPr>
      </w:pPr>
      <w:r>
        <w:rPr>
          <w:rFonts w:ascii="Times New Roman" w:cs="Times New Roman" w:eastAsia="Times New Roman" w:hAnsi="Times New Roman"/>
          <w:sz w:val="20"/>
          <w:szCs w:val="20"/>
          <w:color w:val="auto"/>
        </w:rPr>
        <w:t>Level 1 - Inputs to the valuation methodology are unadjusted quoted prices for identical assets or liabilities in active markets that the Plan has the ability to access.</w:t>
      </w:r>
    </w:p>
    <w:p>
      <w:pPr>
        <w:spacing w:after="0" w:line="173" w:lineRule="exact"/>
        <w:rPr>
          <w:sz w:val="20"/>
          <w:szCs w:val="20"/>
          <w:color w:val="auto"/>
        </w:rPr>
      </w:pPr>
    </w:p>
    <w:p>
      <w:pPr>
        <w:ind w:left="660"/>
        <w:spacing w:after="0" w:line="283" w:lineRule="auto"/>
        <w:rPr>
          <w:sz w:val="20"/>
          <w:szCs w:val="20"/>
          <w:color w:val="auto"/>
        </w:rPr>
      </w:pPr>
      <w:r>
        <w:rPr>
          <w:rFonts w:ascii="Times New Roman" w:cs="Times New Roman" w:eastAsia="Times New Roman" w:hAnsi="Times New Roman"/>
          <w:sz w:val="20"/>
          <w:szCs w:val="20"/>
          <w:color w:val="auto"/>
        </w:rPr>
        <w:t>Level 2 - Inputs other than quoted prices included within Level 1 that are observable for the asset or liability, either directly or indirectly, such as:</w:t>
      </w:r>
    </w:p>
    <w:p>
      <w:pPr>
        <w:spacing w:after="0" w:line="187" w:lineRule="exact"/>
        <w:rPr>
          <w:sz w:val="20"/>
          <w:szCs w:val="20"/>
          <w:color w:val="auto"/>
        </w:rPr>
      </w:pPr>
    </w:p>
    <w:p>
      <w:pPr>
        <w:ind w:left="1300" w:hanging="320"/>
        <w:spacing w:after="0"/>
        <w:tabs>
          <w:tab w:leader="none" w:pos="13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quoted prices for similar assets or liabilities in active markets;</w:t>
      </w:r>
    </w:p>
    <w:p>
      <w:pPr>
        <w:spacing w:after="0" w:line="21"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quoted prices for identical or similar assets or liabilities in inactive markets;</w:t>
      </w:r>
    </w:p>
    <w:p>
      <w:pPr>
        <w:spacing w:after="0" w:line="6"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inputs other than quoted prices that are observable for the asset or liability;</w:t>
      </w:r>
    </w:p>
    <w:p>
      <w:pPr>
        <w:spacing w:after="0" w:line="6" w:lineRule="exact"/>
        <w:rPr>
          <w:rFonts w:ascii="Times New Roman" w:cs="Times New Roman" w:eastAsia="Times New Roman" w:hAnsi="Times New Roman"/>
          <w:sz w:val="20"/>
          <w:szCs w:val="20"/>
          <w:color w:val="auto"/>
        </w:rPr>
      </w:pPr>
    </w:p>
    <w:p>
      <w:pPr>
        <w:ind w:left="1300" w:hanging="320"/>
        <w:spacing w:after="0"/>
        <w:tabs>
          <w:tab w:leader="none" w:pos="130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inputs that are derived principally from or corroborated by observable market data by correlation or other means.</w:t>
      </w:r>
    </w:p>
    <w:p>
      <w:pPr>
        <w:spacing w:after="0" w:line="234" w:lineRule="exact"/>
        <w:rPr>
          <w:sz w:val="20"/>
          <w:szCs w:val="20"/>
          <w:color w:val="auto"/>
        </w:rPr>
      </w:pPr>
    </w:p>
    <w:p>
      <w:pPr>
        <w:ind w:left="660"/>
        <w:spacing w:after="0" w:line="283" w:lineRule="auto"/>
        <w:rPr>
          <w:sz w:val="20"/>
          <w:szCs w:val="20"/>
          <w:color w:val="auto"/>
        </w:rPr>
      </w:pPr>
      <w:r>
        <w:rPr>
          <w:rFonts w:ascii="Times New Roman" w:cs="Times New Roman" w:eastAsia="Times New Roman" w:hAnsi="Times New Roman"/>
          <w:sz w:val="20"/>
          <w:szCs w:val="20"/>
          <w:color w:val="auto"/>
        </w:rPr>
        <w:t>If the asset or liability has a specified (contractual) term, the Level 2 input must be observable for substantially the full term of the asset or liability.</w:t>
      </w:r>
    </w:p>
    <w:p>
      <w:pPr>
        <w:sectPr>
          <w:pgSz w:w="11900" w:h="16838" w:orient="portrait"/>
          <w:cols w:equalWidth="0" w:num="1">
            <w:col w:w="11240"/>
          </w:cols>
          <w:pgMar w:left="320" w:top="880" w:right="339" w:bottom="1440" w:gutter="0" w:footer="0" w:header="0"/>
        </w:sect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w:t>
      </w:r>
    </w:p>
    <w:p>
      <w:pPr>
        <w:sectPr>
          <w:pgSz w:w="11900" w:h="16838" w:orient="portrait"/>
          <w:cols w:equalWidth="0" w:num="1">
            <w:col w:w="11240"/>
          </w:cols>
          <w:pgMar w:left="320" w:top="880" w:right="339" w:bottom="1440" w:gutter="0" w:footer="0" w:header="0"/>
          <w:type w:val="continuous"/>
        </w:sectPr>
      </w:pPr>
    </w:p>
    <w:bookmarkStart w:id="9" w:name="page10"/>
    <w:bookmarkEnd w:id="9"/>
    <w:p>
      <w:pPr>
        <w:spacing w:after="0"/>
        <w:rPr>
          <w:sz w:val="20"/>
          <w:szCs w:val="20"/>
          <w:color w:val="auto"/>
        </w:rPr>
      </w:pPr>
      <w:r>
        <w:rPr>
          <w:rFonts w:ascii="Times New Roman" w:cs="Times New Roman" w:eastAsia="Times New Roman" w:hAnsi="Times New Roman"/>
          <w:sz w:val="25"/>
          <w:szCs w:val="25"/>
          <w:b w:val="1"/>
          <w:bCs w:val="1"/>
          <w:color w:val="auto"/>
        </w:rPr>
        <w:t>CROWN CORK &amp; SEAL COMPANY, INC.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5"/>
          <w:szCs w:val="25"/>
          <w:b w:val="1"/>
          <w:bCs w:val="1"/>
          <w:color w:val="auto"/>
        </w:rPr>
        <w:t>RETIREMENT THRIFT PLAN</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Notes to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74295</wp:posOffset>
            </wp:positionV>
            <wp:extent cx="7003415"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03415" cy="17145"/>
                    </a:xfrm>
                    <a:prstGeom prst="rect">
                      <a:avLst/>
                    </a:prstGeom>
                    <a:noFill/>
                  </pic:spPr>
                </pic:pic>
              </a:graphicData>
            </a:graphic>
          </wp:anchor>
        </w:drawing>
      </w:r>
    </w:p>
    <w:p>
      <w:pPr>
        <w:spacing w:after="0" w:line="200" w:lineRule="exact"/>
        <w:rPr>
          <w:sz w:val="20"/>
          <w:szCs w:val="20"/>
          <w:color w:val="auto"/>
        </w:rPr>
      </w:pPr>
    </w:p>
    <w:p>
      <w:pPr>
        <w:spacing w:after="0" w:line="23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Level 3 - Inputs to the valuation methodology are unobservable and significant to the fair value measurement.</w:t>
      </w:r>
    </w:p>
    <w:p>
      <w:pPr>
        <w:spacing w:after="0" w:line="24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The asset or liability’s fair value measurement level within the fair value hierarchy is based on the lowest level of any input that is significant to the fair value measurement. Valuation techniques used need to maximize the use of observable inputs and minimize the use of unobservable inputs.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tables summarize instruments measured at fair value on a recurring basis for the Plan:</w:t>
      </w:r>
    </w:p>
    <w:p>
      <w:pPr>
        <w:spacing w:after="0" w:line="374" w:lineRule="exact"/>
        <w:rPr>
          <w:sz w:val="20"/>
          <w:szCs w:val="20"/>
          <w:color w:val="auto"/>
        </w:rPr>
      </w:pPr>
    </w:p>
    <w:tbl>
      <w:tblPr>
        <w:tblLayout w:type="fixed"/>
        <w:tblInd w:w="780" w:type="dxa"/>
        <w:tblCellMar>
          <w:top w:w="0" w:type="dxa"/>
          <w:left w:w="0" w:type="dxa"/>
          <w:bottom w:w="0" w:type="dxa"/>
          <w:right w:w="0" w:type="dxa"/>
        </w:tblCellMar>
      </w:tblPr>
      <w:tr>
        <w:trPr>
          <w:trHeight w:val="266"/>
        </w:trPr>
        <w:tc>
          <w:tcPr>
            <w:tcW w:w="4880" w:type="dxa"/>
            <w:vAlign w:val="bottom"/>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4500" w:type="dxa"/>
            <w:vAlign w:val="bottom"/>
            <w:tcBorders>
              <w:bottom w:val="single" w:sz="8" w:color="auto"/>
            </w:tcBorders>
            <w:gridSpan w:val="4"/>
          </w:tcPr>
          <w:p>
            <w:pPr>
              <w:jc w:val="right"/>
              <w:ind w:right="421"/>
              <w:spacing w:after="0"/>
              <w:rPr>
                <w:sz w:val="20"/>
                <w:szCs w:val="20"/>
                <w:color w:val="auto"/>
              </w:rPr>
            </w:pPr>
            <w:r>
              <w:rPr>
                <w:rFonts w:ascii="Times New Roman" w:cs="Times New Roman" w:eastAsia="Times New Roman" w:hAnsi="Times New Roman"/>
                <w:sz w:val="20"/>
                <w:szCs w:val="20"/>
                <w:b w:val="1"/>
                <w:bCs w:val="1"/>
                <w:color w:val="auto"/>
              </w:rPr>
              <w:t>Assets at Fair Value as of December 31, 2023</w:t>
            </w:r>
          </w:p>
        </w:tc>
      </w:tr>
      <w:tr>
        <w:trPr>
          <w:trHeight w:val="254"/>
        </w:trPr>
        <w:tc>
          <w:tcPr>
            <w:tcW w:w="48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740" w:type="dxa"/>
            <w:vAlign w:val="bottom"/>
            <w:gridSpan w:val="2"/>
          </w:tcPr>
          <w:p>
            <w:pPr>
              <w:ind w:left="260"/>
              <w:spacing w:after="0"/>
              <w:rPr>
                <w:sz w:val="20"/>
                <w:szCs w:val="20"/>
                <w:color w:val="auto"/>
              </w:rPr>
            </w:pPr>
            <w:r>
              <w:rPr>
                <w:rFonts w:ascii="Times New Roman" w:cs="Times New Roman" w:eastAsia="Times New Roman" w:hAnsi="Times New Roman"/>
                <w:sz w:val="20"/>
                <w:szCs w:val="20"/>
                <w:b w:val="1"/>
                <w:bCs w:val="1"/>
                <w:color w:val="auto"/>
              </w:rPr>
              <w:t>Level 1</w:t>
            </w:r>
          </w:p>
        </w:tc>
        <w:tc>
          <w:tcPr>
            <w:tcW w:w="380" w:type="dxa"/>
            <w:vAlign w:val="bottom"/>
          </w:tcPr>
          <w:p>
            <w:pPr>
              <w:spacing w:after="0"/>
              <w:rPr>
                <w:sz w:val="22"/>
                <w:szCs w:val="22"/>
                <w:color w:val="auto"/>
              </w:rPr>
            </w:pPr>
          </w:p>
        </w:tc>
        <w:tc>
          <w:tcPr>
            <w:tcW w:w="1380" w:type="dxa"/>
            <w:vAlign w:val="bottom"/>
          </w:tcPr>
          <w:p>
            <w:pPr>
              <w:jc w:val="right"/>
              <w:ind w:right="581"/>
              <w:spacing w:after="0"/>
              <w:rPr>
                <w:sz w:val="20"/>
                <w:szCs w:val="20"/>
                <w:color w:val="auto"/>
              </w:rPr>
            </w:pPr>
            <w:r>
              <w:rPr>
                <w:rFonts w:ascii="Times New Roman" w:cs="Times New Roman" w:eastAsia="Times New Roman" w:hAnsi="Times New Roman"/>
                <w:sz w:val="20"/>
                <w:szCs w:val="20"/>
                <w:b w:val="1"/>
                <w:bCs w:val="1"/>
                <w:color w:val="auto"/>
              </w:rPr>
              <w:t>Total</w:t>
            </w:r>
          </w:p>
        </w:tc>
      </w:tr>
      <w:tr>
        <w:trPr>
          <w:trHeight w:val="250"/>
        </w:trPr>
        <w:tc>
          <w:tcPr>
            <w:tcW w:w="48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Registered investment companies</w:t>
            </w:r>
          </w:p>
        </w:tc>
        <w:tc>
          <w:tcPr>
            <w:tcW w:w="320" w:type="dxa"/>
            <w:vAlign w:val="bottom"/>
            <w:tcBorders>
              <w:top w:val="single" w:sz="8" w:color="auto"/>
            </w:tcBorders>
            <w:shd w:val="clear" w:color="auto" w:fill="CCEEFF"/>
          </w:tcPr>
          <w:p>
            <w:pPr>
              <w:jc w:val="right"/>
              <w:ind w:right="101"/>
              <w:spacing w:after="0"/>
              <w:rPr>
                <w:sz w:val="20"/>
                <w:szCs w:val="20"/>
                <w:color w:val="auto"/>
              </w:rPr>
            </w:pPr>
            <w:r>
              <w:rPr>
                <w:rFonts w:ascii="Times New Roman" w:cs="Times New Roman" w:eastAsia="Times New Roman" w:hAnsi="Times New Roman"/>
                <w:sz w:val="20"/>
                <w:szCs w:val="20"/>
                <w:color w:val="auto"/>
                <w:w w:val="99"/>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136,701,253</w:t>
            </w:r>
          </w:p>
        </w:tc>
        <w:tc>
          <w:tcPr>
            <w:tcW w:w="1300" w:type="dxa"/>
            <w:vAlign w:val="bottom"/>
            <w:tcBorders>
              <w:top w:val="single" w:sz="8" w:color="CCEEFF"/>
            </w:tcBorders>
            <w:shd w:val="clear" w:color="auto" w:fill="CCEEFF"/>
          </w:tcPr>
          <w:p>
            <w:pPr>
              <w:spacing w:after="0"/>
              <w:rPr>
                <w:sz w:val="21"/>
                <w:szCs w:val="21"/>
                <w:color w:val="auto"/>
              </w:rPr>
            </w:pPr>
          </w:p>
        </w:tc>
        <w:tc>
          <w:tcPr>
            <w:tcW w:w="380" w:type="dxa"/>
            <w:vAlign w:val="bottom"/>
            <w:tcBorders>
              <w:top w:val="single" w:sz="8" w:color="auto"/>
            </w:tcBorders>
            <w:shd w:val="clear" w:color="auto" w:fill="CCEEFF"/>
          </w:tcPr>
          <w:p>
            <w:pPr>
              <w:jc w:val="right"/>
              <w:ind w:right="161"/>
              <w:spacing w:after="0"/>
              <w:rPr>
                <w:sz w:val="20"/>
                <w:szCs w:val="20"/>
                <w:color w:val="auto"/>
              </w:rPr>
            </w:pPr>
            <w:r>
              <w:rPr>
                <w:rFonts w:ascii="Times New Roman" w:cs="Times New Roman" w:eastAsia="Times New Roman" w:hAnsi="Times New Roman"/>
                <w:sz w:val="20"/>
                <w:szCs w:val="20"/>
                <w:color w:val="auto"/>
                <w:w w:val="99"/>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136,701,253</w:t>
            </w:r>
          </w:p>
        </w:tc>
      </w:tr>
      <w:tr>
        <w:trPr>
          <w:trHeight w:val="257"/>
        </w:trPr>
        <w:tc>
          <w:tcPr>
            <w:tcW w:w="48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20"/>
                <w:szCs w:val="20"/>
                <w:color w:val="auto"/>
              </w:rPr>
              <w:t>Company common stock fund</w:t>
            </w:r>
          </w:p>
        </w:tc>
        <w:tc>
          <w:tcPr>
            <w:tcW w:w="32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5,443,353</w:t>
            </w:r>
          </w:p>
        </w:tc>
        <w:tc>
          <w:tcPr>
            <w:tcW w:w="13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5,443,353</w:t>
            </w:r>
          </w:p>
        </w:tc>
      </w:tr>
      <w:tr>
        <w:trPr>
          <w:trHeight w:val="196"/>
        </w:trPr>
        <w:tc>
          <w:tcPr>
            <w:tcW w:w="48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r>
      <w:tr>
        <w:trPr>
          <w:trHeight w:val="257"/>
        </w:trPr>
        <w:tc>
          <w:tcPr>
            <w:tcW w:w="488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Total assets in fair value hierarchy</w:t>
            </w:r>
          </w:p>
        </w:tc>
        <w:tc>
          <w:tcPr>
            <w:tcW w:w="320" w:type="dxa"/>
            <w:vAlign w:val="bottom"/>
            <w:tcBorders>
              <w:bottom w:val="single" w:sz="8" w:color="auto"/>
            </w:tcBorders>
          </w:tcPr>
          <w:p>
            <w:pPr>
              <w:jc w:val="right"/>
              <w:ind w:right="101"/>
              <w:spacing w:after="0"/>
              <w:rPr>
                <w:sz w:val="20"/>
                <w:szCs w:val="20"/>
                <w:color w:val="auto"/>
              </w:rPr>
            </w:pPr>
            <w:r>
              <w:rPr>
                <w:rFonts w:ascii="Times New Roman" w:cs="Times New Roman" w:eastAsia="Times New Roman" w:hAnsi="Times New Roman"/>
                <w:sz w:val="20"/>
                <w:szCs w:val="20"/>
                <w:color w:val="auto"/>
                <w:w w:val="99"/>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142,144,606</w:t>
            </w:r>
          </w:p>
        </w:tc>
        <w:tc>
          <w:tcPr>
            <w:tcW w:w="13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142,144,606</w:t>
            </w:r>
          </w:p>
        </w:tc>
      </w:tr>
      <w:tr>
        <w:trPr>
          <w:trHeight w:val="20"/>
        </w:trPr>
        <w:tc>
          <w:tcPr>
            <w:tcW w:w="48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1380" w:type="dxa"/>
            <w:vAlign w:val="bottom"/>
            <w:tcBorders>
              <w:bottom w:val="single" w:sz="8" w:color="CCEEFF"/>
            </w:tcBorders>
          </w:tcPr>
          <w:p>
            <w:pPr>
              <w:spacing w:after="0" w:line="20" w:lineRule="exact"/>
              <w:rPr>
                <w:sz w:val="1"/>
                <w:szCs w:val="1"/>
                <w:color w:val="auto"/>
              </w:rPr>
            </w:pPr>
          </w:p>
        </w:tc>
      </w:tr>
      <w:tr>
        <w:trPr>
          <w:trHeight w:val="223"/>
        </w:trPr>
        <w:tc>
          <w:tcPr>
            <w:tcW w:w="48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r>
      <w:tr>
        <w:trPr>
          <w:trHeight w:val="257"/>
        </w:trPr>
        <w:tc>
          <w:tcPr>
            <w:tcW w:w="48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20"/>
                <w:szCs w:val="20"/>
                <w:color w:val="auto"/>
              </w:rPr>
              <w:t>Investments measured at net asset value (a)</w:t>
            </w:r>
          </w:p>
        </w:tc>
        <w:tc>
          <w:tcPr>
            <w:tcW w:w="320" w:type="dxa"/>
            <w:vAlign w:val="bottom"/>
            <w:tcBorders>
              <w:bottom w:val="single" w:sz="8" w:color="CCEEFF"/>
            </w:tcBorders>
          </w:tcPr>
          <w:p>
            <w:pPr>
              <w:spacing w:after="0"/>
              <w:rPr>
                <w:sz w:val="22"/>
                <w:szCs w:val="22"/>
                <w:color w:val="auto"/>
              </w:rPr>
            </w:pPr>
          </w:p>
        </w:tc>
        <w:tc>
          <w:tcPr>
            <w:tcW w:w="1440" w:type="dxa"/>
            <w:vAlign w:val="bottom"/>
            <w:tcBorders>
              <w:bottom w:val="single" w:sz="8" w:color="CCEEFF"/>
            </w:tcBorders>
          </w:tcPr>
          <w:p>
            <w:pPr>
              <w:spacing w:after="0"/>
              <w:rPr>
                <w:sz w:val="22"/>
                <w:szCs w:val="22"/>
                <w:color w:val="auto"/>
              </w:rPr>
            </w:pPr>
          </w:p>
        </w:tc>
        <w:tc>
          <w:tcPr>
            <w:tcW w:w="13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23,549,248</w:t>
            </w:r>
          </w:p>
        </w:tc>
      </w:tr>
      <w:tr>
        <w:trPr>
          <w:trHeight w:val="237"/>
        </w:trPr>
        <w:tc>
          <w:tcPr>
            <w:tcW w:w="48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44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380" w:type="dxa"/>
            <w:vAlign w:val="bottom"/>
            <w:shd w:val="clear" w:color="auto" w:fill="CCEEFF"/>
          </w:tcPr>
          <w:p>
            <w:pPr>
              <w:spacing w:after="0"/>
              <w:rPr>
                <w:sz w:val="20"/>
                <w:szCs w:val="20"/>
                <w:color w:val="auto"/>
              </w:rPr>
            </w:pPr>
          </w:p>
        </w:tc>
      </w:tr>
      <w:tr>
        <w:trPr>
          <w:trHeight w:val="256"/>
        </w:trPr>
        <w:tc>
          <w:tcPr>
            <w:tcW w:w="488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Investments at fair value</w:t>
            </w:r>
          </w:p>
        </w:tc>
        <w:tc>
          <w:tcPr>
            <w:tcW w:w="32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380" w:type="dxa"/>
            <w:vAlign w:val="bottom"/>
            <w:tcBorders>
              <w:bottom w:val="single" w:sz="8" w:color="auto"/>
            </w:tcBorders>
          </w:tcPr>
          <w:p>
            <w:pPr>
              <w:jc w:val="right"/>
              <w:ind w:right="161"/>
              <w:spacing w:after="0"/>
              <w:rPr>
                <w:sz w:val="20"/>
                <w:szCs w:val="20"/>
                <w:color w:val="auto"/>
              </w:rPr>
            </w:pPr>
            <w:r>
              <w:rPr>
                <w:rFonts w:ascii="Times New Roman" w:cs="Times New Roman" w:eastAsia="Times New Roman" w:hAnsi="Times New Roman"/>
                <w:sz w:val="20"/>
                <w:szCs w:val="20"/>
                <w:color w:val="auto"/>
                <w:w w:val="99"/>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165,693,854</w:t>
            </w:r>
          </w:p>
        </w:tc>
      </w:tr>
      <w:tr>
        <w:trPr>
          <w:trHeight w:val="20"/>
        </w:trPr>
        <w:tc>
          <w:tcPr>
            <w:tcW w:w="48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6" w:lineRule="exact"/>
        <w:rPr>
          <w:sz w:val="20"/>
          <w:szCs w:val="20"/>
          <w:color w:val="auto"/>
        </w:rPr>
      </w:pPr>
    </w:p>
    <w:tbl>
      <w:tblPr>
        <w:tblLayout w:type="fixed"/>
        <w:tblInd w:w="780" w:type="dxa"/>
        <w:tblCellMar>
          <w:top w:w="0" w:type="dxa"/>
          <w:left w:w="0" w:type="dxa"/>
          <w:bottom w:w="0" w:type="dxa"/>
          <w:right w:w="0" w:type="dxa"/>
        </w:tblCellMar>
      </w:tblPr>
      <w:tr>
        <w:trPr>
          <w:trHeight w:val="266"/>
        </w:trPr>
        <w:tc>
          <w:tcPr>
            <w:tcW w:w="4880" w:type="dxa"/>
            <w:vAlign w:val="bottom"/>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4500" w:type="dxa"/>
            <w:vAlign w:val="bottom"/>
            <w:tcBorders>
              <w:bottom w:val="single" w:sz="8" w:color="auto"/>
            </w:tcBorders>
            <w:gridSpan w:val="4"/>
          </w:tcPr>
          <w:p>
            <w:pPr>
              <w:jc w:val="right"/>
              <w:ind w:right="421"/>
              <w:spacing w:after="0"/>
              <w:rPr>
                <w:sz w:val="20"/>
                <w:szCs w:val="20"/>
                <w:color w:val="auto"/>
              </w:rPr>
            </w:pPr>
            <w:r>
              <w:rPr>
                <w:rFonts w:ascii="Times New Roman" w:cs="Times New Roman" w:eastAsia="Times New Roman" w:hAnsi="Times New Roman"/>
                <w:sz w:val="20"/>
                <w:szCs w:val="20"/>
                <w:b w:val="1"/>
                <w:bCs w:val="1"/>
                <w:color w:val="auto"/>
              </w:rPr>
              <w:t>Assets at Fair Value as of December 31, 2022</w:t>
            </w:r>
          </w:p>
        </w:tc>
      </w:tr>
      <w:tr>
        <w:trPr>
          <w:trHeight w:val="254"/>
        </w:trPr>
        <w:tc>
          <w:tcPr>
            <w:tcW w:w="48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740" w:type="dxa"/>
            <w:vAlign w:val="bottom"/>
            <w:gridSpan w:val="2"/>
          </w:tcPr>
          <w:p>
            <w:pPr>
              <w:ind w:left="260"/>
              <w:spacing w:after="0"/>
              <w:rPr>
                <w:sz w:val="20"/>
                <w:szCs w:val="20"/>
                <w:color w:val="auto"/>
              </w:rPr>
            </w:pPr>
            <w:r>
              <w:rPr>
                <w:rFonts w:ascii="Times New Roman" w:cs="Times New Roman" w:eastAsia="Times New Roman" w:hAnsi="Times New Roman"/>
                <w:sz w:val="20"/>
                <w:szCs w:val="20"/>
                <w:b w:val="1"/>
                <w:bCs w:val="1"/>
                <w:color w:val="auto"/>
              </w:rPr>
              <w:t>Level 1</w:t>
            </w:r>
          </w:p>
        </w:tc>
        <w:tc>
          <w:tcPr>
            <w:tcW w:w="380" w:type="dxa"/>
            <w:vAlign w:val="bottom"/>
          </w:tcPr>
          <w:p>
            <w:pPr>
              <w:spacing w:after="0"/>
              <w:rPr>
                <w:sz w:val="22"/>
                <w:szCs w:val="22"/>
                <w:color w:val="auto"/>
              </w:rPr>
            </w:pPr>
          </w:p>
        </w:tc>
        <w:tc>
          <w:tcPr>
            <w:tcW w:w="1380" w:type="dxa"/>
            <w:vAlign w:val="bottom"/>
          </w:tcPr>
          <w:p>
            <w:pPr>
              <w:jc w:val="right"/>
              <w:ind w:right="581"/>
              <w:spacing w:after="0"/>
              <w:rPr>
                <w:sz w:val="20"/>
                <w:szCs w:val="20"/>
                <w:color w:val="auto"/>
              </w:rPr>
            </w:pPr>
            <w:r>
              <w:rPr>
                <w:rFonts w:ascii="Times New Roman" w:cs="Times New Roman" w:eastAsia="Times New Roman" w:hAnsi="Times New Roman"/>
                <w:sz w:val="20"/>
                <w:szCs w:val="20"/>
                <w:b w:val="1"/>
                <w:bCs w:val="1"/>
                <w:color w:val="auto"/>
              </w:rPr>
              <w:t>Total</w:t>
            </w:r>
          </w:p>
        </w:tc>
      </w:tr>
      <w:tr>
        <w:trPr>
          <w:trHeight w:val="250"/>
        </w:trPr>
        <w:tc>
          <w:tcPr>
            <w:tcW w:w="48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Registered investment companies</w:t>
            </w:r>
          </w:p>
        </w:tc>
        <w:tc>
          <w:tcPr>
            <w:tcW w:w="320" w:type="dxa"/>
            <w:vAlign w:val="bottom"/>
            <w:tcBorders>
              <w:top w:val="single" w:sz="8" w:color="auto"/>
            </w:tcBorders>
            <w:shd w:val="clear" w:color="auto" w:fill="CCEEFF"/>
          </w:tcPr>
          <w:p>
            <w:pPr>
              <w:jc w:val="right"/>
              <w:ind w:right="101"/>
              <w:spacing w:after="0"/>
              <w:rPr>
                <w:sz w:val="20"/>
                <w:szCs w:val="20"/>
                <w:color w:val="auto"/>
              </w:rPr>
            </w:pPr>
            <w:r>
              <w:rPr>
                <w:rFonts w:ascii="Times New Roman" w:cs="Times New Roman" w:eastAsia="Times New Roman" w:hAnsi="Times New Roman"/>
                <w:sz w:val="20"/>
                <w:szCs w:val="20"/>
                <w:color w:val="auto"/>
                <w:w w:val="99"/>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114,011,561</w:t>
            </w:r>
          </w:p>
        </w:tc>
        <w:tc>
          <w:tcPr>
            <w:tcW w:w="1300" w:type="dxa"/>
            <w:vAlign w:val="bottom"/>
            <w:tcBorders>
              <w:top w:val="single" w:sz="8" w:color="CCEEFF"/>
            </w:tcBorders>
            <w:shd w:val="clear" w:color="auto" w:fill="CCEEFF"/>
          </w:tcPr>
          <w:p>
            <w:pPr>
              <w:spacing w:after="0"/>
              <w:rPr>
                <w:sz w:val="21"/>
                <w:szCs w:val="21"/>
                <w:color w:val="auto"/>
              </w:rPr>
            </w:pPr>
          </w:p>
        </w:tc>
        <w:tc>
          <w:tcPr>
            <w:tcW w:w="380" w:type="dxa"/>
            <w:vAlign w:val="bottom"/>
            <w:tcBorders>
              <w:top w:val="single" w:sz="8" w:color="auto"/>
            </w:tcBorders>
            <w:shd w:val="clear" w:color="auto" w:fill="CCEEFF"/>
          </w:tcPr>
          <w:p>
            <w:pPr>
              <w:jc w:val="right"/>
              <w:ind w:right="161"/>
              <w:spacing w:after="0"/>
              <w:rPr>
                <w:sz w:val="20"/>
                <w:szCs w:val="20"/>
                <w:color w:val="auto"/>
              </w:rPr>
            </w:pPr>
            <w:r>
              <w:rPr>
                <w:rFonts w:ascii="Times New Roman" w:cs="Times New Roman" w:eastAsia="Times New Roman" w:hAnsi="Times New Roman"/>
                <w:sz w:val="20"/>
                <w:szCs w:val="20"/>
                <w:color w:val="auto"/>
                <w:w w:val="99"/>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114,011,561</w:t>
            </w:r>
          </w:p>
        </w:tc>
      </w:tr>
      <w:tr>
        <w:trPr>
          <w:trHeight w:val="257"/>
        </w:trPr>
        <w:tc>
          <w:tcPr>
            <w:tcW w:w="48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20"/>
                <w:szCs w:val="20"/>
                <w:color w:val="auto"/>
              </w:rPr>
              <w:t>Company common stock fund</w:t>
            </w:r>
          </w:p>
        </w:tc>
        <w:tc>
          <w:tcPr>
            <w:tcW w:w="32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4,871,250</w:t>
            </w:r>
          </w:p>
        </w:tc>
        <w:tc>
          <w:tcPr>
            <w:tcW w:w="13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4,871,250</w:t>
            </w:r>
          </w:p>
        </w:tc>
      </w:tr>
      <w:tr>
        <w:trPr>
          <w:trHeight w:val="236"/>
        </w:trPr>
        <w:tc>
          <w:tcPr>
            <w:tcW w:w="48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44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380" w:type="dxa"/>
            <w:vAlign w:val="bottom"/>
            <w:shd w:val="clear" w:color="auto" w:fill="CCEEFF"/>
          </w:tcPr>
          <w:p>
            <w:pPr>
              <w:spacing w:after="0"/>
              <w:rPr>
                <w:sz w:val="20"/>
                <w:szCs w:val="20"/>
                <w:color w:val="auto"/>
              </w:rPr>
            </w:pPr>
          </w:p>
        </w:tc>
      </w:tr>
      <w:tr>
        <w:trPr>
          <w:trHeight w:val="257"/>
        </w:trPr>
        <w:tc>
          <w:tcPr>
            <w:tcW w:w="4880" w:type="dxa"/>
            <w:vAlign w:val="bottom"/>
          </w:tcPr>
          <w:p>
            <w:pPr>
              <w:ind w:left="340"/>
              <w:spacing w:after="0"/>
              <w:rPr>
                <w:sz w:val="20"/>
                <w:szCs w:val="20"/>
                <w:color w:val="auto"/>
              </w:rPr>
            </w:pPr>
            <w:r>
              <w:rPr>
                <w:rFonts w:ascii="Times New Roman" w:cs="Times New Roman" w:eastAsia="Times New Roman" w:hAnsi="Times New Roman"/>
                <w:sz w:val="20"/>
                <w:szCs w:val="20"/>
                <w:color w:val="auto"/>
              </w:rPr>
              <w:t>Total assets in fair value hierarchy</w:t>
            </w:r>
          </w:p>
        </w:tc>
        <w:tc>
          <w:tcPr>
            <w:tcW w:w="320" w:type="dxa"/>
            <w:vAlign w:val="bottom"/>
            <w:tcBorders>
              <w:bottom w:val="single" w:sz="8" w:color="auto"/>
            </w:tcBorders>
          </w:tcPr>
          <w:p>
            <w:pPr>
              <w:jc w:val="right"/>
              <w:ind w:right="101"/>
              <w:spacing w:after="0"/>
              <w:rPr>
                <w:sz w:val="20"/>
                <w:szCs w:val="20"/>
                <w:color w:val="auto"/>
              </w:rPr>
            </w:pPr>
            <w:r>
              <w:rPr>
                <w:rFonts w:ascii="Times New Roman" w:cs="Times New Roman" w:eastAsia="Times New Roman" w:hAnsi="Times New Roman"/>
                <w:sz w:val="20"/>
                <w:szCs w:val="20"/>
                <w:color w:val="auto"/>
                <w:w w:val="99"/>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118,882,811</w:t>
            </w:r>
          </w:p>
        </w:tc>
        <w:tc>
          <w:tcPr>
            <w:tcW w:w="13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118,882,811</w:t>
            </w:r>
          </w:p>
        </w:tc>
      </w:tr>
      <w:tr>
        <w:trPr>
          <w:trHeight w:val="20"/>
        </w:trPr>
        <w:tc>
          <w:tcPr>
            <w:tcW w:w="48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1380" w:type="dxa"/>
            <w:vAlign w:val="bottom"/>
            <w:tcBorders>
              <w:bottom w:val="single" w:sz="8" w:color="CCEEFF"/>
            </w:tcBorders>
          </w:tcPr>
          <w:p>
            <w:pPr>
              <w:spacing w:after="0" w:line="20" w:lineRule="exact"/>
              <w:rPr>
                <w:sz w:val="1"/>
                <w:szCs w:val="1"/>
                <w:color w:val="auto"/>
              </w:rPr>
            </w:pPr>
          </w:p>
        </w:tc>
      </w:tr>
      <w:tr>
        <w:trPr>
          <w:trHeight w:val="223"/>
        </w:trPr>
        <w:tc>
          <w:tcPr>
            <w:tcW w:w="48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r>
      <w:tr>
        <w:trPr>
          <w:trHeight w:val="257"/>
        </w:trPr>
        <w:tc>
          <w:tcPr>
            <w:tcW w:w="48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20"/>
                <w:szCs w:val="20"/>
                <w:color w:val="auto"/>
              </w:rPr>
              <w:t>Investments measured at net asset value (a)</w:t>
            </w:r>
          </w:p>
        </w:tc>
        <w:tc>
          <w:tcPr>
            <w:tcW w:w="320" w:type="dxa"/>
            <w:vAlign w:val="bottom"/>
            <w:tcBorders>
              <w:bottom w:val="single" w:sz="8" w:color="CCEEFF"/>
            </w:tcBorders>
          </w:tcPr>
          <w:p>
            <w:pPr>
              <w:spacing w:after="0"/>
              <w:rPr>
                <w:sz w:val="22"/>
                <w:szCs w:val="22"/>
                <w:color w:val="auto"/>
              </w:rPr>
            </w:pPr>
          </w:p>
        </w:tc>
        <w:tc>
          <w:tcPr>
            <w:tcW w:w="1440" w:type="dxa"/>
            <w:vAlign w:val="bottom"/>
            <w:tcBorders>
              <w:bottom w:val="single" w:sz="8" w:color="CCEEFF"/>
            </w:tcBorders>
          </w:tcPr>
          <w:p>
            <w:pPr>
              <w:spacing w:after="0"/>
              <w:rPr>
                <w:sz w:val="22"/>
                <w:szCs w:val="22"/>
                <w:color w:val="auto"/>
              </w:rPr>
            </w:pPr>
          </w:p>
        </w:tc>
        <w:tc>
          <w:tcPr>
            <w:tcW w:w="13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25,645,430</w:t>
            </w:r>
          </w:p>
        </w:tc>
      </w:tr>
      <w:tr>
        <w:trPr>
          <w:trHeight w:val="236"/>
        </w:trPr>
        <w:tc>
          <w:tcPr>
            <w:tcW w:w="48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44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380" w:type="dxa"/>
            <w:vAlign w:val="bottom"/>
            <w:shd w:val="clear" w:color="auto" w:fill="CCEEFF"/>
          </w:tcPr>
          <w:p>
            <w:pPr>
              <w:spacing w:after="0"/>
              <w:rPr>
                <w:sz w:val="20"/>
                <w:szCs w:val="20"/>
                <w:color w:val="auto"/>
              </w:rPr>
            </w:pPr>
          </w:p>
        </w:tc>
      </w:tr>
      <w:tr>
        <w:trPr>
          <w:trHeight w:val="257"/>
        </w:trPr>
        <w:tc>
          <w:tcPr>
            <w:tcW w:w="488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Investments at fair value</w:t>
            </w:r>
          </w:p>
        </w:tc>
        <w:tc>
          <w:tcPr>
            <w:tcW w:w="32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380" w:type="dxa"/>
            <w:vAlign w:val="bottom"/>
            <w:tcBorders>
              <w:bottom w:val="single" w:sz="8" w:color="auto"/>
            </w:tcBorders>
          </w:tcPr>
          <w:p>
            <w:pPr>
              <w:jc w:val="right"/>
              <w:ind w:right="161"/>
              <w:spacing w:after="0"/>
              <w:rPr>
                <w:sz w:val="20"/>
                <w:szCs w:val="20"/>
                <w:color w:val="auto"/>
              </w:rPr>
            </w:pPr>
            <w:r>
              <w:rPr>
                <w:rFonts w:ascii="Times New Roman" w:cs="Times New Roman" w:eastAsia="Times New Roman" w:hAnsi="Times New Roman"/>
                <w:sz w:val="20"/>
                <w:szCs w:val="20"/>
                <w:color w:val="auto"/>
                <w:w w:val="99"/>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144,528,241</w:t>
            </w:r>
          </w:p>
        </w:tc>
      </w:tr>
      <w:tr>
        <w:trPr>
          <w:trHeight w:val="20"/>
        </w:trPr>
        <w:tc>
          <w:tcPr>
            <w:tcW w:w="48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301" w:lineRule="exact"/>
        <w:rPr>
          <w:sz w:val="20"/>
          <w:szCs w:val="20"/>
          <w:color w:val="auto"/>
        </w:rPr>
      </w:pPr>
    </w:p>
    <w:p>
      <w:pPr>
        <w:jc w:val="both"/>
        <w:ind w:left="980" w:hanging="324"/>
        <w:spacing w:after="0" w:line="261" w:lineRule="auto"/>
        <w:tabs>
          <w:tab w:leader="none" w:pos="977"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Certain investments that were measured at net asset value ("NAV") per share (or its equivalent) have not been classified in the fair value hierarchy. The amounts presented in this table are intended to permit reconciliation of the fair value hierarchy to the line items presented in the Statements of Net Assets Available for Benefits.</w:t>
      </w:r>
    </w:p>
    <w:p>
      <w:pPr>
        <w:spacing w:after="0" w:line="208" w:lineRule="exact"/>
        <w:rPr>
          <w:sz w:val="20"/>
          <w:szCs w:val="20"/>
          <w:color w:val="auto"/>
        </w:rPr>
      </w:pPr>
    </w:p>
    <w:p>
      <w:pPr>
        <w:jc w:val="both"/>
        <w:ind w:right="20"/>
        <w:spacing w:after="0" w:line="283" w:lineRule="auto"/>
        <w:rPr>
          <w:sz w:val="20"/>
          <w:szCs w:val="20"/>
          <w:color w:val="auto"/>
        </w:rPr>
      </w:pPr>
      <w:r>
        <w:rPr>
          <w:rFonts w:ascii="Times New Roman" w:cs="Times New Roman" w:eastAsia="Times New Roman" w:hAnsi="Times New Roman"/>
          <w:sz w:val="20"/>
          <w:szCs w:val="20"/>
          <w:color w:val="auto"/>
        </w:rPr>
        <w:t>The following is a description of the valuation methodologies used for assets measured at fair value. There have been no changes in the methodologies used at December 31, 2023 and 2022.</w:t>
      </w:r>
    </w:p>
    <w:p>
      <w:pPr>
        <w:spacing w:after="0" w:line="17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Registered investment companies are valued at the daily closing price as reported by the fund, which represent the NAV of shares held by the Plan at year end. Mutual funds held by the Plan are open-end mutual funds that are registered with the U.S. Securities and Exchange Commission. These funds are required to publish their daily NAV and to transact at that price. The mutual funds held by the Plan are deemed to be actively traded.</w:t>
      </w:r>
    </w:p>
    <w:p>
      <w:pPr>
        <w:sectPr>
          <w:pgSz w:w="11900" w:h="16838" w:orient="portrait"/>
          <w:cols w:equalWidth="0" w:num="1">
            <w:col w:w="11240"/>
          </w:cols>
          <w:pgMar w:left="320" w:top="88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w:t>
      </w:r>
    </w:p>
    <w:p>
      <w:pPr>
        <w:sectPr>
          <w:pgSz w:w="11900" w:h="16838" w:orient="portrait"/>
          <w:cols w:equalWidth="0" w:num="1">
            <w:col w:w="11240"/>
          </w:cols>
          <w:pgMar w:left="320" w:top="880" w:right="339" w:bottom="1440" w:gutter="0" w:footer="0" w:header="0"/>
          <w:type w:val="continuous"/>
        </w:sectPr>
      </w:pPr>
    </w:p>
    <w:bookmarkStart w:id="10" w:name="page11"/>
    <w:bookmarkEnd w:id="10"/>
    <w:p>
      <w:pPr>
        <w:spacing w:after="0"/>
        <w:rPr>
          <w:sz w:val="20"/>
          <w:szCs w:val="20"/>
          <w:color w:val="auto"/>
        </w:rPr>
      </w:pPr>
      <w:r>
        <w:rPr>
          <w:rFonts w:ascii="Times New Roman" w:cs="Times New Roman" w:eastAsia="Times New Roman" w:hAnsi="Times New Roman"/>
          <w:sz w:val="25"/>
          <w:szCs w:val="25"/>
          <w:b w:val="1"/>
          <w:bCs w:val="1"/>
          <w:color w:val="auto"/>
        </w:rPr>
        <w:t>CROWN CORK &amp; SEAL COMPANY, INC.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5"/>
          <w:szCs w:val="25"/>
          <w:b w:val="1"/>
          <w:bCs w:val="1"/>
          <w:color w:val="auto"/>
        </w:rPr>
        <w:t>RETIREMENT THRIFT PLAN</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Notes to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74295</wp:posOffset>
            </wp:positionV>
            <wp:extent cx="7003415"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003415" cy="17145"/>
                    </a:xfrm>
                    <a:prstGeom prst="rect">
                      <a:avLst/>
                    </a:prstGeom>
                    <a:noFill/>
                  </pic:spPr>
                </pic:pic>
              </a:graphicData>
            </a:graphic>
          </wp:anchor>
        </w:drawing>
      </w:r>
    </w:p>
    <w:p>
      <w:pPr>
        <w:spacing w:after="0" w:line="200" w:lineRule="exact"/>
        <w:rPr>
          <w:sz w:val="20"/>
          <w:szCs w:val="20"/>
          <w:color w:val="auto"/>
        </w:rPr>
      </w:pPr>
    </w:p>
    <w:p>
      <w:pPr>
        <w:spacing w:after="0" w:line="238" w:lineRule="exact"/>
        <w:rPr>
          <w:sz w:val="20"/>
          <w:szCs w:val="20"/>
          <w:color w:val="auto"/>
        </w:rPr>
      </w:pPr>
    </w:p>
    <w:p>
      <w:pPr>
        <w:jc w:val="both"/>
        <w:ind w:right="20"/>
        <w:spacing w:after="0" w:line="269" w:lineRule="auto"/>
        <w:rPr>
          <w:sz w:val="20"/>
          <w:szCs w:val="20"/>
          <w:color w:val="auto"/>
        </w:rPr>
      </w:pPr>
      <w:r>
        <w:rPr>
          <w:rFonts w:ascii="Times New Roman" w:cs="Times New Roman" w:eastAsia="Times New Roman" w:hAnsi="Times New Roman"/>
          <w:sz w:val="20"/>
          <w:szCs w:val="20"/>
          <w:color w:val="auto"/>
        </w:rPr>
        <w:t>The fair value of the Company common stock fund is measured at the closing price reported on the active market on which the security held by the fund is traded.</w:t>
      </w:r>
    </w:p>
    <w:p>
      <w:pPr>
        <w:spacing w:after="0" w:line="200"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0"/>
          <w:szCs w:val="20"/>
          <w:color w:val="auto"/>
        </w:rPr>
        <w:t>The Vanguard Retirement Savings Trust is a collective trust fund that is valued at the NAV of the units of the collective trust fund held by the Plan at year end times the respective unit value. The NAV, as provided by the trustee, is used as practical expedient to estimate fair value. The NAV of the collective trust fund is based upon significant observable inputs, although it is not based upon quoted market prices in an active market. The collective trust fund’s investment objective is to seek the preservation of capital and to provide a competitive level of income over time that is consistent with the preservation of capital. To achieve its investment objective, the collective trust fund invests in assets (typically contracts issued by insurance companies and banks, synthetic investment contracts, and short term investments) and enters into “wrapper” contracts issued by third-parties and invests in cash equivalents represented by shares in a money market fund.</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Investments Measured Using NAV per Share Practical Expedient</w:t>
      </w:r>
    </w:p>
    <w:p>
      <w:pPr>
        <w:spacing w:after="0" w:line="26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The following table summarizes investments for which fair value is measured using NAV per share practical expedient as of December 31, 2023 and 2022. There are no participant redemption restrictions for these investments; the redemption notice period is applicable only to the Plan.</w:t>
      </w:r>
    </w:p>
    <w:p>
      <w:pPr>
        <w:spacing w:after="0" w:line="326" w:lineRule="exact"/>
        <w:rPr>
          <w:sz w:val="20"/>
          <w:szCs w:val="20"/>
          <w:color w:val="auto"/>
        </w:rPr>
      </w:pPr>
    </w:p>
    <w:tbl>
      <w:tblPr>
        <w:tblLayout w:type="fixed"/>
        <w:tblInd w:w="420" w:type="dxa"/>
        <w:tblCellMar>
          <w:top w:w="0" w:type="dxa"/>
          <w:left w:w="0" w:type="dxa"/>
          <w:bottom w:w="0" w:type="dxa"/>
          <w:right w:w="0" w:type="dxa"/>
        </w:tblCellMar>
      </w:tblPr>
      <w:tr>
        <w:trPr>
          <w:trHeight w:val="266"/>
        </w:trPr>
        <w:tc>
          <w:tcPr>
            <w:tcW w:w="3760" w:type="dxa"/>
            <w:vAlign w:val="bottom"/>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300" w:type="dxa"/>
            <w:vAlign w:val="bottom"/>
            <w:tcBorders>
              <w:bottom w:val="single" w:sz="8" w:color="auto"/>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3320" w:type="dxa"/>
            <w:vAlign w:val="bottom"/>
            <w:tcBorders>
              <w:bottom w:val="single" w:sz="8" w:color="auto"/>
            </w:tcBorders>
            <w:gridSpan w:val="4"/>
          </w:tcPr>
          <w:p>
            <w:pPr>
              <w:ind w:left="860"/>
              <w:spacing w:after="0"/>
              <w:rPr>
                <w:sz w:val="20"/>
                <w:szCs w:val="20"/>
                <w:color w:val="auto"/>
              </w:rPr>
            </w:pPr>
            <w:r>
              <w:rPr>
                <w:rFonts w:ascii="Times New Roman" w:cs="Times New Roman" w:eastAsia="Times New Roman" w:hAnsi="Times New Roman"/>
                <w:sz w:val="20"/>
                <w:szCs w:val="20"/>
                <w:b w:val="1"/>
                <w:bCs w:val="1"/>
                <w:color w:val="auto"/>
              </w:rPr>
              <w:t>December 31, 2023</w:t>
            </w:r>
          </w:p>
        </w:tc>
        <w:tc>
          <w:tcPr>
            <w:tcW w:w="168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86"/>
        </w:trPr>
        <w:tc>
          <w:tcPr>
            <w:tcW w:w="3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40" w:type="dxa"/>
            <w:vAlign w:val="bottom"/>
            <w:gridSpan w:val="2"/>
            <w:vMerge w:val="restart"/>
          </w:tcPr>
          <w:p>
            <w:pPr>
              <w:ind w:left="100"/>
              <w:spacing w:after="0"/>
              <w:rPr>
                <w:sz w:val="20"/>
                <w:szCs w:val="20"/>
                <w:color w:val="auto"/>
              </w:rPr>
            </w:pPr>
            <w:r>
              <w:rPr>
                <w:rFonts w:ascii="Times New Roman" w:cs="Times New Roman" w:eastAsia="Times New Roman" w:hAnsi="Times New Roman"/>
                <w:sz w:val="20"/>
                <w:szCs w:val="20"/>
                <w:b w:val="1"/>
                <w:bCs w:val="1"/>
                <w:color w:val="auto"/>
              </w:rPr>
              <w:t>Fair Value</w:t>
            </w:r>
          </w:p>
        </w:tc>
        <w:tc>
          <w:tcPr>
            <w:tcW w:w="1720" w:type="dxa"/>
            <w:vAlign w:val="bottom"/>
            <w:gridSpan w:val="2"/>
          </w:tcPr>
          <w:p>
            <w:pPr>
              <w:jc w:val="center"/>
              <w:ind w:right="160"/>
              <w:spacing w:after="0" w:line="186" w:lineRule="exact"/>
              <w:rPr>
                <w:sz w:val="20"/>
                <w:szCs w:val="20"/>
                <w:color w:val="auto"/>
              </w:rPr>
            </w:pPr>
            <w:r>
              <w:rPr>
                <w:rFonts w:ascii="Times New Roman" w:cs="Times New Roman" w:eastAsia="Times New Roman" w:hAnsi="Times New Roman"/>
                <w:sz w:val="20"/>
                <w:szCs w:val="20"/>
                <w:b w:val="1"/>
                <w:bCs w:val="1"/>
                <w:color w:val="auto"/>
                <w:w w:val="98"/>
              </w:rPr>
              <w:t>Unfunded</w:t>
            </w:r>
          </w:p>
        </w:tc>
        <w:tc>
          <w:tcPr>
            <w:tcW w:w="1600" w:type="dxa"/>
            <w:vAlign w:val="bottom"/>
            <w:gridSpan w:val="2"/>
          </w:tcPr>
          <w:p>
            <w:pPr>
              <w:jc w:val="center"/>
              <w:ind w:right="160"/>
              <w:spacing w:after="0" w:line="186" w:lineRule="exact"/>
              <w:rPr>
                <w:sz w:val="20"/>
                <w:szCs w:val="20"/>
                <w:color w:val="auto"/>
              </w:rPr>
            </w:pPr>
            <w:r>
              <w:rPr>
                <w:rFonts w:ascii="Times New Roman" w:cs="Times New Roman" w:eastAsia="Times New Roman" w:hAnsi="Times New Roman"/>
                <w:sz w:val="20"/>
                <w:szCs w:val="20"/>
                <w:b w:val="1"/>
                <w:bCs w:val="1"/>
                <w:color w:val="auto"/>
                <w:w w:val="99"/>
              </w:rPr>
              <w:t>Redemption</w:t>
            </w:r>
          </w:p>
        </w:tc>
        <w:tc>
          <w:tcPr>
            <w:tcW w:w="1680" w:type="dxa"/>
            <w:vAlign w:val="bottom"/>
          </w:tcPr>
          <w:p>
            <w:pPr>
              <w:jc w:val="center"/>
              <w:spacing w:after="0" w:line="186" w:lineRule="exact"/>
              <w:rPr>
                <w:sz w:val="20"/>
                <w:szCs w:val="20"/>
                <w:color w:val="auto"/>
              </w:rPr>
            </w:pPr>
            <w:r>
              <w:rPr>
                <w:rFonts w:ascii="Times New Roman" w:cs="Times New Roman" w:eastAsia="Times New Roman" w:hAnsi="Times New Roman"/>
                <w:sz w:val="20"/>
                <w:szCs w:val="20"/>
                <w:b w:val="1"/>
                <w:bCs w:val="1"/>
                <w:color w:val="auto"/>
                <w:w w:val="98"/>
              </w:rPr>
              <w:t>Redemption Notice</w:t>
            </w:r>
          </w:p>
        </w:tc>
        <w:tc>
          <w:tcPr>
            <w:tcW w:w="0" w:type="dxa"/>
            <w:vAlign w:val="bottom"/>
          </w:tcPr>
          <w:p>
            <w:pPr>
              <w:spacing w:after="0"/>
              <w:rPr>
                <w:sz w:val="1"/>
                <w:szCs w:val="1"/>
                <w:color w:val="auto"/>
              </w:rPr>
            </w:pPr>
          </w:p>
        </w:tc>
      </w:tr>
      <w:tr>
        <w:trPr>
          <w:trHeight w:val="256"/>
        </w:trPr>
        <w:tc>
          <w:tcPr>
            <w:tcW w:w="37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40" w:type="dxa"/>
            <w:vAlign w:val="bottom"/>
            <w:gridSpan w:val="2"/>
            <w:vMerge w:val="continue"/>
          </w:tcPr>
          <w:p>
            <w:pPr>
              <w:spacing w:after="0"/>
              <w:rPr>
                <w:sz w:val="22"/>
                <w:szCs w:val="22"/>
                <w:color w:val="auto"/>
              </w:rPr>
            </w:pPr>
          </w:p>
        </w:tc>
        <w:tc>
          <w:tcPr>
            <w:tcW w:w="1720" w:type="dxa"/>
            <w:vAlign w:val="bottom"/>
            <w:gridSpan w:val="2"/>
          </w:tcPr>
          <w:p>
            <w:pPr>
              <w:jc w:val="center"/>
              <w:ind w:right="160"/>
              <w:spacing w:after="0"/>
              <w:rPr>
                <w:sz w:val="20"/>
                <w:szCs w:val="20"/>
                <w:color w:val="auto"/>
              </w:rPr>
            </w:pPr>
            <w:r>
              <w:rPr>
                <w:rFonts w:ascii="Times New Roman" w:cs="Times New Roman" w:eastAsia="Times New Roman" w:hAnsi="Times New Roman"/>
                <w:sz w:val="20"/>
                <w:szCs w:val="20"/>
                <w:b w:val="1"/>
                <w:bCs w:val="1"/>
                <w:color w:val="auto"/>
                <w:w w:val="99"/>
              </w:rPr>
              <w:t>Commitments</w:t>
            </w:r>
          </w:p>
        </w:tc>
        <w:tc>
          <w:tcPr>
            <w:tcW w:w="1600" w:type="dxa"/>
            <w:vAlign w:val="bottom"/>
            <w:gridSpan w:val="2"/>
          </w:tcPr>
          <w:p>
            <w:pPr>
              <w:jc w:val="center"/>
              <w:ind w:right="140"/>
              <w:spacing w:after="0"/>
              <w:rPr>
                <w:sz w:val="20"/>
                <w:szCs w:val="20"/>
                <w:color w:val="auto"/>
              </w:rPr>
            </w:pPr>
            <w:r>
              <w:rPr>
                <w:rFonts w:ascii="Times New Roman" w:cs="Times New Roman" w:eastAsia="Times New Roman" w:hAnsi="Times New Roman"/>
                <w:sz w:val="20"/>
                <w:szCs w:val="20"/>
                <w:b w:val="1"/>
                <w:bCs w:val="1"/>
                <w:color w:val="auto"/>
                <w:w w:val="98"/>
              </w:rPr>
              <w:t>Frequency</w:t>
            </w:r>
          </w:p>
        </w:tc>
        <w:tc>
          <w:tcPr>
            <w:tcW w:w="168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w w:val="98"/>
              </w:rPr>
              <w:t>Period</w:t>
            </w:r>
          </w:p>
        </w:tc>
        <w:tc>
          <w:tcPr>
            <w:tcW w:w="0" w:type="dxa"/>
            <w:vAlign w:val="bottom"/>
          </w:tcPr>
          <w:p>
            <w:pPr>
              <w:spacing w:after="0"/>
              <w:rPr>
                <w:sz w:val="1"/>
                <w:szCs w:val="1"/>
                <w:color w:val="auto"/>
              </w:rPr>
            </w:pPr>
          </w:p>
        </w:tc>
      </w:tr>
      <w:tr>
        <w:trPr>
          <w:trHeight w:val="250"/>
        </w:trPr>
        <w:tc>
          <w:tcPr>
            <w:tcW w:w="37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Vanguard Retirement Savings Trust</w:t>
            </w:r>
          </w:p>
        </w:tc>
        <w:tc>
          <w:tcPr>
            <w:tcW w:w="22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20"/>
                <w:szCs w:val="20"/>
                <w:color w:val="auto"/>
                <w:w w:val="99"/>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23,549,248</w:t>
            </w:r>
          </w:p>
        </w:tc>
        <w:tc>
          <w:tcPr>
            <w:tcW w:w="140" w:type="dxa"/>
            <w:vAlign w:val="bottom"/>
            <w:tcBorders>
              <w:top w:val="single" w:sz="8" w:color="CCEEFF"/>
            </w:tcBorders>
            <w:shd w:val="clear" w:color="auto" w:fill="CCEEFF"/>
          </w:tcPr>
          <w:p>
            <w:pPr>
              <w:spacing w:after="0"/>
              <w:rPr>
                <w:sz w:val="21"/>
                <w:szCs w:val="21"/>
                <w:color w:val="auto"/>
              </w:rPr>
            </w:pPr>
          </w:p>
        </w:tc>
        <w:tc>
          <w:tcPr>
            <w:tcW w:w="15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20"/>
                <w:szCs w:val="20"/>
                <w:color w:val="auto"/>
                <w:w w:val="98"/>
              </w:rPr>
              <w:t>N/A</w:t>
            </w:r>
          </w:p>
        </w:tc>
        <w:tc>
          <w:tcPr>
            <w:tcW w:w="160" w:type="dxa"/>
            <w:vAlign w:val="bottom"/>
            <w:tcBorders>
              <w:top w:val="single" w:sz="8" w:color="CCEEFF"/>
            </w:tcBorders>
            <w:shd w:val="clear" w:color="auto" w:fill="CCEEFF"/>
          </w:tcPr>
          <w:p>
            <w:pPr>
              <w:spacing w:after="0"/>
              <w:rPr>
                <w:sz w:val="21"/>
                <w:szCs w:val="21"/>
                <w:color w:val="auto"/>
              </w:rPr>
            </w:pPr>
          </w:p>
        </w:tc>
        <w:tc>
          <w:tcPr>
            <w:tcW w:w="14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20"/>
                <w:szCs w:val="20"/>
                <w:color w:val="auto"/>
                <w:w w:val="98"/>
              </w:rPr>
              <w:t>Daily</w:t>
            </w:r>
          </w:p>
        </w:tc>
        <w:tc>
          <w:tcPr>
            <w:tcW w:w="140" w:type="dxa"/>
            <w:vAlign w:val="bottom"/>
            <w:tcBorders>
              <w:top w:val="single" w:sz="8" w:color="CCEEFF"/>
            </w:tcBorders>
            <w:shd w:val="clear" w:color="auto" w:fill="CCEEFF"/>
          </w:tcPr>
          <w:p>
            <w:pPr>
              <w:spacing w:after="0"/>
              <w:rPr>
                <w:sz w:val="21"/>
                <w:szCs w:val="21"/>
                <w:color w:val="auto"/>
              </w:rPr>
            </w:pPr>
          </w:p>
        </w:tc>
        <w:tc>
          <w:tcPr>
            <w:tcW w:w="16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20"/>
                <w:szCs w:val="20"/>
                <w:color w:val="auto"/>
                <w:w w:val="98"/>
              </w:rPr>
              <w:t>N/A</w:t>
            </w:r>
          </w:p>
        </w:tc>
        <w:tc>
          <w:tcPr>
            <w:tcW w:w="0" w:type="dxa"/>
            <w:vAlign w:val="bottom"/>
          </w:tcPr>
          <w:p>
            <w:pPr>
              <w:spacing w:after="0"/>
              <w:rPr>
                <w:sz w:val="1"/>
                <w:szCs w:val="1"/>
                <w:color w:val="auto"/>
              </w:rPr>
            </w:pPr>
          </w:p>
        </w:tc>
      </w:tr>
      <w:tr>
        <w:trPr>
          <w:trHeight w:val="523"/>
        </w:trPr>
        <w:tc>
          <w:tcPr>
            <w:tcW w:w="376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320" w:type="dxa"/>
            <w:vAlign w:val="bottom"/>
            <w:tcBorders>
              <w:bottom w:val="single" w:sz="8" w:color="auto"/>
            </w:tcBorders>
            <w:gridSpan w:val="4"/>
          </w:tcPr>
          <w:p>
            <w:pPr>
              <w:ind w:left="860"/>
              <w:spacing w:after="0"/>
              <w:rPr>
                <w:sz w:val="20"/>
                <w:szCs w:val="20"/>
                <w:color w:val="auto"/>
              </w:rPr>
            </w:pPr>
            <w:r>
              <w:rPr>
                <w:rFonts w:ascii="Times New Roman" w:cs="Times New Roman" w:eastAsia="Times New Roman" w:hAnsi="Times New Roman"/>
                <w:sz w:val="20"/>
                <w:szCs w:val="20"/>
                <w:b w:val="1"/>
                <w:bCs w:val="1"/>
                <w:color w:val="auto"/>
              </w:rPr>
              <w:t>December 31, 2022</w:t>
            </w:r>
          </w:p>
        </w:tc>
        <w:tc>
          <w:tcPr>
            <w:tcW w:w="16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6"/>
        </w:trPr>
        <w:tc>
          <w:tcPr>
            <w:tcW w:w="3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40" w:type="dxa"/>
            <w:vAlign w:val="bottom"/>
            <w:gridSpan w:val="2"/>
            <w:vMerge w:val="restart"/>
          </w:tcPr>
          <w:p>
            <w:pPr>
              <w:ind w:left="100"/>
              <w:spacing w:after="0"/>
              <w:rPr>
                <w:sz w:val="20"/>
                <w:szCs w:val="20"/>
                <w:color w:val="auto"/>
              </w:rPr>
            </w:pPr>
            <w:r>
              <w:rPr>
                <w:rFonts w:ascii="Times New Roman" w:cs="Times New Roman" w:eastAsia="Times New Roman" w:hAnsi="Times New Roman"/>
                <w:sz w:val="20"/>
                <w:szCs w:val="20"/>
                <w:b w:val="1"/>
                <w:bCs w:val="1"/>
                <w:color w:val="auto"/>
              </w:rPr>
              <w:t>Fair Value</w:t>
            </w:r>
          </w:p>
        </w:tc>
        <w:tc>
          <w:tcPr>
            <w:tcW w:w="1720" w:type="dxa"/>
            <w:vAlign w:val="bottom"/>
            <w:gridSpan w:val="2"/>
          </w:tcPr>
          <w:p>
            <w:pPr>
              <w:jc w:val="center"/>
              <w:ind w:right="160"/>
              <w:spacing w:after="0" w:line="186" w:lineRule="exact"/>
              <w:rPr>
                <w:sz w:val="20"/>
                <w:szCs w:val="20"/>
                <w:color w:val="auto"/>
              </w:rPr>
            </w:pPr>
            <w:r>
              <w:rPr>
                <w:rFonts w:ascii="Times New Roman" w:cs="Times New Roman" w:eastAsia="Times New Roman" w:hAnsi="Times New Roman"/>
                <w:sz w:val="20"/>
                <w:szCs w:val="20"/>
                <w:b w:val="1"/>
                <w:bCs w:val="1"/>
                <w:color w:val="auto"/>
                <w:w w:val="98"/>
              </w:rPr>
              <w:t>Unfunded</w:t>
            </w:r>
          </w:p>
        </w:tc>
        <w:tc>
          <w:tcPr>
            <w:tcW w:w="1600" w:type="dxa"/>
            <w:vAlign w:val="bottom"/>
            <w:gridSpan w:val="2"/>
          </w:tcPr>
          <w:p>
            <w:pPr>
              <w:jc w:val="center"/>
              <w:ind w:right="160"/>
              <w:spacing w:after="0" w:line="186" w:lineRule="exact"/>
              <w:rPr>
                <w:sz w:val="20"/>
                <w:szCs w:val="20"/>
                <w:color w:val="auto"/>
              </w:rPr>
            </w:pPr>
            <w:r>
              <w:rPr>
                <w:rFonts w:ascii="Times New Roman" w:cs="Times New Roman" w:eastAsia="Times New Roman" w:hAnsi="Times New Roman"/>
                <w:sz w:val="20"/>
                <w:szCs w:val="20"/>
                <w:b w:val="1"/>
                <w:bCs w:val="1"/>
                <w:color w:val="auto"/>
                <w:w w:val="99"/>
              </w:rPr>
              <w:t>Redemption</w:t>
            </w:r>
          </w:p>
        </w:tc>
        <w:tc>
          <w:tcPr>
            <w:tcW w:w="1680" w:type="dxa"/>
            <w:vAlign w:val="bottom"/>
          </w:tcPr>
          <w:p>
            <w:pPr>
              <w:jc w:val="center"/>
              <w:spacing w:after="0" w:line="186" w:lineRule="exact"/>
              <w:rPr>
                <w:sz w:val="20"/>
                <w:szCs w:val="20"/>
                <w:color w:val="auto"/>
              </w:rPr>
            </w:pPr>
            <w:r>
              <w:rPr>
                <w:rFonts w:ascii="Times New Roman" w:cs="Times New Roman" w:eastAsia="Times New Roman" w:hAnsi="Times New Roman"/>
                <w:sz w:val="20"/>
                <w:szCs w:val="20"/>
                <w:b w:val="1"/>
                <w:bCs w:val="1"/>
                <w:color w:val="auto"/>
                <w:w w:val="98"/>
              </w:rPr>
              <w:t>Redemption Notice</w:t>
            </w:r>
          </w:p>
        </w:tc>
        <w:tc>
          <w:tcPr>
            <w:tcW w:w="0" w:type="dxa"/>
            <w:vAlign w:val="bottom"/>
          </w:tcPr>
          <w:p>
            <w:pPr>
              <w:spacing w:after="0"/>
              <w:rPr>
                <w:sz w:val="1"/>
                <w:szCs w:val="1"/>
                <w:color w:val="auto"/>
              </w:rPr>
            </w:pPr>
          </w:p>
        </w:tc>
      </w:tr>
      <w:tr>
        <w:trPr>
          <w:trHeight w:val="256"/>
        </w:trPr>
        <w:tc>
          <w:tcPr>
            <w:tcW w:w="37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40" w:type="dxa"/>
            <w:vAlign w:val="bottom"/>
            <w:gridSpan w:val="2"/>
            <w:vMerge w:val="continue"/>
          </w:tcPr>
          <w:p>
            <w:pPr>
              <w:spacing w:after="0"/>
              <w:rPr>
                <w:sz w:val="22"/>
                <w:szCs w:val="22"/>
                <w:color w:val="auto"/>
              </w:rPr>
            </w:pPr>
          </w:p>
        </w:tc>
        <w:tc>
          <w:tcPr>
            <w:tcW w:w="1720" w:type="dxa"/>
            <w:vAlign w:val="bottom"/>
            <w:gridSpan w:val="2"/>
          </w:tcPr>
          <w:p>
            <w:pPr>
              <w:jc w:val="center"/>
              <w:ind w:right="160"/>
              <w:spacing w:after="0"/>
              <w:rPr>
                <w:sz w:val="20"/>
                <w:szCs w:val="20"/>
                <w:color w:val="auto"/>
              </w:rPr>
            </w:pPr>
            <w:r>
              <w:rPr>
                <w:rFonts w:ascii="Times New Roman" w:cs="Times New Roman" w:eastAsia="Times New Roman" w:hAnsi="Times New Roman"/>
                <w:sz w:val="20"/>
                <w:szCs w:val="20"/>
                <w:b w:val="1"/>
                <w:bCs w:val="1"/>
                <w:color w:val="auto"/>
                <w:w w:val="99"/>
              </w:rPr>
              <w:t>Commitments</w:t>
            </w:r>
          </w:p>
        </w:tc>
        <w:tc>
          <w:tcPr>
            <w:tcW w:w="1600" w:type="dxa"/>
            <w:vAlign w:val="bottom"/>
            <w:gridSpan w:val="2"/>
          </w:tcPr>
          <w:p>
            <w:pPr>
              <w:jc w:val="center"/>
              <w:ind w:right="140"/>
              <w:spacing w:after="0"/>
              <w:rPr>
                <w:sz w:val="20"/>
                <w:szCs w:val="20"/>
                <w:color w:val="auto"/>
              </w:rPr>
            </w:pPr>
            <w:r>
              <w:rPr>
                <w:rFonts w:ascii="Times New Roman" w:cs="Times New Roman" w:eastAsia="Times New Roman" w:hAnsi="Times New Roman"/>
                <w:sz w:val="20"/>
                <w:szCs w:val="20"/>
                <w:b w:val="1"/>
                <w:bCs w:val="1"/>
                <w:color w:val="auto"/>
                <w:w w:val="98"/>
              </w:rPr>
              <w:t>Frequency</w:t>
            </w:r>
          </w:p>
        </w:tc>
        <w:tc>
          <w:tcPr>
            <w:tcW w:w="168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w w:val="98"/>
              </w:rPr>
              <w:t>Period</w:t>
            </w:r>
          </w:p>
        </w:tc>
        <w:tc>
          <w:tcPr>
            <w:tcW w:w="0" w:type="dxa"/>
            <w:vAlign w:val="bottom"/>
          </w:tcPr>
          <w:p>
            <w:pPr>
              <w:spacing w:after="0"/>
              <w:rPr>
                <w:sz w:val="1"/>
                <w:szCs w:val="1"/>
                <w:color w:val="auto"/>
              </w:rPr>
            </w:pPr>
          </w:p>
        </w:tc>
      </w:tr>
      <w:tr>
        <w:trPr>
          <w:trHeight w:val="250"/>
        </w:trPr>
        <w:tc>
          <w:tcPr>
            <w:tcW w:w="37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Vanguard Retirement Savings Trust</w:t>
            </w:r>
          </w:p>
        </w:tc>
        <w:tc>
          <w:tcPr>
            <w:tcW w:w="22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20"/>
                <w:szCs w:val="20"/>
                <w:color w:val="auto"/>
                <w:w w:val="99"/>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25,645,430</w:t>
            </w:r>
          </w:p>
        </w:tc>
        <w:tc>
          <w:tcPr>
            <w:tcW w:w="140" w:type="dxa"/>
            <w:vAlign w:val="bottom"/>
            <w:tcBorders>
              <w:top w:val="single" w:sz="8" w:color="CCEEFF"/>
            </w:tcBorders>
            <w:shd w:val="clear" w:color="auto" w:fill="CCEEFF"/>
          </w:tcPr>
          <w:p>
            <w:pPr>
              <w:spacing w:after="0"/>
              <w:rPr>
                <w:sz w:val="21"/>
                <w:szCs w:val="21"/>
                <w:color w:val="auto"/>
              </w:rPr>
            </w:pPr>
          </w:p>
        </w:tc>
        <w:tc>
          <w:tcPr>
            <w:tcW w:w="15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20"/>
                <w:szCs w:val="20"/>
                <w:color w:val="auto"/>
                <w:w w:val="98"/>
              </w:rPr>
              <w:t>N/A</w:t>
            </w:r>
          </w:p>
        </w:tc>
        <w:tc>
          <w:tcPr>
            <w:tcW w:w="160" w:type="dxa"/>
            <w:vAlign w:val="bottom"/>
            <w:tcBorders>
              <w:top w:val="single" w:sz="8" w:color="CCEEFF"/>
            </w:tcBorders>
            <w:shd w:val="clear" w:color="auto" w:fill="CCEEFF"/>
          </w:tcPr>
          <w:p>
            <w:pPr>
              <w:spacing w:after="0"/>
              <w:rPr>
                <w:sz w:val="21"/>
                <w:szCs w:val="21"/>
                <w:color w:val="auto"/>
              </w:rPr>
            </w:pPr>
          </w:p>
        </w:tc>
        <w:tc>
          <w:tcPr>
            <w:tcW w:w="14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20"/>
                <w:szCs w:val="20"/>
                <w:color w:val="auto"/>
                <w:w w:val="98"/>
              </w:rPr>
              <w:t>Daily</w:t>
            </w:r>
          </w:p>
        </w:tc>
        <w:tc>
          <w:tcPr>
            <w:tcW w:w="140" w:type="dxa"/>
            <w:vAlign w:val="bottom"/>
            <w:tcBorders>
              <w:top w:val="single" w:sz="8" w:color="CCEEFF"/>
            </w:tcBorders>
            <w:shd w:val="clear" w:color="auto" w:fill="CCEEFF"/>
          </w:tcPr>
          <w:p>
            <w:pPr>
              <w:spacing w:after="0"/>
              <w:rPr>
                <w:sz w:val="21"/>
                <w:szCs w:val="21"/>
                <w:color w:val="auto"/>
              </w:rPr>
            </w:pPr>
          </w:p>
        </w:tc>
        <w:tc>
          <w:tcPr>
            <w:tcW w:w="16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20"/>
                <w:szCs w:val="20"/>
                <w:color w:val="auto"/>
                <w:w w:val="98"/>
              </w:rPr>
              <w:t>N/A</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4 - RELATED PARTY TRANSACTIONS</w:t>
      </w:r>
    </w:p>
    <w:p>
      <w:pPr>
        <w:spacing w:after="0" w:line="24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The Plan participants invest in shares of registered investment companies and a collective trust fund managed by affiliates of VFTC. VFTC acts as trustee for investments of the Plan. Plan assets managed by affiliates of VFTC were $139,911,303 and $121,507,633 as of December 31, 2023 and 2022, respectively. Transactions in these investments qualify as party-in-interest transactions and are exempt from the prohibited transaction rules.</w:t>
      </w:r>
    </w:p>
    <w:p>
      <w:pPr>
        <w:spacing w:after="0" w:line="213"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0"/>
          <w:szCs w:val="20"/>
          <w:color w:val="auto"/>
        </w:rPr>
        <w:t>The Plan participants also invest in shares of the Company’s common stock through the Crown Holdings, Inc. Stock Fund. The Company’s common stock fund held approximately 59,109 and 59,254 shares of Crown Holdings, Inc. common stock representing 3.2% and 3.3% of Plan assets as of December 31, 2023 and 2022, respectively. For the years 2023 and 2022, the Company common stock fund had purchases of $363,182 and $1,009,404, respectively, and sales of $385,432 and $1,369,528, respectively. Dividend income from the Company’s common stock fund totaled $56,235 and $52,719 in 2023 and 2022, respectively. The Plan also issues loans to participants, which are secured by the balances in the respective participant accounts. Transactions in such investments qualify as party-in-interest transactions and are exempt from the prohibited transaction rules.</w:t>
      </w:r>
    </w:p>
    <w:p>
      <w:pPr>
        <w:sectPr>
          <w:pgSz w:w="11900" w:h="16838" w:orient="portrait"/>
          <w:cols w:equalWidth="0" w:num="1">
            <w:col w:w="11240"/>
          </w:cols>
          <w:pgMar w:left="320" w:top="88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w:t>
      </w:r>
    </w:p>
    <w:p>
      <w:pPr>
        <w:sectPr>
          <w:pgSz w:w="11900" w:h="16838" w:orient="portrait"/>
          <w:cols w:equalWidth="0" w:num="1">
            <w:col w:w="11240"/>
          </w:cols>
          <w:pgMar w:left="320" w:top="880" w:right="339" w:bottom="1440" w:gutter="0" w:footer="0" w:header="0"/>
          <w:type w:val="continuous"/>
        </w:sectPr>
      </w:pPr>
    </w:p>
    <w:bookmarkStart w:id="11" w:name="page12"/>
    <w:bookmarkEnd w:id="11"/>
    <w:p>
      <w:pPr>
        <w:spacing w:after="0"/>
        <w:rPr>
          <w:sz w:val="20"/>
          <w:szCs w:val="20"/>
          <w:color w:val="auto"/>
        </w:rPr>
      </w:pPr>
      <w:r>
        <w:rPr>
          <w:rFonts w:ascii="Times New Roman" w:cs="Times New Roman" w:eastAsia="Times New Roman" w:hAnsi="Times New Roman"/>
          <w:sz w:val="25"/>
          <w:szCs w:val="25"/>
          <w:b w:val="1"/>
          <w:bCs w:val="1"/>
          <w:color w:val="auto"/>
        </w:rPr>
        <w:t>CROWN CORK &amp; SEAL COMPANY, INC.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5"/>
          <w:szCs w:val="25"/>
          <w:b w:val="1"/>
          <w:bCs w:val="1"/>
          <w:color w:val="auto"/>
        </w:rPr>
        <w:t>RETIREMENT THRIFT PLAN</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Notes to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74295</wp:posOffset>
            </wp:positionV>
            <wp:extent cx="7003415"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003415" cy="17145"/>
                    </a:xfrm>
                    <a:prstGeom prst="rect">
                      <a:avLst/>
                    </a:prstGeom>
                    <a:noFill/>
                  </pic:spPr>
                </pic:pic>
              </a:graphicData>
            </a:graphic>
          </wp:anchor>
        </w:drawing>
      </w:r>
    </w:p>
    <w:p>
      <w:pPr>
        <w:spacing w:after="0" w:line="200" w:lineRule="exact"/>
        <w:rPr>
          <w:sz w:val="20"/>
          <w:szCs w:val="20"/>
          <w:color w:val="auto"/>
        </w:rPr>
      </w:pPr>
    </w:p>
    <w:p>
      <w:pPr>
        <w:spacing w:after="0" w:line="238" w:lineRule="exact"/>
        <w:rPr>
          <w:sz w:val="20"/>
          <w:szCs w:val="20"/>
          <w:color w:val="auto"/>
        </w:rPr>
      </w:pPr>
    </w:p>
    <w:p>
      <w:pPr>
        <w:ind w:right="240"/>
        <w:spacing w:after="0" w:line="269" w:lineRule="auto"/>
        <w:rPr>
          <w:sz w:val="20"/>
          <w:szCs w:val="20"/>
          <w:color w:val="auto"/>
        </w:rPr>
      </w:pPr>
      <w:r>
        <w:rPr>
          <w:rFonts w:ascii="Times New Roman" w:cs="Times New Roman" w:eastAsia="Times New Roman" w:hAnsi="Times New Roman"/>
          <w:sz w:val="20"/>
          <w:szCs w:val="20"/>
          <w:color w:val="auto"/>
        </w:rPr>
        <w:t>Certain administrative functions of the Plan are performed by officers or employees of the Company. No such officer or employee receives compensation from the Plan.</w:t>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5 - TAX STATUS</w:t>
      </w:r>
    </w:p>
    <w:p>
      <w:pPr>
        <w:spacing w:after="0" w:line="247"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20"/>
          <w:szCs w:val="20"/>
          <w:color w:val="auto"/>
        </w:rPr>
        <w:t>The IRS determined and informed the Company by letter dated October 13, 2015 that the Plan was qualified under Internal Revenue Code (“IRC”) Section 401(k). The Company believes the Plan is designed and is currently being operated in compliance with the applicable requirements of the IRC and therefore, believes that the Plan is qualified, and the related trust is tax exempt.</w:t>
      </w:r>
    </w:p>
    <w:p>
      <w:pPr>
        <w:spacing w:after="0" w:line="18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Accounting principles generally accepted in the United States of America require Plan management to evaluate tax positions taken by the Plan and recognize a tax liability if the organization has taken an uncertain position that more likely than not would not be sustained upon examination by the IRS. The Plan is subject to routine audits by taxing jurisdictions; however, there are currently no audits for any tax periods in progress.</w:t>
      </w: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6 - RISKS AND UNCERTAINTIES</w:t>
      </w:r>
    </w:p>
    <w:p>
      <w:pPr>
        <w:spacing w:after="0" w:line="24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Investment securities, in general, are exposed to various risks, such as interest rate, credit, and overall market volatility risks. Due to the level of risk associated with certain investment securities, it is reasonably possible that changes in the values of investment securities will occur in the near term and such changes could materially affect participants’ account balances and the amounts reported in the Statements of Net Assets Available for Benefits.</w:t>
      </w:r>
    </w:p>
    <w:p>
      <w:pPr>
        <w:spacing w:after="0" w:line="213"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As of December 31, 2023 and 2022, the Plan had investments of $70,663,801 and $64,514,805, respectively, that were concentrated in two funds.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240"/>
          </w:cols>
          <w:pgMar w:left="320" w:top="880" w:right="339" w:bottom="1440" w:gutter="0" w:footer="0" w:header="0"/>
        </w:sectPr>
      </w:pPr>
    </w:p>
    <w:bookmarkStart w:id="12" w:name="page13"/>
    <w:bookmarkEnd w:id="12"/>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8"/>
          <w:szCs w:val="28"/>
          <w:b w:val="1"/>
          <w:bCs w:val="1"/>
          <w:color w:val="auto"/>
        </w:rPr>
        <w:t>Supplemental Information</w:t>
      </w:r>
    </w:p>
    <w:p>
      <w:pPr>
        <w:spacing w:after="0" w:line="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Required for Form 5500</w:t>
      </w:r>
    </w:p>
    <w:p>
      <w:pPr>
        <w:sectPr>
          <w:pgSz w:w="11900" w:h="16838" w:orient="portrait"/>
          <w:cols w:equalWidth="0" w:num="1">
            <w:col w:w="9019"/>
          </w:cols>
          <w:pgMar w:left="1440" w:top="1440" w:right="1440"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22"/>
          <w:szCs w:val="22"/>
          <w:b w:val="1"/>
          <w:bCs w:val="1"/>
          <w:color w:val="auto"/>
        </w:rPr>
        <w:t>CROWN CORK &amp; SEAL COMPANY, INC. RETIREMENT THRIFT PLAN</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Schedule H, Line 4i - Schedule of Assets (Held at End of Year)</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December 31,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21590</wp:posOffset>
            </wp:positionV>
            <wp:extent cx="6626225"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626225" cy="17145"/>
                    </a:xfrm>
                    <a:prstGeom prst="rect">
                      <a:avLst/>
                    </a:prstGeom>
                    <a:noFill/>
                  </pic:spPr>
                </pic:pic>
              </a:graphicData>
            </a:graphic>
          </wp:anchor>
        </w:drawing>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Crown Cork &amp; Seal Company, Inc. Retirement Thrift Plan</w:t>
      </w:r>
    </w:p>
    <w:p>
      <w:pPr>
        <w:spacing w:after="0"/>
        <w:rPr>
          <w:sz w:val="20"/>
          <w:szCs w:val="20"/>
          <w:color w:val="auto"/>
        </w:rPr>
      </w:pPr>
      <w:r>
        <w:rPr>
          <w:rFonts w:ascii="Times New Roman" w:cs="Times New Roman" w:eastAsia="Times New Roman" w:hAnsi="Times New Roman"/>
          <w:sz w:val="18"/>
          <w:szCs w:val="18"/>
          <w:color w:val="auto"/>
        </w:rPr>
        <w:t>EIN 23-1526444 Plan No. 105</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277"/>
        </w:trPr>
        <w:tc>
          <w:tcPr>
            <w:tcW w:w="468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20"/>
                <w:szCs w:val="20"/>
                <w:b w:val="1"/>
                <w:bCs w:val="1"/>
                <w:color w:val="auto"/>
              </w:rPr>
              <w:t>Identity of Participant-Directed Issues</w:t>
            </w:r>
          </w:p>
        </w:tc>
        <w:tc>
          <w:tcPr>
            <w:tcW w:w="4500" w:type="dxa"/>
            <w:vAlign w:val="bottom"/>
            <w:tcBorders>
              <w:bottom w:val="single" w:sz="8" w:color="auto"/>
            </w:tcBorders>
          </w:tcPr>
          <w:p>
            <w:pPr>
              <w:ind w:left="1400"/>
              <w:spacing w:after="0"/>
              <w:rPr>
                <w:sz w:val="20"/>
                <w:szCs w:val="20"/>
                <w:color w:val="auto"/>
              </w:rPr>
            </w:pPr>
            <w:r>
              <w:rPr>
                <w:rFonts w:ascii="Times New Roman" w:cs="Times New Roman" w:eastAsia="Times New Roman" w:hAnsi="Times New Roman"/>
                <w:sz w:val="20"/>
                <w:szCs w:val="20"/>
                <w:b w:val="1"/>
                <w:bCs w:val="1"/>
                <w:color w:val="auto"/>
              </w:rPr>
              <w:t>Investment Type</w:t>
            </w:r>
          </w:p>
        </w:tc>
        <w:tc>
          <w:tcPr>
            <w:tcW w:w="12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0"/>
                <w:szCs w:val="20"/>
                <w:b w:val="1"/>
                <w:bCs w:val="1"/>
                <w:color w:val="auto"/>
                <w:w w:val="97"/>
              </w:rPr>
              <w:t>Current Value</w:t>
            </w:r>
          </w:p>
        </w:tc>
      </w:tr>
      <w:tr>
        <w:trPr>
          <w:trHeight w:val="229"/>
        </w:trPr>
        <w:tc>
          <w:tcPr>
            <w:tcW w:w="46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Baird Core Plus Bond Fund</w:t>
            </w:r>
          </w:p>
        </w:tc>
        <w:tc>
          <w:tcPr>
            <w:tcW w:w="450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Registered Investment Company</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8,306,654</w:t>
            </w:r>
          </w:p>
        </w:tc>
      </w:tr>
      <w:tr>
        <w:trPr>
          <w:trHeight w:val="229"/>
        </w:trPr>
        <w:tc>
          <w:tcPr>
            <w:tcW w:w="46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DFA Emerging Markets Core Equity Portfolio</w:t>
            </w:r>
          </w:p>
        </w:tc>
        <w:tc>
          <w:tcPr>
            <w:tcW w:w="450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Registered Investment Company</w:t>
            </w: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1,032,339</w:t>
            </w:r>
          </w:p>
        </w:tc>
      </w:tr>
      <w:tr>
        <w:trPr>
          <w:trHeight w:val="230"/>
        </w:trPr>
        <w:tc>
          <w:tcPr>
            <w:tcW w:w="46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DFA US Targeted Value Portfolio</w:t>
            </w:r>
          </w:p>
        </w:tc>
        <w:tc>
          <w:tcPr>
            <w:tcW w:w="450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Registered Investment Company</w:t>
            </w: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1,030,415</w:t>
            </w:r>
          </w:p>
        </w:tc>
      </w:tr>
      <w:tr>
        <w:trPr>
          <w:trHeight w:val="229"/>
        </w:trPr>
        <w:tc>
          <w:tcPr>
            <w:tcW w:w="46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Fidelity Small Cap Growth Fund</w:t>
            </w:r>
          </w:p>
        </w:tc>
        <w:tc>
          <w:tcPr>
            <w:tcW w:w="450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Registered Investment Company</w:t>
            </w: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9,814,681</w:t>
            </w:r>
          </w:p>
        </w:tc>
      </w:tr>
      <w:tr>
        <w:trPr>
          <w:trHeight w:val="230"/>
        </w:trPr>
        <w:tc>
          <w:tcPr>
            <w:tcW w:w="46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 Rowe Price International Discovery Fund</w:t>
            </w:r>
          </w:p>
        </w:tc>
        <w:tc>
          <w:tcPr>
            <w:tcW w:w="450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Registered Investment Company</w:t>
            </w: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155,109</w:t>
            </w:r>
          </w:p>
        </w:tc>
      </w:tr>
      <w:tr>
        <w:trPr>
          <w:trHeight w:val="229"/>
        </w:trPr>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 Vanguard Developed Markets Index Fund</w:t>
            </w:r>
          </w:p>
        </w:tc>
        <w:tc>
          <w:tcPr>
            <w:tcW w:w="450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Registered Investment Company</w:t>
            </w: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3,807,976</w:t>
            </w:r>
          </w:p>
        </w:tc>
      </w:tr>
      <w:tr>
        <w:trPr>
          <w:trHeight w:val="229"/>
        </w:trPr>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Vanguard International Growth Fund</w:t>
            </w:r>
          </w:p>
        </w:tc>
        <w:tc>
          <w:tcPr>
            <w:tcW w:w="450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Registered Investment Company</w:t>
            </w: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7,504,457</w:t>
            </w:r>
          </w:p>
        </w:tc>
      </w:tr>
      <w:tr>
        <w:trPr>
          <w:trHeight w:val="230"/>
        </w:trPr>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 Vanguard Russell 1000 Growth Index Fund</w:t>
            </w:r>
          </w:p>
        </w:tc>
        <w:tc>
          <w:tcPr>
            <w:tcW w:w="450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Registered Investment Company</w:t>
            </w: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2,363,880</w:t>
            </w:r>
          </w:p>
        </w:tc>
      </w:tr>
      <w:tr>
        <w:trPr>
          <w:trHeight w:val="229"/>
        </w:trPr>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Vanguard Cash Reserve Federal Money Market Fund</w:t>
            </w:r>
          </w:p>
        </w:tc>
        <w:tc>
          <w:tcPr>
            <w:tcW w:w="450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Registered Investment Company</w:t>
            </w: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167,809</w:t>
            </w:r>
          </w:p>
        </w:tc>
      </w:tr>
      <w:tr>
        <w:trPr>
          <w:trHeight w:val="229"/>
        </w:trPr>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 Vanguard Target Retirement 2020 Fund</w:t>
            </w:r>
          </w:p>
        </w:tc>
        <w:tc>
          <w:tcPr>
            <w:tcW w:w="450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Registered Investment Company</w:t>
            </w: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846,976</w:t>
            </w:r>
          </w:p>
        </w:tc>
      </w:tr>
      <w:tr>
        <w:trPr>
          <w:trHeight w:val="230"/>
        </w:trPr>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Vanguard Target Retirement 2025 Fund</w:t>
            </w:r>
          </w:p>
        </w:tc>
        <w:tc>
          <w:tcPr>
            <w:tcW w:w="450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Registered Investment Company</w:t>
            </w: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5,413,046</w:t>
            </w:r>
          </w:p>
        </w:tc>
      </w:tr>
      <w:tr>
        <w:trPr>
          <w:trHeight w:val="229"/>
        </w:trPr>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 Vanguard Target Retirement 2030 Fund</w:t>
            </w:r>
          </w:p>
        </w:tc>
        <w:tc>
          <w:tcPr>
            <w:tcW w:w="450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Registered Investment Company</w:t>
            </w: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7,036,012</w:t>
            </w:r>
          </w:p>
        </w:tc>
      </w:tr>
      <w:tr>
        <w:trPr>
          <w:trHeight w:val="230"/>
        </w:trPr>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Vanguard Target Retirement 2035 Fund</w:t>
            </w:r>
          </w:p>
        </w:tc>
        <w:tc>
          <w:tcPr>
            <w:tcW w:w="450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Registered Investment Company</w:t>
            </w: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5,800,662</w:t>
            </w:r>
          </w:p>
        </w:tc>
      </w:tr>
      <w:tr>
        <w:trPr>
          <w:trHeight w:val="229"/>
        </w:trPr>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 Vanguard Target Retirement 2040 Fund</w:t>
            </w:r>
          </w:p>
        </w:tc>
        <w:tc>
          <w:tcPr>
            <w:tcW w:w="450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Registered Investment Company</w:t>
            </w: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5,199,932</w:t>
            </w:r>
          </w:p>
        </w:tc>
      </w:tr>
      <w:tr>
        <w:trPr>
          <w:trHeight w:val="229"/>
        </w:trPr>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Vanguard Target Retirement 2045 Fund</w:t>
            </w:r>
          </w:p>
        </w:tc>
        <w:tc>
          <w:tcPr>
            <w:tcW w:w="450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Registered Investment Company</w:t>
            </w: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3,144,460</w:t>
            </w:r>
          </w:p>
        </w:tc>
      </w:tr>
      <w:tr>
        <w:trPr>
          <w:trHeight w:val="230"/>
        </w:trPr>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 Vanguard Target Retirement 2050 Fund</w:t>
            </w:r>
          </w:p>
        </w:tc>
        <w:tc>
          <w:tcPr>
            <w:tcW w:w="450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Registered Investment Company</w:t>
            </w: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4,407,342</w:t>
            </w:r>
          </w:p>
        </w:tc>
      </w:tr>
      <w:tr>
        <w:trPr>
          <w:trHeight w:val="229"/>
        </w:trPr>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Vanguard Target Retirement 2055 Fund</w:t>
            </w:r>
          </w:p>
        </w:tc>
        <w:tc>
          <w:tcPr>
            <w:tcW w:w="450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Registered Investment Company</w:t>
            </w: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2,363,510</w:t>
            </w:r>
          </w:p>
        </w:tc>
      </w:tr>
      <w:tr>
        <w:trPr>
          <w:trHeight w:val="229"/>
        </w:trPr>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 Vanguard Target Retirement 2060 Fund</w:t>
            </w:r>
          </w:p>
        </w:tc>
        <w:tc>
          <w:tcPr>
            <w:tcW w:w="450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Registered Investment Company</w:t>
            </w: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2,620,217</w:t>
            </w:r>
          </w:p>
        </w:tc>
      </w:tr>
      <w:tr>
        <w:trPr>
          <w:trHeight w:val="230"/>
        </w:trPr>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Vanguard Target Retirement 2065 Fund</w:t>
            </w:r>
          </w:p>
        </w:tc>
        <w:tc>
          <w:tcPr>
            <w:tcW w:w="450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Registered Investment Company</w:t>
            </w: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726,556</w:t>
            </w:r>
          </w:p>
        </w:tc>
      </w:tr>
      <w:tr>
        <w:trPr>
          <w:trHeight w:val="229"/>
        </w:trPr>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 Vanguard Target Retirement 2070 Fund</w:t>
            </w:r>
          </w:p>
        </w:tc>
        <w:tc>
          <w:tcPr>
            <w:tcW w:w="450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Registered Investment Company</w:t>
            </w: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27,399</w:t>
            </w:r>
          </w:p>
        </w:tc>
      </w:tr>
      <w:tr>
        <w:trPr>
          <w:trHeight w:val="230"/>
        </w:trPr>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Vanguard Target Retirement Income Fund</w:t>
            </w:r>
          </w:p>
        </w:tc>
        <w:tc>
          <w:tcPr>
            <w:tcW w:w="450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Registered Investment Company</w:t>
            </w: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4,091,958</w:t>
            </w:r>
          </w:p>
        </w:tc>
      </w:tr>
      <w:tr>
        <w:trPr>
          <w:trHeight w:val="230"/>
        </w:trPr>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 Vanguard Total Stock Market Index Fund</w:t>
            </w:r>
          </w:p>
        </w:tc>
        <w:tc>
          <w:tcPr>
            <w:tcW w:w="450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Registered Investment Company</w:t>
            </w: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47,114,553</w:t>
            </w:r>
          </w:p>
        </w:tc>
      </w:tr>
      <w:tr>
        <w:trPr>
          <w:trHeight w:val="230"/>
        </w:trPr>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Vanguard Wellington Fund</w:t>
            </w:r>
          </w:p>
        </w:tc>
        <w:tc>
          <w:tcPr>
            <w:tcW w:w="450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Registered Investment Company</w:t>
            </w: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10,924,815</w:t>
            </w:r>
          </w:p>
        </w:tc>
      </w:tr>
      <w:tr>
        <w:trPr>
          <w:trHeight w:val="230"/>
        </w:trPr>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 Vanguard Windsor II Fund</w:t>
            </w:r>
          </w:p>
        </w:tc>
        <w:tc>
          <w:tcPr>
            <w:tcW w:w="450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Registered Investment Company</w:t>
            </w: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2,800,495</w:t>
            </w:r>
          </w:p>
        </w:tc>
      </w:tr>
      <w:tr>
        <w:trPr>
          <w:trHeight w:val="229"/>
        </w:trPr>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Vanguard Retirement Savings Trust</w:t>
            </w:r>
          </w:p>
        </w:tc>
        <w:tc>
          <w:tcPr>
            <w:tcW w:w="450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Collective Trust Fund</w:t>
            </w: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23,549,248</w:t>
            </w:r>
          </w:p>
        </w:tc>
      </w:tr>
      <w:tr>
        <w:trPr>
          <w:trHeight w:val="230"/>
        </w:trPr>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 Crown Holdings, Inc. Stock Fund</w:t>
            </w:r>
          </w:p>
        </w:tc>
        <w:tc>
          <w:tcPr>
            <w:tcW w:w="450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Common Stock Fund</w:t>
            </w: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5,443,353</w:t>
            </w:r>
          </w:p>
        </w:tc>
      </w:tr>
      <w:tr>
        <w:trPr>
          <w:trHeight w:val="230"/>
        </w:trPr>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Notes receivable from participants</w:t>
            </w:r>
          </w:p>
        </w:tc>
        <w:tc>
          <w:tcPr>
            <w:tcW w:w="450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Interest rates: 4.25% - 9.50%</w:t>
            </w:r>
          </w:p>
        </w:tc>
        <w:tc>
          <w:tcPr>
            <w:tcW w:w="1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3,583,864</w:t>
            </w:r>
          </w:p>
        </w:tc>
      </w:tr>
      <w:tr>
        <w:trPr>
          <w:trHeight w:val="223"/>
        </w:trPr>
        <w:tc>
          <w:tcPr>
            <w:tcW w:w="4680" w:type="dxa"/>
            <w:vAlign w:val="bottom"/>
          </w:tcPr>
          <w:p>
            <w:pPr>
              <w:ind w:left="160"/>
              <w:spacing w:after="0" w:line="223" w:lineRule="exact"/>
              <w:rPr>
                <w:sz w:val="20"/>
                <w:szCs w:val="20"/>
                <w:color w:val="auto"/>
              </w:rPr>
            </w:pPr>
            <w:r>
              <w:rPr>
                <w:rFonts w:ascii="Times New Roman" w:cs="Times New Roman" w:eastAsia="Times New Roman" w:hAnsi="Times New Roman"/>
                <w:sz w:val="20"/>
                <w:szCs w:val="20"/>
                <w:b w:val="1"/>
                <w:bCs w:val="1"/>
                <w:color w:val="auto"/>
              </w:rPr>
              <w:t>Total (Held at End of Year)</w:t>
            </w:r>
          </w:p>
        </w:tc>
        <w:tc>
          <w:tcPr>
            <w:tcW w:w="4500" w:type="dxa"/>
            <w:vAlign w:val="bottom"/>
          </w:tcPr>
          <w:p>
            <w:pPr>
              <w:spacing w:after="0"/>
              <w:rPr>
                <w:sz w:val="19"/>
                <w:szCs w:val="19"/>
                <w:color w:val="auto"/>
              </w:rPr>
            </w:pPr>
          </w:p>
        </w:tc>
        <w:tc>
          <w:tcPr>
            <w:tcW w:w="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169,277,718</w:t>
            </w:r>
          </w:p>
        </w:tc>
      </w:tr>
      <w:tr>
        <w:trPr>
          <w:trHeight w:val="20"/>
        </w:trPr>
        <w:tc>
          <w:tcPr>
            <w:tcW w:w="4680" w:type="dxa"/>
            <w:vAlign w:val="bottom"/>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  Party-in-Interest as defined by ERISA</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Cost column not required to be reported as all investments are participant directed.</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0420"/>
          </w:cols>
          <w:pgMar w:left="740" w:top="729" w:right="739"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286"/>
        </w:trPr>
        <w:tc>
          <w:tcPr>
            <w:tcW w:w="2220" w:type="dxa"/>
            <w:vAlign w:val="bottom"/>
            <w:gridSpan w:val="3"/>
          </w:tcPr>
          <w:p>
            <w:pPr>
              <w:spacing w:after="0"/>
              <w:rPr>
                <w:sz w:val="20"/>
                <w:szCs w:val="20"/>
                <w:color w:val="auto"/>
              </w:rPr>
            </w:pPr>
            <w:r>
              <w:rPr>
                <w:rFonts w:ascii="Times New Roman" w:cs="Times New Roman" w:eastAsia="Times New Roman" w:hAnsi="Times New Roman"/>
                <w:sz w:val="22"/>
                <w:szCs w:val="22"/>
                <w:b w:val="1"/>
                <w:bCs w:val="1"/>
                <w:color w:val="auto"/>
              </w:rPr>
              <w:t>EXHIBITS</w:t>
            </w:r>
          </w:p>
        </w:tc>
        <w:tc>
          <w:tcPr>
            <w:tcW w:w="1940" w:type="dxa"/>
            <w:vAlign w:val="bottom"/>
          </w:tcPr>
          <w:p>
            <w:pPr>
              <w:spacing w:after="0"/>
              <w:rPr>
                <w:sz w:val="24"/>
                <w:szCs w:val="24"/>
                <w:color w:val="auto"/>
              </w:rPr>
            </w:pPr>
          </w:p>
        </w:tc>
        <w:tc>
          <w:tcPr>
            <w:tcW w:w="3240" w:type="dxa"/>
            <w:vAlign w:val="bottom"/>
          </w:tcPr>
          <w:p>
            <w:pPr>
              <w:spacing w:after="0"/>
              <w:rPr>
                <w:sz w:val="24"/>
                <w:szCs w:val="24"/>
                <w:color w:val="auto"/>
              </w:rPr>
            </w:pPr>
          </w:p>
        </w:tc>
      </w:tr>
      <w:tr>
        <w:trPr>
          <w:trHeight w:val="569"/>
        </w:trPr>
        <w:tc>
          <w:tcPr>
            <w:tcW w:w="40" w:type="dxa"/>
            <w:vAlign w:val="bottom"/>
          </w:tcPr>
          <w:p>
            <w:pPr>
              <w:spacing w:after="0"/>
              <w:rPr>
                <w:sz w:val="24"/>
                <w:szCs w:val="24"/>
                <w:color w:val="auto"/>
              </w:rPr>
            </w:pPr>
          </w:p>
        </w:tc>
        <w:tc>
          <w:tcPr>
            <w:tcW w:w="21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Exhibit Number</w:t>
            </w:r>
          </w:p>
        </w:tc>
        <w:tc>
          <w:tcPr>
            <w:tcW w:w="51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Description of Exhibit</w:t>
            </w:r>
          </w:p>
        </w:tc>
      </w:tr>
      <w:tr>
        <w:trPr>
          <w:trHeight w:val="20"/>
        </w:trPr>
        <w:tc>
          <w:tcPr>
            <w:tcW w:w="40" w:type="dxa"/>
            <w:vAlign w:val="bottom"/>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940" w:type="dxa"/>
            <w:vAlign w:val="bottom"/>
            <w:shd w:val="clear" w:color="auto" w:fill="000000"/>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1400" w:type="dxa"/>
            <w:vAlign w:val="bottom"/>
          </w:tcPr>
          <w:p>
            <w:pPr>
              <w:spacing w:after="0" w:line="250" w:lineRule="exact"/>
              <w:rPr>
                <w:sz w:val="20"/>
                <w:szCs w:val="20"/>
                <w:color w:val="auto"/>
              </w:rPr>
            </w:pPr>
            <w:r>
              <w:rPr>
                <w:rFonts w:ascii="Times New Roman" w:cs="Times New Roman" w:eastAsia="Times New Roman" w:hAnsi="Times New Roman"/>
                <w:sz w:val="22"/>
                <w:szCs w:val="22"/>
                <w:color w:val="auto"/>
              </w:rPr>
              <w:t>23</w:t>
            </w:r>
          </w:p>
        </w:tc>
        <w:tc>
          <w:tcPr>
            <w:tcW w:w="780" w:type="dxa"/>
            <w:vAlign w:val="bottom"/>
          </w:tcPr>
          <w:p>
            <w:pPr>
              <w:spacing w:after="0"/>
              <w:rPr>
                <w:sz w:val="21"/>
                <w:szCs w:val="21"/>
                <w:color w:val="auto"/>
              </w:rPr>
            </w:pPr>
          </w:p>
        </w:tc>
        <w:tc>
          <w:tcPr>
            <w:tcW w:w="5180" w:type="dxa"/>
            <w:vAlign w:val="bottom"/>
            <w:tcBorders>
              <w:bottom w:val="single" w:sz="8" w:color="0000FF"/>
            </w:tcBorders>
            <w:gridSpan w:val="2"/>
          </w:tcPr>
          <w:p>
            <w:pPr>
              <w:spacing w:after="0" w:line="250" w:lineRule="exact"/>
              <w:rPr>
                <w:sz w:val="20"/>
                <w:szCs w:val="20"/>
                <w:color w:val="auto"/>
              </w:rPr>
            </w:pPr>
            <w:r>
              <w:rPr>
                <w:rFonts w:ascii="Times New Roman" w:cs="Times New Roman" w:eastAsia="Times New Roman" w:hAnsi="Times New Roman"/>
                <w:sz w:val="22"/>
                <w:szCs w:val="22"/>
                <w:color w:val="0000FF"/>
                <w:w w:val="97"/>
              </w:rPr>
              <w:t>Consent of Independent Registered Public Accounting Firm</w:t>
            </w:r>
          </w:p>
        </w:tc>
      </w:tr>
      <w:tr>
        <w:trPr>
          <w:trHeight w:val="250"/>
        </w:trPr>
        <w:tc>
          <w:tcPr>
            <w:tcW w:w="1440" w:type="dxa"/>
            <w:vAlign w:val="bottom"/>
            <w:gridSpan w:val="2"/>
          </w:tcPr>
          <w:p>
            <w:pPr>
              <w:ind w:left="40"/>
              <w:spacing w:after="0" w:line="250" w:lineRule="exact"/>
              <w:rPr>
                <w:sz w:val="20"/>
                <w:szCs w:val="20"/>
                <w:color w:val="auto"/>
              </w:rPr>
            </w:pPr>
            <w:r>
              <w:rPr>
                <w:rFonts w:ascii="Times New Roman" w:cs="Times New Roman" w:eastAsia="Times New Roman" w:hAnsi="Times New Roman"/>
                <w:sz w:val="22"/>
                <w:szCs w:val="22"/>
                <w:color w:val="auto"/>
              </w:rPr>
              <w:t>23</w:t>
            </w:r>
          </w:p>
        </w:tc>
        <w:tc>
          <w:tcPr>
            <w:tcW w:w="780" w:type="dxa"/>
            <w:vAlign w:val="bottom"/>
          </w:tcPr>
          <w:p>
            <w:pPr>
              <w:spacing w:after="0"/>
              <w:rPr>
                <w:sz w:val="21"/>
                <w:szCs w:val="21"/>
                <w:color w:val="auto"/>
              </w:rPr>
            </w:pPr>
          </w:p>
        </w:tc>
        <w:tc>
          <w:tcPr>
            <w:tcW w:w="5180" w:type="dxa"/>
            <w:vAlign w:val="bottom"/>
            <w:tcBorders>
              <w:bottom w:val="single" w:sz="8" w:color="0000FF"/>
            </w:tcBorders>
            <w:gridSpan w:val="2"/>
          </w:tcPr>
          <w:p>
            <w:pPr>
              <w:spacing w:after="0" w:line="250" w:lineRule="exact"/>
              <w:rPr>
                <w:sz w:val="20"/>
                <w:szCs w:val="20"/>
                <w:color w:val="auto"/>
              </w:rPr>
            </w:pPr>
            <w:r>
              <w:rPr>
                <w:rFonts w:ascii="Times New Roman" w:cs="Times New Roman" w:eastAsia="Times New Roman" w:hAnsi="Times New Roman"/>
                <w:sz w:val="22"/>
                <w:szCs w:val="22"/>
                <w:color w:val="0000FF"/>
                <w:w w:val="97"/>
              </w:rPr>
              <w:t>Consent of Independent Registered Public Accounting Firm</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SIGNATURES</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22"/>
          <w:szCs w:val="22"/>
          <w:color w:val="auto"/>
        </w:rPr>
        <w:t>Pursuant to the requirements of the Securities Exchange Act of 1934, the Benefit Plans Investment Committee has duly caused this annual report to be signed on its behalf by the undersigned hereto duly authorized.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22"/>
          <w:szCs w:val="22"/>
          <w:color w:val="auto"/>
        </w:rPr>
        <w:t>Crown Cork &amp; Seal Company, Inc.</w:t>
      </w:r>
    </w:p>
    <w:p>
      <w:pPr>
        <w:spacing w:after="0" w:line="29"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22"/>
          <w:szCs w:val="22"/>
          <w:color w:val="auto"/>
        </w:rPr>
        <w:t>Retirement Thrift Plan</w:t>
      </w:r>
    </w:p>
    <w:p>
      <w:pPr>
        <w:spacing w:after="0" w:line="200" w:lineRule="exact"/>
        <w:rPr>
          <w:sz w:val="20"/>
          <w:szCs w:val="20"/>
          <w:color w:val="auto"/>
        </w:rPr>
      </w:pPr>
    </w:p>
    <w:p>
      <w:pPr>
        <w:spacing w:after="0" w:line="345" w:lineRule="exact"/>
        <w:rPr>
          <w:sz w:val="20"/>
          <w:szCs w:val="20"/>
          <w:color w:val="auto"/>
        </w:rPr>
      </w:pPr>
    </w:p>
    <w:p>
      <w:pPr>
        <w:ind w:left="5460"/>
        <w:spacing w:after="0"/>
        <w:tabs>
          <w:tab w:leader="none" w:pos="602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2"/>
          <w:szCs w:val="22"/>
          <w:u w:val="single" w:color="auto"/>
          <w:color w:val="auto"/>
        </w:rPr>
        <w:t>/s/ Christy L. Kalaus</w:t>
      </w:r>
    </w:p>
    <w:p>
      <w:pPr>
        <w:spacing w:after="0" w:line="29"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22"/>
          <w:szCs w:val="22"/>
          <w:color w:val="auto"/>
        </w:rPr>
        <w:t>Christy L. Kalaus</w:t>
      </w:r>
    </w:p>
    <w:p>
      <w:pPr>
        <w:spacing w:after="0" w:line="17"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22"/>
          <w:szCs w:val="22"/>
          <w:color w:val="auto"/>
        </w:rPr>
        <w:t>Vice President and Corporate Controller</w:t>
      </w: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 xml:space="preserve">Date: </w:t>
      </w:r>
      <w:r>
        <w:rPr>
          <w:rFonts w:ascii="Times New Roman" w:cs="Times New Roman" w:eastAsia="Times New Roman" w:hAnsi="Times New Roman"/>
          <w:sz w:val="22"/>
          <w:szCs w:val="22"/>
          <w:u w:val="single" w:color="auto"/>
          <w:color w:val="auto"/>
        </w:rPr>
        <w:t>June 21, 2024</w:t>
      </w:r>
    </w:p>
    <w:p>
      <w:pPr>
        <w:sectPr>
          <w:pgSz w:w="11900" w:h="16838" w:orient="portrait"/>
          <w:cols w:equalWidth="0" w:num="1">
            <w:col w:w="11240"/>
          </w:cols>
          <w:pgMar w:left="320" w:top="113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240"/>
          </w:cols>
          <w:pgMar w:left="320" w:top="1134" w:right="339" w:bottom="1440" w:gutter="0" w:footer="0" w:header="0"/>
          <w:type w:val="continuous"/>
        </w:sectPr>
      </w:pPr>
    </w:p>
    <w:bookmarkStart w:id="15" w:name="page16"/>
    <w:bookmarkEnd w:id="15"/>
    <w:p>
      <w:pPr>
        <w:jc w:val="right"/>
        <w:spacing w:after="0"/>
        <w:rPr>
          <w:sz w:val="20"/>
          <w:szCs w:val="20"/>
          <w:color w:val="auto"/>
        </w:rPr>
      </w:pPr>
      <w:r>
        <w:rPr>
          <w:rFonts w:ascii="Times New Roman" w:cs="Times New Roman" w:eastAsia="Times New Roman" w:hAnsi="Times New Roman"/>
          <w:sz w:val="25"/>
          <w:szCs w:val="25"/>
          <w:b w:val="1"/>
          <w:bCs w:val="1"/>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00" w:lineRule="exact"/>
        <w:rPr>
          <w:sz w:val="20"/>
          <w:szCs w:val="20"/>
          <w:color w:val="auto"/>
        </w:rPr>
      </w:pPr>
    </w:p>
    <w:p>
      <w:pPr>
        <w:spacing w:after="0" w:line="241" w:lineRule="exact"/>
        <w:rPr>
          <w:sz w:val="20"/>
          <w:szCs w:val="20"/>
          <w:color w:val="auto"/>
        </w:rPr>
      </w:pPr>
    </w:p>
    <w:p>
      <w:pPr>
        <w:jc w:val="both"/>
        <w:ind w:right="480"/>
        <w:spacing w:after="0" w:line="228" w:lineRule="exact"/>
        <w:rPr>
          <w:sz w:val="20"/>
          <w:szCs w:val="20"/>
          <w:color w:val="auto"/>
        </w:rPr>
      </w:pPr>
      <w:r>
        <w:rPr>
          <w:rFonts w:ascii="Arial" w:cs="Arial" w:eastAsia="Arial" w:hAnsi="Arial"/>
          <w:sz w:val="18"/>
          <w:szCs w:val="18"/>
          <w:color w:val="auto"/>
        </w:rPr>
        <w:t>We consent to the incorporation by reference in the Registration Statement (No. 333-230008) on Form S</w:t>
      </w:r>
      <w:r>
        <w:rPr>
          <w:rFonts w:ascii="MS PGothic" w:cs="MS PGothic" w:eastAsia="MS PGothic" w:hAnsi="MS PGothic"/>
          <w:sz w:val="18"/>
          <w:szCs w:val="18"/>
          <w:color w:val="auto"/>
        </w:rPr>
        <w:t>‑</w:t>
      </w:r>
      <w:r>
        <w:rPr>
          <w:rFonts w:ascii="Arial" w:cs="Arial" w:eastAsia="Arial" w:hAnsi="Arial"/>
          <w:sz w:val="18"/>
          <w:szCs w:val="18"/>
          <w:color w:val="auto"/>
        </w:rPr>
        <w:t xml:space="preserve"> 8 of our report dated June 23, 2023, which appears in this annual report on Form 11</w:t>
      </w:r>
      <w:r>
        <w:rPr>
          <w:rFonts w:ascii="MS PGothic" w:cs="MS PGothic" w:eastAsia="MS PGothic" w:hAnsi="MS PGothic"/>
          <w:sz w:val="18"/>
          <w:szCs w:val="18"/>
          <w:color w:val="auto"/>
        </w:rPr>
        <w:t>‑</w:t>
      </w:r>
      <w:r>
        <w:rPr>
          <w:rFonts w:ascii="Arial" w:cs="Arial" w:eastAsia="Arial" w:hAnsi="Arial"/>
          <w:sz w:val="18"/>
          <w:szCs w:val="18"/>
          <w:color w:val="auto"/>
        </w:rPr>
        <w:t>K of Crown Cork &amp; Seal Company, Inc. Retirement Thrift Plan for the year ended December 31, 2023.</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/s/ BAKER TILLY US, LLP</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Philadelphia, Pennsylvania</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June 21, 2024</w:t>
      </w:r>
    </w:p>
    <w:p>
      <w:pPr>
        <w:sectPr>
          <w:pgSz w:w="11900" w:h="16838" w:orient="portrait"/>
          <w:cols w:equalWidth="0" w:num="1">
            <w:col w:w="11240"/>
          </w:cols>
          <w:pgMar w:left="320" w:top="1123" w:right="339" w:bottom="1440" w:gutter="0" w:footer="0" w:header="0"/>
        </w:sectPr>
      </w:pPr>
    </w:p>
    <w:bookmarkStart w:id="16" w:name="page17"/>
    <w:bookmarkEnd w:id="16"/>
    <w:p>
      <w:pPr>
        <w:jc w:val="right"/>
        <w:spacing w:after="0"/>
        <w:rPr>
          <w:sz w:val="20"/>
          <w:szCs w:val="20"/>
          <w:color w:val="auto"/>
        </w:rPr>
      </w:pPr>
      <w:r>
        <w:rPr>
          <w:rFonts w:ascii="Times New Roman" w:cs="Times New Roman" w:eastAsia="Times New Roman" w:hAnsi="Times New Roman"/>
          <w:sz w:val="25"/>
          <w:szCs w:val="25"/>
          <w:b w:val="1"/>
          <w:bCs w:val="1"/>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00" w:lineRule="exact"/>
        <w:rPr>
          <w:sz w:val="20"/>
          <w:szCs w:val="20"/>
          <w:color w:val="auto"/>
        </w:rPr>
      </w:pPr>
    </w:p>
    <w:p>
      <w:pPr>
        <w:spacing w:after="0" w:line="29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We consent to the incorporation by reference in the Registration Statement (No. 333-230008) on Form S-8 of our report dated June 21, 2024, relating to the financial statements and supplemental schedule, appearing in this Annual Report on Form 11-K of the Crown Cork &amp; Seal Company, Inc. Retirement Thrift Plan for the year ended December 31, 2023.</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/s/ WithumSmith+Brown, PC</w:t>
      </w: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color w:val="auto"/>
        </w:rPr>
        <w:t>Whippany, New Jersey</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June 21, 2024</w:t>
      </w:r>
    </w:p>
    <w:sectPr>
      <w:pgSz w:w="11900" w:h="16838" w:orient="portrait"/>
      <w:cols w:equalWidth="0" w:num="1">
        <w:col w:w="11240"/>
      </w:cols>
      <w:pgMar w:left="320" w:top="112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upperLetter"/>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2024-06-21T12:53:18Z</dcterms:created>
  <dcterms:modified xsi:type="dcterms:W3CDTF">2024-06-21T12:53:18Z</dcterms:modified>
</cp:coreProperties>
</file>