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3120" w:type="dxa"/>
            <w:vAlign w:val="bottom"/>
          </w:tcPr>
          <w:p>
            <w:pPr>
              <w:jc w:val="center"/>
              <w:ind w:right="110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jc w:val="center"/>
              <w:ind w:right="62"/>
              <w:spacing w:after="0"/>
              <w:rPr>
                <w:sz w:val="20"/>
                <w:szCs w:val="20"/>
                <w:color w:val="auto"/>
              </w:rPr>
            </w:pPr>
            <w:r>
              <w:rPr>
                <w:rFonts w:ascii="Arial" w:cs="Arial" w:eastAsia="Arial" w:hAnsi="Arial"/>
                <w:sz w:val="18"/>
                <w:szCs w:val="18"/>
                <w:b w:val="1"/>
                <w:bCs w:val="1"/>
                <w:color w:val="auto"/>
                <w:w w:val="90"/>
              </w:rPr>
              <w:t>0-50189</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1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Incorporation or Organization)</w:t>
            </w:r>
          </w:p>
        </w:tc>
        <w:tc>
          <w:tcPr>
            <w:tcW w:w="334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3/8% Debentures Due 2026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1/2% Debentures Due 2096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205740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17, 2022, Crown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completed its note offering of $500,000,000 aggregate principal amount of 5.250% senior unsecured notes due 2030 (the “</w:t>
      </w:r>
      <w:r>
        <w:rPr>
          <w:rFonts w:ascii="Arial" w:cs="Arial" w:eastAsia="Arial" w:hAnsi="Arial"/>
          <w:sz w:val="18"/>
          <w:szCs w:val="18"/>
          <w:u w:val="single" w:color="auto"/>
          <w:color w:val="auto"/>
        </w:rPr>
        <w:t>Offering</w:t>
      </w:r>
      <w:r>
        <w:rPr>
          <w:rFonts w:ascii="Arial" w:cs="Arial" w:eastAsia="Arial" w:hAnsi="Arial"/>
          <w:sz w:val="18"/>
          <w:szCs w:val="18"/>
          <w:color w:val="auto"/>
        </w:rPr>
        <w:t>”). In connection with the Offering, Crown Americas LLC, a wholly-owned subsidiary of the Company (the “</w:t>
      </w:r>
      <w:r>
        <w:rPr>
          <w:rFonts w:ascii="Arial" w:cs="Arial" w:eastAsia="Arial" w:hAnsi="Arial"/>
          <w:sz w:val="18"/>
          <w:szCs w:val="18"/>
          <w:u w:val="single" w:color="auto"/>
          <w:color w:val="auto"/>
        </w:rPr>
        <w:t>Issuer</w:t>
      </w:r>
      <w:r>
        <w:rPr>
          <w:rFonts w:ascii="Arial" w:cs="Arial" w:eastAsia="Arial" w:hAnsi="Arial"/>
          <w:sz w:val="18"/>
          <w:szCs w:val="18"/>
          <w:color w:val="auto"/>
        </w:rPr>
        <w:t>”), issued $500,000,000 aggregate principal amount of 5.250% senior unsecured notes due 2030 (the “</w:t>
      </w:r>
      <w:r>
        <w:rPr>
          <w:rFonts w:ascii="Arial" w:cs="Arial" w:eastAsia="Arial" w:hAnsi="Arial"/>
          <w:sz w:val="18"/>
          <w:szCs w:val="18"/>
          <w:u w:val="single" w:color="auto"/>
          <w:color w:val="auto"/>
        </w:rPr>
        <w:t>Notes</w:t>
      </w:r>
      <w:r>
        <w:rPr>
          <w:rFonts w:ascii="Arial" w:cs="Arial" w:eastAsia="Arial" w:hAnsi="Arial"/>
          <w:sz w:val="18"/>
          <w:szCs w:val="18"/>
          <w:color w:val="auto"/>
        </w:rPr>
        <w:t>”). The net proceeds from the Offering will be used for general corporate purposes.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Notes will mature on April 1, 2030 and will accrue interest at a rate of 5.250% per year. Interest on the Notes will be payable semi-annually on April 1 and October 1 of each year, beginning on October 1, 2022. The Issuer may redeem some or all of the Notes at any time prior to January 1, 2030 by paying 100% of the principal amount, plus accrued and unpaid interest, if any, to, but excluding, the redemption date, and a make-whole premium. On or after January 1, 2030, the Issuer may redeem some or all of the Notes at any time by paying 100% of the principal amount, plus accrued and unpaid interest, if any, to, but excluding, the redemption date.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were sold in a private placement and resold by the initial purchasers to persons reasonably believed to be qualified institutional buyers pursuant to Rule 144A promulgated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to non-U.S. persons pursuant to Regulation S of the Securities Act. The Notes have not been registered under the Securities Act and may not be offered or sold in the United States absent registration or an applicable exemption from the registration requirements.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If the Issuer or the Company experiences a change of control repurchase event, the Issuer may be required to offer to purchase the Notes at a purchase price equal to 101% of their principal amount, plus accrued and unpaid interest, if any, to, but excluding, the repurchase date.</w:t>
      </w:r>
    </w:p>
    <w:p>
      <w:pPr>
        <w:spacing w:after="0" w:line="14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w:t>
      </w:r>
    </w:p>
    <w:p>
      <w:pPr>
        <w:spacing w:after="0" w:line="1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Notes have been issued under an indenture with U.S. Bank National Association as trustee. The indenture governing the Notes contain covenants that will limit the ability of the Company and the ability of its subsidiaries (including the Issuer) to, among other things, create liens, engage in sale and leaseback transactions or merge or consolidate with or into other companies. If an event of default, as specified in the indentures governing the Notes, shall occur and be continuing, either the trustee or the holders of a specified percentage of the Notes may accelerate the maturity of all the Notes. The covenants, events of default and acceleration rights described in this paragraph are subject to important exceptions and qualifications, which are described in the indenture filed herewith.</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a registration rights agreement with the initial purchasers of the Notes, the Issuer has agreed to (a) use its reasonable best efforts to file and cause to become effective a registration statement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with respect to a registered offer to exchange the Notes for new notes of the Issuer having terms substantially identical in all material respects to the Notes (except that the exchange notes will not contain terms with respect to transfer restrictions) and (b) use their reasonable best efforts to cause the registered exchange offer to become completed under the Securities Act within 360 days of the issue date of the Notes. If the exchange offer is not completed within the periods specified in the registration rights agreement, applicable</w:t>
      </w:r>
    </w:p>
    <w:p>
      <w:pPr>
        <w:sectPr>
          <w:pgSz w:w="11900" w:h="16838" w:orient="portrait"/>
          <w:cols w:equalWidth="0" w:num="1">
            <w:col w:w="11000"/>
          </w:cols>
          <w:pgMar w:left="440" w:top="297" w:right="459" w:bottom="1440" w:gutter="0" w:footer="0" w:header="0"/>
        </w:sectPr>
      </w:pPr>
    </w:p>
    <w:bookmarkStart w:id="2" w:name="page3"/>
    <w:bookmarkEnd w:id="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interpretation of the staff of the SEC prohibit the Issuer from effecting such a registered exchange offer or, under limited circumstances, if required by the initial purchasers of the Notes or a holder thereof, the Issuer has agreed to file, and to use their reasonable best efforts to cause to become effective, a shelf registration statement relating to resales of the Notes or the notes issued in the registered exchange offer, as the case may be. The Issuer will be obligated to pay additional interest on the Notes if, within the periods specified in the registration rights agreement, they do not complete the exchange offer, or, if required, file the shelf registration statement, the shelf registration statement has not been declared effective or, after the shelf registration statement has been declared effective, such registration statement thereafter ceases to be effective or useable (subject to certain exceptions).</w:t>
      </w:r>
    </w:p>
    <w:p>
      <w:pPr>
        <w:spacing w:after="0" w:line="1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descriptions set forth above are qualified in their entirety by the indenture governing the Notes, filed herewith as Exhibit 4.1, and the registration rights agreement filed herewith as Exhibit 4.2.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are discussed under the caption “Forward Looking Statements” in the Company’s Form 10-K Annual Report for the year ended December 31, 2021 and in subsequent filings made prior to or after the date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review or revise any particular forward-looking statement in light of future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spacing w:after="0"/>
        <w:tabs>
          <w:tab w:leader="none" w:pos="578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100" w:lineRule="exact"/>
        <w:rPr>
          <w:sz w:val="20"/>
          <w:szCs w:val="20"/>
          <w:color w:val="auto"/>
        </w:rPr>
      </w:pPr>
    </w:p>
    <w:p>
      <w:pPr>
        <w:ind w:left="1260" w:right="320" w:hanging="1268"/>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Exhibit 4.1</w:t>
      </w:r>
      <w:r>
        <w:rPr>
          <w:sz w:val="20"/>
          <w:szCs w:val="20"/>
          <w:color w:val="auto"/>
        </w:rPr>
        <w:tab/>
      </w:r>
      <w:hyperlink w:anchor="page5">
        <w:r>
          <w:rPr>
            <w:rFonts w:ascii="Arial" w:cs="Arial" w:eastAsia="Arial" w:hAnsi="Arial"/>
            <w:sz w:val="18"/>
            <w:szCs w:val="18"/>
            <w:u w:val="single" w:color="auto"/>
            <w:color w:val="0000EE"/>
          </w:rPr>
          <w:t>Indenture, dated as of March 17, 2022, among the Issuer, the Company, the other guarantors party thereto, and U.S. Bank National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Association, as Trustee, relating to the $500,000,000 5.250% senior unsecured notes due 2030.</w:t>
        </w:r>
      </w:hyperlink>
    </w:p>
    <w:p>
      <w:pPr>
        <w:spacing w:after="0" w:line="62" w:lineRule="exact"/>
        <w:rPr>
          <w:sz w:val="20"/>
          <w:szCs w:val="20"/>
          <w:color w:val="auto"/>
        </w:rPr>
      </w:pPr>
    </w:p>
    <w:p>
      <w:pPr>
        <w:jc w:val="both"/>
        <w:ind w:left="1260" w:right="260" w:hanging="1268"/>
        <w:spacing w:after="0" w:line="286" w:lineRule="auto"/>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Exhibit 4.2</w:t>
      </w:r>
      <w:r>
        <w:rPr>
          <w:sz w:val="20"/>
          <w:szCs w:val="20"/>
          <w:color w:val="auto"/>
        </w:rPr>
        <w:tab/>
      </w:r>
      <w:hyperlink w:anchor="page145">
        <w:r>
          <w:rPr>
            <w:rFonts w:ascii="Arial" w:cs="Arial" w:eastAsia="Arial" w:hAnsi="Arial"/>
            <w:sz w:val="17"/>
            <w:szCs w:val="17"/>
            <w:u w:val="single" w:color="auto"/>
            <w:color w:val="0000EE"/>
          </w:rPr>
          <w:t>Registration Rights Agreement, dated as of March 17, 2022, by and among the Issuer, the Company, BNP Paribas Securities Corp.,</w:t>
        </w:r>
      </w:hyperlink>
      <w:r>
        <w:rPr>
          <w:rFonts w:ascii="Arial" w:cs="Arial" w:eastAsia="Arial" w:hAnsi="Arial"/>
          <w:sz w:val="17"/>
          <w:szCs w:val="17"/>
          <w:u w:val="single" w:color="auto"/>
          <w:color w:val="0000EE"/>
        </w:rPr>
        <w:t xml:space="preserve"> </w:t>
      </w:r>
      <w:hyperlink w:anchor="page145">
        <w:r>
          <w:rPr>
            <w:rFonts w:ascii="Arial" w:cs="Arial" w:eastAsia="Arial" w:hAnsi="Arial"/>
            <w:sz w:val="17"/>
            <w:szCs w:val="17"/>
            <w:u w:val="single" w:color="auto"/>
            <w:color w:val="0000EE"/>
          </w:rPr>
          <w:t>Citigroup Global Markets Inc. and Mizuho Securities USA LLC, as representatives of the initial purchasers, and the Guarantors (as</w:t>
        </w:r>
      </w:hyperlink>
      <w:r>
        <w:rPr>
          <w:rFonts w:ascii="Arial" w:cs="Arial" w:eastAsia="Arial" w:hAnsi="Arial"/>
          <w:sz w:val="17"/>
          <w:szCs w:val="17"/>
          <w:u w:val="single" w:color="auto"/>
          <w:color w:val="0000EE"/>
        </w:rPr>
        <w:t xml:space="preserve"> </w:t>
      </w:r>
      <w:hyperlink w:anchor="page145">
        <w:r>
          <w:rPr>
            <w:rFonts w:ascii="Arial" w:cs="Arial" w:eastAsia="Arial" w:hAnsi="Arial"/>
            <w:sz w:val="17"/>
            <w:szCs w:val="17"/>
            <w:u w:val="single" w:color="auto"/>
            <w:color w:val="0000EE"/>
          </w:rPr>
          <w:t>defined therein), relating to the $500,000,000 5.250% senior unsecured notes due 2030.</w:t>
        </w:r>
      </w:hyperlink>
    </w:p>
    <w:p>
      <w:pPr>
        <w:spacing w:after="0" w:line="57" w:lineRule="exact"/>
        <w:rPr>
          <w:rFonts w:ascii="Arial" w:cs="Arial" w:eastAsia="Arial" w:hAnsi="Arial"/>
          <w:sz w:val="17"/>
          <w:szCs w:val="17"/>
          <w:u w:val="single" w:color="auto"/>
          <w:color w:val="0000EE"/>
        </w:rPr>
      </w:pPr>
    </w:p>
    <w:p>
      <w:pPr>
        <w:spacing w:after="0"/>
        <w:tabs>
          <w:tab w:leader="none" w:pos="124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980"/>
          </w:cols>
          <w:pgMar w:left="440" w:top="301"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Christy L. Kalaus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Christy L. Kalaus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246380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Issuer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named herein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5.250%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246380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600" w:type="dxa"/>
            <w:vAlign w:val="bottom"/>
            <w:gridSpan w:val="3"/>
          </w:tcPr>
          <w:p>
            <w:pPr>
              <w:ind w:left="1300"/>
              <w:spacing w:after="0"/>
              <w:rPr>
                <w:sz w:val="20"/>
                <w:szCs w:val="20"/>
                <w:color w:val="auto"/>
              </w:rPr>
            </w:pPr>
            <w:r>
              <w:rPr>
                <w:rFonts w:ascii="Arial" w:cs="Arial" w:eastAsia="Arial" w:hAnsi="Arial"/>
                <w:sz w:val="18"/>
                <w:szCs w:val="18"/>
                <w:color w:val="auto"/>
                <w:w w:val="93"/>
              </w:rPr>
              <w:t>CROSS-REFERENCE TABLE</w:t>
            </w:r>
          </w:p>
        </w:tc>
      </w:tr>
      <w:tr>
        <w:trPr>
          <w:trHeight w:val="373"/>
        </w:trPr>
        <w:tc>
          <w:tcPr>
            <w:tcW w:w="420" w:type="dxa"/>
            <w:vAlign w:val="bottom"/>
          </w:tcPr>
          <w:p>
            <w:pPr>
              <w:ind w:left="60"/>
              <w:spacing w:after="0"/>
              <w:rPr>
                <w:sz w:val="20"/>
                <w:szCs w:val="20"/>
                <w:color w:val="auto"/>
              </w:rPr>
            </w:pPr>
            <w:r>
              <w:rPr>
                <w:rFonts w:ascii="Arial" w:cs="Arial" w:eastAsia="Arial" w:hAnsi="Arial"/>
                <w:sz w:val="14"/>
                <w:szCs w:val="14"/>
                <w:color w:val="auto"/>
              </w:rPr>
              <w:t>TIA</w:t>
            </w:r>
          </w:p>
        </w:tc>
        <w:tc>
          <w:tcPr>
            <w:tcW w:w="2640" w:type="dxa"/>
            <w:vAlign w:val="bottom"/>
          </w:tcPr>
          <w:p>
            <w:pPr>
              <w:spacing w:after="0"/>
              <w:rPr>
                <w:sz w:val="24"/>
                <w:szCs w:val="24"/>
                <w:color w:val="auto"/>
              </w:rPr>
            </w:pPr>
          </w:p>
        </w:tc>
        <w:tc>
          <w:tcPr>
            <w:tcW w:w="3600" w:type="dxa"/>
            <w:vAlign w:val="bottom"/>
            <w:gridSpan w:val="3"/>
          </w:tcPr>
          <w:p>
            <w:pPr>
              <w:ind w:left="2680"/>
              <w:spacing w:after="0"/>
              <w:rPr>
                <w:sz w:val="20"/>
                <w:szCs w:val="20"/>
                <w:color w:val="auto"/>
              </w:rPr>
            </w:pPr>
            <w:r>
              <w:rPr>
                <w:rFonts w:ascii="Arial" w:cs="Arial" w:eastAsia="Arial" w:hAnsi="Arial"/>
                <w:sz w:val="14"/>
                <w:szCs w:val="14"/>
                <w:color w:val="auto"/>
              </w:rPr>
              <w:t>Indenture</w:t>
            </w:r>
          </w:p>
        </w:tc>
      </w:tr>
      <w:tr>
        <w:trPr>
          <w:trHeight w:val="167"/>
        </w:trPr>
        <w:tc>
          <w:tcPr>
            <w:tcW w:w="420" w:type="dxa"/>
            <w:vAlign w:val="bottom"/>
          </w:tcPr>
          <w:p>
            <w:pPr>
              <w:spacing w:after="0"/>
              <w:rPr>
                <w:sz w:val="20"/>
                <w:szCs w:val="20"/>
                <w:color w:val="auto"/>
              </w:rPr>
            </w:pPr>
            <w:r>
              <w:rPr>
                <w:rFonts w:ascii="Arial" w:cs="Arial" w:eastAsia="Arial" w:hAnsi="Arial"/>
                <w:sz w:val="14"/>
                <w:szCs w:val="14"/>
                <w:color w:val="auto"/>
                <w:w w:val="85"/>
              </w:rPr>
              <w:t>Section</w:t>
            </w:r>
          </w:p>
        </w:tc>
        <w:tc>
          <w:tcPr>
            <w:tcW w:w="2640" w:type="dxa"/>
            <w:vAlign w:val="bottom"/>
          </w:tcPr>
          <w:p>
            <w:pPr>
              <w:spacing w:after="0"/>
              <w:rPr>
                <w:sz w:val="14"/>
                <w:szCs w:val="14"/>
                <w:color w:val="auto"/>
              </w:rPr>
            </w:pPr>
          </w:p>
        </w:tc>
        <w:tc>
          <w:tcPr>
            <w:tcW w:w="3600" w:type="dxa"/>
            <w:vAlign w:val="bottom"/>
            <w:gridSpan w:val="3"/>
          </w:tcPr>
          <w:p>
            <w:pPr>
              <w:ind w:left="2680"/>
              <w:spacing w:after="0"/>
              <w:rPr>
                <w:sz w:val="20"/>
                <w:szCs w:val="20"/>
                <w:color w:val="auto"/>
              </w:rPr>
            </w:pPr>
            <w:r>
              <w:rPr>
                <w:rFonts w:ascii="Arial" w:cs="Arial" w:eastAsia="Arial" w:hAnsi="Arial"/>
                <w:sz w:val="14"/>
                <w:szCs w:val="14"/>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3"/>
        </w:trPr>
        <w:tc>
          <w:tcPr>
            <w:tcW w:w="420" w:type="dxa"/>
            <w:vAlign w:val="bottom"/>
          </w:tcPr>
          <w:p>
            <w:pPr>
              <w:spacing w:after="0"/>
              <w:rPr>
                <w:sz w:val="20"/>
                <w:szCs w:val="20"/>
                <w:color w:val="auto"/>
              </w:rPr>
            </w:pPr>
            <w:r>
              <w:rPr>
                <w:rFonts w:ascii="Arial" w:cs="Arial" w:eastAsia="Arial" w:hAnsi="Arial"/>
                <w:sz w:val="18"/>
                <w:szCs w:val="18"/>
                <w:color w:val="auto"/>
              </w:rPr>
              <w:t>310</w:t>
            </w:r>
          </w:p>
        </w:tc>
        <w:tc>
          <w:tcPr>
            <w:tcW w:w="2640" w:type="dxa"/>
            <w:vAlign w:val="bottom"/>
          </w:tcPr>
          <w:p>
            <w:pPr>
              <w:ind w:left="40"/>
              <w:spacing w:after="0"/>
              <w:rPr>
                <w:sz w:val="20"/>
                <w:szCs w:val="20"/>
                <w:color w:val="auto"/>
              </w:rPr>
            </w:pPr>
            <w:r>
              <w:rPr>
                <w:rFonts w:ascii="Arial" w:cs="Arial" w:eastAsia="Arial" w:hAnsi="Arial"/>
                <w:sz w:val="18"/>
                <w:szCs w:val="18"/>
                <w:color w:val="auto"/>
              </w:rPr>
              <w:t>(a)(1)</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7.10</w:t>
            </w:r>
          </w:p>
        </w:tc>
        <w:tc>
          <w:tcPr>
            <w:tcW w:w="50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(a)(2)</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7.10</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(a)(3)</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(a)(4)</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(a)(5)</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7.10</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(b)(1)</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7.10</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2640" w:type="dxa"/>
            <w:vAlign w:val="bottom"/>
          </w:tcPr>
          <w:p>
            <w:pPr>
              <w:ind w:left="40"/>
              <w:spacing w:after="0"/>
              <w:rPr>
                <w:sz w:val="20"/>
                <w:szCs w:val="20"/>
                <w:color w:val="auto"/>
              </w:rPr>
            </w:pPr>
            <w:r>
              <w:rPr>
                <w:rFonts w:ascii="Arial" w:cs="Arial" w:eastAsia="Arial" w:hAnsi="Arial"/>
                <w:sz w:val="18"/>
                <w:szCs w:val="18"/>
                <w:color w:val="auto"/>
              </w:rPr>
              <w:t>(a)</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7.11</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7.11</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2640" w:type="dxa"/>
            <w:vAlign w:val="bottom"/>
          </w:tcPr>
          <w:p>
            <w:pPr>
              <w:ind w:left="40"/>
              <w:spacing w:after="0"/>
              <w:rPr>
                <w:sz w:val="20"/>
                <w:szCs w:val="20"/>
                <w:color w:val="auto"/>
              </w:rPr>
            </w:pPr>
            <w:r>
              <w:rPr>
                <w:rFonts w:ascii="Arial" w:cs="Arial" w:eastAsia="Arial" w:hAnsi="Arial"/>
                <w:sz w:val="18"/>
                <w:szCs w:val="18"/>
                <w:color w:val="auto"/>
              </w:rPr>
              <w:t>(a)</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w w:val="88"/>
              </w:rPr>
              <w:t>11.03</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w w:val="88"/>
              </w:rPr>
              <w:t>11.03</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313</w:t>
            </w:r>
          </w:p>
        </w:tc>
        <w:tc>
          <w:tcPr>
            <w:tcW w:w="2640" w:type="dxa"/>
            <w:vAlign w:val="bottom"/>
          </w:tcPr>
          <w:p>
            <w:pPr>
              <w:ind w:left="40"/>
              <w:spacing w:after="0"/>
              <w:rPr>
                <w:sz w:val="20"/>
                <w:szCs w:val="20"/>
                <w:color w:val="auto"/>
              </w:rPr>
            </w:pPr>
            <w:r>
              <w:rPr>
                <w:rFonts w:ascii="Arial" w:cs="Arial" w:eastAsia="Arial" w:hAnsi="Arial"/>
                <w:sz w:val="18"/>
                <w:szCs w:val="18"/>
                <w:color w:val="auto"/>
              </w:rPr>
              <w:t>(a)</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7.06</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(b)(1)</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(b)(2)</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7.06</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w w:val="99"/>
              </w:rPr>
              <w:t>7.06; 11.02</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(d)</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7.06</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314</w:t>
            </w:r>
          </w:p>
        </w:tc>
        <w:tc>
          <w:tcPr>
            <w:tcW w:w="2640" w:type="dxa"/>
            <w:vAlign w:val="bottom"/>
          </w:tcPr>
          <w:p>
            <w:pPr>
              <w:ind w:left="40"/>
              <w:spacing w:after="0"/>
              <w:rPr>
                <w:sz w:val="20"/>
                <w:szCs w:val="20"/>
                <w:color w:val="auto"/>
              </w:rPr>
            </w:pPr>
            <w:r>
              <w:rPr>
                <w:rFonts w:ascii="Arial" w:cs="Arial" w:eastAsia="Arial" w:hAnsi="Arial"/>
                <w:sz w:val="18"/>
                <w:szCs w:val="18"/>
                <w:color w:val="auto"/>
              </w:rPr>
              <w:t>(a)</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w w:val="88"/>
              </w:rPr>
              <w:t>4.06; 4.16(b)</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(c)(1)</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(c)(2)</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(c)(3)</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(d)</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(e)</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(f)</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315</w:t>
            </w:r>
          </w:p>
        </w:tc>
        <w:tc>
          <w:tcPr>
            <w:tcW w:w="2640" w:type="dxa"/>
            <w:vAlign w:val="bottom"/>
          </w:tcPr>
          <w:p>
            <w:pPr>
              <w:ind w:left="40"/>
              <w:spacing w:after="0"/>
              <w:rPr>
                <w:sz w:val="20"/>
                <w:szCs w:val="20"/>
                <w:color w:val="auto"/>
              </w:rPr>
            </w:pPr>
            <w:r>
              <w:rPr>
                <w:rFonts w:ascii="Arial" w:cs="Arial" w:eastAsia="Arial" w:hAnsi="Arial"/>
                <w:sz w:val="18"/>
                <w:szCs w:val="18"/>
                <w:color w:val="auto"/>
              </w:rPr>
              <w:t>(a)</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(d)</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(e)</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316</w:t>
            </w:r>
          </w:p>
        </w:tc>
        <w:tc>
          <w:tcPr>
            <w:tcW w:w="2640" w:type="dxa"/>
            <w:vAlign w:val="bottom"/>
          </w:tcPr>
          <w:p>
            <w:pPr>
              <w:ind w:left="40"/>
              <w:spacing w:after="0"/>
              <w:rPr>
                <w:sz w:val="20"/>
                <w:szCs w:val="20"/>
                <w:color w:val="auto"/>
              </w:rPr>
            </w:pPr>
            <w:r>
              <w:rPr>
                <w:rFonts w:ascii="Arial" w:cs="Arial" w:eastAsia="Arial" w:hAnsi="Arial"/>
                <w:sz w:val="18"/>
                <w:szCs w:val="18"/>
                <w:color w:val="auto"/>
              </w:rPr>
              <w:t>(a) (last sentence)</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(a)(1)(A)</w:t>
            </w:r>
          </w:p>
        </w:tc>
        <w:tc>
          <w:tcPr>
            <w:tcW w:w="3100" w:type="dxa"/>
            <w:vAlign w:val="bottom"/>
            <w:gridSpan w:val="2"/>
          </w:tcPr>
          <w:p>
            <w:pPr>
              <w:ind w:left="2680"/>
              <w:spacing w:after="0"/>
              <w:rPr>
                <w:sz w:val="20"/>
                <w:szCs w:val="20"/>
                <w:color w:val="auto"/>
              </w:rPr>
            </w:pPr>
            <w:r>
              <w:rPr>
                <w:rFonts w:ascii="Arial" w:cs="Arial" w:eastAsia="Arial" w:hAnsi="Arial"/>
                <w:sz w:val="18"/>
                <w:szCs w:val="18"/>
                <w:color w:val="auto"/>
              </w:rPr>
              <w:t>6.05</w:t>
            </w:r>
          </w:p>
        </w:tc>
        <w:tc>
          <w:tcPr>
            <w:tcW w:w="5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(a)(1)(B)</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6.04(a)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(a)(2)</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(c)</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317</w:t>
            </w:r>
          </w:p>
        </w:tc>
        <w:tc>
          <w:tcPr>
            <w:tcW w:w="2640" w:type="dxa"/>
            <w:vAlign w:val="bottom"/>
          </w:tcPr>
          <w:p>
            <w:pPr>
              <w:ind w:left="40"/>
              <w:spacing w:after="0"/>
              <w:rPr>
                <w:sz w:val="20"/>
                <w:szCs w:val="20"/>
                <w:color w:val="auto"/>
              </w:rPr>
            </w:pPr>
            <w:r>
              <w:rPr>
                <w:rFonts w:ascii="Arial" w:cs="Arial" w:eastAsia="Arial" w:hAnsi="Arial"/>
                <w:sz w:val="18"/>
                <w:szCs w:val="18"/>
                <w:color w:val="auto"/>
              </w:rPr>
              <w:t>(a)(1)</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(a)(2)</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16"/>
        </w:trPr>
        <w:tc>
          <w:tcPr>
            <w:tcW w:w="420" w:type="dxa"/>
            <w:vAlign w:val="bottom"/>
          </w:tcPr>
          <w:p>
            <w:pPr>
              <w:spacing w:after="0"/>
              <w:rPr>
                <w:sz w:val="18"/>
                <w:szCs w:val="18"/>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rPr>
              <w:t>(b)</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318</w:t>
            </w:r>
          </w:p>
        </w:tc>
        <w:tc>
          <w:tcPr>
            <w:tcW w:w="2640" w:type="dxa"/>
            <w:vAlign w:val="bottom"/>
          </w:tcPr>
          <w:p>
            <w:pPr>
              <w:ind w:left="40"/>
              <w:spacing w:after="0"/>
              <w:rPr>
                <w:sz w:val="20"/>
                <w:szCs w:val="20"/>
                <w:color w:val="auto"/>
              </w:rPr>
            </w:pPr>
            <w:r>
              <w:rPr>
                <w:rFonts w:ascii="Arial" w:cs="Arial" w:eastAsia="Arial" w:hAnsi="Arial"/>
                <w:sz w:val="18"/>
                <w:szCs w:val="18"/>
                <w:color w:val="auto"/>
              </w:rPr>
              <w:t>(a)</w:t>
            </w:r>
          </w:p>
        </w:tc>
        <w:tc>
          <w:tcPr>
            <w:tcW w:w="3600" w:type="dxa"/>
            <w:vAlign w:val="bottom"/>
            <w:gridSpan w:val="3"/>
          </w:tcPr>
          <w:p>
            <w:pPr>
              <w:ind w:left="26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Note: This Cross-Reference Table shall not, for any purpose, be deemed to be a part of this Indenture</w:t>
      </w:r>
    </w:p>
    <w:p>
      <w:pPr>
        <w:sectPr>
          <w:pgSz w:w="11900" w:h="16838" w:orient="portrait"/>
          <w:cols w:equalWidth="0" w:num="1">
            <w:col w:w="10019"/>
          </w:cols>
          <w:pgMar w:left="440" w:top="274" w:right="1440"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40" w:type="dxa"/>
            <w:vAlign w:val="bottom"/>
          </w:tcPr>
          <w:p>
            <w:pPr>
              <w:spacing w:after="0"/>
              <w:rPr>
                <w:sz w:val="24"/>
                <w:szCs w:val="24"/>
                <w:color w:val="auto"/>
              </w:rPr>
            </w:pPr>
          </w:p>
        </w:tc>
        <w:tc>
          <w:tcPr>
            <w:tcW w:w="9240" w:type="dxa"/>
            <w:vAlign w:val="bottom"/>
          </w:tcPr>
          <w:p>
            <w:pPr>
              <w:jc w:val="center"/>
              <w:ind w:left="110"/>
              <w:spacing w:after="0"/>
              <w:rPr>
                <w:sz w:val="20"/>
                <w:szCs w:val="20"/>
                <w:color w:val="auto"/>
              </w:rPr>
            </w:pPr>
            <w:r>
              <w:rPr>
                <w:rFonts w:ascii="Arial" w:cs="Arial" w:eastAsia="Arial" w:hAnsi="Arial"/>
                <w:sz w:val="18"/>
                <w:szCs w:val="18"/>
                <w:color w:val="auto"/>
                <w:w w:val="96"/>
              </w:rPr>
              <w:t>ARTICLE ONE</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6"/>
              </w:rPr>
              <w:t>DEFINITIONS AND INCORPORATION BY REFERENCE</w:t>
            </w:r>
          </w:p>
        </w:tc>
        <w:tc>
          <w:tcPr>
            <w:tcW w:w="28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924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9240" w:type="dxa"/>
            <w:vAlign w:val="bottom"/>
          </w:tcPr>
          <w:p>
            <w:pPr>
              <w:ind w:left="300"/>
              <w:spacing w:after="0"/>
              <w:rPr>
                <w:sz w:val="20"/>
                <w:szCs w:val="20"/>
                <w:color w:val="auto"/>
              </w:rPr>
            </w:pPr>
            <w:r>
              <w:rPr>
                <w:rFonts w:ascii="Arial" w:cs="Arial" w:eastAsia="Arial" w:hAnsi="Arial"/>
                <w:sz w:val="18"/>
                <w:szCs w:val="18"/>
                <w:color w:val="auto"/>
              </w:rPr>
              <w:t>Incorporation by Reference of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1.03.</w:t>
            </w:r>
          </w:p>
        </w:tc>
        <w:tc>
          <w:tcPr>
            <w:tcW w:w="9240" w:type="dxa"/>
            <w:vAlign w:val="bottom"/>
          </w:tcPr>
          <w:p>
            <w:pPr>
              <w:ind w:left="300"/>
              <w:spacing w:after="0"/>
              <w:rPr>
                <w:sz w:val="20"/>
                <w:szCs w:val="20"/>
                <w:color w:val="auto"/>
              </w:rPr>
            </w:pPr>
            <w:r>
              <w:rPr>
                <w:rFonts w:ascii="Arial" w:cs="Arial" w:eastAsia="Arial" w:hAnsi="Arial"/>
                <w:sz w:val="18"/>
                <w:szCs w:val="18"/>
                <w:color w:val="auto"/>
              </w:rPr>
              <w:t>Rules of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40" w:type="dxa"/>
            <w:vAlign w:val="bottom"/>
          </w:tcPr>
          <w:p>
            <w:pPr>
              <w:spacing w:after="0"/>
              <w:rPr>
                <w:sz w:val="24"/>
                <w:szCs w:val="24"/>
                <w:color w:val="auto"/>
              </w:rPr>
            </w:pPr>
          </w:p>
        </w:tc>
        <w:tc>
          <w:tcPr>
            <w:tcW w:w="9240" w:type="dxa"/>
            <w:vAlign w:val="bottom"/>
          </w:tcPr>
          <w:p>
            <w:pPr>
              <w:jc w:val="center"/>
              <w:ind w:left="110"/>
              <w:spacing w:after="0"/>
              <w:rPr>
                <w:sz w:val="20"/>
                <w:szCs w:val="20"/>
                <w:color w:val="auto"/>
              </w:rPr>
            </w:pPr>
            <w:r>
              <w:rPr>
                <w:rFonts w:ascii="Arial" w:cs="Arial" w:eastAsia="Arial" w:hAnsi="Arial"/>
                <w:sz w:val="18"/>
                <w:szCs w:val="18"/>
                <w:color w:val="auto"/>
                <w:w w:val="97"/>
              </w:rPr>
              <w:t>ARTICLE TWO</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5"/>
              </w:rPr>
              <w:t>THE SECURITIES</w:t>
            </w:r>
          </w:p>
        </w:tc>
        <w:tc>
          <w:tcPr>
            <w:tcW w:w="28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2.01.</w:t>
            </w:r>
          </w:p>
        </w:tc>
        <w:tc>
          <w:tcPr>
            <w:tcW w:w="9240" w:type="dxa"/>
            <w:vAlign w:val="bottom"/>
          </w:tcPr>
          <w:p>
            <w:pPr>
              <w:ind w:left="300"/>
              <w:spacing w:after="0"/>
              <w:rPr>
                <w:sz w:val="20"/>
                <w:szCs w:val="20"/>
                <w:color w:val="auto"/>
              </w:rPr>
            </w:pPr>
            <w:r>
              <w:rPr>
                <w:rFonts w:ascii="Arial" w:cs="Arial" w:eastAsia="Arial" w:hAnsi="Arial"/>
                <w:sz w:val="18"/>
                <w:szCs w:val="18"/>
                <w:color w:val="auto"/>
              </w:rPr>
              <w:t>Amount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2.02.</w:t>
            </w:r>
          </w:p>
        </w:tc>
        <w:tc>
          <w:tcPr>
            <w:tcW w:w="9240" w:type="dxa"/>
            <w:vAlign w:val="bottom"/>
          </w:tcPr>
          <w:p>
            <w:pPr>
              <w:ind w:left="300"/>
              <w:spacing w:after="0"/>
              <w:rPr>
                <w:sz w:val="20"/>
                <w:szCs w:val="20"/>
                <w:color w:val="auto"/>
              </w:rPr>
            </w:pPr>
            <w:r>
              <w:rPr>
                <w:rFonts w:ascii="Arial" w:cs="Arial" w:eastAsia="Arial" w:hAnsi="Arial"/>
                <w:sz w:val="18"/>
                <w:szCs w:val="18"/>
                <w:color w:val="auto"/>
              </w:rPr>
              <w:t>Form and Dating; Legends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2.03.</w:t>
            </w:r>
          </w:p>
        </w:tc>
        <w:tc>
          <w:tcPr>
            <w:tcW w:w="9240" w:type="dxa"/>
            <w:vAlign w:val="bottom"/>
          </w:tcPr>
          <w:p>
            <w:pPr>
              <w:ind w:left="300"/>
              <w:spacing w:after="0"/>
              <w:rPr>
                <w:sz w:val="20"/>
                <w:szCs w:val="20"/>
                <w:color w:val="auto"/>
              </w:rPr>
            </w:pPr>
            <w:r>
              <w:rPr>
                <w:rFonts w:ascii="Arial" w:cs="Arial" w:eastAsia="Arial" w:hAnsi="Arial"/>
                <w:sz w:val="18"/>
                <w:szCs w:val="18"/>
                <w:color w:val="auto"/>
              </w:rPr>
              <w:t>Execution and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2.04.</w:t>
            </w:r>
          </w:p>
        </w:tc>
        <w:tc>
          <w:tcPr>
            <w:tcW w:w="9240" w:type="dxa"/>
            <w:vAlign w:val="bottom"/>
          </w:tcPr>
          <w:p>
            <w:pPr>
              <w:ind w:left="300"/>
              <w:spacing w:after="0"/>
              <w:rPr>
                <w:sz w:val="20"/>
                <w:szCs w:val="20"/>
                <w:color w:val="auto"/>
              </w:rPr>
            </w:pPr>
            <w:r>
              <w:rPr>
                <w:rFonts w:ascii="Arial" w:cs="Arial" w:eastAsia="Arial" w:hAnsi="Arial"/>
                <w:sz w:val="18"/>
                <w:szCs w:val="18"/>
                <w:color w:val="auto"/>
              </w:rPr>
              <w:t>Registrar and 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2.05.</w:t>
            </w:r>
          </w:p>
        </w:tc>
        <w:tc>
          <w:tcPr>
            <w:tcW w:w="9240" w:type="dxa"/>
            <w:vAlign w:val="bottom"/>
          </w:tcPr>
          <w:p>
            <w:pPr>
              <w:ind w:left="300"/>
              <w:spacing w:after="0"/>
              <w:rPr>
                <w:sz w:val="20"/>
                <w:szCs w:val="20"/>
                <w:color w:val="auto"/>
              </w:rPr>
            </w:pPr>
            <w:r>
              <w:rPr>
                <w:rFonts w:ascii="Arial" w:cs="Arial" w:eastAsia="Arial" w:hAnsi="Arial"/>
                <w:sz w:val="18"/>
                <w:szCs w:val="18"/>
                <w:color w:val="auto"/>
              </w:rPr>
              <w:t>Paying Agent To Hold Money</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2.06.</w:t>
            </w:r>
          </w:p>
        </w:tc>
        <w:tc>
          <w:tcPr>
            <w:tcW w:w="9240" w:type="dxa"/>
            <w:vAlign w:val="bottom"/>
          </w:tcPr>
          <w:p>
            <w:pPr>
              <w:ind w:left="300"/>
              <w:spacing w:after="0"/>
              <w:rPr>
                <w:sz w:val="20"/>
                <w:szCs w:val="20"/>
                <w:color w:val="auto"/>
              </w:rPr>
            </w:pPr>
            <w:r>
              <w:rPr>
                <w:rFonts w:ascii="Arial" w:cs="Arial" w:eastAsia="Arial" w:hAnsi="Arial"/>
                <w:sz w:val="18"/>
                <w:szCs w:val="18"/>
                <w:color w:val="auto"/>
              </w:rPr>
              <w:t>Noteholder Lists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2.07.</w:t>
            </w:r>
          </w:p>
        </w:tc>
        <w:tc>
          <w:tcPr>
            <w:tcW w:w="9240" w:type="dxa"/>
            <w:vAlign w:val="bottom"/>
          </w:tcPr>
          <w:p>
            <w:pPr>
              <w:ind w:left="300"/>
              <w:spacing w:after="0"/>
              <w:rPr>
                <w:sz w:val="20"/>
                <w:szCs w:val="20"/>
                <w:color w:val="auto"/>
              </w:rPr>
            </w:pPr>
            <w:r>
              <w:rPr>
                <w:rFonts w:ascii="Arial" w:cs="Arial" w:eastAsia="Arial" w:hAnsi="Arial"/>
                <w:sz w:val="18"/>
                <w:szCs w:val="18"/>
                <w:color w:val="auto"/>
              </w:rPr>
              <w:t>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2.08.</w:t>
            </w:r>
          </w:p>
        </w:tc>
        <w:tc>
          <w:tcPr>
            <w:tcW w:w="9240" w:type="dxa"/>
            <w:vAlign w:val="bottom"/>
          </w:tcPr>
          <w:p>
            <w:pPr>
              <w:ind w:left="300"/>
              <w:spacing w:after="0"/>
              <w:rPr>
                <w:sz w:val="20"/>
                <w:szCs w:val="20"/>
                <w:color w:val="auto"/>
              </w:rPr>
            </w:pPr>
            <w:r>
              <w:rPr>
                <w:rFonts w:ascii="Arial" w:cs="Arial" w:eastAsia="Arial" w:hAnsi="Arial"/>
                <w:sz w:val="18"/>
                <w:szCs w:val="18"/>
                <w:color w:val="auto"/>
              </w:rPr>
              <w:t>Replacement Notes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2.09.</w:t>
            </w:r>
          </w:p>
        </w:tc>
        <w:tc>
          <w:tcPr>
            <w:tcW w:w="9240" w:type="dxa"/>
            <w:vAlign w:val="bottom"/>
          </w:tcPr>
          <w:p>
            <w:pPr>
              <w:ind w:left="300"/>
              <w:spacing w:after="0"/>
              <w:rPr>
                <w:sz w:val="20"/>
                <w:szCs w:val="20"/>
                <w:color w:val="auto"/>
              </w:rPr>
            </w:pPr>
            <w:r>
              <w:rPr>
                <w:rFonts w:ascii="Arial" w:cs="Arial" w:eastAsia="Arial" w:hAnsi="Arial"/>
                <w:sz w:val="18"/>
                <w:szCs w:val="18"/>
                <w:color w:val="auto"/>
              </w:rPr>
              <w:t>Outstanding Notes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2.10.</w:t>
            </w:r>
          </w:p>
        </w:tc>
        <w:tc>
          <w:tcPr>
            <w:tcW w:w="9240" w:type="dxa"/>
            <w:vAlign w:val="bottom"/>
          </w:tcPr>
          <w:p>
            <w:pPr>
              <w:ind w:left="300"/>
              <w:spacing w:after="0"/>
              <w:rPr>
                <w:sz w:val="20"/>
                <w:szCs w:val="20"/>
                <w:color w:val="auto"/>
              </w:rPr>
            </w:pPr>
            <w:r>
              <w:rPr>
                <w:rFonts w:ascii="Arial" w:cs="Arial" w:eastAsia="Arial" w:hAnsi="Arial"/>
                <w:sz w:val="18"/>
                <w:szCs w:val="18"/>
                <w:color w:val="auto"/>
              </w:rPr>
              <w:t>Treasury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2.11.</w:t>
            </w:r>
          </w:p>
        </w:tc>
        <w:tc>
          <w:tcPr>
            <w:tcW w:w="9240" w:type="dxa"/>
            <w:vAlign w:val="bottom"/>
          </w:tcPr>
          <w:p>
            <w:pPr>
              <w:ind w:left="300"/>
              <w:spacing w:after="0"/>
              <w:rPr>
                <w:sz w:val="20"/>
                <w:szCs w:val="20"/>
                <w:color w:val="auto"/>
              </w:rPr>
            </w:pPr>
            <w:r>
              <w:rPr>
                <w:rFonts w:ascii="Arial" w:cs="Arial" w:eastAsia="Arial" w:hAnsi="Arial"/>
                <w:sz w:val="18"/>
                <w:szCs w:val="18"/>
                <w:color w:val="auto"/>
              </w:rPr>
              <w:t>Temporary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2.12.</w:t>
            </w:r>
          </w:p>
        </w:tc>
        <w:tc>
          <w:tcPr>
            <w:tcW w:w="9240" w:type="dxa"/>
            <w:vAlign w:val="bottom"/>
          </w:tcPr>
          <w:p>
            <w:pPr>
              <w:ind w:left="30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2.13.</w:t>
            </w:r>
          </w:p>
        </w:tc>
        <w:tc>
          <w:tcPr>
            <w:tcW w:w="9240" w:type="dxa"/>
            <w:vAlign w:val="bottom"/>
          </w:tcPr>
          <w:p>
            <w:pPr>
              <w:ind w:left="300"/>
              <w:spacing w:after="0"/>
              <w:rPr>
                <w:sz w:val="20"/>
                <w:szCs w:val="20"/>
                <w:color w:val="auto"/>
              </w:rPr>
            </w:pPr>
            <w:r>
              <w:rPr>
                <w:rFonts w:ascii="Arial" w:cs="Arial" w:eastAsia="Arial" w:hAnsi="Arial"/>
                <w:sz w:val="18"/>
                <w:szCs w:val="18"/>
                <w:color w:val="auto"/>
              </w:rPr>
              <w:t>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2.14.</w:t>
            </w:r>
          </w:p>
        </w:tc>
        <w:tc>
          <w:tcPr>
            <w:tcW w:w="9240" w:type="dxa"/>
            <w:vAlign w:val="bottom"/>
          </w:tcPr>
          <w:p>
            <w:pPr>
              <w:ind w:left="300"/>
              <w:spacing w:after="0"/>
              <w:rPr>
                <w:sz w:val="20"/>
                <w:szCs w:val="20"/>
                <w:color w:val="auto"/>
              </w:rPr>
            </w:pPr>
            <w:r>
              <w:rPr>
                <w:rFonts w:ascii="Arial" w:cs="Arial" w:eastAsia="Arial" w:hAnsi="Arial"/>
                <w:sz w:val="18"/>
                <w:szCs w:val="18"/>
                <w:color w:val="auto"/>
              </w:rPr>
              <w:t>CUSIP and ISIN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2.15.</w:t>
            </w:r>
          </w:p>
        </w:tc>
        <w:tc>
          <w:tcPr>
            <w:tcW w:w="9240" w:type="dxa"/>
            <w:vAlign w:val="bottom"/>
          </w:tcPr>
          <w:p>
            <w:pPr>
              <w:ind w:left="300"/>
              <w:spacing w:after="0"/>
              <w:rPr>
                <w:sz w:val="20"/>
                <w:szCs w:val="20"/>
                <w:color w:val="auto"/>
              </w:rPr>
            </w:pPr>
            <w:r>
              <w:rPr>
                <w:rFonts w:ascii="Arial" w:cs="Arial" w:eastAsia="Arial" w:hAnsi="Arial"/>
                <w:sz w:val="18"/>
                <w:szCs w:val="18"/>
                <w:color w:val="auto"/>
              </w:rPr>
              <w:t>Deposit of Moneys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2.16.</w:t>
            </w:r>
          </w:p>
        </w:tc>
        <w:tc>
          <w:tcPr>
            <w:tcW w:w="9240" w:type="dxa"/>
            <w:vAlign w:val="bottom"/>
          </w:tcPr>
          <w:p>
            <w:pPr>
              <w:ind w:left="300"/>
              <w:spacing w:after="0"/>
              <w:rPr>
                <w:sz w:val="20"/>
                <w:szCs w:val="20"/>
                <w:color w:val="auto"/>
              </w:rPr>
            </w:pPr>
            <w:r>
              <w:rPr>
                <w:rFonts w:ascii="Arial" w:cs="Arial" w:eastAsia="Arial" w:hAnsi="Arial"/>
                <w:sz w:val="18"/>
                <w:szCs w:val="18"/>
                <w:color w:val="auto"/>
              </w:rPr>
              <w:t>Book-Entry Provisions for Global Notes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2.17.</w:t>
            </w:r>
          </w:p>
        </w:tc>
        <w:tc>
          <w:tcPr>
            <w:tcW w:w="9240" w:type="dxa"/>
            <w:vAlign w:val="bottom"/>
          </w:tcPr>
          <w:p>
            <w:pPr>
              <w:ind w:left="300"/>
              <w:spacing w:after="0"/>
              <w:rPr>
                <w:sz w:val="20"/>
                <w:szCs w:val="20"/>
                <w:color w:val="auto"/>
              </w:rPr>
            </w:pPr>
            <w:r>
              <w:rPr>
                <w:rFonts w:ascii="Arial" w:cs="Arial" w:eastAsia="Arial" w:hAnsi="Arial"/>
                <w:sz w:val="18"/>
                <w:szCs w:val="18"/>
                <w:color w:val="auto"/>
              </w:rPr>
              <w:t>Transfer and Exchange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2.18.</w:t>
            </w:r>
          </w:p>
        </w:tc>
        <w:tc>
          <w:tcPr>
            <w:tcW w:w="9240" w:type="dxa"/>
            <w:vAlign w:val="bottom"/>
          </w:tcPr>
          <w:p>
            <w:pPr>
              <w:ind w:left="300"/>
              <w:spacing w:after="0"/>
              <w:rPr>
                <w:sz w:val="20"/>
                <w:szCs w:val="20"/>
                <w:color w:val="auto"/>
              </w:rPr>
            </w:pPr>
            <w:r>
              <w:rPr>
                <w:rFonts w:ascii="Arial" w:cs="Arial" w:eastAsia="Arial" w:hAnsi="Arial"/>
                <w:sz w:val="18"/>
                <w:szCs w:val="18"/>
                <w:color w:val="auto"/>
              </w:rPr>
              <w:t>Computation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7"/>
              </w:rPr>
              <w:t>ARTICLE THREE</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110"/>
              <w:spacing w:after="0"/>
              <w:rPr>
                <w:sz w:val="20"/>
                <w:szCs w:val="20"/>
                <w:color w:val="auto"/>
              </w:rPr>
            </w:pPr>
            <w:r>
              <w:rPr>
                <w:rFonts w:ascii="Arial" w:cs="Arial" w:eastAsia="Arial" w:hAnsi="Arial"/>
                <w:sz w:val="18"/>
                <w:szCs w:val="18"/>
                <w:color w:val="auto"/>
                <w:w w:val="96"/>
              </w:rPr>
              <w:t>REDEMPTION</w:t>
            </w:r>
          </w:p>
        </w:tc>
        <w:tc>
          <w:tcPr>
            <w:tcW w:w="28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3.01.</w:t>
            </w:r>
          </w:p>
        </w:tc>
        <w:tc>
          <w:tcPr>
            <w:tcW w:w="9240" w:type="dxa"/>
            <w:vAlign w:val="bottom"/>
          </w:tcPr>
          <w:p>
            <w:pPr>
              <w:ind w:left="300"/>
              <w:spacing w:after="0"/>
              <w:rPr>
                <w:sz w:val="20"/>
                <w:szCs w:val="20"/>
                <w:color w:val="auto"/>
              </w:rPr>
            </w:pPr>
            <w:r>
              <w:rPr>
                <w:rFonts w:ascii="Arial" w:cs="Arial" w:eastAsia="Arial" w:hAnsi="Arial"/>
                <w:sz w:val="18"/>
                <w:szCs w:val="18"/>
                <w:color w:val="auto"/>
              </w:rPr>
              <w:t>Election To Redeem; Notices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3.02.</w:t>
            </w:r>
          </w:p>
        </w:tc>
        <w:tc>
          <w:tcPr>
            <w:tcW w:w="9240" w:type="dxa"/>
            <w:vAlign w:val="bottom"/>
          </w:tcPr>
          <w:p>
            <w:pPr>
              <w:ind w:left="300"/>
              <w:spacing w:after="0"/>
              <w:rPr>
                <w:sz w:val="20"/>
                <w:szCs w:val="20"/>
                <w:color w:val="auto"/>
              </w:rPr>
            </w:pPr>
            <w:r>
              <w:rPr>
                <w:rFonts w:ascii="Arial" w:cs="Arial" w:eastAsia="Arial" w:hAnsi="Arial"/>
                <w:sz w:val="18"/>
                <w:szCs w:val="18"/>
                <w:color w:val="auto"/>
              </w:rPr>
              <w:t>Selection by Trustee of Notes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3.03.</w:t>
            </w:r>
          </w:p>
        </w:tc>
        <w:tc>
          <w:tcPr>
            <w:tcW w:w="9240" w:type="dxa"/>
            <w:vAlign w:val="bottom"/>
          </w:tcPr>
          <w:p>
            <w:pPr>
              <w:ind w:left="30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3.04.</w:t>
            </w:r>
          </w:p>
        </w:tc>
        <w:tc>
          <w:tcPr>
            <w:tcW w:w="9240" w:type="dxa"/>
            <w:vAlign w:val="bottom"/>
          </w:tcPr>
          <w:p>
            <w:pPr>
              <w:ind w:left="300"/>
              <w:spacing w:after="0"/>
              <w:rPr>
                <w:sz w:val="20"/>
                <w:szCs w:val="20"/>
                <w:color w:val="auto"/>
              </w:rPr>
            </w:pPr>
            <w:r>
              <w:rPr>
                <w:rFonts w:ascii="Arial" w:cs="Arial" w:eastAsia="Arial" w:hAnsi="Arial"/>
                <w:sz w:val="18"/>
                <w:szCs w:val="18"/>
                <w:color w:val="auto"/>
              </w:rPr>
              <w:t>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3.05.</w:t>
            </w:r>
          </w:p>
        </w:tc>
        <w:tc>
          <w:tcPr>
            <w:tcW w:w="9240" w:type="dxa"/>
            <w:vAlign w:val="bottom"/>
          </w:tcPr>
          <w:p>
            <w:pPr>
              <w:ind w:left="300"/>
              <w:spacing w:after="0"/>
              <w:rPr>
                <w:sz w:val="20"/>
                <w:szCs w:val="20"/>
                <w:color w:val="auto"/>
              </w:rPr>
            </w:pPr>
            <w:r>
              <w:rPr>
                <w:rFonts w:ascii="Arial" w:cs="Arial" w:eastAsia="Arial" w:hAnsi="Arial"/>
                <w:sz w:val="18"/>
                <w:szCs w:val="18"/>
                <w:color w:val="auto"/>
              </w:rPr>
              <w:t>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3.06.</w:t>
            </w:r>
          </w:p>
        </w:tc>
        <w:tc>
          <w:tcPr>
            <w:tcW w:w="9240" w:type="dxa"/>
            <w:vAlign w:val="bottom"/>
          </w:tcPr>
          <w:p>
            <w:pPr>
              <w:ind w:left="300"/>
              <w:spacing w:after="0"/>
              <w:rPr>
                <w:sz w:val="20"/>
                <w:szCs w:val="20"/>
                <w:color w:val="auto"/>
              </w:rPr>
            </w:pPr>
            <w:r>
              <w:rPr>
                <w:rFonts w:ascii="Arial" w:cs="Arial" w:eastAsia="Arial" w:hAnsi="Arial"/>
                <w:sz w:val="18"/>
                <w:szCs w:val="18"/>
                <w:color w:val="auto"/>
              </w:rPr>
              <w:t>Notes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3.07.</w:t>
            </w:r>
          </w:p>
        </w:tc>
        <w:tc>
          <w:tcPr>
            <w:tcW w:w="9240" w:type="dxa"/>
            <w:vAlign w:val="bottom"/>
          </w:tcPr>
          <w:p>
            <w:pPr>
              <w:ind w:left="300"/>
              <w:spacing w:after="0"/>
              <w:rPr>
                <w:sz w:val="20"/>
                <w:szCs w:val="20"/>
                <w:color w:val="auto"/>
              </w:rPr>
            </w:pPr>
            <w:r>
              <w:rPr>
                <w:rFonts w:ascii="Arial" w:cs="Arial" w:eastAsia="Arial" w:hAnsi="Arial"/>
                <w:sz w:val="18"/>
                <w:szCs w:val="18"/>
                <w:color w:val="auto"/>
              </w:rPr>
              <w:t>Mandatory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144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440" w:type="dxa"/>
            <w:vAlign w:val="bottom"/>
          </w:tcPr>
          <w:p>
            <w:pPr>
              <w:spacing w:after="0"/>
              <w:rPr>
                <w:sz w:val="24"/>
                <w:szCs w:val="24"/>
                <w:color w:val="auto"/>
              </w:rPr>
            </w:pPr>
          </w:p>
        </w:tc>
        <w:tc>
          <w:tcPr>
            <w:tcW w:w="9240" w:type="dxa"/>
            <w:vAlign w:val="bottom"/>
          </w:tcPr>
          <w:p>
            <w:pPr>
              <w:jc w:val="center"/>
              <w:ind w:left="70"/>
              <w:spacing w:after="0"/>
              <w:rPr>
                <w:sz w:val="20"/>
                <w:szCs w:val="20"/>
                <w:color w:val="auto"/>
              </w:rPr>
            </w:pPr>
            <w:r>
              <w:rPr>
                <w:rFonts w:ascii="Arial" w:cs="Arial" w:eastAsia="Arial" w:hAnsi="Arial"/>
                <w:sz w:val="18"/>
                <w:szCs w:val="18"/>
                <w:color w:val="auto"/>
                <w:w w:val="96"/>
              </w:rPr>
              <w:t>ARTICLE FOUR</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8"/>
              </w:rPr>
              <w:t>COVENANTS</w:t>
            </w:r>
          </w:p>
        </w:tc>
        <w:tc>
          <w:tcPr>
            <w:tcW w:w="28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4.01.</w:t>
            </w:r>
          </w:p>
        </w:tc>
        <w:tc>
          <w:tcPr>
            <w:tcW w:w="9240" w:type="dxa"/>
            <w:vAlign w:val="bottom"/>
          </w:tcPr>
          <w:p>
            <w:pPr>
              <w:ind w:left="280"/>
              <w:spacing w:after="0"/>
              <w:rPr>
                <w:sz w:val="20"/>
                <w:szCs w:val="20"/>
                <w:color w:val="auto"/>
              </w:rPr>
            </w:pPr>
            <w:r>
              <w:rPr>
                <w:rFonts w:ascii="Arial" w:cs="Arial" w:eastAsia="Arial" w:hAnsi="Arial"/>
                <w:sz w:val="18"/>
                <w:szCs w:val="18"/>
                <w:color w:val="auto"/>
              </w:rPr>
              <w:t>Payment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4.02.</w:t>
            </w:r>
          </w:p>
        </w:tc>
        <w:tc>
          <w:tcPr>
            <w:tcW w:w="924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4.03.</w:t>
            </w:r>
          </w:p>
        </w:tc>
        <w:tc>
          <w:tcPr>
            <w:tcW w:w="9240" w:type="dxa"/>
            <w:vAlign w:val="bottom"/>
          </w:tcPr>
          <w:p>
            <w:pPr>
              <w:ind w:left="280"/>
              <w:spacing w:after="0"/>
              <w:rPr>
                <w:sz w:val="20"/>
                <w:szCs w:val="20"/>
                <w:color w:val="auto"/>
              </w:rPr>
            </w:pPr>
            <w:r>
              <w:rPr>
                <w:rFonts w:ascii="Arial" w:cs="Arial" w:eastAsia="Arial" w:hAnsi="Arial"/>
                <w:sz w:val="18"/>
                <w:szCs w:val="18"/>
                <w:color w:val="auto"/>
              </w:rPr>
              <w:t>Legal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4.04.</w:t>
            </w:r>
          </w:p>
        </w:tc>
        <w:tc>
          <w:tcPr>
            <w:tcW w:w="9240" w:type="dxa"/>
            <w:vAlign w:val="bottom"/>
          </w:tcPr>
          <w:p>
            <w:pPr>
              <w:ind w:left="280"/>
              <w:spacing w:after="0"/>
              <w:rPr>
                <w:sz w:val="20"/>
                <w:szCs w:val="20"/>
                <w:color w:val="auto"/>
              </w:rPr>
            </w:pPr>
            <w:r>
              <w:rPr>
                <w:rFonts w:ascii="Arial" w:cs="Arial" w:eastAsia="Arial" w:hAnsi="Arial"/>
                <w:sz w:val="18"/>
                <w:szCs w:val="18"/>
                <w:color w:val="auto"/>
              </w:rPr>
              <w:t>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4.05.</w:t>
            </w:r>
          </w:p>
        </w:tc>
        <w:tc>
          <w:tcPr>
            <w:tcW w:w="9240" w:type="dxa"/>
            <w:vAlign w:val="bottom"/>
          </w:tcPr>
          <w:p>
            <w:pPr>
              <w:ind w:left="280"/>
              <w:spacing w:after="0"/>
              <w:rPr>
                <w:sz w:val="20"/>
                <w:szCs w:val="20"/>
                <w:color w:val="auto"/>
              </w:rPr>
            </w:pPr>
            <w:r>
              <w:rPr>
                <w:rFonts w:ascii="Arial" w:cs="Arial" w:eastAsia="Arial" w:hAnsi="Arial"/>
                <w:sz w:val="18"/>
                <w:szCs w:val="18"/>
                <w:color w:val="auto"/>
              </w:rPr>
              <w:t>Waiver of Stay, Extension or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4.06.</w:t>
            </w:r>
          </w:p>
        </w:tc>
        <w:tc>
          <w:tcPr>
            <w:tcW w:w="924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4.07.</w:t>
            </w:r>
          </w:p>
        </w:tc>
        <w:tc>
          <w:tcPr>
            <w:tcW w:w="9240" w:type="dxa"/>
            <w:vAlign w:val="bottom"/>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4.08.</w:t>
            </w:r>
          </w:p>
        </w:tc>
        <w:tc>
          <w:tcPr>
            <w:tcW w:w="9240" w:type="dxa"/>
            <w:vAlign w:val="bottom"/>
          </w:tcPr>
          <w:p>
            <w:pPr>
              <w:ind w:left="280"/>
              <w:spacing w:after="0"/>
              <w:rPr>
                <w:sz w:val="20"/>
                <w:szCs w:val="20"/>
                <w:color w:val="auto"/>
              </w:rPr>
            </w:pPr>
            <w:r>
              <w:rPr>
                <w:rFonts w:ascii="Arial" w:cs="Arial" w:eastAsia="Arial" w:hAnsi="Arial"/>
                <w:sz w:val="18"/>
                <w:szCs w:val="18"/>
                <w:color w:val="auto"/>
              </w:rPr>
              <w:t>Repurchase at the Option of Holders upon Change of Control Repurchase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4.09.</w:t>
            </w:r>
          </w:p>
        </w:tc>
        <w:tc>
          <w:tcPr>
            <w:tcW w:w="92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4.10.</w:t>
            </w:r>
          </w:p>
        </w:tc>
        <w:tc>
          <w:tcPr>
            <w:tcW w:w="92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4.11.</w:t>
            </w:r>
          </w:p>
        </w:tc>
        <w:tc>
          <w:tcPr>
            <w:tcW w:w="9240" w:type="dxa"/>
            <w:vAlign w:val="bottom"/>
          </w:tcPr>
          <w:p>
            <w:pPr>
              <w:ind w:left="280"/>
              <w:spacing w:after="0"/>
              <w:rPr>
                <w:sz w:val="20"/>
                <w:szCs w:val="20"/>
                <w:color w:val="auto"/>
              </w:rPr>
            </w:pPr>
            <w:r>
              <w:rPr>
                <w:rFonts w:ascii="Arial" w:cs="Arial" w:eastAsia="Arial" w:hAnsi="Arial"/>
                <w:sz w:val="18"/>
                <w:szCs w:val="18"/>
                <w:color w:val="auto"/>
              </w:rPr>
              <w:t>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4.12.</w:t>
            </w:r>
          </w:p>
        </w:tc>
        <w:tc>
          <w:tcPr>
            <w:tcW w:w="92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4.13.</w:t>
            </w:r>
          </w:p>
        </w:tc>
        <w:tc>
          <w:tcPr>
            <w:tcW w:w="92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4.14.</w:t>
            </w:r>
          </w:p>
        </w:tc>
        <w:tc>
          <w:tcPr>
            <w:tcW w:w="92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4.15.</w:t>
            </w:r>
          </w:p>
        </w:tc>
        <w:tc>
          <w:tcPr>
            <w:tcW w:w="9240" w:type="dxa"/>
            <w:vAlign w:val="bottom"/>
          </w:tcPr>
          <w:p>
            <w:pPr>
              <w:ind w:left="280"/>
              <w:spacing w:after="0"/>
              <w:rPr>
                <w:sz w:val="20"/>
                <w:szCs w:val="20"/>
                <w:color w:val="auto"/>
              </w:rPr>
            </w:pPr>
            <w:r>
              <w:rPr>
                <w:rFonts w:ascii="Arial" w:cs="Arial" w:eastAsia="Arial" w:hAnsi="Arial"/>
                <w:sz w:val="18"/>
                <w:szCs w:val="18"/>
                <w:color w:val="auto"/>
              </w:rPr>
              <w:t>Limitation on Sale and Leaseback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4.16.</w:t>
            </w:r>
          </w:p>
        </w:tc>
        <w:tc>
          <w:tcPr>
            <w:tcW w:w="9240" w:type="dxa"/>
            <w:vAlign w:val="bottom"/>
          </w:tcPr>
          <w:p>
            <w:pPr>
              <w:ind w:left="280"/>
              <w:spacing w:after="0"/>
              <w:rPr>
                <w:sz w:val="20"/>
                <w:szCs w:val="20"/>
                <w:color w:val="auto"/>
              </w:rPr>
            </w:pPr>
            <w:r>
              <w:rPr>
                <w:rFonts w:ascii="Arial" w:cs="Arial" w:eastAsia="Arial" w:hAnsi="Arial"/>
                <w:sz w:val="18"/>
                <w:szCs w:val="18"/>
                <w:color w:val="auto"/>
              </w:rPr>
              <w:t>Reports to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4.17.</w:t>
            </w:r>
          </w:p>
        </w:tc>
        <w:tc>
          <w:tcPr>
            <w:tcW w:w="9240" w:type="dxa"/>
            <w:vAlign w:val="bottom"/>
          </w:tcPr>
          <w:p>
            <w:pPr>
              <w:ind w:left="280"/>
              <w:spacing w:after="0"/>
              <w:rPr>
                <w:sz w:val="20"/>
                <w:szCs w:val="20"/>
                <w:color w:val="auto"/>
              </w:rPr>
            </w:pPr>
            <w:r>
              <w:rPr>
                <w:rFonts w:ascii="Arial" w:cs="Arial" w:eastAsia="Arial" w:hAnsi="Arial"/>
                <w:sz w:val="18"/>
                <w:szCs w:val="18"/>
                <w:color w:val="auto"/>
              </w:rPr>
              <w:t>Additional Note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440" w:type="dxa"/>
            <w:vAlign w:val="bottom"/>
          </w:tcPr>
          <w:p>
            <w:pPr>
              <w:spacing w:after="0"/>
              <w:rPr>
                <w:sz w:val="24"/>
                <w:szCs w:val="24"/>
                <w:color w:val="auto"/>
              </w:rPr>
            </w:pPr>
          </w:p>
        </w:tc>
        <w:tc>
          <w:tcPr>
            <w:tcW w:w="9240" w:type="dxa"/>
            <w:vAlign w:val="bottom"/>
          </w:tcPr>
          <w:p>
            <w:pPr>
              <w:jc w:val="center"/>
              <w:ind w:left="70"/>
              <w:spacing w:after="0"/>
              <w:rPr>
                <w:sz w:val="20"/>
                <w:szCs w:val="20"/>
                <w:color w:val="auto"/>
              </w:rPr>
            </w:pPr>
            <w:r>
              <w:rPr>
                <w:rFonts w:ascii="Arial" w:cs="Arial" w:eastAsia="Arial" w:hAnsi="Arial"/>
                <w:sz w:val="18"/>
                <w:szCs w:val="18"/>
                <w:color w:val="auto"/>
                <w:w w:val="99"/>
              </w:rPr>
              <w:t>ARTICLE FIVE</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2"/>
              </w:rPr>
              <w:t>SUCCESSOR CORPORATION</w:t>
            </w:r>
          </w:p>
        </w:tc>
        <w:tc>
          <w:tcPr>
            <w:tcW w:w="28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5.01.</w:t>
            </w:r>
          </w:p>
        </w:tc>
        <w:tc>
          <w:tcPr>
            <w:tcW w:w="9240" w:type="dxa"/>
            <w:vAlign w:val="bottom"/>
          </w:tcPr>
          <w:p>
            <w:pPr>
              <w:ind w:left="280"/>
              <w:spacing w:after="0"/>
              <w:rPr>
                <w:sz w:val="20"/>
                <w:szCs w:val="20"/>
                <w:color w:val="auto"/>
              </w:rPr>
            </w:pPr>
            <w:r>
              <w:rPr>
                <w:rFonts w:ascii="Arial" w:cs="Arial" w:eastAsia="Arial" w:hAnsi="Arial"/>
                <w:sz w:val="18"/>
                <w:szCs w:val="18"/>
                <w:color w:val="auto"/>
              </w:rPr>
              <w:t>Consolidation, Merger and Sale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5.02.</w:t>
            </w:r>
          </w:p>
        </w:tc>
        <w:tc>
          <w:tcPr>
            <w:tcW w:w="9240" w:type="dxa"/>
            <w:vAlign w:val="bottom"/>
          </w:tcPr>
          <w:p>
            <w:pPr>
              <w:ind w:left="280"/>
              <w:spacing w:after="0"/>
              <w:rPr>
                <w:sz w:val="20"/>
                <w:szCs w:val="20"/>
                <w:color w:val="auto"/>
              </w:rPr>
            </w:pPr>
            <w:r>
              <w:rPr>
                <w:rFonts w:ascii="Arial" w:cs="Arial" w:eastAsia="Arial" w:hAnsi="Arial"/>
                <w:sz w:val="18"/>
                <w:szCs w:val="18"/>
                <w:color w:val="auto"/>
              </w:rPr>
              <w:t>Successor Person Substituted</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440" w:type="dxa"/>
            <w:vAlign w:val="bottom"/>
          </w:tcPr>
          <w:p>
            <w:pPr>
              <w:spacing w:after="0"/>
              <w:rPr>
                <w:sz w:val="24"/>
                <w:szCs w:val="24"/>
                <w:color w:val="auto"/>
              </w:rPr>
            </w:pPr>
          </w:p>
        </w:tc>
        <w:tc>
          <w:tcPr>
            <w:tcW w:w="9240" w:type="dxa"/>
            <w:vAlign w:val="bottom"/>
          </w:tcPr>
          <w:p>
            <w:pPr>
              <w:jc w:val="center"/>
              <w:ind w:left="70"/>
              <w:spacing w:after="0"/>
              <w:rPr>
                <w:sz w:val="20"/>
                <w:szCs w:val="20"/>
                <w:color w:val="auto"/>
              </w:rPr>
            </w:pPr>
            <w:r>
              <w:rPr>
                <w:rFonts w:ascii="Arial" w:cs="Arial" w:eastAsia="Arial" w:hAnsi="Arial"/>
                <w:sz w:val="18"/>
                <w:szCs w:val="18"/>
                <w:color w:val="auto"/>
                <w:w w:val="98"/>
              </w:rPr>
              <w:t>ARTICLE SIX</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5"/>
              </w:rPr>
              <w:t>DEFAULTS AND REMEDIES</w:t>
            </w:r>
          </w:p>
        </w:tc>
        <w:tc>
          <w:tcPr>
            <w:tcW w:w="28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6.01.</w:t>
            </w:r>
          </w:p>
        </w:tc>
        <w:tc>
          <w:tcPr>
            <w:tcW w:w="924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6.02.</w:t>
            </w:r>
          </w:p>
        </w:tc>
        <w:tc>
          <w:tcPr>
            <w:tcW w:w="9240" w:type="dxa"/>
            <w:vAlign w:val="bottom"/>
          </w:tcPr>
          <w:p>
            <w:pPr>
              <w:ind w:left="280"/>
              <w:spacing w:after="0"/>
              <w:rPr>
                <w:sz w:val="20"/>
                <w:szCs w:val="20"/>
                <w:color w:val="auto"/>
              </w:rPr>
            </w:pPr>
            <w:r>
              <w:rPr>
                <w:rFonts w:ascii="Arial" w:cs="Arial" w:eastAsia="Arial" w:hAnsi="Arial"/>
                <w:sz w:val="18"/>
                <w:szCs w:val="18"/>
                <w:color w:val="auto"/>
              </w:rPr>
              <w:t>Acceleration of Maturity; Rescission</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6.03.</w:t>
            </w:r>
          </w:p>
        </w:tc>
        <w:tc>
          <w:tcPr>
            <w:tcW w:w="9240" w:type="dxa"/>
            <w:vAlign w:val="bottom"/>
          </w:tcPr>
          <w:p>
            <w:pPr>
              <w:ind w:left="280"/>
              <w:spacing w:after="0"/>
              <w:rPr>
                <w:sz w:val="20"/>
                <w:szCs w:val="20"/>
                <w:color w:val="auto"/>
              </w:rPr>
            </w:pPr>
            <w:r>
              <w:rPr>
                <w:rFonts w:ascii="Arial" w:cs="Arial" w:eastAsia="Arial" w:hAnsi="Arial"/>
                <w:sz w:val="18"/>
                <w:szCs w:val="18"/>
                <w:color w:val="auto"/>
              </w:rPr>
              <w:t>Other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6.04.</w:t>
            </w:r>
          </w:p>
        </w:tc>
        <w:tc>
          <w:tcPr>
            <w:tcW w:w="9240" w:type="dxa"/>
            <w:vAlign w:val="bottom"/>
          </w:tcPr>
          <w:p>
            <w:pPr>
              <w:ind w:left="280"/>
              <w:spacing w:after="0"/>
              <w:rPr>
                <w:sz w:val="20"/>
                <w:szCs w:val="20"/>
                <w:color w:val="auto"/>
              </w:rPr>
            </w:pPr>
            <w:r>
              <w:rPr>
                <w:rFonts w:ascii="Arial" w:cs="Arial" w:eastAsia="Arial" w:hAnsi="Arial"/>
                <w:sz w:val="18"/>
                <w:szCs w:val="18"/>
                <w:color w:val="auto"/>
              </w:rPr>
              <w:t>Waiver of Existing Defaults and 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6.05.</w:t>
            </w:r>
          </w:p>
        </w:tc>
        <w:tc>
          <w:tcPr>
            <w:tcW w:w="9240" w:type="dxa"/>
            <w:vAlign w:val="bottom"/>
          </w:tcPr>
          <w:p>
            <w:pPr>
              <w:ind w:left="280"/>
              <w:spacing w:after="0"/>
              <w:rPr>
                <w:sz w:val="20"/>
                <w:szCs w:val="20"/>
                <w:color w:val="auto"/>
              </w:rPr>
            </w:pPr>
            <w:r>
              <w:rPr>
                <w:rFonts w:ascii="Arial" w:cs="Arial" w:eastAsia="Arial" w:hAnsi="Arial"/>
                <w:sz w:val="18"/>
                <w:szCs w:val="18"/>
                <w:color w:val="auto"/>
              </w:rPr>
              <w:t>Control by Majority</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6.06.</w:t>
            </w:r>
          </w:p>
        </w:tc>
        <w:tc>
          <w:tcPr>
            <w:tcW w:w="9240" w:type="dxa"/>
            <w:vAlign w:val="bottom"/>
          </w:tcPr>
          <w:p>
            <w:pPr>
              <w:ind w:left="280"/>
              <w:spacing w:after="0"/>
              <w:rPr>
                <w:sz w:val="20"/>
                <w:szCs w:val="20"/>
                <w:color w:val="auto"/>
              </w:rPr>
            </w:pPr>
            <w:r>
              <w:rPr>
                <w:rFonts w:ascii="Arial" w:cs="Arial" w:eastAsia="Arial" w:hAnsi="Arial"/>
                <w:sz w:val="18"/>
                <w:szCs w:val="18"/>
                <w:color w:val="auto"/>
              </w:rPr>
              <w:t>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6.07.</w:t>
            </w:r>
          </w:p>
        </w:tc>
        <w:tc>
          <w:tcPr>
            <w:tcW w:w="9240" w:type="dxa"/>
            <w:vAlign w:val="bottom"/>
          </w:tcPr>
          <w:p>
            <w:pPr>
              <w:ind w:left="28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7"/>
        </w:trPr>
        <w:tc>
          <w:tcPr>
            <w:tcW w:w="1440" w:type="dxa"/>
            <w:vAlign w:val="bottom"/>
            <w:vMerge w:val="restart"/>
          </w:tcPr>
          <w:p>
            <w:pPr>
              <w:spacing w:after="0"/>
              <w:rPr>
                <w:sz w:val="20"/>
                <w:szCs w:val="20"/>
                <w:color w:val="auto"/>
              </w:rPr>
            </w:pPr>
            <w:r>
              <w:rPr>
                <w:rFonts w:ascii="Arial" w:cs="Arial" w:eastAsia="Arial" w:hAnsi="Arial"/>
                <w:sz w:val="18"/>
                <w:szCs w:val="18"/>
                <w:color w:val="auto"/>
              </w:rPr>
              <w:t>SECTION 6.08.</w:t>
            </w:r>
          </w:p>
        </w:tc>
        <w:tc>
          <w:tcPr>
            <w:tcW w:w="9240" w:type="dxa"/>
            <w:vAlign w:val="bottom"/>
            <w:vMerge w:val="restart"/>
          </w:tcPr>
          <w:p>
            <w:pPr>
              <w:ind w:left="300"/>
              <w:spacing w:after="0"/>
              <w:rPr>
                <w:sz w:val="20"/>
                <w:szCs w:val="20"/>
                <w:color w:val="auto"/>
              </w:rPr>
            </w:pPr>
            <w:r>
              <w:rPr>
                <w:rFonts w:ascii="Arial" w:cs="Arial" w:eastAsia="Arial" w:hAnsi="Arial"/>
                <w:sz w:val="18"/>
                <w:szCs w:val="18"/>
                <w:color w:val="auto"/>
              </w:rPr>
              <w:t>Rights of Holders To Receive Payment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440" w:type="dxa"/>
            <w:vAlign w:val="bottom"/>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6.09.</w:t>
            </w:r>
          </w:p>
        </w:tc>
        <w:tc>
          <w:tcPr>
            <w:tcW w:w="9240" w:type="dxa"/>
            <w:vAlign w:val="bottom"/>
          </w:tcPr>
          <w:p>
            <w:pPr>
              <w:ind w:left="300"/>
              <w:spacing w:after="0"/>
              <w:rPr>
                <w:sz w:val="20"/>
                <w:szCs w:val="20"/>
                <w:color w:val="auto"/>
              </w:rPr>
            </w:pPr>
            <w:r>
              <w:rPr>
                <w:rFonts w:ascii="Arial" w:cs="Arial" w:eastAsia="Arial" w:hAnsi="Arial"/>
                <w:sz w:val="18"/>
                <w:szCs w:val="18"/>
                <w:color w:val="auto"/>
              </w:rPr>
              <w:t>Collection Suit by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6.10.</w:t>
            </w:r>
          </w:p>
        </w:tc>
        <w:tc>
          <w:tcPr>
            <w:tcW w:w="9240" w:type="dxa"/>
            <w:vAlign w:val="bottom"/>
          </w:tcPr>
          <w:p>
            <w:pPr>
              <w:ind w:left="30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6.11.</w:t>
            </w:r>
          </w:p>
        </w:tc>
        <w:tc>
          <w:tcPr>
            <w:tcW w:w="9240" w:type="dxa"/>
            <w:vAlign w:val="bottom"/>
          </w:tcPr>
          <w:p>
            <w:pPr>
              <w:ind w:left="300"/>
              <w:spacing w:after="0"/>
              <w:rPr>
                <w:sz w:val="20"/>
                <w:szCs w:val="20"/>
                <w:color w:val="auto"/>
              </w:rPr>
            </w:pPr>
            <w:r>
              <w:rPr>
                <w:rFonts w:ascii="Arial" w:cs="Arial" w:eastAsia="Arial" w:hAnsi="Arial"/>
                <w:sz w:val="18"/>
                <w:szCs w:val="18"/>
                <w:color w:val="auto"/>
              </w:rPr>
              <w:t>Priorities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6.12.</w:t>
            </w:r>
          </w:p>
        </w:tc>
        <w:tc>
          <w:tcPr>
            <w:tcW w:w="9240" w:type="dxa"/>
            <w:vAlign w:val="bottom"/>
          </w:tcPr>
          <w:p>
            <w:pPr>
              <w:ind w:left="300"/>
              <w:spacing w:after="0"/>
              <w:rPr>
                <w:sz w:val="20"/>
                <w:szCs w:val="20"/>
                <w:color w:val="auto"/>
              </w:rPr>
            </w:pPr>
            <w:r>
              <w:rPr>
                <w:rFonts w:ascii="Arial" w:cs="Arial" w:eastAsia="Arial" w:hAnsi="Arial"/>
                <w:sz w:val="18"/>
                <w:szCs w:val="18"/>
                <w:color w:val="auto"/>
              </w:rPr>
              <w:t>Undertaking for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7"/>
              </w:rPr>
              <w:t>ARTICLE SEVEN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2"/>
              </w:rPr>
              <w:t>TRUSTEE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7.01.</w:t>
            </w:r>
          </w:p>
        </w:tc>
        <w:tc>
          <w:tcPr>
            <w:tcW w:w="9240" w:type="dxa"/>
            <w:vAlign w:val="bottom"/>
          </w:tcPr>
          <w:p>
            <w:pPr>
              <w:ind w:left="300"/>
              <w:spacing w:after="0"/>
              <w:rPr>
                <w:sz w:val="20"/>
                <w:szCs w:val="20"/>
                <w:color w:val="auto"/>
              </w:rPr>
            </w:pPr>
            <w:r>
              <w:rPr>
                <w:rFonts w:ascii="Arial" w:cs="Arial" w:eastAsia="Arial" w:hAnsi="Arial"/>
                <w:sz w:val="18"/>
                <w:szCs w:val="18"/>
                <w:color w:val="auto"/>
              </w:rPr>
              <w:t>Duties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7.02.</w:t>
            </w:r>
          </w:p>
        </w:tc>
        <w:tc>
          <w:tcPr>
            <w:tcW w:w="9240" w:type="dxa"/>
            <w:vAlign w:val="bottom"/>
          </w:tcPr>
          <w:p>
            <w:pPr>
              <w:ind w:left="300"/>
              <w:spacing w:after="0"/>
              <w:rPr>
                <w:sz w:val="20"/>
                <w:szCs w:val="20"/>
                <w:color w:val="auto"/>
              </w:rPr>
            </w:pPr>
            <w:r>
              <w:rPr>
                <w:rFonts w:ascii="Arial" w:cs="Arial" w:eastAsia="Arial" w:hAnsi="Arial"/>
                <w:sz w:val="18"/>
                <w:szCs w:val="18"/>
                <w:color w:val="auto"/>
              </w:rPr>
              <w:t>Rights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7.03.</w:t>
            </w:r>
          </w:p>
        </w:tc>
        <w:tc>
          <w:tcPr>
            <w:tcW w:w="9240" w:type="dxa"/>
            <w:vAlign w:val="bottom"/>
          </w:tcPr>
          <w:p>
            <w:pPr>
              <w:ind w:left="300"/>
              <w:spacing w:after="0"/>
              <w:rPr>
                <w:sz w:val="20"/>
                <w:szCs w:val="20"/>
                <w:color w:val="auto"/>
              </w:rPr>
            </w:pPr>
            <w:r>
              <w:rPr>
                <w:rFonts w:ascii="Arial" w:cs="Arial" w:eastAsia="Arial" w:hAnsi="Arial"/>
                <w:sz w:val="18"/>
                <w:szCs w:val="18"/>
                <w:color w:val="auto"/>
              </w:rPr>
              <w:t>Individual Rights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7.04.</w:t>
            </w:r>
          </w:p>
        </w:tc>
        <w:tc>
          <w:tcPr>
            <w:tcW w:w="9240" w:type="dxa"/>
            <w:vAlign w:val="bottom"/>
          </w:tcPr>
          <w:p>
            <w:pPr>
              <w:ind w:left="300"/>
              <w:spacing w:after="0"/>
              <w:rPr>
                <w:sz w:val="20"/>
                <w:szCs w:val="20"/>
                <w:color w:val="auto"/>
              </w:rPr>
            </w:pPr>
            <w:r>
              <w:rPr>
                <w:rFonts w:ascii="Arial" w:cs="Arial" w:eastAsia="Arial" w:hAnsi="Arial"/>
                <w:sz w:val="18"/>
                <w:szCs w:val="18"/>
                <w:color w:val="auto"/>
              </w:rPr>
              <w:t>Trustee’s Disclaimer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7.05.</w:t>
            </w:r>
          </w:p>
        </w:tc>
        <w:tc>
          <w:tcPr>
            <w:tcW w:w="9240" w:type="dxa"/>
            <w:vAlign w:val="bottom"/>
          </w:tcPr>
          <w:p>
            <w:pPr>
              <w:ind w:left="300"/>
              <w:spacing w:after="0"/>
              <w:rPr>
                <w:sz w:val="20"/>
                <w:szCs w:val="20"/>
                <w:color w:val="auto"/>
              </w:rPr>
            </w:pPr>
            <w:r>
              <w:rPr>
                <w:rFonts w:ascii="Arial" w:cs="Arial" w:eastAsia="Arial" w:hAnsi="Arial"/>
                <w:sz w:val="18"/>
                <w:szCs w:val="18"/>
                <w:color w:val="auto"/>
              </w:rPr>
              <w:t>Notice of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7.06.</w:t>
            </w:r>
          </w:p>
        </w:tc>
        <w:tc>
          <w:tcPr>
            <w:tcW w:w="9240" w:type="dxa"/>
            <w:vAlign w:val="bottom"/>
          </w:tcPr>
          <w:p>
            <w:pPr>
              <w:ind w:left="300"/>
              <w:spacing w:after="0"/>
              <w:rPr>
                <w:sz w:val="20"/>
                <w:szCs w:val="20"/>
                <w:color w:val="auto"/>
              </w:rPr>
            </w:pPr>
            <w:r>
              <w:rPr>
                <w:rFonts w:ascii="Arial" w:cs="Arial" w:eastAsia="Arial" w:hAnsi="Arial"/>
                <w:sz w:val="18"/>
                <w:szCs w:val="18"/>
                <w:color w:val="auto"/>
              </w:rPr>
              <w:t>Reports by Trustee to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7.07.</w:t>
            </w:r>
          </w:p>
        </w:tc>
        <w:tc>
          <w:tcPr>
            <w:tcW w:w="9240" w:type="dxa"/>
            <w:vAlign w:val="bottom"/>
          </w:tcPr>
          <w:p>
            <w:pPr>
              <w:ind w:left="300"/>
              <w:spacing w:after="0"/>
              <w:rPr>
                <w:sz w:val="20"/>
                <w:szCs w:val="20"/>
                <w:color w:val="auto"/>
              </w:rPr>
            </w:pPr>
            <w:r>
              <w:rPr>
                <w:rFonts w:ascii="Arial" w:cs="Arial" w:eastAsia="Arial" w:hAnsi="Arial"/>
                <w:sz w:val="18"/>
                <w:szCs w:val="18"/>
                <w:color w:val="auto"/>
              </w:rPr>
              <w:t>Compensation and Indemnity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7.08.</w:t>
            </w:r>
          </w:p>
        </w:tc>
        <w:tc>
          <w:tcPr>
            <w:tcW w:w="9240" w:type="dxa"/>
            <w:vAlign w:val="bottom"/>
          </w:tcPr>
          <w:p>
            <w:pPr>
              <w:ind w:left="300"/>
              <w:spacing w:after="0"/>
              <w:rPr>
                <w:sz w:val="20"/>
                <w:szCs w:val="20"/>
                <w:color w:val="auto"/>
              </w:rPr>
            </w:pPr>
            <w:r>
              <w:rPr>
                <w:rFonts w:ascii="Arial" w:cs="Arial" w:eastAsia="Arial" w:hAnsi="Arial"/>
                <w:sz w:val="18"/>
                <w:szCs w:val="18"/>
                <w:color w:val="auto"/>
              </w:rPr>
              <w:t>Replacement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7.09.</w:t>
            </w:r>
          </w:p>
        </w:tc>
        <w:tc>
          <w:tcPr>
            <w:tcW w:w="9240" w:type="dxa"/>
            <w:vAlign w:val="bottom"/>
          </w:tcPr>
          <w:p>
            <w:pPr>
              <w:ind w:left="300"/>
              <w:spacing w:after="0"/>
              <w:rPr>
                <w:sz w:val="20"/>
                <w:szCs w:val="20"/>
                <w:color w:val="auto"/>
              </w:rPr>
            </w:pPr>
            <w:r>
              <w:rPr>
                <w:rFonts w:ascii="Arial" w:cs="Arial" w:eastAsia="Arial" w:hAnsi="Arial"/>
                <w:sz w:val="18"/>
                <w:szCs w:val="18"/>
                <w:color w:val="auto"/>
              </w:rPr>
              <w:t>Successor Trustee by Consolidation, Merger,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7.10.</w:t>
            </w:r>
          </w:p>
        </w:tc>
        <w:tc>
          <w:tcPr>
            <w:tcW w:w="9240" w:type="dxa"/>
            <w:vAlign w:val="bottom"/>
          </w:tcPr>
          <w:p>
            <w:pPr>
              <w:ind w:left="300"/>
              <w:spacing w:after="0"/>
              <w:rPr>
                <w:sz w:val="20"/>
                <w:szCs w:val="20"/>
                <w:color w:val="auto"/>
              </w:rPr>
            </w:pPr>
            <w:r>
              <w:rPr>
                <w:rFonts w:ascii="Arial" w:cs="Arial" w:eastAsia="Arial" w:hAnsi="Arial"/>
                <w:sz w:val="18"/>
                <w:szCs w:val="18"/>
                <w:color w:val="auto"/>
              </w:rPr>
              <w:t>Eligibility; Disqualification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7.11.</w:t>
            </w:r>
          </w:p>
        </w:tc>
        <w:tc>
          <w:tcPr>
            <w:tcW w:w="9240" w:type="dxa"/>
            <w:vAlign w:val="bottom"/>
          </w:tcPr>
          <w:p>
            <w:pPr>
              <w:ind w:left="300"/>
              <w:spacing w:after="0"/>
              <w:rPr>
                <w:sz w:val="20"/>
                <w:szCs w:val="20"/>
                <w:color w:val="auto"/>
              </w:rPr>
            </w:pPr>
            <w:r>
              <w:rPr>
                <w:rFonts w:ascii="Arial" w:cs="Arial" w:eastAsia="Arial" w:hAnsi="Arial"/>
                <w:sz w:val="18"/>
                <w:szCs w:val="18"/>
                <w:color w:val="auto"/>
              </w:rPr>
              <w:t>Preferential Collection of Claims Against Issuer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7.12.</w:t>
            </w:r>
          </w:p>
        </w:tc>
        <w:tc>
          <w:tcPr>
            <w:tcW w:w="9240" w:type="dxa"/>
            <w:vAlign w:val="bottom"/>
          </w:tcPr>
          <w:p>
            <w:pPr>
              <w:ind w:left="300"/>
              <w:spacing w:after="0"/>
              <w:rPr>
                <w:sz w:val="20"/>
                <w:szCs w:val="20"/>
                <w:color w:val="auto"/>
              </w:rPr>
            </w:pPr>
            <w:r>
              <w:rPr>
                <w:rFonts w:ascii="Arial" w:cs="Arial" w:eastAsia="Arial" w:hAnsi="Arial"/>
                <w:sz w:val="18"/>
                <w:szCs w:val="18"/>
                <w:color w:val="auto"/>
              </w:rPr>
              <w:t>Paying Agents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7.13.</w:t>
            </w:r>
          </w:p>
        </w:tc>
        <w:tc>
          <w:tcPr>
            <w:tcW w:w="9240" w:type="dxa"/>
            <w:vAlign w:val="bottom"/>
          </w:tcPr>
          <w:p>
            <w:pPr>
              <w:ind w:left="300"/>
              <w:spacing w:after="0"/>
              <w:rPr>
                <w:sz w:val="20"/>
                <w:szCs w:val="20"/>
                <w:color w:val="auto"/>
              </w:rPr>
            </w:pPr>
            <w:r>
              <w:rPr>
                <w:rFonts w:ascii="Arial" w:cs="Arial" w:eastAsia="Arial" w:hAnsi="Arial"/>
                <w:sz w:val="18"/>
                <w:szCs w:val="18"/>
                <w:color w:val="auto"/>
              </w:rPr>
              <w:t>Communications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8"/>
              </w:rPr>
              <w:t>ARTICLE EIGHT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7"/>
              </w:rPr>
              <w:t>AMENDMENT, SUPPLEMENT AND WAIVER</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8.01.</w:t>
            </w:r>
          </w:p>
        </w:tc>
        <w:tc>
          <w:tcPr>
            <w:tcW w:w="9240" w:type="dxa"/>
            <w:vAlign w:val="bottom"/>
          </w:tcPr>
          <w:p>
            <w:pPr>
              <w:ind w:left="300"/>
              <w:spacing w:after="0"/>
              <w:rPr>
                <w:sz w:val="20"/>
                <w:szCs w:val="20"/>
                <w:color w:val="auto"/>
              </w:rPr>
            </w:pPr>
            <w:r>
              <w:rPr>
                <w:rFonts w:ascii="Arial" w:cs="Arial" w:eastAsia="Arial" w:hAnsi="Arial"/>
                <w:sz w:val="18"/>
                <w:szCs w:val="18"/>
                <w:color w:val="auto"/>
              </w:rPr>
              <w:t>Without Consent of Noteholders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8.02.</w:t>
            </w:r>
          </w:p>
        </w:tc>
        <w:tc>
          <w:tcPr>
            <w:tcW w:w="9240" w:type="dxa"/>
            <w:vAlign w:val="bottom"/>
          </w:tcPr>
          <w:p>
            <w:pPr>
              <w:ind w:left="300"/>
              <w:spacing w:after="0"/>
              <w:rPr>
                <w:sz w:val="20"/>
                <w:szCs w:val="20"/>
                <w:color w:val="auto"/>
              </w:rPr>
            </w:pPr>
            <w:r>
              <w:rPr>
                <w:rFonts w:ascii="Arial" w:cs="Arial" w:eastAsia="Arial" w:hAnsi="Arial"/>
                <w:sz w:val="18"/>
                <w:szCs w:val="18"/>
                <w:color w:val="auto"/>
              </w:rPr>
              <w:t>With Consent of Noteholders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8.03.</w:t>
            </w:r>
          </w:p>
        </w:tc>
        <w:tc>
          <w:tcPr>
            <w:tcW w:w="9240" w:type="dxa"/>
            <w:vAlign w:val="bottom"/>
          </w:tcPr>
          <w:p>
            <w:pPr>
              <w:ind w:left="300"/>
              <w:spacing w:after="0"/>
              <w:rPr>
                <w:sz w:val="20"/>
                <w:szCs w:val="20"/>
                <w:color w:val="auto"/>
              </w:rPr>
            </w:pPr>
            <w:r>
              <w:rPr>
                <w:rFonts w:ascii="Arial" w:cs="Arial" w:eastAsia="Arial" w:hAnsi="Arial"/>
                <w:sz w:val="18"/>
                <w:szCs w:val="18"/>
                <w:color w:val="auto"/>
              </w:rPr>
              <w:t>Compliance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8.04.</w:t>
            </w:r>
          </w:p>
        </w:tc>
        <w:tc>
          <w:tcPr>
            <w:tcW w:w="9240" w:type="dxa"/>
            <w:vAlign w:val="bottom"/>
          </w:tcPr>
          <w:p>
            <w:pPr>
              <w:ind w:left="300"/>
              <w:spacing w:after="0"/>
              <w:rPr>
                <w:sz w:val="20"/>
                <w:szCs w:val="20"/>
                <w:color w:val="auto"/>
              </w:rPr>
            </w:pPr>
            <w:r>
              <w:rPr>
                <w:rFonts w:ascii="Arial" w:cs="Arial" w:eastAsia="Arial" w:hAnsi="Arial"/>
                <w:sz w:val="18"/>
                <w:szCs w:val="18"/>
                <w:color w:val="auto"/>
              </w:rPr>
              <w:t>Revocation and Effect of 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8.05.</w:t>
            </w:r>
          </w:p>
        </w:tc>
        <w:tc>
          <w:tcPr>
            <w:tcW w:w="9240" w:type="dxa"/>
            <w:vAlign w:val="bottom"/>
          </w:tcPr>
          <w:p>
            <w:pPr>
              <w:ind w:left="300"/>
              <w:spacing w:after="0"/>
              <w:rPr>
                <w:sz w:val="20"/>
                <w:szCs w:val="20"/>
                <w:color w:val="auto"/>
              </w:rPr>
            </w:pPr>
            <w:r>
              <w:rPr>
                <w:rFonts w:ascii="Arial" w:cs="Arial" w:eastAsia="Arial" w:hAnsi="Arial"/>
                <w:sz w:val="18"/>
                <w:szCs w:val="18"/>
                <w:color w:val="auto"/>
              </w:rPr>
              <w:t>Notation on or Exchange of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8.06.</w:t>
            </w:r>
          </w:p>
        </w:tc>
        <w:tc>
          <w:tcPr>
            <w:tcW w:w="9240" w:type="dxa"/>
            <w:vAlign w:val="bottom"/>
          </w:tcPr>
          <w:p>
            <w:pPr>
              <w:ind w:left="300"/>
              <w:spacing w:after="0"/>
              <w:rPr>
                <w:sz w:val="20"/>
                <w:szCs w:val="20"/>
                <w:color w:val="auto"/>
              </w:rPr>
            </w:pPr>
            <w:r>
              <w:rPr>
                <w:rFonts w:ascii="Arial" w:cs="Arial" w:eastAsia="Arial" w:hAnsi="Arial"/>
                <w:sz w:val="18"/>
                <w:szCs w:val="18"/>
                <w:color w:val="auto"/>
              </w:rPr>
              <w:t>Trustee To Sign Amendments,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8"/>
              </w:rPr>
              <w:t>ARTICLE NINE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110"/>
              <w:spacing w:after="0"/>
              <w:rPr>
                <w:sz w:val="20"/>
                <w:szCs w:val="20"/>
                <w:color w:val="auto"/>
              </w:rPr>
            </w:pPr>
            <w:r>
              <w:rPr>
                <w:rFonts w:ascii="Arial" w:cs="Arial" w:eastAsia="Arial" w:hAnsi="Arial"/>
                <w:sz w:val="18"/>
                <w:szCs w:val="18"/>
                <w:color w:val="auto"/>
                <w:w w:val="96"/>
              </w:rPr>
              <w:t>DISCHARGE OF INDENTURE; DEFEASANCE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9.01.</w:t>
            </w:r>
          </w:p>
        </w:tc>
        <w:tc>
          <w:tcPr>
            <w:tcW w:w="9240" w:type="dxa"/>
            <w:vAlign w:val="bottom"/>
          </w:tcPr>
          <w:p>
            <w:pPr>
              <w:ind w:left="300"/>
              <w:spacing w:after="0"/>
              <w:rPr>
                <w:sz w:val="20"/>
                <w:szCs w:val="20"/>
                <w:color w:val="auto"/>
              </w:rPr>
            </w:pPr>
            <w:r>
              <w:rPr>
                <w:rFonts w:ascii="Arial" w:cs="Arial" w:eastAsia="Arial" w:hAnsi="Arial"/>
                <w:sz w:val="18"/>
                <w:szCs w:val="18"/>
                <w:color w:val="auto"/>
              </w:rPr>
              <w:t>Discharge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9.02.</w:t>
            </w:r>
          </w:p>
        </w:tc>
        <w:tc>
          <w:tcPr>
            <w:tcW w:w="9240" w:type="dxa"/>
            <w:vAlign w:val="bottom"/>
          </w:tcPr>
          <w:p>
            <w:pPr>
              <w:ind w:left="300"/>
              <w:spacing w:after="0"/>
              <w:rPr>
                <w:sz w:val="20"/>
                <w:szCs w:val="20"/>
                <w:color w:val="auto"/>
              </w:rPr>
            </w:pPr>
            <w:r>
              <w:rPr>
                <w:rFonts w:ascii="Arial" w:cs="Arial" w:eastAsia="Arial" w:hAnsi="Arial"/>
                <w:sz w:val="18"/>
                <w:szCs w:val="18"/>
                <w:color w:val="auto"/>
              </w:rPr>
              <w:t>Legal Defeasance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9.03.</w:t>
            </w:r>
          </w:p>
        </w:tc>
        <w:tc>
          <w:tcPr>
            <w:tcW w:w="9240" w:type="dxa"/>
            <w:vAlign w:val="bottom"/>
          </w:tcPr>
          <w:p>
            <w:pPr>
              <w:ind w:left="300"/>
              <w:spacing w:after="0"/>
              <w:rPr>
                <w:sz w:val="20"/>
                <w:szCs w:val="20"/>
                <w:color w:val="auto"/>
              </w:rPr>
            </w:pPr>
            <w:r>
              <w:rPr>
                <w:rFonts w:ascii="Arial" w:cs="Arial" w:eastAsia="Arial" w:hAnsi="Arial"/>
                <w:sz w:val="18"/>
                <w:szCs w:val="18"/>
                <w:color w:val="auto"/>
              </w:rPr>
              <w:t>Covenant Defeasance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9.04.</w:t>
            </w:r>
          </w:p>
        </w:tc>
        <w:tc>
          <w:tcPr>
            <w:tcW w:w="9240" w:type="dxa"/>
            <w:vAlign w:val="bottom"/>
          </w:tcPr>
          <w:p>
            <w:pPr>
              <w:ind w:left="300"/>
              <w:spacing w:after="0"/>
              <w:rPr>
                <w:sz w:val="20"/>
                <w:szCs w:val="20"/>
                <w:color w:val="auto"/>
              </w:rPr>
            </w:pPr>
            <w:r>
              <w:rPr>
                <w:rFonts w:ascii="Arial" w:cs="Arial" w:eastAsia="Arial" w:hAnsi="Arial"/>
                <w:sz w:val="18"/>
                <w:szCs w:val="18"/>
                <w:color w:val="auto"/>
              </w:rPr>
              <w:t>Conditions to Defeasance or Covenant Defeasance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9"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7"/>
        </w:trPr>
        <w:tc>
          <w:tcPr>
            <w:tcW w:w="1500" w:type="dxa"/>
            <w:vAlign w:val="bottom"/>
            <w:vMerge w:val="restart"/>
          </w:tcPr>
          <w:p>
            <w:pPr>
              <w:spacing w:after="0"/>
              <w:rPr>
                <w:sz w:val="20"/>
                <w:szCs w:val="20"/>
                <w:color w:val="auto"/>
              </w:rPr>
            </w:pPr>
            <w:r>
              <w:rPr>
                <w:rFonts w:ascii="Arial" w:cs="Arial" w:eastAsia="Arial" w:hAnsi="Arial"/>
                <w:sz w:val="18"/>
                <w:szCs w:val="18"/>
                <w:color w:val="auto"/>
              </w:rPr>
              <w:t>SECTION 9.05.</w:t>
            </w:r>
          </w:p>
        </w:tc>
        <w:tc>
          <w:tcPr>
            <w:tcW w:w="8980" w:type="dxa"/>
            <w:vAlign w:val="bottom"/>
            <w:vMerge w:val="restart"/>
          </w:tcPr>
          <w:p>
            <w:pPr>
              <w:ind w:left="240"/>
              <w:spacing w:after="0"/>
              <w:rPr>
                <w:sz w:val="20"/>
                <w:szCs w:val="20"/>
                <w:color w:val="auto"/>
              </w:rPr>
            </w:pPr>
            <w:r>
              <w:rPr>
                <w:rFonts w:ascii="Arial" w:cs="Arial" w:eastAsia="Arial" w:hAnsi="Arial"/>
                <w:sz w:val="18"/>
                <w:szCs w:val="18"/>
                <w:color w:val="auto"/>
              </w:rPr>
              <w:t>Deposited Money and U.S. Government Obligations To Be Held in Trust</w:t>
            </w: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500" w:type="dxa"/>
            <w:vAlign w:val="bottom"/>
            <w:vMerge w:val="continue"/>
          </w:tcPr>
          <w:p>
            <w:pPr>
              <w:spacing w:after="0"/>
              <w:rPr>
                <w:sz w:val="16"/>
                <w:szCs w:val="16"/>
                <w:color w:val="auto"/>
              </w:rPr>
            </w:pPr>
          </w:p>
        </w:tc>
        <w:tc>
          <w:tcPr>
            <w:tcW w:w="8980" w:type="dxa"/>
            <w:vAlign w:val="bottom"/>
            <w:vMerge w:val="continue"/>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9.06.</w:t>
            </w:r>
          </w:p>
        </w:tc>
        <w:tc>
          <w:tcPr>
            <w:tcW w:w="8980" w:type="dxa"/>
            <w:vAlign w:val="bottom"/>
          </w:tcPr>
          <w:p>
            <w:pPr>
              <w:ind w:left="240"/>
              <w:spacing w:after="0"/>
              <w:rPr>
                <w:sz w:val="20"/>
                <w:szCs w:val="20"/>
                <w:color w:val="auto"/>
              </w:rPr>
            </w:pPr>
            <w:r>
              <w:rPr>
                <w:rFonts w:ascii="Arial" w:cs="Arial" w:eastAsia="Arial" w:hAnsi="Arial"/>
                <w:sz w:val="18"/>
                <w:szCs w:val="18"/>
                <w:color w:val="auto"/>
              </w:rPr>
              <w:t>Reinstatement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9.07.</w:t>
            </w:r>
          </w:p>
        </w:tc>
        <w:tc>
          <w:tcPr>
            <w:tcW w:w="8980" w:type="dxa"/>
            <w:vAlign w:val="bottom"/>
          </w:tcPr>
          <w:p>
            <w:pPr>
              <w:ind w:left="240"/>
              <w:spacing w:after="0"/>
              <w:rPr>
                <w:sz w:val="20"/>
                <w:szCs w:val="20"/>
                <w:color w:val="auto"/>
              </w:rPr>
            </w:pPr>
            <w:r>
              <w:rPr>
                <w:rFonts w:ascii="Arial" w:cs="Arial" w:eastAsia="Arial" w:hAnsi="Arial"/>
                <w:sz w:val="18"/>
                <w:szCs w:val="18"/>
                <w:color w:val="auto"/>
              </w:rPr>
              <w:t>Moneys Held by Paying Agent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9.08.</w:t>
            </w:r>
          </w:p>
        </w:tc>
        <w:tc>
          <w:tcPr>
            <w:tcW w:w="8980" w:type="dxa"/>
            <w:vAlign w:val="bottom"/>
          </w:tcPr>
          <w:p>
            <w:pPr>
              <w:ind w:left="240"/>
              <w:spacing w:after="0"/>
              <w:rPr>
                <w:sz w:val="20"/>
                <w:szCs w:val="20"/>
                <w:color w:val="auto"/>
              </w:rPr>
            </w:pPr>
            <w:r>
              <w:rPr>
                <w:rFonts w:ascii="Arial" w:cs="Arial" w:eastAsia="Arial" w:hAnsi="Arial"/>
                <w:sz w:val="18"/>
                <w:szCs w:val="18"/>
                <w:color w:val="auto"/>
              </w:rPr>
              <w:t>Moneys Held by Trustee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8980" w:type="dxa"/>
            <w:vAlign w:val="bottom"/>
          </w:tcPr>
          <w:p>
            <w:pPr>
              <w:jc w:val="center"/>
              <w:ind w:left="30"/>
              <w:spacing w:after="0"/>
              <w:rPr>
                <w:sz w:val="20"/>
                <w:szCs w:val="20"/>
                <w:color w:val="auto"/>
              </w:rPr>
            </w:pPr>
            <w:r>
              <w:rPr>
                <w:rFonts w:ascii="Arial" w:cs="Arial" w:eastAsia="Arial" w:hAnsi="Arial"/>
                <w:sz w:val="18"/>
                <w:szCs w:val="18"/>
                <w:color w:val="auto"/>
                <w:w w:val="97"/>
              </w:rPr>
              <w:t>ARTICLE TEN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8980" w:type="dxa"/>
            <w:vAlign w:val="bottom"/>
          </w:tcPr>
          <w:p>
            <w:pPr>
              <w:jc w:val="center"/>
              <w:ind w:left="50"/>
              <w:spacing w:after="0"/>
              <w:rPr>
                <w:sz w:val="20"/>
                <w:szCs w:val="20"/>
                <w:color w:val="auto"/>
              </w:rPr>
            </w:pPr>
            <w:r>
              <w:rPr>
                <w:rFonts w:ascii="Arial" w:cs="Arial" w:eastAsia="Arial" w:hAnsi="Arial"/>
                <w:sz w:val="18"/>
                <w:szCs w:val="18"/>
                <w:color w:val="auto"/>
                <w:w w:val="95"/>
              </w:rPr>
              <w:t>GUARANTEE OF SECURITIES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10.01.</w:t>
            </w:r>
          </w:p>
        </w:tc>
        <w:tc>
          <w:tcPr>
            <w:tcW w:w="8980" w:type="dxa"/>
            <w:vAlign w:val="bottom"/>
          </w:tcPr>
          <w:p>
            <w:pPr>
              <w:ind w:left="240"/>
              <w:spacing w:after="0"/>
              <w:rPr>
                <w:sz w:val="20"/>
                <w:szCs w:val="20"/>
                <w:color w:val="auto"/>
              </w:rPr>
            </w:pPr>
            <w:r>
              <w:rPr>
                <w:rFonts w:ascii="Arial" w:cs="Arial" w:eastAsia="Arial" w:hAnsi="Arial"/>
                <w:sz w:val="18"/>
                <w:szCs w:val="18"/>
                <w:color w:val="auto"/>
              </w:rPr>
              <w:t>Guarantee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10.02.</w:t>
            </w:r>
          </w:p>
        </w:tc>
        <w:tc>
          <w:tcPr>
            <w:tcW w:w="8980" w:type="dxa"/>
            <w:vAlign w:val="bottom"/>
          </w:tcPr>
          <w:p>
            <w:pPr>
              <w:ind w:left="240"/>
              <w:spacing w:after="0"/>
              <w:rPr>
                <w:sz w:val="20"/>
                <w:szCs w:val="20"/>
                <w:color w:val="auto"/>
              </w:rPr>
            </w:pPr>
            <w:r>
              <w:rPr>
                <w:rFonts w:ascii="Arial" w:cs="Arial" w:eastAsia="Arial" w:hAnsi="Arial"/>
                <w:sz w:val="18"/>
                <w:szCs w:val="18"/>
                <w:color w:val="auto"/>
              </w:rPr>
              <w:t>Execution and Delivery of Note Guarantee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10.03.</w:t>
            </w:r>
          </w:p>
        </w:tc>
        <w:tc>
          <w:tcPr>
            <w:tcW w:w="8980" w:type="dxa"/>
            <w:vAlign w:val="bottom"/>
          </w:tcPr>
          <w:p>
            <w:pPr>
              <w:ind w:left="240"/>
              <w:spacing w:after="0"/>
              <w:rPr>
                <w:sz w:val="20"/>
                <w:szCs w:val="20"/>
                <w:color w:val="auto"/>
              </w:rPr>
            </w:pPr>
            <w:r>
              <w:rPr>
                <w:rFonts w:ascii="Arial" w:cs="Arial" w:eastAsia="Arial" w:hAnsi="Arial"/>
                <w:sz w:val="18"/>
                <w:szCs w:val="18"/>
                <w:color w:val="auto"/>
              </w:rPr>
              <w:t>Release of Guarantors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10.04.</w:t>
            </w:r>
          </w:p>
        </w:tc>
        <w:tc>
          <w:tcPr>
            <w:tcW w:w="8980" w:type="dxa"/>
            <w:vAlign w:val="bottom"/>
          </w:tcPr>
          <w:p>
            <w:pPr>
              <w:ind w:left="240"/>
              <w:spacing w:after="0"/>
              <w:rPr>
                <w:sz w:val="20"/>
                <w:szCs w:val="20"/>
                <w:color w:val="auto"/>
              </w:rPr>
            </w:pPr>
            <w:r>
              <w:rPr>
                <w:rFonts w:ascii="Arial" w:cs="Arial" w:eastAsia="Arial" w:hAnsi="Arial"/>
                <w:sz w:val="18"/>
                <w:szCs w:val="18"/>
                <w:color w:val="auto"/>
              </w:rPr>
              <w:t>Waiver of Subrogation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10.05.</w:t>
            </w:r>
          </w:p>
        </w:tc>
        <w:tc>
          <w:tcPr>
            <w:tcW w:w="8980" w:type="dxa"/>
            <w:vAlign w:val="bottom"/>
          </w:tcPr>
          <w:p>
            <w:pPr>
              <w:ind w:left="240"/>
              <w:spacing w:after="0"/>
              <w:rPr>
                <w:sz w:val="20"/>
                <w:szCs w:val="20"/>
                <w:color w:val="auto"/>
              </w:rPr>
            </w:pPr>
            <w:r>
              <w:rPr>
                <w:rFonts w:ascii="Arial" w:cs="Arial" w:eastAsia="Arial" w:hAnsi="Arial"/>
                <w:sz w:val="18"/>
                <w:szCs w:val="18"/>
                <w:color w:val="auto"/>
              </w:rPr>
              <w:t>Notice to Trustee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10.06.</w:t>
            </w:r>
          </w:p>
        </w:tc>
        <w:tc>
          <w:tcPr>
            <w:tcW w:w="8980" w:type="dxa"/>
            <w:vAlign w:val="bottom"/>
          </w:tcPr>
          <w:p>
            <w:pPr>
              <w:ind w:left="240"/>
              <w:spacing w:after="0"/>
              <w:rPr>
                <w:sz w:val="20"/>
                <w:szCs w:val="20"/>
                <w:color w:val="auto"/>
              </w:rPr>
            </w:pPr>
            <w:r>
              <w:rPr>
                <w:rFonts w:ascii="Arial" w:cs="Arial" w:eastAsia="Arial" w:hAnsi="Arial"/>
                <w:sz w:val="18"/>
                <w:szCs w:val="18"/>
                <w:color w:val="auto"/>
              </w:rPr>
              <w:t>Limitation on Guarantor’s Liability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8980" w:type="dxa"/>
            <w:vAlign w:val="bottom"/>
          </w:tcPr>
          <w:p>
            <w:pPr>
              <w:jc w:val="center"/>
              <w:ind w:left="30"/>
              <w:spacing w:after="0"/>
              <w:rPr>
                <w:sz w:val="20"/>
                <w:szCs w:val="20"/>
                <w:color w:val="auto"/>
              </w:rPr>
            </w:pPr>
            <w:r>
              <w:rPr>
                <w:rFonts w:ascii="Arial" w:cs="Arial" w:eastAsia="Arial" w:hAnsi="Arial"/>
                <w:sz w:val="18"/>
                <w:szCs w:val="18"/>
                <w:color w:val="auto"/>
                <w:w w:val="98"/>
              </w:rPr>
              <w:t>ARTICLE ELEVEN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8980" w:type="dxa"/>
            <w:vAlign w:val="bottom"/>
          </w:tcPr>
          <w:p>
            <w:pPr>
              <w:jc w:val="center"/>
              <w:ind w:left="30"/>
              <w:spacing w:after="0"/>
              <w:rPr>
                <w:sz w:val="20"/>
                <w:szCs w:val="20"/>
                <w:color w:val="auto"/>
              </w:rPr>
            </w:pPr>
            <w:r>
              <w:rPr>
                <w:rFonts w:ascii="Arial" w:cs="Arial" w:eastAsia="Arial" w:hAnsi="Arial"/>
                <w:sz w:val="18"/>
                <w:szCs w:val="18"/>
                <w:color w:val="auto"/>
                <w:w w:val="97"/>
              </w:rPr>
              <w:t>MISCELLANEOUS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11.01.</w:t>
            </w:r>
          </w:p>
        </w:tc>
        <w:tc>
          <w:tcPr>
            <w:tcW w:w="8980" w:type="dxa"/>
            <w:vAlign w:val="bottom"/>
          </w:tcPr>
          <w:p>
            <w:pPr>
              <w:ind w:left="240"/>
              <w:spacing w:after="0"/>
              <w:rPr>
                <w:sz w:val="20"/>
                <w:szCs w:val="20"/>
                <w:color w:val="auto"/>
              </w:rPr>
            </w:pPr>
            <w:r>
              <w:rPr>
                <w:rFonts w:ascii="Arial" w:cs="Arial" w:eastAsia="Arial" w:hAnsi="Arial"/>
                <w:sz w:val="18"/>
                <w:szCs w:val="18"/>
                <w:color w:val="auto"/>
              </w:rPr>
              <w:t>Trust Indenture Act Controls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11.02.</w:t>
            </w:r>
          </w:p>
        </w:tc>
        <w:tc>
          <w:tcPr>
            <w:tcW w:w="8980" w:type="dxa"/>
            <w:vAlign w:val="bottom"/>
          </w:tcPr>
          <w:p>
            <w:pPr>
              <w:ind w:left="240"/>
              <w:spacing w:after="0"/>
              <w:rPr>
                <w:sz w:val="20"/>
                <w:szCs w:val="20"/>
                <w:color w:val="auto"/>
              </w:rPr>
            </w:pPr>
            <w:r>
              <w:rPr>
                <w:rFonts w:ascii="Arial" w:cs="Arial" w:eastAsia="Arial" w:hAnsi="Arial"/>
                <w:sz w:val="18"/>
                <w:szCs w:val="18"/>
                <w:color w:val="auto"/>
              </w:rPr>
              <w:t>Notices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11.03.</w:t>
            </w:r>
          </w:p>
        </w:tc>
        <w:tc>
          <w:tcPr>
            <w:tcW w:w="8980" w:type="dxa"/>
            <w:vAlign w:val="bottom"/>
          </w:tcPr>
          <w:p>
            <w:pPr>
              <w:ind w:left="240"/>
              <w:spacing w:after="0"/>
              <w:rPr>
                <w:sz w:val="20"/>
                <w:szCs w:val="20"/>
                <w:color w:val="auto"/>
              </w:rPr>
            </w:pPr>
            <w:r>
              <w:rPr>
                <w:rFonts w:ascii="Arial" w:cs="Arial" w:eastAsia="Arial" w:hAnsi="Arial"/>
                <w:sz w:val="18"/>
                <w:szCs w:val="18"/>
                <w:color w:val="auto"/>
              </w:rPr>
              <w:t>Communications by Holders with Other Holders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11.04.</w:t>
            </w:r>
          </w:p>
        </w:tc>
        <w:tc>
          <w:tcPr>
            <w:tcW w:w="8980" w:type="dxa"/>
            <w:vAlign w:val="bottom"/>
          </w:tcPr>
          <w:p>
            <w:pPr>
              <w:ind w:left="240"/>
              <w:spacing w:after="0"/>
              <w:rPr>
                <w:sz w:val="20"/>
                <w:szCs w:val="20"/>
                <w:color w:val="auto"/>
              </w:rPr>
            </w:pPr>
            <w:r>
              <w:rPr>
                <w:rFonts w:ascii="Arial" w:cs="Arial" w:eastAsia="Arial" w:hAnsi="Arial"/>
                <w:sz w:val="18"/>
                <w:szCs w:val="18"/>
                <w:color w:val="auto"/>
              </w:rPr>
              <w:t>Certificate and Opinion as to Conditions Precedent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11.05.</w:t>
            </w:r>
          </w:p>
        </w:tc>
        <w:tc>
          <w:tcPr>
            <w:tcW w:w="8980" w:type="dxa"/>
            <w:vAlign w:val="bottom"/>
          </w:tcPr>
          <w:p>
            <w:pPr>
              <w:ind w:left="240"/>
              <w:spacing w:after="0"/>
              <w:rPr>
                <w:sz w:val="20"/>
                <w:szCs w:val="20"/>
                <w:color w:val="auto"/>
              </w:rPr>
            </w:pPr>
            <w:r>
              <w:rPr>
                <w:rFonts w:ascii="Arial" w:cs="Arial" w:eastAsia="Arial" w:hAnsi="Arial"/>
                <w:sz w:val="18"/>
                <w:szCs w:val="18"/>
                <w:color w:val="auto"/>
              </w:rPr>
              <w:t>Statements Required in Certificate and Opinion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11.06.</w:t>
            </w:r>
          </w:p>
        </w:tc>
        <w:tc>
          <w:tcPr>
            <w:tcW w:w="8980" w:type="dxa"/>
            <w:vAlign w:val="bottom"/>
          </w:tcPr>
          <w:p>
            <w:pPr>
              <w:ind w:left="240"/>
              <w:spacing w:after="0"/>
              <w:rPr>
                <w:sz w:val="20"/>
                <w:szCs w:val="20"/>
                <w:color w:val="auto"/>
              </w:rPr>
            </w:pPr>
            <w:r>
              <w:rPr>
                <w:rFonts w:ascii="Arial" w:cs="Arial" w:eastAsia="Arial" w:hAnsi="Arial"/>
                <w:sz w:val="18"/>
                <w:szCs w:val="18"/>
                <w:color w:val="auto"/>
              </w:rPr>
              <w:t>Rules by Trustee and Agents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11.07.</w:t>
            </w:r>
          </w:p>
        </w:tc>
        <w:tc>
          <w:tcPr>
            <w:tcW w:w="8980" w:type="dxa"/>
            <w:vAlign w:val="bottom"/>
          </w:tcPr>
          <w:p>
            <w:pPr>
              <w:ind w:left="240"/>
              <w:spacing w:after="0"/>
              <w:rPr>
                <w:sz w:val="20"/>
                <w:szCs w:val="20"/>
                <w:color w:val="auto"/>
              </w:rPr>
            </w:pPr>
            <w:r>
              <w:rPr>
                <w:rFonts w:ascii="Arial" w:cs="Arial" w:eastAsia="Arial" w:hAnsi="Arial"/>
                <w:sz w:val="18"/>
                <w:szCs w:val="18"/>
                <w:color w:val="auto"/>
              </w:rPr>
              <w:t>Business Days; Legal Holidays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11.08.</w:t>
            </w:r>
          </w:p>
        </w:tc>
        <w:tc>
          <w:tcPr>
            <w:tcW w:w="898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11.09.</w:t>
            </w:r>
          </w:p>
        </w:tc>
        <w:tc>
          <w:tcPr>
            <w:tcW w:w="898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11.10.</w:t>
            </w:r>
          </w:p>
        </w:tc>
        <w:tc>
          <w:tcPr>
            <w:tcW w:w="898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11.11.</w:t>
            </w:r>
          </w:p>
        </w:tc>
        <w:tc>
          <w:tcPr>
            <w:tcW w:w="8980" w:type="dxa"/>
            <w:vAlign w:val="bottom"/>
          </w:tcPr>
          <w:p>
            <w:pPr>
              <w:ind w:left="240"/>
              <w:spacing w:after="0"/>
              <w:rPr>
                <w:sz w:val="20"/>
                <w:szCs w:val="20"/>
                <w:color w:val="auto"/>
              </w:rPr>
            </w:pPr>
            <w:r>
              <w:rPr>
                <w:rFonts w:ascii="Arial" w:cs="Arial" w:eastAsia="Arial" w:hAnsi="Arial"/>
                <w:sz w:val="18"/>
                <w:szCs w:val="18"/>
                <w:color w:val="auto"/>
              </w:rPr>
              <w:t>Multiple Counterparts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11.12.</w:t>
            </w:r>
          </w:p>
        </w:tc>
        <w:tc>
          <w:tcPr>
            <w:tcW w:w="898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11.13.</w:t>
            </w:r>
          </w:p>
        </w:tc>
        <w:tc>
          <w:tcPr>
            <w:tcW w:w="8980" w:type="dxa"/>
            <w:vAlign w:val="bottom"/>
          </w:tcPr>
          <w:p>
            <w:pPr>
              <w:ind w:left="240"/>
              <w:spacing w:after="0"/>
              <w:rPr>
                <w:sz w:val="20"/>
                <w:szCs w:val="20"/>
                <w:color w:val="auto"/>
              </w:rPr>
            </w:pPr>
            <w:r>
              <w:rPr>
                <w:rFonts w:ascii="Arial" w:cs="Arial" w:eastAsia="Arial" w:hAnsi="Arial"/>
                <w:sz w:val="18"/>
                <w:szCs w:val="18"/>
                <w:color w:val="auto"/>
              </w:rPr>
              <w:t>Separability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11.14.</w:t>
            </w:r>
          </w:p>
        </w:tc>
        <w:tc>
          <w:tcPr>
            <w:tcW w:w="898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11.15.</w:t>
            </w:r>
          </w:p>
        </w:tc>
        <w:tc>
          <w:tcPr>
            <w:tcW w:w="898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11.16.</w:t>
            </w:r>
          </w:p>
        </w:tc>
        <w:tc>
          <w:tcPr>
            <w:tcW w:w="8980" w:type="dxa"/>
            <w:vAlign w:val="bottom"/>
          </w:tcPr>
          <w:p>
            <w:pPr>
              <w:ind w:left="240"/>
              <w:spacing w:after="0"/>
              <w:rPr>
                <w:sz w:val="20"/>
                <w:szCs w:val="20"/>
                <w:color w:val="auto"/>
              </w:rPr>
            </w:pPr>
            <w:r>
              <w:rPr>
                <w:rFonts w:ascii="Arial" w:cs="Arial" w:eastAsia="Arial" w:hAnsi="Arial"/>
                <w:sz w:val="18"/>
                <w:szCs w:val="18"/>
                <w:color w:val="auto"/>
              </w:rPr>
              <w:t>Submission to Jurisdiction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SIGNATURES</w:t>
            </w:r>
          </w:p>
        </w:tc>
        <w:tc>
          <w:tcPr>
            <w:tcW w:w="89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8980" w:type="dxa"/>
            <w:vAlign w:val="bottom"/>
          </w:tcPr>
          <w:p>
            <w:pPr>
              <w:jc w:val="center"/>
              <w:ind w:left="30"/>
              <w:spacing w:after="0"/>
              <w:rPr>
                <w:sz w:val="20"/>
                <w:szCs w:val="20"/>
                <w:color w:val="auto"/>
              </w:rPr>
            </w:pPr>
            <w:r>
              <w:rPr>
                <w:rFonts w:ascii="Arial" w:cs="Arial" w:eastAsia="Arial" w:hAnsi="Arial"/>
                <w:sz w:val="18"/>
                <w:szCs w:val="18"/>
                <w:color w:val="auto"/>
                <w:w w:val="99"/>
              </w:rPr>
              <w:t>EXHIBITS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Exhibit A-1.</w:t>
            </w:r>
          </w:p>
        </w:tc>
        <w:tc>
          <w:tcPr>
            <w:tcW w:w="8980" w:type="dxa"/>
            <w:vAlign w:val="bottom"/>
          </w:tcPr>
          <w:p>
            <w:pPr>
              <w:ind w:left="240"/>
              <w:spacing w:after="0"/>
              <w:rPr>
                <w:sz w:val="20"/>
                <w:szCs w:val="20"/>
                <w:color w:val="auto"/>
              </w:rPr>
            </w:pPr>
            <w:r>
              <w:rPr>
                <w:rFonts w:ascii="Arial" w:cs="Arial" w:eastAsia="Arial" w:hAnsi="Arial"/>
                <w:sz w:val="18"/>
                <w:szCs w:val="18"/>
                <w:color w:val="auto"/>
              </w:rPr>
              <w:t>Form of Restricted Note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Exhibit A-2.</w:t>
            </w:r>
          </w:p>
        </w:tc>
        <w:tc>
          <w:tcPr>
            <w:tcW w:w="8980" w:type="dxa"/>
            <w:vAlign w:val="bottom"/>
          </w:tcPr>
          <w:p>
            <w:pPr>
              <w:ind w:left="240"/>
              <w:spacing w:after="0"/>
              <w:rPr>
                <w:sz w:val="20"/>
                <w:szCs w:val="20"/>
                <w:color w:val="auto"/>
              </w:rPr>
            </w:pPr>
            <w:r>
              <w:rPr>
                <w:rFonts w:ascii="Arial" w:cs="Arial" w:eastAsia="Arial" w:hAnsi="Arial"/>
                <w:sz w:val="18"/>
                <w:szCs w:val="18"/>
                <w:color w:val="auto"/>
              </w:rPr>
              <w:t>Form of Unrestricted Note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Exhibit B.</w:t>
            </w:r>
          </w:p>
        </w:tc>
        <w:tc>
          <w:tcPr>
            <w:tcW w:w="8980" w:type="dxa"/>
            <w:vAlign w:val="bottom"/>
          </w:tcPr>
          <w:p>
            <w:pPr>
              <w:ind w:left="240"/>
              <w:spacing w:after="0"/>
              <w:rPr>
                <w:sz w:val="20"/>
                <w:szCs w:val="20"/>
                <w:color w:val="auto"/>
              </w:rPr>
            </w:pPr>
            <w:r>
              <w:rPr>
                <w:rFonts w:ascii="Arial" w:cs="Arial" w:eastAsia="Arial" w:hAnsi="Arial"/>
                <w:sz w:val="18"/>
                <w:szCs w:val="18"/>
                <w:color w:val="auto"/>
              </w:rPr>
              <w:t>Form of Private Placement Legend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69"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7"/>
        </w:trPr>
        <w:tc>
          <w:tcPr>
            <w:tcW w:w="1240" w:type="dxa"/>
            <w:vAlign w:val="bottom"/>
            <w:vMerge w:val="restart"/>
          </w:tcPr>
          <w:p>
            <w:pPr>
              <w:spacing w:after="0"/>
              <w:rPr>
                <w:sz w:val="20"/>
                <w:szCs w:val="20"/>
                <w:color w:val="auto"/>
              </w:rPr>
            </w:pPr>
            <w:r>
              <w:rPr>
                <w:rFonts w:ascii="Arial" w:cs="Arial" w:eastAsia="Arial" w:hAnsi="Arial"/>
                <w:sz w:val="18"/>
                <w:szCs w:val="18"/>
                <w:color w:val="auto"/>
              </w:rPr>
              <w:t>Exhibit C.</w:t>
            </w:r>
          </w:p>
        </w:tc>
        <w:tc>
          <w:tcPr>
            <w:tcW w:w="9380" w:type="dxa"/>
            <w:vAlign w:val="bottom"/>
            <w:vMerge w:val="restart"/>
          </w:tcPr>
          <w:p>
            <w:pPr>
              <w:ind w:left="500"/>
              <w:spacing w:after="0"/>
              <w:rPr>
                <w:sz w:val="20"/>
                <w:szCs w:val="20"/>
                <w:color w:val="auto"/>
              </w:rPr>
            </w:pPr>
            <w:r>
              <w:rPr>
                <w:rFonts w:ascii="Arial" w:cs="Arial" w:eastAsia="Arial" w:hAnsi="Arial"/>
                <w:sz w:val="18"/>
                <w:szCs w:val="18"/>
                <w:color w:val="auto"/>
              </w:rPr>
              <w:t>Form of Legend for Global Note</w:t>
            </w: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9380" w:type="dxa"/>
            <w:vAlign w:val="bottom"/>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C-1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D.</w:t>
            </w:r>
          </w:p>
        </w:tc>
        <w:tc>
          <w:tcPr>
            <w:tcW w:w="9380" w:type="dxa"/>
            <w:vAlign w:val="bottom"/>
          </w:tcPr>
          <w:p>
            <w:pPr>
              <w:ind w:left="500"/>
              <w:spacing w:after="0"/>
              <w:rPr>
                <w:sz w:val="20"/>
                <w:szCs w:val="20"/>
                <w:color w:val="auto"/>
              </w:rPr>
            </w:pPr>
            <w:r>
              <w:rPr>
                <w:rFonts w:ascii="Arial" w:cs="Arial" w:eastAsia="Arial" w:hAnsi="Arial"/>
                <w:sz w:val="18"/>
                <w:szCs w:val="18"/>
                <w:color w:val="auto"/>
              </w:rPr>
              <w:t>Form of OID Legend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E.</w:t>
            </w:r>
          </w:p>
        </w:tc>
        <w:tc>
          <w:tcPr>
            <w:tcW w:w="9380" w:type="dxa"/>
            <w:vAlign w:val="bottom"/>
          </w:tcPr>
          <w:p>
            <w:pPr>
              <w:ind w:left="500"/>
              <w:spacing w:after="0"/>
              <w:rPr>
                <w:sz w:val="20"/>
                <w:szCs w:val="20"/>
                <w:color w:val="auto"/>
              </w:rPr>
            </w:pPr>
            <w:r>
              <w:rPr>
                <w:rFonts w:ascii="Arial" w:cs="Arial" w:eastAsia="Arial" w:hAnsi="Arial"/>
                <w:sz w:val="18"/>
                <w:szCs w:val="18"/>
                <w:color w:val="auto"/>
              </w:rPr>
              <w:t>Form of Temporary Regulation S Legend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F.</w:t>
            </w:r>
          </w:p>
        </w:tc>
        <w:tc>
          <w:tcPr>
            <w:tcW w:w="9380" w:type="dxa"/>
            <w:vAlign w:val="bottom"/>
          </w:tcPr>
          <w:p>
            <w:pPr>
              <w:ind w:left="500"/>
              <w:spacing w:after="0"/>
              <w:rPr>
                <w:sz w:val="20"/>
                <w:szCs w:val="20"/>
                <w:color w:val="auto"/>
              </w:rPr>
            </w:pPr>
            <w:r>
              <w:rPr>
                <w:rFonts w:ascii="Arial" w:cs="Arial" w:eastAsia="Arial" w:hAnsi="Arial"/>
                <w:sz w:val="18"/>
                <w:szCs w:val="18"/>
                <w:color w:val="auto"/>
              </w:rPr>
              <w:t>Form of Certificate of Transfer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G.</w:t>
            </w:r>
          </w:p>
        </w:tc>
        <w:tc>
          <w:tcPr>
            <w:tcW w:w="9380" w:type="dxa"/>
            <w:vAlign w:val="bottom"/>
          </w:tcPr>
          <w:p>
            <w:pPr>
              <w:ind w:left="500"/>
              <w:spacing w:after="0"/>
              <w:rPr>
                <w:sz w:val="20"/>
                <w:szCs w:val="20"/>
                <w:color w:val="auto"/>
              </w:rPr>
            </w:pPr>
            <w:r>
              <w:rPr>
                <w:rFonts w:ascii="Arial" w:cs="Arial" w:eastAsia="Arial" w:hAnsi="Arial"/>
                <w:sz w:val="18"/>
                <w:szCs w:val="18"/>
                <w:color w:val="auto"/>
              </w:rPr>
              <w:t>Form of Certificate of Exchange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G-1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H.</w:t>
            </w:r>
          </w:p>
        </w:tc>
        <w:tc>
          <w:tcPr>
            <w:tcW w:w="9380" w:type="dxa"/>
            <w:vAlign w:val="bottom"/>
          </w:tcPr>
          <w:p>
            <w:pPr>
              <w:ind w:left="500"/>
              <w:spacing w:after="0"/>
              <w:rPr>
                <w:sz w:val="20"/>
                <w:szCs w:val="20"/>
                <w:color w:val="auto"/>
              </w:rPr>
            </w:pPr>
            <w:r>
              <w:rPr>
                <w:rFonts w:ascii="Arial" w:cs="Arial" w:eastAsia="Arial" w:hAnsi="Arial"/>
                <w:sz w:val="18"/>
                <w:szCs w:val="18"/>
                <w:color w:val="auto"/>
              </w:rPr>
              <w:t>Form of Certificate from Acquiring Institutional Accredited Investor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H-1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Exhibit I.</w:t>
            </w:r>
          </w:p>
        </w:tc>
        <w:tc>
          <w:tcPr>
            <w:tcW w:w="9380" w:type="dxa"/>
            <w:vAlign w:val="bottom"/>
          </w:tcPr>
          <w:p>
            <w:pPr>
              <w:ind w:left="500"/>
              <w:spacing w:after="0"/>
              <w:rPr>
                <w:sz w:val="20"/>
                <w:szCs w:val="20"/>
                <w:color w:val="auto"/>
              </w:rPr>
            </w:pPr>
            <w:r>
              <w:rPr>
                <w:rFonts w:ascii="Arial" w:cs="Arial" w:eastAsia="Arial" w:hAnsi="Arial"/>
                <w:sz w:val="18"/>
                <w:szCs w:val="18"/>
                <w:color w:val="auto"/>
              </w:rPr>
              <w:t>Form of Note Guarantee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69" w:right="499" w:bottom="1440" w:gutter="0" w:footer="0" w:header="0"/>
        </w:sectPr>
      </w:pPr>
    </w:p>
    <w:bookmarkStart w:id="11" w:name="page12"/>
    <w:bookmarkEnd w:id="11"/>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March 17, 2022 among Crown Americas LLC, a Pennsylvania limited liability company, the Guarantors (as defined)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ONE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has the meaning set forth for such term in the Registration Rights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has the meaning set forth in Section 2.01.</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or agent for service or notices and demands.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Members</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w:t>
      </w:r>
      <w:r>
        <w:rPr>
          <w:rFonts w:ascii="Arial" w:cs="Arial" w:eastAsia="Arial" w:hAnsi="Arial"/>
          <w:sz w:val="17"/>
          <w:szCs w:val="17"/>
          <w:color w:val="auto"/>
        </w:rPr>
        <w:t>” means to amend, supplement, restate, amend and restate or otherwise modify; and “</w:t>
      </w:r>
      <w:r>
        <w:rPr>
          <w:rFonts w:ascii="Arial" w:cs="Arial" w:eastAsia="Arial" w:hAnsi="Arial"/>
          <w:sz w:val="17"/>
          <w:szCs w:val="17"/>
          <w:u w:val="single" w:color="auto"/>
          <w:color w:val="auto"/>
        </w:rPr>
        <w:t>amendment</w:t>
      </w:r>
      <w:r>
        <w:rPr>
          <w:rFonts w:ascii="Arial" w:cs="Arial" w:eastAsia="Arial" w:hAnsi="Arial"/>
          <w:sz w:val="17"/>
          <w:szCs w:val="17"/>
          <w:color w:val="auto"/>
        </w:rPr>
        <w:t>” shall have a correlative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meaning.</w:t>
      </w:r>
    </w:p>
    <w:p>
      <w:pPr>
        <w:spacing w:after="0" w:line="21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Treasury Rate</w:t>
      </w:r>
      <w:r>
        <w:rPr>
          <w:rFonts w:ascii="Arial" w:cs="Arial" w:eastAsia="Arial" w:hAnsi="Arial"/>
          <w:sz w:val="18"/>
          <w:szCs w:val="18"/>
          <w:color w:val="auto"/>
        </w:rPr>
        <w:t xml:space="preserve">” for any Make-Whole Redemption Date means the weekly average rounded to the nearest 1/100th of a percentage point (for the most recently completed week for which such information is available as of the date that is two business days prior to the Make-Whole Redemption Date) of the yield to maturity at the time of computation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Make-Whole Redemption Date to January 1, 2030;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Make-</w:t>
      </w:r>
    </w:p>
    <w:p>
      <w:pPr>
        <w:sectPr>
          <w:pgSz w:w="11900" w:h="16838" w:orient="portrait"/>
          <w:cols w:equalWidth="0" w:num="1">
            <w:col w:w="10960"/>
          </w:cols>
          <w:pgMar w:left="440" w:top="274" w:right="49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Whole Redemption Date to January 1, 2030 is not equal to the constant maturity of a United States Treasury security for which a weekly average yield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given, the Applicable Treasury Rate shall be obtained by linear interpolation (calculated to the nearest one- twelfth of a year) from the weekly average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yields of United States Treasury securities for which such yields are given except that if the period from the Make-Whole Redemption Date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 2030 is less than one year, the weekly average yield on actively traded United States Treasury securities adjusted to a constant maturity of 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shall be used.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w:t>
      </w:r>
      <w:r>
        <w:rPr>
          <w:rFonts w:ascii="Arial" w:cs="Arial" w:eastAsia="Arial" w:hAnsi="Arial"/>
          <w:sz w:val="18"/>
          <w:szCs w:val="18"/>
          <w:color w:val="auto"/>
        </w:rPr>
        <w:t>” means any asset or property, whether real, personal or mixed, tangible or intangible.</w:t>
      </w:r>
    </w:p>
    <w:p>
      <w:pPr>
        <w:spacing w:after="0" w:line="225"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Debt</w:t>
      </w:r>
      <w:r>
        <w:rPr>
          <w:rFonts w:ascii="Arial" w:cs="Arial" w:eastAsia="Arial" w:hAnsi="Arial"/>
          <w:sz w:val="17"/>
          <w:szCs w:val="17"/>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78"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means any person who is designated in writing by the Issuer from time to time to give Instructions to the Trustee or Agent under the terms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of the United States Code, as amended, or any similar federal, state, local or foreign law for the relief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comparable governing body of such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has the meaning set forth in Section 11.07.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Corp. V</w:t>
      </w:r>
      <w:r>
        <w:rPr>
          <w:rFonts w:ascii="Arial" w:cs="Arial" w:eastAsia="Arial" w:hAnsi="Arial"/>
          <w:sz w:val="18"/>
          <w:szCs w:val="18"/>
          <w:color w:val="auto"/>
        </w:rPr>
        <w:t>” means Crown Americas Capital Corp. V, a Delaware corporation.</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680" w:hanging="26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right="740" w:firstLine="419"/>
        <w:spacing w:after="0" w:line="277" w:lineRule="auto"/>
        <w:tabs>
          <w:tab w:leader="none" w:pos="67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 and</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80" w:firstLine="419"/>
        <w:spacing w:after="0" w:line="311"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40" w:lineRule="exact"/>
        <w:rPr>
          <w:rFonts w:ascii="Arial" w:cs="Arial" w:eastAsia="Arial" w:hAnsi="Arial"/>
          <w:sz w:val="16"/>
          <w:szCs w:val="16"/>
          <w:color w:val="auto"/>
        </w:rPr>
      </w:pPr>
    </w:p>
    <w:p>
      <w:pPr>
        <w:ind w:left="680" w:hanging="26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adoption of a plan for the liquidation or dissolution of Parent or the Issuer (other than in a transaction that complies with Article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Five);</w:t>
      </w:r>
    </w:p>
    <w:p>
      <w:pPr>
        <w:spacing w:after="0" w:line="102" w:lineRule="exact"/>
        <w:rPr>
          <w:rFonts w:ascii="Arial" w:cs="Arial" w:eastAsia="Arial" w:hAnsi="Arial"/>
          <w:sz w:val="17"/>
          <w:szCs w:val="17"/>
          <w:color w:val="auto"/>
        </w:rPr>
      </w:pPr>
    </w:p>
    <w:p>
      <w:pPr>
        <w:ind w:firstLine="419"/>
        <w:spacing w:after="0" w:line="288"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transaction in which Parent becomes a Wholly Owned Subsidiary of another Person (other than a Person that is an individual) (the “</w:t>
      </w:r>
      <w:r>
        <w:rPr>
          <w:rFonts w:ascii="Arial" w:cs="Arial" w:eastAsia="Arial" w:hAnsi="Arial"/>
          <w:sz w:val="16"/>
          <w:szCs w:val="16"/>
          <w:u w:val="single" w:color="auto"/>
          <w:color w:val="auto"/>
        </w:rPr>
        <w:t>New Parent</w:t>
      </w:r>
      <w:r>
        <w:rPr>
          <w:rFonts w:ascii="Arial" w:cs="Arial" w:eastAsia="Arial" w:hAnsi="Arial"/>
          <w:sz w:val="16"/>
          <w:szCs w:val="16"/>
          <w:color w:val="auto"/>
        </w:rPr>
        <w: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14" w:name="page15"/>
    <w:bookmarkEnd w:id="14"/>
    <w:p>
      <w:pPr>
        <w:ind w:left="440" w:right="100" w:firstLine="419"/>
        <w:spacing w:after="0" w:line="277"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2" w:lineRule="exact"/>
        <w:rPr>
          <w:rFonts w:ascii="Arial" w:cs="Arial" w:eastAsia="Arial" w:hAnsi="Arial"/>
          <w:sz w:val="18"/>
          <w:szCs w:val="18"/>
          <w:color w:val="auto"/>
        </w:rPr>
      </w:pPr>
    </w:p>
    <w:p>
      <w:pPr>
        <w:ind w:left="440" w:right="320" w:firstLine="419"/>
        <w:spacing w:after="0" w:line="277"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first day on which Parent fails to own, either directly or indirectly through one or more Wholly Owned Subsidiaries, 100% of the issued and outstanding Equity Interests of Crown, Crown Americas or Capital Corp. V.</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has the meaning set forth in Section 4.08.</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w:t>
      </w:r>
      <w:r>
        <w:rPr>
          <w:rFonts w:ascii="Arial" w:cs="Arial" w:eastAsia="Arial" w:hAnsi="Arial"/>
          <w:sz w:val="18"/>
          <w:szCs w:val="18"/>
          <w:color w:val="auto"/>
        </w:rPr>
        <w:t>” has the meaning set forth in Section 4.08.</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has the meaning set forth in Section 4.08.</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with respect to any Person for any period, the Consolidated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in computing Consolidated Net Income:</w:t>
      </w:r>
    </w:p>
    <w:p>
      <w:pPr>
        <w:spacing w:after="0" w:line="103" w:lineRule="exact"/>
        <w:rPr>
          <w:sz w:val="20"/>
          <w:szCs w:val="20"/>
          <w:color w:val="auto"/>
        </w:rPr>
      </w:pPr>
    </w:p>
    <w:p>
      <w:pPr>
        <w:ind w:left="1120" w:hanging="261"/>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5" w:name="page16"/>
    <w:bookmarkEnd w:id="15"/>
    <w:p>
      <w:pPr>
        <w:jc w:val="both"/>
        <w:ind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with respect to any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03" w:lineRule="exact"/>
        <w:rPr>
          <w:sz w:val="20"/>
          <w:szCs w:val="20"/>
          <w:color w:val="auto"/>
        </w:rPr>
      </w:pPr>
    </w:p>
    <w:p>
      <w:pPr>
        <w:ind w:left="440" w:right="160" w:firstLine="419"/>
        <w:spacing w:after="0" w:line="263"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440" w:firstLine="419"/>
        <w:spacing w:after="0" w:line="311" w:lineRule="auto"/>
        <w:tabs>
          <w:tab w:leader="none" w:pos="111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40" w:lineRule="exact"/>
        <w:rPr>
          <w:rFonts w:ascii="Arial" w:cs="Arial" w:eastAsia="Arial" w:hAnsi="Arial"/>
          <w:sz w:val="16"/>
          <w:szCs w:val="16"/>
          <w:color w:val="auto"/>
        </w:rPr>
      </w:pPr>
    </w:p>
    <w:p>
      <w:pPr>
        <w:ind w:left="440" w:right="54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net gain or loss resulting from an asset disposition by the Person in question or any of its Subsidiaries other than in the ordinary course of business shall be excluded;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extraordinary gains and losses shall be excluded;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fees, charges, costs and expenses incurred in connection with the Financing Transaction shall be excluded;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6" w:name="page17"/>
    <w:bookmarkEnd w:id="16"/>
    <w:p>
      <w:pPr>
        <w:ind w:left="440" w:right="240" w:firstLine="419"/>
        <w:spacing w:after="0" w:line="259"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 (b) 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64"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Indebtedness</w:t>
      </w:r>
      <w:r>
        <w:rPr>
          <w:rFonts w:ascii="Arial" w:cs="Arial" w:eastAsia="Arial" w:hAnsi="Arial"/>
          <w:sz w:val="17"/>
          <w:szCs w:val="17"/>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total amount of Attributable Debt in respect of Sale and Leaseback Transactions of such Person and its Subsidiaries as of such date.</w:t>
      </w:r>
    </w:p>
    <w:p>
      <w:pPr>
        <w:spacing w:after="0" w:line="17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Leverage Ratio</w:t>
      </w:r>
      <w:r>
        <w:rPr>
          <w:rFonts w:ascii="Arial" w:cs="Arial" w:eastAsia="Arial" w:hAnsi="Arial"/>
          <w:sz w:val="17"/>
          <w:szCs w:val="17"/>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17" w:name="page18"/>
    <w:bookmarkEnd w:id="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for purposes of calculating the Consolidated Secured Leverage Ratio:</w:t>
      </w:r>
    </w:p>
    <w:p>
      <w:pPr>
        <w:spacing w:after="0" w:line="117" w:lineRule="exact"/>
        <w:rPr>
          <w:sz w:val="20"/>
          <w:szCs w:val="20"/>
          <w:color w:val="auto"/>
        </w:rPr>
      </w:pPr>
    </w:p>
    <w:p>
      <w:pPr>
        <w:ind w:left="440" w:right="40" w:firstLine="419"/>
        <w:spacing w:after="0" w:line="255"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84"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with GAAP, and operations or businesses disposed of prior to the Calculation Date, will be excluded,</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that clause (1) or (2) of this paragraph requires that pro forma effect be given to an acquisition, disposition or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Commission or any other regulation or policy of the Commission).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means, as of any date of determination, any member of the Board of Directors of the relevant Person who:</w:t>
      </w:r>
    </w:p>
    <w:p>
      <w:pPr>
        <w:spacing w:after="0" w:line="129" w:lineRule="exact"/>
        <w:rPr>
          <w:sz w:val="20"/>
          <w:szCs w:val="20"/>
          <w:color w:val="auto"/>
        </w:rPr>
      </w:pPr>
    </w:p>
    <w:p>
      <w:pPr>
        <w:ind w:left="1120" w:hanging="261"/>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or</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solely for purposes of presenting the Notes for payment, U.S. Bank National Association, as agent, located at 111 Fillmore Ave E St. Paul, MN 55107 and, for all other purposes the office of the Trustee at which any time its corporate trust business shall be administered, which at the date hereof is located at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8" w:name="page19"/>
    <w:bookmarkEnd w:id="18"/>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listed in Section 11.02,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set forth in Section 9.03.</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92"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w:t>
      </w:r>
      <w:r>
        <w:rPr>
          <w:rFonts w:ascii="Arial" w:cs="Arial" w:eastAsia="Arial" w:hAnsi="Arial"/>
          <w:sz w:val="18"/>
          <w:szCs w:val="18"/>
          <w:color w:val="auto"/>
        </w:rPr>
        <w:t>” means Crown Cork &amp; Seal Company, Inc., a Pennsylvania corporation, until a successor replaces such party pursuant to Article Five of this Indenture.</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 Americas</w:t>
      </w:r>
      <w:r>
        <w:rPr>
          <w:rFonts w:ascii="Arial" w:cs="Arial" w:eastAsia="Arial" w:hAnsi="Arial"/>
          <w:sz w:val="18"/>
          <w:szCs w:val="18"/>
          <w:color w:val="auto"/>
        </w:rPr>
        <w:t>” means Crown Americas LLC, a Pennsylvania limited liability company, until a successor replaces such party pursuant to Article Five of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w:t>
      </w:r>
      <w:r>
        <w:rPr>
          <w:rFonts w:ascii="Arial" w:cs="Arial" w:eastAsia="Arial" w:hAnsi="Arial"/>
          <w:sz w:val="18"/>
          <w:szCs w:val="18"/>
          <w:color w:val="auto"/>
        </w:rPr>
        <w:t>” means, with respect to the Global Notes, The Depository Trust Company or another Person designated as depository by the Issuer, which Person must be a clearing agency registered under the Exchange Act.</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6.01.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 w:name="page20"/>
    <w:bookmarkEnd w:id="1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Notes</w:t>
      </w:r>
      <w:r>
        <w:rPr>
          <w:rFonts w:ascii="Arial" w:cs="Arial" w:eastAsia="Arial" w:hAnsi="Arial"/>
          <w:sz w:val="18"/>
          <w:szCs w:val="18"/>
          <w:color w:val="auto"/>
        </w:rPr>
        <w:t>” means debt securities of the Issuer with terms substantially identical to the Notes issued in exchange for an equal principal amount of Notes pursuant to an exchange offer registered under the Securities Act in accordance with the terms of the Registration Rights Agreement.</w:t>
      </w:r>
    </w:p>
    <w:p>
      <w:pPr>
        <w:spacing w:after="0" w:line="184"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Facility</w:t>
      </w:r>
      <w:r>
        <w:rPr>
          <w:rFonts w:ascii="Arial" w:cs="Arial" w:eastAsia="Arial" w:hAnsi="Arial"/>
          <w:sz w:val="17"/>
          <w:szCs w:val="17"/>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December 28, 2017, as amended by the Second Amendment to Amended and Restated Credit Agreement, First Amendment to the U.S. Guarantee Agreement and First Amendment to U.S. Indemnity, Subrogation and Contribution Agreement, dated as of March 23, 2018, as amended by the Incremental Amendment No. 2 and Third Amendment to Amended and Restated Credit Agreement, dated as of December 13, 2019, and as amended by the Fourth Amendment to Amended and Restated Credit Agreement, dated as of October 4, 2021, as such agreement may be further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8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Transaction</w:t>
      </w:r>
      <w:r>
        <w:rPr>
          <w:rFonts w:ascii="Arial" w:cs="Arial" w:eastAsia="Arial" w:hAnsi="Arial"/>
          <w:sz w:val="18"/>
          <w:szCs w:val="18"/>
          <w:color w:val="auto"/>
        </w:rPr>
        <w:t>” means issuance of the Notes issued on the Issue Date and the application of the net proceeds thereof as described in the Offering Memorandum.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Issuer, which at the date hereof ends on December 31.</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 Legend</w:t>
      </w:r>
      <w:r>
        <w:rPr>
          <w:rFonts w:ascii="Arial" w:cs="Arial" w:eastAsia="Arial" w:hAnsi="Arial"/>
          <w:sz w:val="18"/>
          <w:szCs w:val="18"/>
          <w:color w:val="auto"/>
        </w:rPr>
        <w:t xml:space="preserve">” means the legend substantially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Notes</w:t>
      </w:r>
      <w:r>
        <w:rPr>
          <w:rFonts w:ascii="Arial" w:cs="Arial" w:eastAsia="Arial" w:hAnsi="Arial"/>
          <w:sz w:val="18"/>
          <w:szCs w:val="18"/>
          <w:color w:val="auto"/>
        </w:rPr>
        <w:t>” has the meaning set forth in Section 2.16.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Domestic Subsidiary that executes and delivers a Note Guarantee pursuant to Section 4.17;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Subsidiary that otherwise executes and delivers a Note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until such time as such Person is released from its Note Guarantee in accordance with the provisions of this Indenture.</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w:t>
      </w:r>
    </w:p>
    <w:p>
      <w:pPr>
        <w:spacing w:after="0" w:line="117" w:lineRule="exact"/>
        <w:rPr>
          <w:sz w:val="20"/>
          <w:szCs w:val="20"/>
          <w:color w:val="auto"/>
        </w:rPr>
      </w:pPr>
    </w:p>
    <w:p>
      <w:pPr>
        <w:ind w:left="440" w:right="30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interest rate protection agreements including, without limitation, interest rate swap agreements, interest rate cap agreements and interest rate collar agreements;</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foreign exchange contracts, currency swap agreements or other agreements or arrangements designed to protect such Person against fluctuations in interest rates or foreign exchange rates;</w:t>
      </w:r>
    </w:p>
    <w:p>
      <w:pPr>
        <w:spacing w:after="0" w:line="62"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commodity futures contract, commodity option or other similar arrangement or agreement designed to protect such Person against fluctuations in the prices of commodities; and</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indemnity agreements and arrangements entered into in connection with the agreements and arrangements described in clauses (1), (2) and (3) above.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Noteholder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21" w:name="page22"/>
    <w:bookmarkEnd w:id="21"/>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240" w:hanging="253"/>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fair market value (as determined in good faith by Parent) of such assets at the date of determination;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For avoidance of doubt, a letter of credit or analogous instrument will not constitute Indebtedness until it has been drawn upon.</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restated or supplemented from time to time.</w:t>
      </w:r>
    </w:p>
    <w:p>
      <w:pPr>
        <w:spacing w:after="0" w:line="225"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Purchasers</w:t>
      </w:r>
      <w:r>
        <w:rPr>
          <w:rFonts w:ascii="Arial" w:cs="Arial" w:eastAsia="Arial" w:hAnsi="Arial"/>
          <w:sz w:val="16"/>
          <w:szCs w:val="16"/>
          <w:color w:val="auto"/>
        </w:rPr>
        <w:t>” means BNP Paribas Securities Corp., Citigroup Global Markets Inc., Mizuho Securities USA LLC, Deutsche Bank Securities Inc., MUFG Securities Americas Inc., PNC Capital Markets LLC, Santander Investment Securities Inc., Scotia Capital (USA) Inc., SMBC Nikko Securities America, Inc., TD Securities (USA) LLC, Wells Fargo Securities, LLC, Citizens Capital Markets, Inc., Credit Agricole Securities (USA) Inc., Goldman Sachs &amp; Co. LLC, ING Financial Markets LLC, Rabo Securities USA, Inc., UniCredit Capital Markets LLC.</w:t>
      </w:r>
    </w:p>
    <w:p>
      <w:pPr>
        <w:spacing w:after="0" w:line="15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Instructions</w:t>
      </w:r>
      <w:r>
        <w:rPr>
          <w:rFonts w:ascii="Arial" w:cs="Arial" w:eastAsia="Arial" w:hAnsi="Arial"/>
          <w:sz w:val="18"/>
          <w:szCs w:val="18"/>
          <w:color w:val="auto"/>
        </w:rPr>
        <w:t>” means any written notices, written directions or written instructions received by the Trustee or the Agent in accordance with the provisions of this Indenture from an Authorized Person or from a person reasonably believed by the Trustee or the Agent to be an Authorized Person.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2" w:name="page23"/>
    <w:bookmarkEnd w:id="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interest</w:t>
      </w:r>
      <w:r>
        <w:rPr>
          <w:rFonts w:ascii="Arial" w:cs="Arial" w:eastAsia="Arial" w:hAnsi="Arial"/>
          <w:sz w:val="18"/>
          <w:szCs w:val="18"/>
          <w:color w:val="auto"/>
        </w:rPr>
        <w:t>” means, with respect to the Notes, interest and Additional Interest, if 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the stated maturity of an installment of interest on the Notes.</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March 17, 2022, the date on which Notes were first issued under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Crown Americas.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Defeasance</w:t>
      </w:r>
      <w:r>
        <w:rPr>
          <w:rFonts w:ascii="Arial" w:cs="Arial" w:eastAsia="Arial" w:hAnsi="Arial"/>
          <w:sz w:val="18"/>
          <w:szCs w:val="18"/>
          <w:color w:val="auto"/>
        </w:rPr>
        <w:t>” has the meaning set forth in Section 9.02.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has the meaning set forth in Section 11.07.</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57"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claims, losses, liabilities, damages, costs, expenses and judgments (including legal fees and expenses) sustained by either party.</w:t>
      </w:r>
    </w:p>
    <w:p>
      <w:pPr>
        <w:spacing w:after="0" w:line="170"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Premium</w:t>
      </w:r>
      <w:r>
        <w:rPr>
          <w:rFonts w:ascii="Arial" w:cs="Arial" w:eastAsia="Arial" w:hAnsi="Arial"/>
          <w:sz w:val="17"/>
          <w:szCs w:val="17"/>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January 1, 2030 and all remaining interest payments to and including January 1, 2030 (but excluding any interest accrued to the Make-Whole Redemption Date), discounted on a semi-annual basis (assuming a 360-day year consisting of twelve 30-day months) from January 1, 2030 to the Make-Whole Redemption Date at a per annum interest rate equal to the Applicable Treasury Rate on such Make-Whole Redemption Date plus 0.50%, over (y) the outstanding principal amount of such Note.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 w:name="page24"/>
    <w:bookmarkEnd w:id="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Make-Whole Redemption</w:t>
      </w:r>
      <w:r>
        <w:rPr>
          <w:rFonts w:ascii="Arial" w:cs="Arial" w:eastAsia="Arial" w:hAnsi="Arial"/>
          <w:sz w:val="18"/>
          <w:szCs w:val="18"/>
          <w:color w:val="auto"/>
        </w:rPr>
        <w:t>” has the meaning set forth in paragraph 5 of the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Redemption Date</w:t>
      </w:r>
      <w:r>
        <w:rPr>
          <w:rFonts w:ascii="Arial" w:cs="Arial" w:eastAsia="Arial" w:hAnsi="Arial"/>
          <w:sz w:val="17"/>
          <w:szCs w:val="17"/>
          <w:color w:val="auto"/>
        </w:rPr>
        <w:t>” means with respect to a Make-Whole Redemption, the date such Make Whole Redemption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effectuated.</w:t>
      </w:r>
    </w:p>
    <w:p>
      <w:pPr>
        <w:spacing w:after="0" w:line="21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when used with respect to any Note, means the date on which the principal amount of such Note becomes due and payable as therein or herein provided.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Services, Inc. and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Guarantee</w:t>
      </w:r>
      <w:r>
        <w:rPr>
          <w:rFonts w:ascii="Arial" w:cs="Arial" w:eastAsia="Arial" w:hAnsi="Arial"/>
          <w:sz w:val="18"/>
          <w:szCs w:val="18"/>
          <w:color w:val="auto"/>
        </w:rPr>
        <w:t>” means any Guarantee of the obligations of the Issuer under this Indenture and the Notes by any Person in accordance with the provisions of this Indenture.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5.250% Senior Notes due 2030 issued by the Issuer, including, without limitation, the Exchange Notes issued in exchange therefor and any Additional Notes, treated as a single class of securities, as amended from time to time in accordance with the terms hereof, that are issued pursuant to this Indenture.</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Offering Memorandum of the Issuer, dated March 14, 2022, relating to the offering of the Notes on the Issue Date.</w:t>
      </w:r>
    </w:p>
    <w:p>
      <w:pPr>
        <w:spacing w:after="0" w:line="170" w:lineRule="exact"/>
        <w:rPr>
          <w:sz w:val="20"/>
          <w:szCs w:val="20"/>
          <w:color w:val="auto"/>
        </w:rPr>
      </w:pPr>
    </w:p>
    <w:p>
      <w:pPr>
        <w:ind w:right="3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w:t>
      </w:r>
      <w:r>
        <w:rPr>
          <w:rFonts w:ascii="Arial" w:cs="Arial" w:eastAsia="Arial" w:hAnsi="Arial"/>
          <w:sz w:val="16"/>
          <w:szCs w:val="16"/>
          <w:color w:val="auto"/>
        </w:rPr>
        <w:t>” means, with respect to any Person, the Chairman, President, Chief Executive Officer, Chief Financial Officer, Treasurer, Controller, any Senior Vice President, any Vice President of such Person or any other authorized officer or director of such Person.</w:t>
      </w:r>
    </w:p>
    <w:p>
      <w:pPr>
        <w:spacing w:after="0" w:line="124"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with respect to any Person, a certificate signed by the Chairman, President or Chief Executive Officer of such Person, or the equivalent thereof, and the Chief Financial Officer, Controller, Treasurer, any Senior Vice President or any Vice President of such Person, or the equivalent thereof, that shall comply with applicable provisions of this Indenture.</w:t>
      </w:r>
    </w:p>
    <w:p>
      <w:pPr>
        <w:spacing w:after="0" w:line="184" w:lineRule="exact"/>
        <w:rPr>
          <w:sz w:val="20"/>
          <w:szCs w:val="20"/>
          <w:color w:val="auto"/>
        </w:rPr>
      </w:pPr>
    </w:p>
    <w:p>
      <w:pPr>
        <w:jc w:val="both"/>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from legal counsel who is reasonably acceptable to the Trustee. Such counsel may be an employee of or counsel to Parent or any of its Subsidiaries.</w:t>
      </w:r>
    </w:p>
    <w:p>
      <w:pPr>
        <w:spacing w:after="0" w:line="170" w:lineRule="exact"/>
        <w:rPr>
          <w:sz w:val="20"/>
          <w:szCs w:val="20"/>
          <w:color w:val="auto"/>
        </w:rPr>
      </w:pPr>
    </w:p>
    <w:p>
      <w:pPr>
        <w:jc w:val="both"/>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Crown Holdings, Inc., a Pennsylvania corporation, until a successor replaces such party pursuant to Article Five of this Indenture and thereafter the successor.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has the meaning set forth in Section 2.04.</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440" w:top="274" w:right="679" w:bottom="1440" w:gutter="0" w:footer="0" w:header="0"/>
        </w:sectPr>
      </w:pPr>
    </w:p>
    <w:bookmarkStart w:id="24" w:name="page25"/>
    <w:bookmarkEnd w:id="24"/>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Payment Default</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collectively, the executive officers of Parent on the Issue Date.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4" w:firstLine="419"/>
        <w:spacing w:after="0" w:line="257" w:lineRule="auto"/>
        <w:tabs>
          <w:tab w:leader="none" w:pos="681"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w:t>
      </w:r>
      <w:r>
        <w:rPr>
          <w:rFonts w:ascii="Arial" w:cs="Arial" w:eastAsia="Arial" w:hAnsi="Arial"/>
          <w:sz w:val="18"/>
          <w:szCs w:val="18"/>
          <w:u w:val="single" w:color="auto"/>
          <w:color w:val="auto"/>
        </w:rPr>
        <w:t>substantial improvement</w:t>
      </w:r>
      <w:r>
        <w:rPr>
          <w:rFonts w:ascii="Arial" w:cs="Arial" w:eastAsia="Arial" w:hAnsi="Arial"/>
          <w:sz w:val="18"/>
          <w:szCs w:val="18"/>
          <w:color w:val="auto"/>
        </w:rPr>
        <w:t>”) of such Principal Property or (b) the placing in operation of such Principal Property after the acquisition or completion of any such construction or substantial improvement;</w:t>
      </w:r>
    </w:p>
    <w:p>
      <w:pPr>
        <w:spacing w:after="0" w:line="79" w:lineRule="exact"/>
        <w:rPr>
          <w:rFonts w:ascii="Arial" w:cs="Arial" w:eastAsia="Arial" w:hAnsi="Arial"/>
          <w:sz w:val="18"/>
          <w:szCs w:val="18"/>
          <w:color w:val="auto"/>
        </w:rPr>
      </w:pPr>
    </w:p>
    <w:p>
      <w:pPr>
        <w:ind w:left="4" w:right="40" w:firstLine="419"/>
        <w:spacing w:after="0" w:line="286" w:lineRule="auto"/>
        <w:tabs>
          <w:tab w:leader="none" w:pos="681"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1" w:lineRule="exact"/>
        <w:rPr>
          <w:rFonts w:ascii="Arial" w:cs="Arial" w:eastAsia="Arial" w:hAnsi="Arial"/>
          <w:sz w:val="16"/>
          <w:szCs w:val="16"/>
          <w:color w:val="auto"/>
        </w:rPr>
      </w:pPr>
    </w:p>
    <w:p>
      <w:pPr>
        <w:ind w:left="4" w:right="40" w:hanging="4"/>
        <w:spacing w:after="0" w:line="260"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7" w:lineRule="exact"/>
        <w:rPr>
          <w:rFonts w:ascii="Arial" w:cs="Arial" w:eastAsia="Arial" w:hAnsi="Arial"/>
          <w:sz w:val="18"/>
          <w:szCs w:val="18"/>
          <w:color w:val="auto"/>
        </w:rPr>
      </w:pPr>
    </w:p>
    <w:p>
      <w:pPr>
        <w:ind w:left="684" w:hanging="261"/>
        <w:spacing w:after="0"/>
        <w:tabs>
          <w:tab w:leader="none" w:pos="6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securing Indebtedness in favor of Parent and/or one or more of its Subsidiaries;</w:t>
      </w:r>
    </w:p>
    <w:p>
      <w:pPr>
        <w:spacing w:after="0" w:line="117" w:lineRule="exact"/>
        <w:rPr>
          <w:rFonts w:ascii="Arial" w:cs="Arial" w:eastAsia="Arial" w:hAnsi="Arial"/>
          <w:sz w:val="18"/>
          <w:szCs w:val="18"/>
          <w:color w:val="auto"/>
        </w:rPr>
      </w:pPr>
    </w:p>
    <w:p>
      <w:pPr>
        <w:ind w:left="4" w:right="40" w:firstLine="419"/>
        <w:spacing w:after="0" w:line="263" w:lineRule="auto"/>
        <w:tabs>
          <w:tab w:leader="none" w:pos="681"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75" w:lineRule="exact"/>
        <w:rPr>
          <w:rFonts w:ascii="Arial" w:cs="Arial" w:eastAsia="Arial" w:hAnsi="Arial"/>
          <w:sz w:val="18"/>
          <w:szCs w:val="18"/>
          <w:color w:val="auto"/>
        </w:rPr>
      </w:pPr>
    </w:p>
    <w:p>
      <w:pPr>
        <w:ind w:left="4" w:right="20" w:firstLine="419"/>
        <w:spacing w:after="0" w:line="311" w:lineRule="auto"/>
        <w:tabs>
          <w:tab w:leader="none" w:pos="681" w:val="left"/>
        </w:tabs>
        <w:numPr>
          <w:ilvl w:val="1"/>
          <w:numId w:val="15"/>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40" w:lineRule="exact"/>
        <w:rPr>
          <w:rFonts w:ascii="Arial" w:cs="Arial" w:eastAsia="Arial" w:hAnsi="Arial"/>
          <w:sz w:val="16"/>
          <w:szCs w:val="16"/>
          <w:color w:val="auto"/>
        </w:rPr>
      </w:pPr>
    </w:p>
    <w:p>
      <w:pPr>
        <w:ind w:left="684" w:hanging="261"/>
        <w:spacing w:after="0"/>
        <w:tabs>
          <w:tab w:leader="none" w:pos="6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existing on the date of this Indenture;</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25" w:name="page26"/>
    <w:bookmarkEnd w:id="25"/>
    <w:p>
      <w:pPr>
        <w:ind w:left="4" w:right="440" w:firstLine="419"/>
        <w:spacing w:after="0" w:line="291" w:lineRule="auto"/>
        <w:tabs>
          <w:tab w:leader="none" w:pos="681"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to secure any extension, renewal, refinancing, refunding or replacement (or successive extensions, renewals, refinancings, refundings or replacements), in whole or in part, of any Indebtedness secured by Liens referred to in clauses (1) through (6) above or clauses</w:t>
      </w:r>
    </w:p>
    <w:p>
      <w:pPr>
        <w:ind w:left="4" w:right="100" w:hanging="4"/>
        <w:spacing w:after="0" w:line="271" w:lineRule="auto"/>
        <w:tabs>
          <w:tab w:leader="none" w:pos="3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or (12) below or Liens created in connection with any amendment, consent or waiver relating to such Indebtedness, so long as (a) such Lien is limited to (i) all or part of substantially the same property 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70" w:lineRule="exact"/>
        <w:rPr>
          <w:rFonts w:ascii="Arial" w:cs="Arial" w:eastAsia="Arial" w:hAnsi="Arial"/>
          <w:sz w:val="17"/>
          <w:szCs w:val="17"/>
          <w:color w:val="auto"/>
        </w:rPr>
      </w:pPr>
    </w:p>
    <w:p>
      <w:pPr>
        <w:ind w:left="4" w:firstLine="419"/>
        <w:spacing w:after="0" w:line="286" w:lineRule="auto"/>
        <w:tabs>
          <w:tab w:leader="none" w:pos="681" w:val="left"/>
        </w:tabs>
        <w:numPr>
          <w:ilvl w:val="1"/>
          <w:numId w:val="17"/>
        </w:numPr>
        <w:rPr>
          <w:rFonts w:ascii="Arial" w:cs="Arial" w:eastAsia="Arial" w:hAnsi="Arial"/>
          <w:sz w:val="17"/>
          <w:szCs w:val="17"/>
          <w:color w:val="auto"/>
        </w:rPr>
      </w:pPr>
      <w:r>
        <w:rPr>
          <w:rFonts w:ascii="Arial" w:cs="Arial" w:eastAsia="Arial" w:hAnsi="Arial"/>
          <w:sz w:val="17"/>
          <w:szCs w:val="17"/>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57" w:lineRule="exact"/>
        <w:rPr>
          <w:rFonts w:ascii="Arial" w:cs="Arial" w:eastAsia="Arial" w:hAnsi="Arial"/>
          <w:sz w:val="17"/>
          <w:szCs w:val="17"/>
          <w:color w:val="auto"/>
        </w:rPr>
      </w:pPr>
    </w:p>
    <w:p>
      <w:pPr>
        <w:ind w:left="4" w:right="20" w:firstLine="419"/>
        <w:spacing w:after="0" w:line="277" w:lineRule="auto"/>
        <w:tabs>
          <w:tab w:leader="none" w:pos="6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2" w:lineRule="exact"/>
        <w:rPr>
          <w:rFonts w:ascii="Arial" w:cs="Arial" w:eastAsia="Arial" w:hAnsi="Arial"/>
          <w:sz w:val="18"/>
          <w:szCs w:val="18"/>
          <w:color w:val="auto"/>
        </w:rPr>
      </w:pPr>
    </w:p>
    <w:p>
      <w:pPr>
        <w:ind w:left="4" w:right="40" w:firstLine="419"/>
        <w:spacing w:after="0" w:line="308" w:lineRule="auto"/>
        <w:tabs>
          <w:tab w:leader="none" w:pos="7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38" w:lineRule="exact"/>
        <w:rPr>
          <w:rFonts w:ascii="Arial" w:cs="Arial" w:eastAsia="Arial" w:hAnsi="Arial"/>
          <w:sz w:val="17"/>
          <w:szCs w:val="17"/>
          <w:color w:val="auto"/>
        </w:rPr>
      </w:pPr>
    </w:p>
    <w:p>
      <w:pPr>
        <w:ind w:left="764" w:hanging="341"/>
        <w:spacing w:after="0"/>
        <w:tabs>
          <w:tab w:leader="none" w:pos="7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Liens on or sales of receivables;</w:t>
      </w:r>
    </w:p>
    <w:p>
      <w:pPr>
        <w:spacing w:after="0" w:line="117" w:lineRule="exact"/>
        <w:rPr>
          <w:rFonts w:ascii="Arial" w:cs="Arial" w:eastAsia="Arial" w:hAnsi="Arial"/>
          <w:sz w:val="18"/>
          <w:szCs w:val="18"/>
          <w:color w:val="auto"/>
        </w:rPr>
      </w:pPr>
    </w:p>
    <w:p>
      <w:pPr>
        <w:ind w:left="4" w:right="40" w:firstLine="419"/>
        <w:spacing w:after="0" w:line="272" w:lineRule="auto"/>
        <w:tabs>
          <w:tab w:leader="none" w:pos="7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to the application of the proceeds therefrom), taken together with the amount of all Attributable Debt of Parent and its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at that time outstanding relating to Sale and Leaseback Transactions permitted under Section 4.15, not to exceed 15% of the Consolidated Net Tangible Assets of Parent measured as of the date any such Indebtedness is incurred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and any transaction in connection with which such Indebtedness is being incurred);</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26" w:name="page27"/>
    <w:bookmarkEnd w:id="26"/>
    <w:p>
      <w:pPr>
        <w:ind w:left="440" w:right="200" w:firstLine="419"/>
        <w:spacing w:after="0" w:line="263"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75" w:lineRule="exact"/>
        <w:rPr>
          <w:rFonts w:ascii="Arial" w:cs="Arial" w:eastAsia="Arial" w:hAnsi="Arial"/>
          <w:sz w:val="18"/>
          <w:szCs w:val="18"/>
          <w:color w:val="auto"/>
        </w:rPr>
      </w:pPr>
    </w:p>
    <w:p>
      <w:pPr>
        <w:ind w:left="440" w:right="200" w:firstLine="419"/>
        <w:spacing w:after="0" w:line="286" w:lineRule="auto"/>
        <w:tabs>
          <w:tab w:leader="none" w:pos="12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reserve or other appropriate provision as shall be required in conformity with GAAP shall have been made therefor;</w:t>
      </w:r>
    </w:p>
    <w:p>
      <w:pPr>
        <w:spacing w:after="0" w:line="57" w:lineRule="exact"/>
        <w:rPr>
          <w:rFonts w:ascii="Arial" w:cs="Arial" w:eastAsia="Arial" w:hAnsi="Arial"/>
          <w:sz w:val="17"/>
          <w:szCs w:val="17"/>
          <w:color w:val="auto"/>
        </w:rPr>
      </w:pPr>
    </w:p>
    <w:p>
      <w:pPr>
        <w:ind w:left="440" w:right="40" w:firstLine="419"/>
        <w:spacing w:after="0" w:line="273" w:lineRule="auto"/>
        <w:tabs>
          <w:tab w:leader="none" w:pos="12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69" w:lineRule="exact"/>
        <w:rPr>
          <w:rFonts w:ascii="Arial" w:cs="Arial" w:eastAsia="Arial" w:hAnsi="Arial"/>
          <w:sz w:val="17"/>
          <w:szCs w:val="17"/>
          <w:color w:val="auto"/>
        </w:rPr>
      </w:pPr>
    </w:p>
    <w:p>
      <w:pPr>
        <w:ind w:left="440" w:firstLine="419"/>
        <w:spacing w:after="0" w:line="259"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8" w:lineRule="exact"/>
        <w:rPr>
          <w:rFonts w:ascii="Arial" w:cs="Arial" w:eastAsia="Arial" w:hAnsi="Arial"/>
          <w:sz w:val="18"/>
          <w:szCs w:val="18"/>
          <w:color w:val="auto"/>
        </w:rPr>
      </w:pPr>
    </w:p>
    <w:p>
      <w:pPr>
        <w:ind w:left="440" w:right="240" w:firstLine="419"/>
        <w:spacing w:after="0" w:line="277"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 or securing letters of credit that support such Hedging Obligations; and</w:t>
      </w:r>
    </w:p>
    <w:p>
      <w:pPr>
        <w:spacing w:after="0" w:line="62" w:lineRule="exact"/>
        <w:rPr>
          <w:rFonts w:ascii="Arial" w:cs="Arial" w:eastAsia="Arial" w:hAnsi="Arial"/>
          <w:sz w:val="18"/>
          <w:szCs w:val="18"/>
          <w:color w:val="auto"/>
        </w:rPr>
      </w:pPr>
    </w:p>
    <w:p>
      <w:pPr>
        <w:ind w:left="440" w:right="340" w:firstLine="419"/>
        <w:spacing w:after="0" w:line="277"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resulting from operation of law with respect to any judgments, awards or orders to the extent that such judgments, awards or orders do not cause or constitute a Default under this Indenture.</w:t>
      </w:r>
    </w:p>
    <w:p>
      <w:pPr>
        <w:spacing w:after="0" w:line="170"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7" w:name="page28"/>
    <w:bookmarkEnd w:id="27"/>
    <w:p>
      <w:pPr>
        <w:ind w:right="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Physical Notes</w:t>
      </w:r>
      <w:r>
        <w:rPr>
          <w:rFonts w:ascii="Arial" w:cs="Arial" w:eastAsia="Arial" w:hAnsi="Arial"/>
          <w:sz w:val="18"/>
          <w:szCs w:val="18"/>
          <w:color w:val="auto"/>
        </w:rPr>
        <w:t>” means certificated Notes in registered form.</w:t>
      </w:r>
    </w:p>
    <w:p>
      <w:pPr>
        <w:spacing w:after="0" w:line="225"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of a Note means the principal of the Note plus the premium, if any, payable on the Note which is due or overdue or is to become due at the relevant time.</w:t>
      </w:r>
    </w:p>
    <w:p>
      <w:pPr>
        <w:spacing w:after="0" w:line="170"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Property</w:t>
      </w:r>
      <w:r>
        <w:rPr>
          <w:rFonts w:ascii="Arial" w:cs="Arial" w:eastAsia="Arial" w:hAnsi="Arial"/>
          <w:sz w:val="16"/>
          <w:szCs w:val="16"/>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 Subsidiary</w:t>
      </w:r>
      <w:r>
        <w:rPr>
          <w:rFonts w:ascii="Arial" w:cs="Arial" w:eastAsia="Arial" w:hAnsi="Arial"/>
          <w:sz w:val="18"/>
          <w:szCs w:val="18"/>
          <w:color w:val="auto"/>
        </w:rPr>
        <w:t>” means any Subsidiary that owns, operates or leases one or more Principal Properties.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Legend</w:t>
      </w:r>
      <w:r>
        <w:rPr>
          <w:rFonts w:ascii="Arial" w:cs="Arial" w:eastAsia="Arial" w:hAnsi="Arial"/>
          <w:sz w:val="18"/>
          <w:szCs w:val="18"/>
          <w:color w:val="auto"/>
        </w:rPr>
        <w:t xml:space="preserve">” means the legend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Institutional Buyer</w:t>
      </w:r>
      <w:r>
        <w:rPr>
          <w:rFonts w:ascii="Arial" w:cs="Arial" w:eastAsia="Arial" w:hAnsi="Arial"/>
          <w:sz w:val="18"/>
          <w:szCs w:val="18"/>
          <w:color w:val="auto"/>
        </w:rPr>
        <w:t>” shall have the meaning specified in Rule 144A promulgated under the Securities Act.</w:t>
      </w:r>
    </w:p>
    <w:p>
      <w:pPr>
        <w:spacing w:after="0" w:line="225"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Agency</w:t>
      </w:r>
      <w:r>
        <w:rPr>
          <w:rFonts w:ascii="Arial" w:cs="Arial" w:eastAsia="Arial" w:hAnsi="Arial"/>
          <w:sz w:val="16"/>
          <w:szCs w:val="16"/>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49"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Event</w:t>
      </w:r>
      <w:r>
        <w:rPr>
          <w:rFonts w:ascii="Arial" w:cs="Arial" w:eastAsia="Arial" w:hAnsi="Arial"/>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28" w:name="page29"/>
    <w:bookmarkEnd w:id="28"/>
    <w:p>
      <w:pPr>
        <w:ind w:right="80" w:firstLine="987"/>
        <w:spacing w:after="0" w:line="277"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Notes are rated by one or both Rating Agencies on the Rating Date as Investment Grade, the rating of the Notes shall be reduced so that the Notes are rated below Investment Grade by both Rating Agencies; or</w:t>
      </w:r>
    </w:p>
    <w:p>
      <w:pPr>
        <w:spacing w:after="0" w:line="170"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Notes are rated below Investment Grade by both Rating Agencies on the Rating Date, the rating of the Notes shall remain rated below Investment Grade by both Rating Agencies.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Note to be redeemed pursuant to paragraph 5 of the Notes means the date fixed for such redemption pursuant to the terms of this Indenture and the Notes.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set forth in Section 2.04.</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means the registration rights agreement dated March 17, 2022 among the Issuer, the Guarantors and the representatives to the Initial Purchasers party thereto relating to the Notes issued on the Issue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Global Note</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Legend</w:t>
      </w:r>
      <w:r>
        <w:rPr>
          <w:rFonts w:ascii="Arial" w:cs="Arial" w:eastAsia="Arial" w:hAnsi="Arial"/>
          <w:sz w:val="18"/>
          <w:szCs w:val="18"/>
          <w:color w:val="auto"/>
        </w:rPr>
        <w:t>” means the legend substantially in the form set forth in Exhibit 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Notes</w:t>
      </w:r>
      <w:r>
        <w:rPr>
          <w:rFonts w:ascii="Arial" w:cs="Arial" w:eastAsia="Arial" w:hAnsi="Arial"/>
          <w:sz w:val="18"/>
          <w:szCs w:val="18"/>
          <w:color w:val="auto"/>
        </w:rPr>
        <w:t>” has the meaning set forth in Section 2.02.</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when used with respect to the Trustee, any officer in the corporate trust department of the Trustee (or any officer of the Trust Company (as herein defined), if the Trust Company becomes the successor to the Trustee) including any vice president, assistant vice president or any other officer of the Trustee who customarily performs functions similar to those performed by the Persons who at the time shall be such officers, respectively, and to whom any corporate trust matter is referred because of such officer’s knowledge of and familiarity with the particular subject, in each case having direct responsibility for the administration of this Indenture.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Note</w:t>
      </w:r>
      <w:r>
        <w:rPr>
          <w:rFonts w:ascii="Arial" w:cs="Arial" w:eastAsia="Arial" w:hAnsi="Arial"/>
          <w:sz w:val="18"/>
          <w:szCs w:val="18"/>
          <w:color w:val="auto"/>
        </w:rPr>
        <w:t>” means a Global Note that is a Restricted Note.</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w:t>
      </w:r>
      <w:r>
        <w:rPr>
          <w:rFonts w:ascii="Arial" w:cs="Arial" w:eastAsia="Arial" w:hAnsi="Arial"/>
          <w:sz w:val="18"/>
          <w:szCs w:val="18"/>
          <w:color w:val="auto"/>
        </w:rPr>
        <w:t xml:space="preserve">” has the same meaning as “restricted security” set forth in Rule 144(a)(3) promulgated under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shall be entitled to request (at the expense of the Company) and conclusively rely upon an Opinion of Counsel with respect to whether any Note is a Restricted Note.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2.17.</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9" w:name="page30"/>
    <w:bookmarkEnd w:id="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Restricted Physical Note</w:t>
      </w:r>
      <w:r>
        <w:rPr>
          <w:rFonts w:ascii="Arial" w:cs="Arial" w:eastAsia="Arial" w:hAnsi="Arial"/>
          <w:sz w:val="18"/>
          <w:szCs w:val="18"/>
          <w:color w:val="auto"/>
        </w:rPr>
        <w:t>” means a Physical Note that is a Restricted Note.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means a Subsidiary which is organized under the laws of the United States or any State thereof or the District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 Global Note</w:t>
      </w:r>
      <w:r>
        <w:rPr>
          <w:rFonts w:ascii="Arial" w:cs="Arial" w:eastAsia="Arial" w:hAnsi="Arial"/>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 Notes</w:t>
      </w:r>
      <w:r>
        <w:rPr>
          <w:rFonts w:ascii="Arial" w:cs="Arial" w:eastAsia="Arial" w:hAnsi="Arial"/>
          <w:sz w:val="18"/>
          <w:szCs w:val="18"/>
          <w:color w:val="auto"/>
        </w:rPr>
        <w:t>” has the meaning set forth in Section 2.02.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has the meaning set forth in Section 4.15.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w:t>
      </w:r>
    </w:p>
    <w:p>
      <w:pPr>
        <w:spacing w:after="0" w:line="248"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40" w:right="40" w:firstLine="419"/>
        <w:spacing w:after="0" w:line="342" w:lineRule="auto"/>
        <w:tabs>
          <w:tab w:leader="none" w:pos="1118"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one or more Subsidiaries of such Person (or any combination thereof).</w:t>
      </w:r>
    </w:p>
    <w:p>
      <w:pPr>
        <w:spacing w:after="0" w:line="211"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TIA</w:t>
      </w:r>
      <w:r>
        <w:rPr>
          <w:rFonts w:ascii="Arial" w:cs="Arial" w:eastAsia="Arial" w:hAnsi="Arial"/>
          <w:sz w:val="18"/>
          <w:szCs w:val="18"/>
          <w:color w:val="auto"/>
        </w:rPr>
        <w:t>” or “</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(15 U.S. Code §§ 77aaa-77bbbb) as in effect on the date of this Indenture (except as provided in Section 8.03).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40" w:top="274" w:right="559" w:bottom="1440" w:gutter="0" w:footer="0" w:header="0"/>
        </w:sectPr>
      </w:pPr>
    </w:p>
    <w:bookmarkStart w:id="30" w:name="page31"/>
    <w:bookmarkEnd w:id="30"/>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Transfer</w:t>
      </w:r>
      <w:r>
        <w:rPr>
          <w:rFonts w:ascii="Arial" w:cs="Arial" w:eastAsia="Arial" w:hAnsi="Arial"/>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party named as such in this Indenture until a successor replaces it pursuant to this Indenture and thereafter means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Global Note</w:t>
      </w:r>
      <w:r>
        <w:rPr>
          <w:rFonts w:ascii="Arial" w:cs="Arial" w:eastAsia="Arial" w:hAnsi="Arial"/>
          <w:sz w:val="18"/>
          <w:szCs w:val="18"/>
          <w:color w:val="auto"/>
        </w:rPr>
        <w:t>” means a Global Note that is not a Restricted Note.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Notes</w:t>
      </w:r>
      <w:r>
        <w:rPr>
          <w:rFonts w:ascii="Arial" w:cs="Arial" w:eastAsia="Arial" w:hAnsi="Arial"/>
          <w:sz w:val="18"/>
          <w:szCs w:val="18"/>
          <w:color w:val="auto"/>
        </w:rPr>
        <w:t>” means Notes that are not Restricted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Physical Note</w:t>
      </w:r>
      <w:r>
        <w:rPr>
          <w:rFonts w:ascii="Arial" w:cs="Arial" w:eastAsia="Arial" w:hAnsi="Arial"/>
          <w:sz w:val="18"/>
          <w:szCs w:val="18"/>
          <w:color w:val="auto"/>
        </w:rPr>
        <w:t>” means a Physical Note that is not a Restricted Note.</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Obligations</w:t>
      </w:r>
      <w:r>
        <w:rPr>
          <w:rFonts w:ascii="Arial" w:cs="Arial" w:eastAsia="Arial" w:hAnsi="Arial"/>
          <w:sz w:val="17"/>
          <w:szCs w:val="17"/>
          <w:color w:val="auto"/>
        </w:rPr>
        <w:t>” means marketable direct obligations issued by, or unconditionally guaranteed by, the United States Government or issued by any agency or instrumentality thereof and backed by the full faith and credit of the United States of America that, in each case, mature within one year from the date of acquisition thereof and are not callable or redeemable at the option of the issuer thereof.</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“U.S. person” as defined in Rule 902(k) under the Securities Act.</w:t>
      </w:r>
    </w:p>
    <w:p>
      <w:pPr>
        <w:spacing w:after="0" w:line="225"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84"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Whenever this Indenture refers to a provision of the TIA, the portion of such provision required to be incorporated herein in order for this Indenture to be qualified under the TIA is incorporated by reference in and made a part of this Indenture. All other terms used in this Indenture that are defined by the TIA, defined in the TIA by reference to another statute or defined by Commission rule have the meanings therein assigned to them.</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term has the meaning assigned to it herein, whether defined expressly or by reference;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both genders;</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subsection;</w:t>
      </w:r>
    </w:p>
    <w:p>
      <w:pPr>
        <w:spacing w:after="0" w:line="62" w:lineRule="exact"/>
        <w:rPr>
          <w:rFonts w:ascii="Arial" w:cs="Arial" w:eastAsia="Arial" w:hAnsi="Arial"/>
          <w:sz w:val="18"/>
          <w:szCs w:val="18"/>
          <w:color w:val="auto"/>
        </w:rPr>
      </w:pPr>
    </w:p>
    <w:p>
      <w:pPr>
        <w:ind w:left="440" w:firstLine="419"/>
        <w:spacing w:after="0" w:line="308" w:lineRule="auto"/>
        <w:tabs>
          <w:tab w:leader="none" w:pos="11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38" w:lineRule="exact"/>
        <w:rPr>
          <w:rFonts w:ascii="Arial" w:cs="Arial" w:eastAsia="Arial" w:hAnsi="Arial"/>
          <w:sz w:val="17"/>
          <w:szCs w:val="17"/>
          <w:color w:val="auto"/>
        </w:rPr>
      </w:pPr>
    </w:p>
    <w:p>
      <w:pPr>
        <w:ind w:left="440" w:right="460" w:firstLine="419"/>
        <w:spacing w:after="0" w:line="277" w:lineRule="auto"/>
        <w:tabs>
          <w:tab w:leader="none" w:pos="11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and “U.S. Dollars” each refer to United States dollars, or such other money of the United States of America that at the time of payment is legal tender for payment of public and private debts;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shall be interpreted to express a command;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TWO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Amount of Notes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55" w:lineRule="auto"/>
        <w:rPr>
          <w:sz w:val="20"/>
          <w:szCs w:val="20"/>
          <w:color w:val="auto"/>
        </w:rPr>
      </w:pPr>
      <w:r>
        <w:rPr>
          <w:rFonts w:ascii="Arial" w:cs="Arial" w:eastAsia="Arial" w:hAnsi="Arial"/>
          <w:sz w:val="18"/>
          <w:szCs w:val="18"/>
          <w:color w:val="auto"/>
        </w:rPr>
        <w:t>The Trustee shall initially authenticate $500,000,000 aggregate principal amount of Notes for original issue on the Issue Date upon a written order of the Issuer in the form of an Officers’ Certificate of the Issuer (other than as provided in Section 2.08). The Trustee shall authenticate additional Notes (“</w:t>
      </w:r>
      <w:r>
        <w:rPr>
          <w:rFonts w:ascii="Arial" w:cs="Arial" w:eastAsia="Arial" w:hAnsi="Arial"/>
          <w:sz w:val="18"/>
          <w:szCs w:val="18"/>
          <w:u w:val="single" w:color="auto"/>
          <w:color w:val="auto"/>
        </w:rPr>
        <w:t>Additional Notes</w:t>
      </w:r>
      <w:r>
        <w:rPr>
          <w:rFonts w:ascii="Arial" w:cs="Arial" w:eastAsia="Arial" w:hAnsi="Arial"/>
          <w:sz w:val="18"/>
          <w:szCs w:val="18"/>
          <w:color w:val="auto"/>
        </w:rPr>
        <w:t>”) thereafter in unlimited amount (so long as permitted by the terms of this Indenture) for original issue upon a written order of the Issuer in the form of an Officers’ Certificate in aggregate principal amount as specified in such order (other than as provided in Section 2.08). Each such written order shall specify the principal amount of Notes to be authenticated and the date on which the Notes are to be authenticated.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40" w:top="274" w:right="5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Form and Dating; Legends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The Notes and the Trustee’s certificate of authentication with respect thereto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(in the case of the Restricted Notes) and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(in the case of Unrestricted Notes), each of which is incorporated in and forms a part of this Indenture. Each Note shall be dated the date of its authentication.</w:t>
      </w:r>
    </w:p>
    <w:p>
      <w:pPr>
        <w:spacing w:after="0" w:line="184"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Arial" w:cs="Arial" w:eastAsia="Arial" w:hAnsi="Arial"/>
          <w:sz w:val="17"/>
          <w:szCs w:val="17"/>
          <w:u w:val="single" w:color="auto"/>
          <w:color w:val="auto"/>
        </w:rPr>
        <w:t>Rule 144A Notes</w:t>
      </w:r>
      <w:r>
        <w:rPr>
          <w:rFonts w:ascii="Arial" w:cs="Arial" w:eastAsia="Arial" w:hAnsi="Arial"/>
          <w:sz w:val="17"/>
          <w:szCs w:val="17"/>
          <w:color w:val="auto"/>
        </w:rPr>
        <w:t>”), Notes offered and sold in offshore transactions in reliance on Regulation S (“</w:t>
      </w:r>
      <w:r>
        <w:rPr>
          <w:rFonts w:ascii="Arial" w:cs="Arial" w:eastAsia="Arial" w:hAnsi="Arial"/>
          <w:sz w:val="17"/>
          <w:szCs w:val="17"/>
          <w:u w:val="single" w:color="auto"/>
          <w:color w:val="auto"/>
        </w:rPr>
        <w:t>Regulation S Notes</w:t>
      </w:r>
      <w:r>
        <w:rPr>
          <w:rFonts w:ascii="Arial" w:cs="Arial" w:eastAsia="Arial" w:hAnsi="Arial"/>
          <w:sz w:val="17"/>
          <w:szCs w:val="17"/>
          <w:color w:val="auto"/>
        </w:rPr>
        <w:t>”) and all other Restricted Notes shall bear the Private Placement Legend. All Global Notes shall bear the Global Note Legend. Regulation S Notes shall bear the Regulation S Legend.</w:t>
      </w:r>
    </w:p>
    <w:p>
      <w:pPr>
        <w:spacing w:after="0" w:line="171"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Each Note issued hereunder that has more than a de minimis amount of original issue discount for U.S. Federal Income Tax purposes shall bear a legend substantially in the form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 If there is a conflict between the terms of the Notes and this Indenture, the terms of this Indenture shall govern.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Notes may be presented for registration of transfer and exchange at the offices of the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Notes shall be executed on behalf of the Issuer by two Officers of the Issuer. The signature of any of these Officers on the Notes may be manual, facsimile, .pdf attachment or other electronically transmitted signature.</w:t>
      </w:r>
    </w:p>
    <w:p>
      <w:pPr>
        <w:spacing w:after="0" w:line="170"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3" w:name="page34"/>
    <w:bookmarkEnd w:id="33"/>
    <w:p>
      <w:pPr>
        <w:ind w:right="10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78"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Notes shall be issuable only in registered form without coupons in denominations of $2,000 and any integral multiple of $1,000 in excess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Issuer shall maintain (a) an office or agency where Notes may be presented for registration of transfer or for exchange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Registrar</w:t>
      </w:r>
      <w:r>
        <w:rPr>
          <w:rFonts w:ascii="Arial" w:cs="Arial" w:eastAsia="Arial" w:hAnsi="Arial"/>
          <w:sz w:val="17"/>
          <w:szCs w:val="17"/>
          <w:color w:val="auto"/>
        </w:rPr>
        <w:t>”), (b) an office or agency in the Borough of Manhattan, The City of New York, the State of New York or in the city in the United States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the Trustee’s Corporate Trust Office is located, where Notes may be presented for payment (the “</w:t>
      </w:r>
      <w:r>
        <w:rPr>
          <w:rFonts w:ascii="Arial" w:cs="Arial" w:eastAsia="Arial" w:hAnsi="Arial"/>
          <w:sz w:val="17"/>
          <w:szCs w:val="17"/>
          <w:u w:val="single" w:color="auto"/>
          <w:color w:val="auto"/>
        </w:rPr>
        <w:t>Paying Agent</w:t>
      </w:r>
      <w:r>
        <w:rPr>
          <w:rFonts w:ascii="Arial" w:cs="Arial" w:eastAsia="Arial" w:hAnsi="Arial"/>
          <w:sz w:val="17"/>
          <w:szCs w:val="17"/>
          <w:color w:val="auto"/>
        </w:rPr>
        <w:t>”) and (c) an office or agency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where notices and demands to or upon the Issuer, if any, in respect of the Notes and this Indenture may be served. The Registrar shall keep a register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Notes and of their transfer and exchange. The Registrar shall provide a copy of such register from time to time upon request of the Issuer. The Issuer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have one or more co-registrars and one or more additional Paying Agents. The term “Registrar” includes any co-registrars. The term “Paying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Agents” means the Paying Agent and any additional Paying Agents. The Issuer or any Affiliate thereof may act as Registrar or a Paying Agent.</w:t>
      </w:r>
    </w:p>
    <w:p>
      <w:pPr>
        <w:spacing w:after="0" w:line="222"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 Issuer shall enter into an appropriate agency agreement, which shall incorporate the provisions of the TIA, with any Agent that is not a party to this Indenture. The agreement shall implement the provisions of this Indenture that relate to such Agent. The Issuer shall notify the Trustee of the name and address of any such Agent. If the Issuer fails to maintain a Registrar or any required co-registrar or Paying Agent, or fails to give the foregoing notice, the Trustee shall act as such and shall be entitled to appropriate compensation in accordance with Section 7.07.</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Issuer initially appoints the Trustee as Registrar and Paying Agent.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Paying Agent To Hold Money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Paying Agent shall hold for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 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Noteholder Lists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Noteholders.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at the Registrar’s request. No service charge shall be made to the Noteholder for any registration of transfer or exchange. The Issuer may require from the Noteholder payment of a sum sufficient to cover any transfer taxes or other governmental charge that may be imposed in relation to a transfer or exchange, but this provision shall not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apply to any exchange pursuant to Section 2.11, 3.06, 4.08 or 8.05 (in which events the Issuer shall be responsible for the payment of such taxes). The Issuer shall not be required to transfer or exchange any Note selected for redemption.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7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Replacement Notes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and any Paying Agent from any loss that any of them may suffer if such Note is replaced. The Issuer may charge such Holder for the Issuer’s reasonable out-of-pocket expenses in replacing such Note and the Trustee may charge the Issuer for the Trustee’s out-of-pocket expenses (including, without limitation, attorneys’ fees and disbursements) in replacing such Note. Every replacement Note shall constitute a contractual obligation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Outstanding Notes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6" w:name="page37"/>
    <w:bookmarkEnd w:id="36"/>
    <w:p>
      <w:pPr>
        <w:ind w:right="1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Note is replaced pursuant to Section 2.08, it ceases to be outstanding unless the Trustee receives proof satisfactory to the Trustee that the replaced Note is held by a bona fide purchaser in whose hands such Note is a legal, valid and binding obligation of the Issuer.</w:t>
      </w:r>
    </w:p>
    <w:p>
      <w:pPr>
        <w:spacing w:after="0" w:line="146"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If a Paying Agent holds, in its capacity as such, on any Maturity Date, U.S. Dollars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Notes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Notes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The Issuer at any time may deliver Notes to the Trustee for cancellation. The Registrar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Business Days prior to the payment date. The Issuer shall fix such special record date and payment date in a manner satisfactory to the Trustee. At least 10 days before such special record date, the Issuer shall mail to each affected Noteholder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pacing w:after="0" w:line="18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CUSIP and ISIN Numbers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The Issuer in issuing the Notes may use “CUSIP” and “ISIN” numbers, and if so used, such CUSIP and ISIN numbers shall be included in notices of redemption or exchange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 no representation is made as to the correctness or accuracy of the CUSIP or ISIN numbers printed in the notice or on the Notes, and that reliance may be placed only on the other identification numbers printed on the Notes. The Issuer shall promptly notify the Trustee, in writing, of any such CUSIP or ISIN number used by the Issuer in connection with the issuance of the Notes and of any change in any such CUSIP or ISIN number.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8" w:name="page39"/>
    <w:bookmarkEnd w:id="3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Arial" w:cs="Arial" w:eastAsia="Arial" w:hAnsi="Arial"/>
          <w:sz w:val="18"/>
          <w:szCs w:val="18"/>
          <w:u w:val="single" w:color="auto"/>
          <w:color w:val="auto"/>
        </w:rPr>
        <w:t>Deposit of Moneys</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73" w:lineRule="auto"/>
        <w:rPr>
          <w:sz w:val="20"/>
          <w:szCs w:val="20"/>
          <w:color w:val="auto"/>
        </w:rPr>
      </w:pPr>
      <w:r>
        <w:rPr>
          <w:rFonts w:ascii="Arial" w:cs="Arial" w:eastAsia="Arial" w:hAnsi="Arial"/>
          <w:sz w:val="17"/>
          <w:szCs w:val="17"/>
          <w:color w:val="auto"/>
        </w:rPr>
        <w:t>Prior to 10:00 A.M., New York City time, on each Interest Payment Date and Maturity Date, the Issuer shall have deposited with the Paying Agent in immediately available funds U.S. Dollars sufficient to make cash payments, if any, due on such Interest Payment Date or Maturity Date, as the case may be, in a timely manner which permits such Paying Agents, subject to actual receipt of such funds, to remit payment to the Holders on such Interest Payment Date or Maturity Date, as the case may be. The principal and interest on Global Notes shall be payable to the Depository or its nominee, as the case may be, as the sole registered owner and the sole Holder of the Global Notes represented thereby. The principal and interest on Physical Notes shall be payable, either in person, by wire transfer or by mail, at the office of the Paying Agent.</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Book-Entry Provisions for Global Notes</w:t>
      </w:r>
      <w:r>
        <w:rPr>
          <w:rFonts w:ascii="Arial" w:cs="Arial" w:eastAsia="Arial" w:hAnsi="Arial"/>
          <w:sz w:val="18"/>
          <w:szCs w:val="18"/>
          <w:color w:val="auto"/>
        </w:rPr>
        <w:t>.</w:t>
      </w:r>
    </w:p>
    <w:p>
      <w:pPr>
        <w:spacing w:after="0" w:line="225" w:lineRule="exact"/>
        <w:rPr>
          <w:sz w:val="20"/>
          <w:szCs w:val="20"/>
          <w:color w:val="auto"/>
        </w:rPr>
      </w:pPr>
    </w:p>
    <w:p>
      <w:pPr>
        <w:ind w:left="4" w:right="100" w:firstLine="987"/>
        <w:spacing w:after="0" w:line="285" w:lineRule="auto"/>
        <w:tabs>
          <w:tab w:leader="none" w:pos="12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Rule 144A Notes initially shall be represented by one or more Notes in registered, global form without interest coupons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Regulation S Notes initially shall be represented by one or more Notes in registered, global form without interest coupons (collectively,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The term “</w:t>
      </w:r>
      <w:r>
        <w:rPr>
          <w:rFonts w:ascii="Arial" w:cs="Arial" w:eastAsia="Arial" w:hAnsi="Arial"/>
          <w:sz w:val="16"/>
          <w:szCs w:val="16"/>
          <w:u w:val="single" w:color="auto"/>
          <w:color w:val="auto"/>
        </w:rPr>
        <w:t>Global Notes</w:t>
      </w:r>
      <w:r>
        <w:rPr>
          <w:rFonts w:ascii="Arial" w:cs="Arial" w:eastAsia="Arial" w:hAnsi="Arial"/>
          <w:sz w:val="16"/>
          <w:szCs w:val="16"/>
          <w:color w:val="auto"/>
        </w:rPr>
        <w:t>” means the Rule 144A Global Note and the Regulation S Global Note. The Global Notes shall bear the Global Note Legend. The Global Notes initially shall (i) be registered in the name of the Depository or the nominee of such Depository, in each case for credit to an account of an Agent Member, (ii) be delivered to the Trustee as custodian for such Depository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bear the Private Placement Legend.</w:t>
      </w:r>
    </w:p>
    <w:p>
      <w:pPr>
        <w:spacing w:after="0" w:line="211"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Members of, or direct or indirect participants in, the Depository (“</w:t>
      </w:r>
      <w:r>
        <w:rPr>
          <w:rFonts w:ascii="Arial" w:cs="Arial" w:eastAsia="Arial" w:hAnsi="Arial"/>
          <w:sz w:val="16"/>
          <w:szCs w:val="16"/>
          <w:u w:val="single" w:color="auto"/>
          <w:color w:val="auto"/>
        </w:rPr>
        <w:t>Agent Members</w:t>
      </w:r>
      <w:r>
        <w:rPr>
          <w:rFonts w:ascii="Arial" w:cs="Arial" w:eastAsia="Arial" w:hAnsi="Arial"/>
          <w:sz w:val="16"/>
          <w:szCs w:val="16"/>
          <w:color w:val="auto"/>
        </w:rPr>
        <w:t>”) shall have no rights under this Indenture with respect to any Global Note held on their behalf by the Depository or under the Global Notes. The Depository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Depository or impair, as between the Depository and its Agent Members, the operation of customary practices governing the exercise of the rights of a Holder of any Note. None of the Issuer, the Trustee, the Paying Agent nor the Registrar shall have any responsibility or liability for any acts or omissions of the Depository with respect to such Global Note, for the records of the Depository, including records in respect of the beneficial owners of any such Global Note, for any transactions between the Depository and any Agent Member or between or among the Depository, any such Agent Member and/or any Holder or beneficial owner of such Global Note, or for any transfers of beneficial interests in any such Global Note.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4" w:right="439" w:bottom="1440" w:gutter="0" w:footer="0" w:header="0"/>
        </w:sectPr>
      </w:pPr>
    </w:p>
    <w:bookmarkStart w:id="39" w:name="page40"/>
    <w:bookmarkEnd w:id="39"/>
    <w:p>
      <w:pPr>
        <w:ind w:left="4" w:firstLine="987"/>
        <w:spacing w:after="0" w:line="284" w:lineRule="auto"/>
        <w:tabs>
          <w:tab w:leader="none" w:pos="1250"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Global Notes shall be limited to transfer in whole, but not in part, to the Depository, its successors or their respective nominees. Interests of beneficial owners in the Global Notes may be transferred or exchanged for Physical Notes only in accordance with the applicable rules and procedures of the Depository and the provisions of Section 2.17. In addition, a Global Note shall be exchangeable for Physical Notes (i) if requested by a holder of such interests upon receipt by the Trustee of written instructions from the Depository or its nominee on behalf of any beneficial owner and in accordance with the rules and procedures of the Depository and provisions of Section 2.16 or (ii) if the Depository notifies the Issuer that it is unwilling or unable to continue as depository for such Global Note and the Issuer thereupon fails to appoint a successor depository within 90 days or</w:t>
      </w:r>
    </w:p>
    <w:p>
      <w:pPr>
        <w:spacing w:after="0" w:line="4" w:lineRule="exact"/>
        <w:rPr>
          <w:rFonts w:ascii="Arial" w:cs="Arial" w:eastAsia="Arial" w:hAnsi="Arial"/>
          <w:sz w:val="16"/>
          <w:szCs w:val="16"/>
          <w:color w:val="auto"/>
        </w:rPr>
      </w:pPr>
    </w:p>
    <w:p>
      <w:pPr>
        <w:ind w:left="4" w:right="120" w:hanging="4"/>
        <w:spacing w:after="0" w:line="253"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has ceased to be a clearing agency registered under the Exchange Act or there shall have occurred and be continuing an Event of Default with respect to such Global Note and the Depository has requested such exchange. In all cases, Physical Notes delivered in exchange for any Global Note or beneficial interests therein shall be registered in the names, and issued in any approved denominations, requested by or on behalf of the Depository in accordance with its customary procedures.</w:t>
      </w:r>
    </w:p>
    <w:p>
      <w:pPr>
        <w:spacing w:after="0" w:line="192" w:lineRule="exact"/>
        <w:rPr>
          <w:rFonts w:ascii="Arial" w:cs="Arial" w:eastAsia="Arial" w:hAnsi="Arial"/>
          <w:sz w:val="18"/>
          <w:szCs w:val="18"/>
          <w:color w:val="auto"/>
        </w:rPr>
      </w:pPr>
    </w:p>
    <w:p>
      <w:pPr>
        <w:ind w:left="4" w:right="20" w:firstLine="987"/>
        <w:spacing w:after="0" w:line="257" w:lineRule="auto"/>
        <w:tabs>
          <w:tab w:leader="none" w:pos="12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connection with the transfer of a Global Note as an entirety to beneficial owners pursuant to subsection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Depository in writing in exchange for its beneficial interest in such Global Note, an equal aggregate principal amount of Physical Notes of authorized denominations.</w:t>
      </w:r>
    </w:p>
    <w:p>
      <w:pPr>
        <w:spacing w:after="0" w:line="187" w:lineRule="exact"/>
        <w:rPr>
          <w:rFonts w:ascii="Arial" w:cs="Arial" w:eastAsia="Arial" w:hAnsi="Arial"/>
          <w:sz w:val="18"/>
          <w:szCs w:val="18"/>
          <w:color w:val="auto"/>
        </w:rPr>
      </w:pPr>
    </w:p>
    <w:p>
      <w:pPr>
        <w:ind w:left="4" w:right="40" w:firstLine="987"/>
        <w:spacing w:after="0" w:line="277" w:lineRule="auto"/>
        <w:tabs>
          <w:tab w:leader="none" w:pos="1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Restricted Physical Note delivered in exchange for an interest in a Global Note pursuant to Section 2.17 shall, except as otherwise provided in Section 2.17, bear the Private Placement Legend.</w:t>
      </w:r>
    </w:p>
    <w:p>
      <w:pPr>
        <w:spacing w:after="0" w:line="170" w:lineRule="exact"/>
        <w:rPr>
          <w:rFonts w:ascii="Arial" w:cs="Arial" w:eastAsia="Arial" w:hAnsi="Arial"/>
          <w:sz w:val="18"/>
          <w:szCs w:val="18"/>
          <w:color w:val="auto"/>
        </w:rPr>
      </w:pPr>
    </w:p>
    <w:p>
      <w:pPr>
        <w:ind w:left="4" w:firstLine="987"/>
        <w:spacing w:after="0" w:line="308" w:lineRule="auto"/>
        <w:tabs>
          <w:tab w:leader="none" w:pos="12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Transfer and Exchange of Notes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59"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Global Notes</w:t>
      </w:r>
      <w:r>
        <w:rPr>
          <w:rFonts w:ascii="Arial" w:cs="Arial" w:eastAsia="Arial" w:hAnsi="Arial"/>
          <w:sz w:val="18"/>
          <w:szCs w:val="18"/>
          <w:color w:val="auto"/>
        </w:rPr>
        <w:t>. A Global Note may not be transferred as a whole except as set forth in Section 2.16(b). Global Notes will not be exchanged by the Issuer for Physical Notes except under the circumstances described in Section 2.16(b). Global Notes also may be exchanged or replaced, in whole or in part, as provided in Sections 2.08 and 2.11. Beneficial interests in a Global Note may be transferred and exchanged as provided in Section 2.17(b) or 2.17(f).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0" w:name="page41"/>
    <w:bookmarkEnd w:id="40"/>
    <w:p>
      <w:pPr>
        <w:ind w:left="-20" w:right="140" w:firstLine="987"/>
        <w:spacing w:after="0" w:line="273" w:lineRule="auto"/>
        <w:tabs>
          <w:tab w:leader="none" w:pos="1226"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Global Notes</w:t>
      </w:r>
      <w:r>
        <w:rPr>
          <w:rFonts w:ascii="Arial" w:cs="Arial" w:eastAsia="Arial" w:hAnsi="Arial"/>
          <w:sz w:val="17"/>
          <w:szCs w:val="17"/>
          <w:color w:val="auto"/>
        </w:rPr>
        <w:t>. The transfer and exchange of beneficial interests in the Global Notes shall be effected through the Depository, in accordance with the provisions of this Indenture and the applicable rules and procedures of the Depository.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69" w:lineRule="exact"/>
        <w:rPr>
          <w:rFonts w:ascii="Arial" w:cs="Arial" w:eastAsia="Arial" w:hAnsi="Arial"/>
          <w:sz w:val="17"/>
          <w:szCs w:val="17"/>
          <w:color w:val="auto"/>
        </w:rPr>
      </w:pPr>
    </w:p>
    <w:p>
      <w:pPr>
        <w:ind w:left="420" w:firstLine="419"/>
        <w:spacing w:after="0" w:line="271" w:lineRule="auto"/>
        <w:tabs>
          <w:tab w:leader="none" w:pos="105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Transfer of Beneficial Interests in the Same Global Note</w:t>
      </w:r>
      <w:r>
        <w:rPr>
          <w:rFonts w:ascii="Arial" w:cs="Arial" w:eastAsia="Arial" w:hAnsi="Arial"/>
          <w:sz w:val="17"/>
          <w:szCs w:val="17"/>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the 40th day after the later of the commencement of the offering of the Notes represented by a Regulation S Global Note and the issue date of such Notes (such period through and including such 40th day,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70" w:lineRule="exact"/>
        <w:rPr>
          <w:rFonts w:ascii="Arial" w:cs="Arial" w:eastAsia="Arial" w:hAnsi="Arial"/>
          <w:sz w:val="17"/>
          <w:szCs w:val="17"/>
          <w:color w:val="auto"/>
        </w:rPr>
      </w:pPr>
    </w:p>
    <w:p>
      <w:pPr>
        <w:ind w:left="420" w:right="120" w:firstLine="419"/>
        <w:spacing w:after="0" w:line="271" w:lineRule="auto"/>
        <w:tabs>
          <w:tab w:leader="none" w:pos="110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All Other Transfers and Exchanges of Beneficial Interests in Global Notes</w:t>
      </w:r>
      <w:r>
        <w:rPr>
          <w:rFonts w:ascii="Arial" w:cs="Arial" w:eastAsia="Arial" w:hAnsi="Arial"/>
          <w:sz w:val="17"/>
          <w:szCs w:val="17"/>
          <w:color w:val="auto"/>
        </w:rPr>
        <w:t>. In connection with all transfers and exchanges of beneficial interests in any Global Note that is not subject to Section 2.17(b)(i), the transferor of such beneficial interest must deliver to the Registrar (1) a written order from an Agent Member given to the Depository in accordance with the applicable rules and procedures of the Depository directing the Depository to credit or cause to be credited a beneficial interest in another Global Note in an amount equal to the beneficial interest to be transferred or exchanged and (2) instructions given in accordance with the applicable rules and procedures of the Depository containing information regarding the Agent Member account to be credited with such increase. Upon satisfaction of all of the requirements for transfer or exchange of beneficial interests in Global Notes contained in this Indenture and the Notes, the Trustee shall adjust the principal amount of the relevant Global Note(s) pursuant to Section 2.17(f).</w:t>
      </w:r>
    </w:p>
    <w:p>
      <w:pPr>
        <w:spacing w:after="0" w:line="70" w:lineRule="exact"/>
        <w:rPr>
          <w:rFonts w:ascii="Arial" w:cs="Arial" w:eastAsia="Arial" w:hAnsi="Arial"/>
          <w:sz w:val="17"/>
          <w:szCs w:val="17"/>
          <w:color w:val="auto"/>
        </w:rPr>
      </w:pPr>
    </w:p>
    <w:p>
      <w:pPr>
        <w:ind w:left="420" w:right="80" w:firstLine="419"/>
        <w:spacing w:after="0" w:line="263" w:lineRule="auto"/>
        <w:tabs>
          <w:tab w:leader="none" w:pos="115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to Another Restricted Global Note</w:t>
      </w:r>
      <w:r>
        <w:rPr>
          <w:rFonts w:ascii="Arial" w:cs="Arial" w:eastAsia="Arial" w:hAnsi="Arial"/>
          <w:sz w:val="18"/>
          <w:szCs w:val="18"/>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4" w:right="479" w:bottom="1440" w:gutter="0" w:footer="0" w:header="0"/>
        </w:sectPr>
      </w:pPr>
    </w:p>
    <w:bookmarkStart w:id="41" w:name="page42"/>
    <w:bookmarkEnd w:id="41"/>
    <w:p>
      <w:pPr>
        <w:ind w:left="540" w:right="420" w:firstLine="408"/>
        <w:spacing w:after="0" w:line="277" w:lineRule="auto"/>
        <w:tabs>
          <w:tab w:leader="none" w:pos="1236"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transferee will take delivery in the form of a beneficial interest in a Rule 144A Global Note,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(1) thereof; and</w:t>
      </w:r>
    </w:p>
    <w:p>
      <w:pPr>
        <w:spacing w:after="0" w:line="62" w:lineRule="exact"/>
        <w:rPr>
          <w:rFonts w:ascii="Arial" w:cs="Arial" w:eastAsia="Arial" w:hAnsi="Arial"/>
          <w:sz w:val="18"/>
          <w:szCs w:val="18"/>
          <w:color w:val="auto"/>
        </w:rPr>
      </w:pPr>
    </w:p>
    <w:p>
      <w:pPr>
        <w:ind w:left="540" w:right="280" w:firstLine="408"/>
        <w:spacing w:after="0" w:line="277" w:lineRule="auto"/>
        <w:tabs>
          <w:tab w:leader="none" w:pos="12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a Regulation S Global Note,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(2) thereof.</w:t>
      </w:r>
    </w:p>
    <w:p>
      <w:pPr>
        <w:spacing w:after="0" w:line="62" w:lineRule="exact"/>
        <w:rPr>
          <w:rFonts w:ascii="Arial" w:cs="Arial" w:eastAsia="Arial" w:hAnsi="Arial"/>
          <w:sz w:val="18"/>
          <w:szCs w:val="18"/>
          <w:color w:val="auto"/>
        </w:rPr>
      </w:pPr>
    </w:p>
    <w:p>
      <w:pPr>
        <w:ind w:right="20" w:firstLine="419"/>
        <w:spacing w:after="0" w:line="279" w:lineRule="auto"/>
        <w:tabs>
          <w:tab w:leader="none" w:pos="72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Beneficial Interests in a Restricted Global Note for Beneficial Interests in an Unrestricted Global Note</w:t>
      </w:r>
      <w:r>
        <w:rPr>
          <w:rFonts w:ascii="Arial" w:cs="Arial" w:eastAsia="Arial" w:hAnsi="Arial"/>
          <w:sz w:val="17"/>
          <w:szCs w:val="17"/>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63" w:lineRule="exact"/>
        <w:rPr>
          <w:rFonts w:ascii="Arial" w:cs="Arial" w:eastAsia="Arial" w:hAnsi="Arial"/>
          <w:sz w:val="17"/>
          <w:szCs w:val="17"/>
          <w:color w:val="auto"/>
        </w:rPr>
      </w:pPr>
    </w:p>
    <w:p>
      <w:pPr>
        <w:ind w:left="540" w:firstLine="408"/>
        <w:spacing w:after="0" w:line="263" w:lineRule="auto"/>
        <w:tabs>
          <w:tab w:leader="none" w:pos="1236"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including the certifications in item (1)(a) thereof; or</w:t>
      </w:r>
    </w:p>
    <w:p>
      <w:pPr>
        <w:spacing w:after="0" w:line="75" w:lineRule="exact"/>
        <w:rPr>
          <w:rFonts w:ascii="Arial" w:cs="Arial" w:eastAsia="Arial" w:hAnsi="Arial"/>
          <w:sz w:val="18"/>
          <w:szCs w:val="18"/>
          <w:color w:val="auto"/>
        </w:rPr>
      </w:pPr>
    </w:p>
    <w:p>
      <w:pPr>
        <w:jc w:val="both"/>
        <w:ind w:left="540" w:right="40" w:firstLine="408"/>
        <w:spacing w:after="0" w:line="263" w:lineRule="auto"/>
        <w:tabs>
          <w:tab w:leader="none" w:pos="1226"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(4) thereof,</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1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60"/>
          </w:cols>
          <w:pgMar w:left="880" w:top="274" w:right="559" w:bottom="1440" w:gutter="0" w:footer="0" w:header="0"/>
        </w:sectPr>
      </w:pPr>
    </w:p>
    <w:bookmarkStart w:id="42" w:name="page43"/>
    <w:bookmarkEnd w:id="42"/>
    <w:p>
      <w:pPr>
        <w:ind w:left="400" w:right="140" w:firstLine="419"/>
        <w:spacing w:after="0" w:line="263" w:lineRule="auto"/>
        <w:tabs>
          <w:tab w:leader="none" w:pos="107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an Unrestricted Global Note for Beneficial Interests in a Restricted Global Note</w:t>
      </w:r>
      <w:r>
        <w:rPr>
          <w:rFonts w:ascii="Arial" w:cs="Arial" w:eastAsia="Arial" w:hAnsi="Arial"/>
          <w:sz w:val="18"/>
          <w:szCs w:val="18"/>
          <w:color w:val="auto"/>
        </w:rPr>
        <w:t>. Beneficial interests in an Unrestricted Global Note cannot be exchanged for, or transferred to Persons who take delivery thereof in the form of, a beneficial interest in a Restricted Global Note.</w:t>
      </w:r>
    </w:p>
    <w:p>
      <w:pPr>
        <w:spacing w:after="0" w:line="183" w:lineRule="exact"/>
        <w:rPr>
          <w:rFonts w:ascii="Arial" w:cs="Arial" w:eastAsia="Arial" w:hAnsi="Arial"/>
          <w:sz w:val="18"/>
          <w:szCs w:val="18"/>
          <w:color w:val="auto"/>
        </w:rPr>
      </w:pPr>
    </w:p>
    <w:p>
      <w:pPr>
        <w:ind w:left="-40" w:right="260" w:firstLine="987"/>
        <w:spacing w:after="0" w:line="311" w:lineRule="auto"/>
        <w:tabs>
          <w:tab w:leader="none" w:pos="1196"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Beneficial Interests in Global Notes for Physical Notes</w:t>
      </w:r>
      <w:r>
        <w:rPr>
          <w:rFonts w:ascii="Arial" w:cs="Arial" w:eastAsia="Arial" w:hAnsi="Arial"/>
          <w:sz w:val="16"/>
          <w:szCs w:val="16"/>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48" w:lineRule="exact"/>
        <w:rPr>
          <w:rFonts w:ascii="Arial" w:cs="Arial" w:eastAsia="Arial" w:hAnsi="Arial"/>
          <w:sz w:val="16"/>
          <w:szCs w:val="16"/>
          <w:color w:val="auto"/>
        </w:rPr>
      </w:pPr>
    </w:p>
    <w:p>
      <w:pPr>
        <w:ind w:left="-40" w:right="280" w:firstLine="987"/>
        <w:spacing w:after="0" w:line="277" w:lineRule="auto"/>
        <w:tabs>
          <w:tab w:leader="none" w:pos="1206"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Physical Notes for Beneficial Interests in Global Notes</w:t>
      </w:r>
      <w:r>
        <w:rPr>
          <w:rFonts w:ascii="Arial" w:cs="Arial" w:eastAsia="Arial" w:hAnsi="Arial"/>
          <w:sz w:val="18"/>
          <w:szCs w:val="18"/>
          <w:color w:val="auto"/>
        </w:rPr>
        <w:t>. Physical Notes shall be transferred or exchanged only for beneficial interests in Global Notes as described below:</w:t>
      </w:r>
    </w:p>
    <w:p>
      <w:pPr>
        <w:spacing w:after="0" w:line="62" w:lineRule="exact"/>
        <w:rPr>
          <w:sz w:val="20"/>
          <w:szCs w:val="20"/>
          <w:color w:val="auto"/>
        </w:rPr>
      </w:pPr>
    </w:p>
    <w:p>
      <w:pPr>
        <w:jc w:val="both"/>
        <w:ind w:left="400" w:right="400" w:firstLine="419"/>
        <w:spacing w:after="0" w:line="259" w:lineRule="auto"/>
        <w:tabs>
          <w:tab w:leader="none" w:pos="103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Restricted Physical Notes to Beneficial Interests in Restricted Global Notes</w:t>
      </w:r>
      <w:r>
        <w:rPr>
          <w:rFonts w:ascii="Arial" w:cs="Arial" w:eastAsia="Arial" w:hAnsi="Arial"/>
          <w:sz w:val="18"/>
          <w:szCs w:val="18"/>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940" w:right="180" w:firstLine="408"/>
        <w:spacing w:after="0" w:line="342" w:lineRule="auto"/>
        <w:tabs>
          <w:tab w:leader="none" w:pos="1636"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Physical Note proposes to exchange such Restricted Physical Note for a beneficial interest in a Restricted Global Note, a certificate from such Holder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including the certifications in item (2)(a) thereof;</w:t>
      </w:r>
    </w:p>
    <w:p>
      <w:pPr>
        <w:spacing w:after="0" w:line="15" w:lineRule="exact"/>
        <w:rPr>
          <w:rFonts w:ascii="Arial" w:cs="Arial" w:eastAsia="Arial" w:hAnsi="Arial"/>
          <w:sz w:val="16"/>
          <w:szCs w:val="16"/>
          <w:color w:val="auto"/>
        </w:rPr>
      </w:pPr>
    </w:p>
    <w:p>
      <w:pPr>
        <w:ind w:left="940" w:right="180" w:firstLine="408"/>
        <w:spacing w:after="0" w:line="277" w:lineRule="auto"/>
        <w:tabs>
          <w:tab w:leader="none" w:pos="1626"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if such Restricted Physical Note is being transferred to a Qualified Institutional Buyer in accordance with Rule 144A under the Securities Act, a certificate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(1) thereof;</w:t>
      </w:r>
    </w:p>
    <w:p>
      <w:pPr>
        <w:spacing w:after="0" w:line="62" w:lineRule="exact"/>
        <w:rPr>
          <w:rFonts w:ascii="Arial" w:cs="Arial" w:eastAsia="Arial" w:hAnsi="Arial"/>
          <w:sz w:val="18"/>
          <w:szCs w:val="18"/>
          <w:color w:val="auto"/>
        </w:rPr>
      </w:pPr>
    </w:p>
    <w:p>
      <w:pPr>
        <w:ind w:left="940" w:firstLine="408"/>
        <w:spacing w:after="0" w:line="342" w:lineRule="auto"/>
        <w:tabs>
          <w:tab w:leader="none" w:pos="1626"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if such Restricted Physical Note is being transferred to a Non-U.S. Person in an offshore transaction in accordance with Rule 903 or Rule 904 under the Securities Act, a certificate to the effect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in item (2) thereof;</w:t>
      </w:r>
    </w:p>
    <w:p>
      <w:pPr>
        <w:spacing w:after="0" w:line="15" w:lineRule="exact"/>
        <w:rPr>
          <w:rFonts w:ascii="Arial" w:cs="Arial" w:eastAsia="Arial" w:hAnsi="Arial"/>
          <w:sz w:val="16"/>
          <w:szCs w:val="16"/>
          <w:color w:val="auto"/>
        </w:rPr>
      </w:pPr>
    </w:p>
    <w:p>
      <w:pPr>
        <w:jc w:val="both"/>
        <w:ind w:left="940" w:right="680" w:firstLine="408"/>
        <w:spacing w:after="0" w:line="263" w:lineRule="auto"/>
        <w:tabs>
          <w:tab w:leader="none" w:pos="16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(3)(a)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80" w:top="274" w:right="479" w:bottom="1440" w:gutter="0" w:footer="0" w:header="0"/>
        </w:sectPr>
      </w:pPr>
    </w:p>
    <w:bookmarkStart w:id="43" w:name="page44"/>
    <w:bookmarkEnd w:id="43"/>
    <w:p>
      <w:pPr>
        <w:jc w:val="both"/>
        <w:ind w:left="540" w:firstLine="408"/>
        <w:spacing w:after="0" w:line="311" w:lineRule="auto"/>
        <w:tabs>
          <w:tab w:leader="none" w:pos="1216"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Physical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certificates and Opinion of Counsel required by item (3)(d) thereof, if applicable; or</w:t>
      </w:r>
    </w:p>
    <w:p>
      <w:pPr>
        <w:spacing w:after="0" w:line="40" w:lineRule="exact"/>
        <w:rPr>
          <w:rFonts w:ascii="Arial" w:cs="Arial" w:eastAsia="Arial" w:hAnsi="Arial"/>
          <w:sz w:val="16"/>
          <w:szCs w:val="16"/>
          <w:color w:val="auto"/>
        </w:rPr>
      </w:pPr>
    </w:p>
    <w:p>
      <w:pPr>
        <w:ind w:left="540" w:right="280" w:firstLine="408"/>
        <w:spacing w:after="0" w:line="277" w:lineRule="auto"/>
        <w:tabs>
          <w:tab w:leader="none" w:pos="12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if such Restricted Physical Note is being transferred to the Issuer or a Subsidiary thereof, a certificate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(3)(b) thereof,</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Trustee shall cancel the Restricted Physical Note, and increase or cause to be increased the aggregate principal amount of the appropriate Restricted Global Note.</w:t>
      </w:r>
    </w:p>
    <w:p>
      <w:pPr>
        <w:spacing w:after="0" w:line="62" w:lineRule="exact"/>
        <w:rPr>
          <w:sz w:val="20"/>
          <w:szCs w:val="20"/>
          <w:color w:val="auto"/>
        </w:rPr>
      </w:pPr>
    </w:p>
    <w:p>
      <w:pPr>
        <w:jc w:val="both"/>
        <w:ind w:right="200" w:firstLine="419"/>
        <w:spacing w:after="0" w:line="311" w:lineRule="auto"/>
        <w:tabs>
          <w:tab w:leader="none" w:pos="68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Restricted Physical Notes to Beneficial Interests in Unrestricted Global Notes</w:t>
      </w:r>
      <w:r>
        <w:rPr>
          <w:rFonts w:ascii="Arial" w:cs="Arial" w:eastAsia="Arial" w:hAnsi="Arial"/>
          <w:sz w:val="16"/>
          <w:szCs w:val="16"/>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40" w:lineRule="exact"/>
        <w:rPr>
          <w:rFonts w:ascii="Arial" w:cs="Arial" w:eastAsia="Arial" w:hAnsi="Arial"/>
          <w:sz w:val="16"/>
          <w:szCs w:val="16"/>
          <w:color w:val="auto"/>
        </w:rPr>
      </w:pPr>
    </w:p>
    <w:p>
      <w:pPr>
        <w:ind w:left="540" w:right="40" w:firstLine="408"/>
        <w:spacing w:after="0" w:line="342" w:lineRule="auto"/>
        <w:tabs>
          <w:tab w:leader="none" w:pos="1236"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Physical Note proposes to exchange such Restricted Physical Note for a beneficial interest in an Unrestricted Global Note, a certificate from such Holder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including the certifications in item (1)(b) thereof; or</w:t>
      </w:r>
    </w:p>
    <w:p>
      <w:pPr>
        <w:spacing w:after="0" w:line="15" w:lineRule="exact"/>
        <w:rPr>
          <w:rFonts w:ascii="Arial" w:cs="Arial" w:eastAsia="Arial" w:hAnsi="Arial"/>
          <w:sz w:val="16"/>
          <w:szCs w:val="16"/>
          <w:color w:val="auto"/>
        </w:rPr>
      </w:pPr>
    </w:p>
    <w:p>
      <w:pPr>
        <w:ind w:left="540" w:firstLine="408"/>
        <w:spacing w:after="0" w:line="263" w:lineRule="auto"/>
        <w:tabs>
          <w:tab w:leader="none" w:pos="1226"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(4) thereof,</w:t>
      </w:r>
    </w:p>
    <w:p>
      <w:pPr>
        <w:spacing w:after="0" w:line="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w:t>
      </w:r>
    </w:p>
    <w:p>
      <w:pPr>
        <w:spacing w:after="0" w:line="1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00"/>
          </w:cols>
          <w:pgMar w:left="880" w:top="274" w:right="519" w:bottom="1440" w:gutter="0" w:footer="0" w:header="0"/>
        </w:sectPr>
      </w:pPr>
    </w:p>
    <w:bookmarkStart w:id="44" w:name="page45"/>
    <w:bookmarkEnd w:id="44"/>
    <w:p>
      <w:pPr>
        <w:ind w:left="440" w:firstLine="419"/>
        <w:spacing w:after="0" w:line="253" w:lineRule="auto"/>
        <w:tabs>
          <w:tab w:leader="none" w:pos="117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Physical Notes to Beneficial Interests in Unrestricted Global Notes</w:t>
      </w:r>
      <w:r>
        <w:rPr>
          <w:rFonts w:ascii="Arial" w:cs="Arial" w:eastAsia="Arial" w:hAnsi="Arial"/>
          <w:sz w:val="18"/>
          <w:szCs w:val="18"/>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88" w:lineRule="exact"/>
        <w:rPr>
          <w:rFonts w:ascii="Arial" w:cs="Arial" w:eastAsia="Arial" w:hAnsi="Arial"/>
          <w:sz w:val="18"/>
          <w:szCs w:val="18"/>
          <w:color w:val="auto"/>
        </w:rPr>
      </w:pPr>
    </w:p>
    <w:p>
      <w:pPr>
        <w:ind w:left="440" w:right="100" w:firstLine="419"/>
        <w:spacing w:after="0" w:line="277"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Unrestricted Physical Notes to Beneficial Interests in Restricted Global Notes</w:t>
      </w:r>
      <w:r>
        <w:rPr>
          <w:rFonts w:ascii="Arial" w:cs="Arial" w:eastAsia="Arial" w:hAnsi="Arial"/>
          <w:sz w:val="18"/>
          <w:szCs w:val="18"/>
          <w:color w:val="auto"/>
        </w:rPr>
        <w:t>. An Unrestricted Physical Note cannot be exchanged for, or transferred to a Person who takes delivery thereof in the form of, a beneficial interest in a Restricted Global Note.</w:t>
      </w:r>
    </w:p>
    <w:p>
      <w:pPr>
        <w:spacing w:after="0" w:line="170" w:lineRule="exact"/>
        <w:rPr>
          <w:rFonts w:ascii="Arial" w:cs="Arial" w:eastAsia="Arial" w:hAnsi="Arial"/>
          <w:sz w:val="18"/>
          <w:szCs w:val="18"/>
          <w:color w:val="auto"/>
        </w:rPr>
      </w:pPr>
    </w:p>
    <w:p>
      <w:pPr>
        <w:ind w:right="40" w:firstLine="987"/>
        <w:spacing w:after="0" w:line="255" w:lineRule="auto"/>
        <w:tabs>
          <w:tab w:leader="none" w:pos="123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Physical Notes for Physical Notes</w:t>
      </w:r>
      <w:r>
        <w:rPr>
          <w:rFonts w:ascii="Arial" w:cs="Arial" w:eastAsia="Arial" w:hAnsi="Arial"/>
          <w:sz w:val="18"/>
          <w:szCs w:val="18"/>
          <w:color w:val="auto"/>
        </w:rPr>
        <w:t>.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84" w:lineRule="exact"/>
        <w:rPr>
          <w:sz w:val="20"/>
          <w:szCs w:val="20"/>
          <w:color w:val="auto"/>
        </w:rPr>
      </w:pPr>
    </w:p>
    <w:p>
      <w:pPr>
        <w:ind w:right="100" w:firstLine="987"/>
        <w:spacing w:after="0" w:line="277" w:lineRule="auto"/>
        <w:tabs>
          <w:tab w:leader="none" w:pos="120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Restricted Physical Notes to Restricted Physical Notes</w:t>
      </w:r>
      <w:r>
        <w:rPr>
          <w:rFonts w:ascii="Arial" w:cs="Arial" w:eastAsia="Arial" w:hAnsi="Arial"/>
          <w:sz w:val="18"/>
          <w:szCs w:val="18"/>
          <w:color w:val="auto"/>
        </w:rPr>
        <w:t>. A Restricted Physical Note may be transferred to and registered in the name of a Person who takes delivery thereof in the form of a Restricted Physical Note if the Registrar receives the following:</w:t>
      </w:r>
    </w:p>
    <w:p>
      <w:pPr>
        <w:spacing w:after="0" w:line="62" w:lineRule="exact"/>
        <w:rPr>
          <w:rFonts w:ascii="Arial" w:cs="Arial" w:eastAsia="Arial" w:hAnsi="Arial"/>
          <w:sz w:val="18"/>
          <w:szCs w:val="18"/>
          <w:color w:val="auto"/>
        </w:rPr>
      </w:pPr>
    </w:p>
    <w:p>
      <w:pPr>
        <w:ind w:left="980" w:right="220" w:firstLine="408"/>
        <w:spacing w:after="0" w:line="277" w:lineRule="auto"/>
        <w:tabs>
          <w:tab w:leader="none" w:pos="16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under the Securities Act,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(1)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5" w:name="page46"/>
    <w:bookmarkEnd w:id="45"/>
    <w:p>
      <w:pPr>
        <w:ind w:left="540" w:right="640" w:firstLine="408"/>
        <w:spacing w:after="0" w:line="277" w:lineRule="auto"/>
        <w:tabs>
          <w:tab w:leader="none" w:pos="1226"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transfer will be made pursuant to Rule 903 or Rule 904 under the Securities Act, then the transferor must deliver a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(2) thereof;</w:t>
      </w:r>
    </w:p>
    <w:p>
      <w:pPr>
        <w:spacing w:after="0" w:line="62" w:lineRule="exact"/>
        <w:rPr>
          <w:rFonts w:ascii="Arial" w:cs="Arial" w:eastAsia="Arial" w:hAnsi="Arial"/>
          <w:sz w:val="18"/>
          <w:szCs w:val="18"/>
          <w:color w:val="auto"/>
        </w:rPr>
      </w:pPr>
    </w:p>
    <w:p>
      <w:pPr>
        <w:ind w:left="540" w:right="40" w:firstLine="408"/>
        <w:spacing w:after="0" w:line="342" w:lineRule="auto"/>
        <w:tabs>
          <w:tab w:leader="none" w:pos="1226"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transfer will be made pursuant to an exemption from the registration requirements of the Securities Act in accordance with Rule 144 under the Securities Act, a certificate to the effect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in item (3)(a) thereof;</w:t>
      </w:r>
    </w:p>
    <w:p>
      <w:pPr>
        <w:spacing w:after="0" w:line="15" w:lineRule="exact"/>
        <w:rPr>
          <w:rFonts w:ascii="Arial" w:cs="Arial" w:eastAsia="Arial" w:hAnsi="Arial"/>
          <w:sz w:val="16"/>
          <w:szCs w:val="16"/>
          <w:color w:val="auto"/>
        </w:rPr>
      </w:pPr>
    </w:p>
    <w:p>
      <w:pPr>
        <w:ind w:left="540" w:firstLine="408"/>
        <w:spacing w:after="0" w:line="286" w:lineRule="auto"/>
        <w:tabs>
          <w:tab w:leader="none" w:pos="1236"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if the transfer will be made to an Institutional Accredited Investor in reliance on an exemption from the registration requirements of the Securities Act other than those listed in subparagraphs (A) through (C) above, a certificate to the effect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including the certifications, certificates and Opinion of Counsel required by item (3)(d) thereof, if applicable; and</w:t>
      </w:r>
    </w:p>
    <w:p>
      <w:pPr>
        <w:spacing w:after="0" w:line="57" w:lineRule="exact"/>
        <w:rPr>
          <w:rFonts w:ascii="Arial" w:cs="Arial" w:eastAsia="Arial" w:hAnsi="Arial"/>
          <w:sz w:val="17"/>
          <w:szCs w:val="17"/>
          <w:color w:val="auto"/>
        </w:rPr>
      </w:pPr>
    </w:p>
    <w:p>
      <w:pPr>
        <w:ind w:left="540" w:right="220" w:firstLine="408"/>
        <w:spacing w:after="0" w:line="277" w:lineRule="auto"/>
        <w:tabs>
          <w:tab w:leader="none" w:pos="12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if such transfer will be made to the Issuer or a Subsidiary thereof, a certificate to the effect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including the certifications in item (3)(b) thereof.</w:t>
      </w:r>
    </w:p>
    <w:p>
      <w:pPr>
        <w:spacing w:after="0" w:line="62" w:lineRule="exact"/>
        <w:rPr>
          <w:rFonts w:ascii="Arial" w:cs="Arial" w:eastAsia="Arial" w:hAnsi="Arial"/>
          <w:sz w:val="18"/>
          <w:szCs w:val="18"/>
          <w:color w:val="auto"/>
        </w:rPr>
      </w:pPr>
    </w:p>
    <w:p>
      <w:pPr>
        <w:ind w:right="80" w:firstLine="419"/>
        <w:spacing w:after="0" w:line="263" w:lineRule="auto"/>
        <w:tabs>
          <w:tab w:leader="none" w:pos="68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Restricted Physical Notes to Unrestricted Physical Notes</w:t>
      </w:r>
      <w:r>
        <w:rPr>
          <w:rFonts w:ascii="Arial" w:cs="Arial" w:eastAsia="Arial" w:hAnsi="Arial"/>
          <w:sz w:val="18"/>
          <w:szCs w:val="18"/>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76" w:lineRule="exact"/>
        <w:rPr>
          <w:sz w:val="20"/>
          <w:szCs w:val="20"/>
          <w:color w:val="auto"/>
        </w:rPr>
      </w:pPr>
    </w:p>
    <w:p>
      <w:pPr>
        <w:ind w:left="540" w:right="160" w:firstLine="408"/>
        <w:spacing w:after="0" w:line="308" w:lineRule="auto"/>
        <w:tabs>
          <w:tab w:leader="none" w:pos="1196"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Physical Note proposes to exchange such Restricted Physical Note for an Unrestricted Physical Note, a certificate from such Holder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including the certifications in item (1)(c) thereof; or</w:t>
      </w:r>
    </w:p>
    <w:p>
      <w:pPr>
        <w:spacing w:after="0" w:line="38" w:lineRule="exact"/>
        <w:rPr>
          <w:rFonts w:ascii="Arial" w:cs="Arial" w:eastAsia="Arial" w:hAnsi="Arial"/>
          <w:sz w:val="17"/>
          <w:szCs w:val="17"/>
          <w:color w:val="auto"/>
        </w:rPr>
      </w:pPr>
    </w:p>
    <w:p>
      <w:pPr>
        <w:ind w:left="540" w:right="140" w:firstLine="408"/>
        <w:spacing w:after="0" w:line="291" w:lineRule="auto"/>
        <w:tabs>
          <w:tab w:leader="none" w:pos="1196"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Physical Note proposes to transfer such Notes to a Person who shall take delivery thereof in the form of an Unrestricted Physical Note, a certificate from such Holder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including the certifications in item</w:t>
      </w:r>
    </w:p>
    <w:p>
      <w:pPr>
        <w:ind w:left="800" w:hanging="25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thereof,</w:t>
      </w:r>
    </w:p>
    <w:p>
      <w:pPr>
        <w:spacing w:after="0" w:line="103"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and, in each such case,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6" w:lineRule="exact"/>
        <w:rPr>
          <w:sz w:val="20"/>
          <w:szCs w:val="20"/>
          <w:color w:val="auto"/>
        </w:rPr>
      </w:pPr>
    </w:p>
    <w:p>
      <w:pPr>
        <w:ind w:right="120" w:firstLine="419"/>
        <w:spacing w:after="0" w:line="311" w:lineRule="auto"/>
        <w:tabs>
          <w:tab w:leader="none" w:pos="73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Unrestricted Physical Notes to Unrestricted Physical Notes</w:t>
      </w:r>
      <w:r>
        <w:rPr>
          <w:rFonts w:ascii="Arial" w:cs="Arial" w:eastAsia="Arial" w:hAnsi="Arial"/>
          <w:sz w:val="16"/>
          <w:szCs w:val="16"/>
          <w:color w:val="auto"/>
        </w:rPr>
        <w:t>.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20"/>
          </w:cols>
          <w:pgMar w:left="880" w:top="274" w:right="499" w:bottom="1440" w:gutter="0" w:footer="0" w:header="0"/>
        </w:sectPr>
      </w:pPr>
    </w:p>
    <w:bookmarkStart w:id="46" w:name="page47"/>
    <w:bookmarkEnd w:id="46"/>
    <w:p>
      <w:pPr>
        <w:ind w:left="440" w:right="180" w:firstLine="419"/>
        <w:spacing w:after="0" w:line="277"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Physical Notes to Restricted Physical Notes</w:t>
      </w:r>
      <w:r>
        <w:rPr>
          <w:rFonts w:ascii="Arial" w:cs="Arial" w:eastAsia="Arial" w:hAnsi="Arial"/>
          <w:sz w:val="18"/>
          <w:szCs w:val="18"/>
          <w:color w:val="auto"/>
        </w:rPr>
        <w:t>. An Unrestricted Physical Note cannot be exchanged for, or transferred to a Person who takes delivery thereof in the form of, a Restricted Physical Note.</w:t>
      </w:r>
    </w:p>
    <w:p>
      <w:pPr>
        <w:spacing w:after="0" w:line="170" w:lineRule="exact"/>
        <w:rPr>
          <w:rFonts w:ascii="Arial" w:cs="Arial" w:eastAsia="Arial" w:hAnsi="Arial"/>
          <w:sz w:val="18"/>
          <w:szCs w:val="18"/>
          <w:color w:val="auto"/>
        </w:rPr>
      </w:pPr>
    </w:p>
    <w:p>
      <w:pPr>
        <w:ind w:right="20" w:firstLine="987"/>
        <w:spacing w:after="0" w:line="270" w:lineRule="auto"/>
        <w:tabs>
          <w:tab w:leader="none" w:pos="1216"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Cancellation and/or Adjustment of Global Notes</w:t>
      </w:r>
      <w:r>
        <w:rPr>
          <w:rFonts w:ascii="Arial" w:cs="Arial" w:eastAsia="Arial" w:hAnsi="Arial"/>
          <w:sz w:val="17"/>
          <w:szCs w:val="17"/>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spacing w:after="0" w:line="180" w:lineRule="exact"/>
        <w:rPr>
          <w:rFonts w:ascii="Arial" w:cs="Arial" w:eastAsia="Arial" w:hAnsi="Arial"/>
          <w:sz w:val="17"/>
          <w:szCs w:val="17"/>
          <w:color w:val="auto"/>
        </w:rPr>
      </w:pPr>
    </w:p>
    <w:p>
      <w:pPr>
        <w:ind w:firstLine="987"/>
        <w:spacing w:after="0" w:line="293" w:lineRule="auto"/>
        <w:tabs>
          <w:tab w:leader="none" w:pos="1246"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Private Placement Legend</w:t>
      </w:r>
      <w:r>
        <w:rPr>
          <w:rFonts w:ascii="Arial" w:cs="Arial" w:eastAsia="Arial" w:hAnsi="Arial"/>
          <w:sz w:val="16"/>
          <w:szCs w:val="16"/>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164" w:lineRule="exact"/>
        <w:rPr>
          <w:rFonts w:ascii="Arial" w:cs="Arial" w:eastAsia="Arial" w:hAnsi="Arial"/>
          <w:sz w:val="16"/>
          <w:szCs w:val="16"/>
          <w:color w:val="auto"/>
        </w:rPr>
      </w:pPr>
    </w:p>
    <w:p>
      <w:pPr>
        <w:ind w:right="60" w:firstLine="987"/>
        <w:spacing w:after="0" w:line="263" w:lineRule="auto"/>
        <w:tabs>
          <w:tab w:leader="none" w:pos="124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84"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The Registrar shall retain for a period of two years following receipt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00"/>
          </w:cols>
          <w:pgMar w:left="440" w:top="274" w:right="559" w:bottom="1440" w:gutter="0" w:footer="0" w:header="0"/>
        </w:sectPr>
      </w:pPr>
    </w:p>
    <w:bookmarkStart w:id="47" w:name="page48"/>
    <w:bookmarkEnd w:id="47"/>
    <w:p>
      <w:pPr>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Issuer, the Trustee, Paying Agent nor any Agent of the Issuer shall have any responsibility or liability in any respect of the records relating to or payment made on account of beneficial interests in a Global Note, or for maintaining, supervising or reviewing any records relating to such beneficial ownership interests.</w:t>
      </w:r>
    </w:p>
    <w:p>
      <w:pPr>
        <w:spacing w:after="0" w:line="18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Agent Members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on the Notes shall be computed on the basis of a 360-day year of twelve 30-day months and actual days elapsed.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THREE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Election To Redeem; Notices to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If the Issuer elects to redeem Notes pursuant to paragraph 5 of the Notes at least 45 days prior to the Redemption Date (unless a shorter notice shall be agreed to in writing by the Trustee) but not more than 65 days before the Redemption Date, the Issuer shall notify the Trustee in writing of the Redemption Date, the principal amount of Notes to be redeemed and the redemption price(s), and deliver to the Trustee an Officers’ Certificate stating that such redemption will comply with the conditions contained in paragraph 5 of the Notes. Except as provided in Section 3.04, notice given to the Trustee pursuant to this Section 3.01 may not be revoked after the time that notice is given to Noteholders pursuant to Section 3.03.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Selection by Trustee of Notes To Be Redeemed</w:t>
      </w:r>
      <w:r>
        <w:rPr>
          <w:rFonts w:ascii="Arial" w:cs="Arial" w:eastAsia="Arial" w:hAnsi="Arial"/>
          <w:sz w:val="18"/>
          <w:szCs w:val="18"/>
          <w:color w:val="auto"/>
        </w:rPr>
        <w:t>.</w:t>
      </w:r>
    </w:p>
    <w:p>
      <w:pPr>
        <w:spacing w:after="0" w:line="225" w:lineRule="exact"/>
        <w:rPr>
          <w:sz w:val="20"/>
          <w:szCs w:val="20"/>
          <w:color w:val="auto"/>
        </w:rPr>
      </w:pPr>
    </w:p>
    <w:p>
      <w:pPr>
        <w:ind w:right="600" w:firstLine="991"/>
        <w:spacing w:after="0" w:line="342" w:lineRule="auto"/>
        <w:rPr>
          <w:sz w:val="20"/>
          <w:szCs w:val="20"/>
          <w:color w:val="auto"/>
        </w:rPr>
      </w:pPr>
      <w:r>
        <w:rPr>
          <w:rFonts w:ascii="Arial" w:cs="Arial" w:eastAsia="Arial" w:hAnsi="Arial"/>
          <w:sz w:val="16"/>
          <w:szCs w:val="16"/>
          <w:color w:val="auto"/>
        </w:rPr>
        <w:t>If less than all of the Notes are to be redeemed at any time, selection of such Notes for redemption will be made by the Trustee in compliance with the requirements of the principal national securities exchange, if any, on which the Notes to be redeemed are listed or,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440" w:top="274" w:right="579" w:bottom="1440" w:gutter="0" w:footer="0" w:header="0"/>
        </w:sectPr>
      </w:pPr>
    </w:p>
    <w:bookmarkStart w:id="48" w:name="page49"/>
    <w:bookmarkEnd w:id="48"/>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Notes are not so listed,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if the Notes are held through DTC and if the procedures of DTC at such time do not permit pro rata redemptions, then by lot or by such other method consistent with the procedures of DTC that the Trustee in its sole discretion deems fair and reasonable);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Notes with a principal amount of $2,000 or less shall be redeemed in part. For all purposes of this Indenture unless the context otherwise requires, provisions of this Indenture that apply to Notes called for redemption also apply to portions of Notes called for redemption. Redemption amounts shall only be paid upon presentation and surrender of any such Notes to be redeemed to the Trustee at its Corporate Trust Office.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At least 30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shall identify the Notes to be redeemed (including the CUSIP and/or ISIN numbers thereof) and shall state:</w:t>
      </w:r>
    </w:p>
    <w:p>
      <w:pPr>
        <w:spacing w:after="0" w:line="117" w:lineRule="exact"/>
        <w:rPr>
          <w:sz w:val="20"/>
          <w:szCs w:val="20"/>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redemption price and the amount of premium and accrued interest to be paid;</w:t>
      </w:r>
    </w:p>
    <w:p>
      <w:pPr>
        <w:spacing w:after="0" w:line="117" w:lineRule="exact"/>
        <w:rPr>
          <w:rFonts w:ascii="Arial" w:cs="Arial" w:eastAsia="Arial" w:hAnsi="Arial"/>
          <w:sz w:val="18"/>
          <w:szCs w:val="18"/>
          <w:color w:val="auto"/>
        </w:rPr>
      </w:pPr>
    </w:p>
    <w:p>
      <w:pPr>
        <w:ind w:left="440" w:right="280" w:firstLine="419"/>
        <w:spacing w:after="0" w:line="342" w:lineRule="auto"/>
        <w:tabs>
          <w:tab w:leader="none" w:pos="111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unless the Issuer default in making the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paragraph 5 of the Notes is the provision of the Notes pursuant to which the redemption is occurring;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principal amount of Notes that are being redeemed.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9" w:name="page50"/>
    <w:bookmarkEnd w:id="49"/>
    <w:p>
      <w:pPr>
        <w:ind w:right="3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Issuer’s written request made at least five Business Days prior to the date on which notice is to be given (or such shorter period acceptable to the Trustee), the Trustee shall give the notice of redemption in the Issuer’s name and at the Issuer’s sole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any redemption and notice thereof pursuant to this Indenture may, in the Issuer’s discretion, be subject to the satisfaction of 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more conditions precedent described in such 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but excluding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 Redemption Date is a Legal Holiday, payment shall be made on the next succeeding Business Day and no interest shall accrue for the period from such Redemption Date to such succeeding Business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jc w:val="both"/>
        <w:ind w:right="220" w:firstLine="991"/>
        <w:spacing w:after="0" w:line="311" w:lineRule="auto"/>
        <w:rPr>
          <w:sz w:val="20"/>
          <w:szCs w:val="20"/>
          <w:color w:val="auto"/>
        </w:rPr>
      </w:pPr>
      <w:r>
        <w:rPr>
          <w:rFonts w:ascii="Arial" w:cs="Arial" w:eastAsia="Arial" w:hAnsi="Arial"/>
          <w:sz w:val="16"/>
          <w:szCs w:val="16"/>
          <w:color w:val="auto"/>
        </w:rPr>
        <w:t>On or prior to 10:00 A.M., New York City time, on each Redemption Date, the Issuer shall deposit with the Paying Agent U.S. Dollars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49"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second proviso in Section 3.04, accrued and unpaid interest on such Notes to but excluding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3.06.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Except as provided in Section 4.08 or as contemplated by Article Six, the Issuer is not required to make any mandatory redemption of the Notes or any sinking fund payments with respect to the Notes.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FOUR</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Notes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Issuer shall pay the principal of and interest on the Notes on the dates and in the manner provided in the Notes and this Indenture. An installment of principal or interest shall be considered paid on the date it is due if the Trustee or the Paying Agents hold by 10:00 A.M. Eastern Time on that date U.S. Dollars designated for and sufficient to pay such installment.</w:t>
      </w:r>
    </w:p>
    <w:p>
      <w:pPr>
        <w:spacing w:after="0" w:line="184"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The Issuer shall pay interest on overdue principal (including post-petition interest in a proceeding under any Bankruptcy Law), and overdue interest, to the extent lawful, at the rate specified in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Issuer shall maintain in the Borough of Manhattan, The City of New York, an office or agency (which may be an office of the Trustee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40" w:top="274" w:right="539" w:bottom="1440" w:gutter="0" w:footer="0" w:header="0"/>
        </w:sectPr>
      </w:pPr>
    </w:p>
    <w:bookmarkStart w:id="51" w:name="page52"/>
    <w:bookmarkEnd w:id="51"/>
    <w:p>
      <w:pPr>
        <w:ind w:left="4" w:firstLine="987"/>
        <w:spacing w:after="0" w:line="301" w:lineRule="auto"/>
        <w:tabs>
          <w:tab w:leader="none" w:pos="1250"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Issuer of its obligation to maintain an office or agency in the Borough of Manhattan, The City of New York. The Issuer shall give prompt written notice to the Trustee of any such designation or rescission and of any change in the location of any such other office or agency.</w:t>
      </w:r>
    </w:p>
    <w:p>
      <w:pPr>
        <w:spacing w:after="0" w:line="157" w:lineRule="exact"/>
        <w:rPr>
          <w:rFonts w:ascii="Arial" w:cs="Arial" w:eastAsia="Arial" w:hAnsi="Arial"/>
          <w:sz w:val="16"/>
          <w:szCs w:val="16"/>
          <w:color w:val="auto"/>
        </w:rPr>
      </w:pPr>
    </w:p>
    <w:p>
      <w:pPr>
        <w:ind w:left="4" w:right="260" w:firstLine="987"/>
        <w:spacing w:after="0" w:line="277" w:lineRule="auto"/>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hereby designates the Corporate Trust Office of the Trustee, or its Agent, in the Borough of Manhattan, The City of New York, as such office or agency of the Issuer in accordance with Section 2.04.</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Legal Existence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Except as permitted by Article Five, Parent shall do or cause to be done all things necessary to preserve and keep in full force and effect</w:t>
      </w:r>
    </w:p>
    <w:p>
      <w:pPr>
        <w:spacing w:after="0" w:line="46" w:lineRule="exact"/>
        <w:rPr>
          <w:sz w:val="20"/>
          <w:szCs w:val="20"/>
          <w:color w:val="auto"/>
        </w:rPr>
      </w:pPr>
    </w:p>
    <w:p>
      <w:pPr>
        <w:ind w:left="4" w:hanging="4"/>
        <w:spacing w:after="0" w:line="269" w:lineRule="auto"/>
        <w:tabs>
          <w:tab w:leader="none" w:pos="2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its legal existence, and the corporate, partnership or other existence of each Restricted Subsidiary, in accordance with the respective organizational documents (as the same may be amended from time to time) of Parent, Crown and the Issuer and each such Restricted Subsidiary and (ii) subject to applicable laws, the material rights (charter and statutory) and franchises of Parent, Crown and the Issuer and such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Crown and the Issuer shall not be required to preserve any such right, franchise, or the corporate, partnership or other existence of any of their Restricted Subsidiaries (other than Crown or the Issuer) if the Board of Directors of Parent, Crown or the Issuer, as applicable, shall determine that the preservation thereof is no longer desirable in the conduct of the business of Parent, Crown or the Issuer, as applicable and its Restricted Subsidiaries, taken as a whole, and that the loss thereof is not adverse in any material respect to the Holders.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225" w:lineRule="exact"/>
        <w:rPr>
          <w:sz w:val="20"/>
          <w:szCs w:val="20"/>
          <w:color w:val="auto"/>
        </w:rPr>
      </w:pPr>
    </w:p>
    <w:p>
      <w:pPr>
        <w:ind w:left="4" w:right="400" w:firstLine="991"/>
        <w:spacing w:after="0" w:line="263" w:lineRule="auto"/>
        <w:rPr>
          <w:sz w:val="20"/>
          <w:szCs w:val="20"/>
          <w:color w:val="auto"/>
        </w:rPr>
      </w:pPr>
      <w:r>
        <w:rPr>
          <w:rFonts w:ascii="Arial" w:cs="Arial" w:eastAsia="Arial" w:hAnsi="Arial"/>
          <w:sz w:val="18"/>
          <w:szCs w:val="18"/>
          <w:color w:val="auto"/>
        </w:rPr>
        <w:t>Parent shall, and shall cause each of its Restricted Subsidiaries to, comply with all statutes, laws, ordinances or government rules and regulations to which they are subject, non-compliance with which would materially adversely affect the business, financial condition or results of operations of Parent and its Restricted Subsidiaries, taken as a whole.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Waiver of Stay, Extension or Usury Laws</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the Guarantors from paying all or any portion of the principal of, premium, if any, and/or interest on the Notes as contemplated herein, wherever enacted, now or at any time hereafter in force, or 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4"/>
          </w:cols>
          <w:pgMar w:left="436" w:top="274"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3" w:lineRule="auto"/>
        <w:tabs>
          <w:tab w:leader="none" w:pos="123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Issuer shall deliver to the Trustee, within 120 days after the end of each Fiscal Year, an Officers’ Certificate (as enumerated by and in compliance with Section 314(a)(4) of the TIA) stating that each Officer has conducted or supervised a review of the activities of Parent and its Restricted Subsidiaries and Parent’s and its Restricted Subsidiaries’ performance under this Indenture during such Fiscal Year, and further stating, as to each such Officer signing such certificate, that, to the best of such Officers’ knowledge, based upon such review, Parent and the Issuer has fulfilled all obligations under this Indenture or, if there has been a Default under this Indenture that is continuing, a description of the event and what action Parent and its Restricted Subsidiaries are taking or propose to take with respect thereto.</w:t>
      </w:r>
    </w:p>
    <w:p>
      <w:pPr>
        <w:spacing w:after="0" w:line="177" w:lineRule="exact"/>
        <w:rPr>
          <w:rFonts w:ascii="Arial" w:cs="Arial" w:eastAsia="Arial" w:hAnsi="Arial"/>
          <w:sz w:val="17"/>
          <w:szCs w:val="17"/>
          <w:color w:val="auto"/>
        </w:rPr>
      </w:pPr>
    </w:p>
    <w:p>
      <w:pPr>
        <w:ind w:right="40" w:firstLine="987"/>
        <w:spacing w:after="0" w:line="296" w:lineRule="auto"/>
        <w:tabs>
          <w:tab w:leader="none" w:pos="12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Issuer shall deliver to the Trustee, within five Business Days after an executive officer of the Issuer becomes aware of any Default or Event of Default, a statement specifying such Default or Event of Default. The Trustee may withhold from the Holders notice of any continuing Default or Event of Default (except a Default or Event of Default relating to the payment of principal or interest) of which such Officer is aware, its status and what action Parent and its Restricted Subsidiaries are taking or propose to take with respect to such Default or Event of Default (except a Default or Event of Default relating to the payment of principal or interest) if it determines that withholding notice is in the Holders’ interest.</w:t>
      </w:r>
    </w:p>
    <w:p>
      <w:pPr>
        <w:spacing w:after="0" w:line="161" w:lineRule="exact"/>
        <w:rPr>
          <w:rFonts w:ascii="Arial" w:cs="Arial" w:eastAsia="Arial" w:hAnsi="Arial"/>
          <w:sz w:val="16"/>
          <w:szCs w:val="16"/>
          <w:color w:val="auto"/>
        </w:rPr>
      </w:pPr>
    </w:p>
    <w:p>
      <w:pPr>
        <w:ind w:left="1240" w:hanging="253"/>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Issuer shall provide written notice to the Trustee of any change in Parent’s or the Issuer’s Fiscal Year.</w:t>
      </w:r>
    </w:p>
    <w:p>
      <w:pPr>
        <w:spacing w:after="0" w:line="225" w:lineRule="exact"/>
        <w:rPr>
          <w:rFonts w:ascii="Arial" w:cs="Arial" w:eastAsia="Arial" w:hAnsi="Arial"/>
          <w:sz w:val="18"/>
          <w:szCs w:val="18"/>
          <w:color w:val="auto"/>
        </w:rPr>
      </w:pPr>
    </w:p>
    <w:p>
      <w:pPr>
        <w:ind w:firstLine="987"/>
        <w:spacing w:after="0" w:line="277"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Issuer shall promptly notify the Trustee, in writing, the first time the Notes are rated Investment Grade;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to deliver such notice shall in no event be deemed a Default or an Event of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Parent shall, and shall cause each of its Restricted Subsidiaries to, pay prior to delinquency (i) all material taxes, assessments, and governmental levies and (ii) all lawful material claims for labor, materials and supplies which, in each case, if unpaid, might by law become a Lien upon the property of Parent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Parent nor any of its Subsidiaries shall be required to pay or discharge or cause to be paid or discharged any such tax, assessment, charge or claim whose amount, applicability or validity is being contested in good faith by appropriate proceedings and for which disputed amounts adequate reserves have been made in accordance with GAAP.</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4.08. </w:t>
      </w:r>
      <w:r>
        <w:rPr>
          <w:rFonts w:ascii="Arial" w:cs="Arial" w:eastAsia="Arial" w:hAnsi="Arial"/>
          <w:sz w:val="18"/>
          <w:szCs w:val="18"/>
          <w:u w:val="single" w:color="auto"/>
          <w:color w:val="auto"/>
        </w:rPr>
        <w:t>Repurchase at the Option of Holders upon Change of Control Repurchase Events</w:t>
      </w:r>
      <w:r>
        <w:rPr>
          <w:rFonts w:ascii="Arial" w:cs="Arial" w:eastAsia="Arial" w:hAnsi="Arial"/>
          <w:sz w:val="18"/>
          <w:szCs w:val="18"/>
          <w:color w:val="auto"/>
        </w:rPr>
        <w:t>.</w:t>
      </w:r>
    </w:p>
    <w:p>
      <w:pPr>
        <w:spacing w:after="0" w:line="225" w:lineRule="exact"/>
        <w:rPr>
          <w:sz w:val="20"/>
          <w:szCs w:val="20"/>
          <w:color w:val="auto"/>
        </w:rPr>
      </w:pPr>
    </w:p>
    <w:p>
      <w:pPr>
        <w:ind w:right="280" w:firstLine="987"/>
        <w:spacing w:after="0" w:line="279" w:lineRule="auto"/>
        <w:tabs>
          <w:tab w:leader="none" w:pos="1236" w:val="left"/>
        </w:tabs>
        <w:numPr>
          <w:ilvl w:val="1"/>
          <w:numId w:val="49"/>
        </w:numPr>
        <w:rPr>
          <w:rFonts w:ascii="Arial" w:cs="Arial" w:eastAsia="Arial" w:hAnsi="Arial"/>
          <w:sz w:val="17"/>
          <w:szCs w:val="17"/>
          <w:color w:val="auto"/>
        </w:rPr>
      </w:pPr>
      <w:r>
        <w:rPr>
          <w:rFonts w:ascii="Arial" w:cs="Arial" w:eastAsia="Arial" w:hAnsi="Arial"/>
          <w:sz w:val="17"/>
          <w:szCs w:val="17"/>
          <w:color w:val="auto"/>
        </w:rPr>
        <w:t>Upon the occurrence of a Change of Control Repurchase Event, each Holder of Notes shall have the right to require the Issuer to repurchase all or any part (equal to $2,000 or an integral multiple of $1,000 in excess thereof) of such Holder’s Notes pursuant to the offer described below (the “</w:t>
      </w:r>
      <w:r>
        <w:rPr>
          <w:rFonts w:ascii="Arial" w:cs="Arial" w:eastAsia="Arial" w:hAnsi="Arial"/>
          <w:sz w:val="17"/>
          <w:szCs w:val="17"/>
          <w:u w:val="single" w:color="auto"/>
          <w:color w:val="auto"/>
        </w:rPr>
        <w:t>Change of Control Offer</w:t>
      </w:r>
      <w:r>
        <w:rPr>
          <w:rFonts w:ascii="Arial" w:cs="Arial" w:eastAsia="Arial" w:hAnsi="Arial"/>
          <w:sz w:val="17"/>
          <w:szCs w:val="17"/>
          <w:color w:val="auto"/>
        </w:rPr>
        <w:t>”) at an offer price in cash equal to 101% of the aggregate principal amount thereof plus accrued and unpaid interest, if any, thereon to but excluding the date of purchase (the “</w:t>
      </w: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987"/>
        <w:spacing w:after="0" w:line="270" w:lineRule="auto"/>
        <w:tabs>
          <w:tab w:leader="none" w:pos="1246" w:val="left"/>
        </w:tabs>
        <w:numPr>
          <w:ilvl w:val="1"/>
          <w:numId w:val="49"/>
        </w:numPr>
        <w:rPr>
          <w:rFonts w:ascii="Arial" w:cs="Arial" w:eastAsia="Arial" w:hAnsi="Arial"/>
          <w:sz w:val="17"/>
          <w:szCs w:val="17"/>
          <w:color w:val="auto"/>
        </w:rPr>
      </w:pPr>
      <w:r>
        <w:rPr>
          <w:rFonts w:ascii="Arial" w:cs="Arial" w:eastAsia="Arial" w:hAnsi="Arial"/>
          <w:sz w:val="17"/>
          <w:szCs w:val="17"/>
          <w:color w:val="auto"/>
        </w:rPr>
        <w:t>Within 30 days following any Change of Control Repurchase Event or, at the Issuer’s option, prior to the consummation of such Change of Control Repurchase Event but after the public announcement thereof, the Issuer shall send, or at the Issuer’s written request and expense the Trustee shall send, electronically or by first-class mail, postage prepaid, a notice to each Holder of Notes at its last registered address, which notice shall govern the terms of the Change of Control Offer. The notice shall describe the transaction or transactions that constitute the Change of Control Repurchase Event and offer to repurchase Notes on the purchase date specified in such notice (which must be no earlier than 30 days nor later than 60 days from the date such notice is sent, other than as may be required by law) (the “</w:t>
      </w:r>
      <w:r>
        <w:rPr>
          <w:rFonts w:ascii="Arial" w:cs="Arial" w:eastAsia="Arial" w:hAnsi="Arial"/>
          <w:sz w:val="17"/>
          <w:szCs w:val="17"/>
          <w:u w:val="single" w:color="auto"/>
          <w:color w:val="auto"/>
        </w:rPr>
        <w:t>Change of Control Payment Date</w:t>
      </w:r>
      <w:r>
        <w:rPr>
          <w:rFonts w:ascii="Arial" w:cs="Arial" w:eastAsia="Arial" w:hAnsi="Arial"/>
          <w:sz w:val="17"/>
          <w:szCs w:val="17"/>
          <w:color w:val="auto"/>
        </w:rPr>
        <w:t>”) pursuant to the procedures required by this Indenture and described in such notice. Such obligation will not continue after a discharge of this Indenture or defeasance from the Issuer’s obligations with respect to the Notes. The notice to the Holders shall contain all instructions and materials necessary to enable such Holders to tender Notes pursuant to the Change of Control Offer. Such notice shall state:</w:t>
      </w:r>
    </w:p>
    <w:p>
      <w:pPr>
        <w:spacing w:after="0" w:line="72" w:lineRule="exact"/>
        <w:rPr>
          <w:rFonts w:ascii="Arial" w:cs="Arial" w:eastAsia="Arial" w:hAnsi="Arial"/>
          <w:sz w:val="17"/>
          <w:szCs w:val="17"/>
          <w:color w:val="auto"/>
        </w:rPr>
      </w:pPr>
    </w:p>
    <w:p>
      <w:pPr>
        <w:ind w:left="440" w:right="70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4.08 and that all Notes validly tendered and not validly withdrawn will be accepted for payment;</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Change of Control Payment and the Change of Control Payment Date (which shall be no earlier than 30 days nor later than 60 days from the date such notice is sent, other than as may be required by law);</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unless the Issuer default in making payment therefor, any Note accepted for payment pursuant to the Change of Control Offer shall cease to accrue interest after the Change of Control Payment Date;</w:t>
      </w:r>
    </w:p>
    <w:p>
      <w:pPr>
        <w:spacing w:after="0" w:line="62" w:lineRule="exact"/>
        <w:rPr>
          <w:rFonts w:ascii="Arial" w:cs="Arial" w:eastAsia="Arial" w:hAnsi="Arial"/>
          <w:sz w:val="18"/>
          <w:szCs w:val="18"/>
          <w:color w:val="auto"/>
        </w:rPr>
      </w:pPr>
    </w:p>
    <w:p>
      <w:pPr>
        <w:ind w:left="440" w:right="120" w:firstLine="419"/>
        <w:spacing w:after="0" w:line="311" w:lineRule="auto"/>
        <w:tabs>
          <w:tab w:leader="none" w:pos="11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the Change of Control Offer will be required to surrender the Note, with the form entitled “Option of Holder to Elect Purchase” on the reverse of the Note completed, to the Paying Agent and Registrar for the Note at the address specified in the notice prior to the close of business on the Business Day prior to the Change of Control Payment Date;</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40" w:top="274" w:right="499" w:bottom="1440" w:gutter="0" w:footer="0" w:header="0"/>
        </w:sectPr>
      </w:pPr>
    </w:p>
    <w:bookmarkStart w:id="54" w:name="page55"/>
    <w:bookmarkEnd w:id="54"/>
    <w:p>
      <w:pPr>
        <w:ind w:left="440" w:right="220" w:firstLine="419"/>
        <w:spacing w:after="0" w:line="259"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will be entitled to withdraw their election if the Paying Agent receives, not later than the third Business Day prior to the Change of Control Payment Date, a telegram, telex, .pdf attachment, facsimile transmission or letter setting forth the name of the Holder, the principal amount of the Notes the Holder delivered for purchase and a statement that such Holder is withdrawing its election to have such Note purchased;</w:t>
      </w:r>
    </w:p>
    <w:p>
      <w:pPr>
        <w:spacing w:after="0" w:line="78" w:lineRule="exact"/>
        <w:rPr>
          <w:rFonts w:ascii="Arial" w:cs="Arial" w:eastAsia="Arial" w:hAnsi="Arial"/>
          <w:sz w:val="18"/>
          <w:szCs w:val="18"/>
          <w:color w:val="auto"/>
        </w:rPr>
      </w:pPr>
    </w:p>
    <w:p>
      <w:pPr>
        <w:jc w:val="both"/>
        <w:ind w:left="440" w:firstLine="419"/>
        <w:spacing w:after="0" w:line="263"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that Holders whose Notes are purchased only in part will be issued new Notes in a principal amount equal to the unpurchased portion of the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Note purchased and each new Note issued shall be in a principal amount of $2,000 or integral multiples of $1,000 in excess thereof;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circumstances and relevant facts regarding such Change of Control Repurchase Event.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On the Change of Control Payment Date, the Issuer shall, to the extent lawful:</w:t>
      </w:r>
    </w:p>
    <w:p>
      <w:pPr>
        <w:spacing w:after="0" w:line="117" w:lineRule="exact"/>
        <w:rPr>
          <w:sz w:val="20"/>
          <w:szCs w:val="20"/>
          <w:color w:val="auto"/>
        </w:rPr>
      </w:pPr>
    </w:p>
    <w:p>
      <w:pPr>
        <w:ind w:left="440" w:right="320" w:firstLine="419"/>
        <w:spacing w:after="0" w:line="277" w:lineRule="auto"/>
        <w:tabs>
          <w:tab w:leader="none" w:pos="11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accept for payment all Notes or portions thereof (in minimum amounts of $2,000 or an integral multiple of $1,000 in excess thereof) validly tendered and not validly withdrawn pursuant to the Change of Control Offer;</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deposit with the Paying Agent an amount in U.S. Dollars equal to the Change of Control Payment in respect of all Notes or portions thereof properly tendered; and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Upon receipt by the Paying Agent of the monies specified in clause (2) above and the Officers’ Certificate specified in clause (3) above, such Paying Agent shall promptly send to each Holder of Notes so tendered the Change of Control Payment for such Notes, and the Issuer shall execute and, upon receipt of a written order of the Issuer in the form of an Officers’ Certificate in accordance with Section 2.01, the Trustee shall promptly authenticate and send (or cause to be transferred by book entry) to each Holder of Notes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shall be in a principal amount of $2,000 or an integral multiple of $1,000 in excess thereof. The Issuer shall publicly announce the results of the Change of Control Offer on or as soon as practicable after the Change of Control Payment Date.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55" w:name="page56"/>
    <w:bookmarkEnd w:id="55"/>
    <w:p>
      <w:pPr>
        <w:ind w:right="400" w:firstLine="987"/>
        <w:spacing w:after="0" w:line="308" w:lineRule="auto"/>
        <w:tabs>
          <w:tab w:leader="none" w:pos="1246"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payment of the Change of Control Payment, the Trustee shall, subject to the provisions of Section 2.16, return the Notes purchased to the Issuer for cancellation. The Trustee may act as the Paying Agent for purposes of any Change of Control Offer.</w:t>
      </w:r>
    </w:p>
    <w:p>
      <w:pPr>
        <w:spacing w:after="0" w:line="146" w:lineRule="exact"/>
        <w:rPr>
          <w:rFonts w:ascii="Arial" w:cs="Arial" w:eastAsia="Arial" w:hAnsi="Arial"/>
          <w:sz w:val="17"/>
          <w:szCs w:val="17"/>
          <w:color w:val="auto"/>
        </w:rPr>
      </w:pPr>
    </w:p>
    <w:p>
      <w:pPr>
        <w:ind w:firstLine="987"/>
        <w:spacing w:after="0" w:line="271" w:lineRule="auto"/>
        <w:tabs>
          <w:tab w:leader="none" w:pos="12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Issuer will not be required to make a Change of Control Offer upon a Change of Control Repurchase Event if (1) a third party makes the Change of Control Offer in a 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pursuant to this Indenture as described in Article Three,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78" w:lineRule="exact"/>
        <w:rPr>
          <w:rFonts w:ascii="Arial" w:cs="Arial" w:eastAsia="Arial" w:hAnsi="Arial"/>
          <w:sz w:val="17"/>
          <w:szCs w:val="17"/>
          <w:color w:val="auto"/>
        </w:rPr>
      </w:pPr>
    </w:p>
    <w:p>
      <w:pPr>
        <w:ind w:right="320" w:firstLine="987"/>
        <w:spacing w:after="0" w:line="257" w:lineRule="auto"/>
        <w:tabs>
          <w:tab w:leader="none" w:pos="12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shall comply with the applicable securities laws and regulations and shall not be deemed to have breached their obligations under this paragraph by virtue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54" w:lineRule="auto"/>
        <w:tabs>
          <w:tab w:leader="none" w:pos="12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Parent shall not, nor shall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Section 4.11 shall be automatically released and discharged at the same time as the release of the Lien that gave rise to the obligation to secure the Notes under this Section 4.11.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Limitation on Sale and Leaseback Transactions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Parent shall not, nor shall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addition, the following Sale and Leaseback Transactions are not subject to the limitation above and the provisions described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4.11:</w:t>
      </w:r>
    </w:p>
    <w:p>
      <w:pPr>
        <w:spacing w:after="0" w:line="103" w:lineRule="exact"/>
        <w:rPr>
          <w:sz w:val="20"/>
          <w:szCs w:val="20"/>
          <w:color w:val="auto"/>
        </w:rPr>
      </w:pPr>
    </w:p>
    <w:p>
      <w:pPr>
        <w:ind w:left="1120" w:hanging="261"/>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temporary leases for a term, including renewals at the option of the lessee, of not more than three years;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leases between only Parent and a Restricted Subsidiary of Parent or only between Restricted Subsidiaries of Parent;</w:t>
      </w:r>
    </w:p>
    <w:p>
      <w:pPr>
        <w:spacing w:after="0" w:line="117" w:lineRule="exact"/>
        <w:rPr>
          <w:rFonts w:ascii="Arial" w:cs="Arial" w:eastAsia="Arial" w:hAnsi="Arial"/>
          <w:sz w:val="18"/>
          <w:szCs w:val="18"/>
          <w:color w:val="auto"/>
        </w:rPr>
      </w:pPr>
    </w:p>
    <w:p>
      <w:pPr>
        <w:ind w:left="440" w:firstLine="419"/>
        <w:spacing w:after="0" w:line="257" w:lineRule="auto"/>
        <w:tabs>
          <w:tab w:leader="none" w:pos="11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lieu of applying such amount to the retirement of long-term Indebtedness, Parent may deliver Notes to the trustee for cancellation; and</w:t>
      </w:r>
    </w:p>
    <w:p>
      <w:pPr>
        <w:spacing w:after="0" w:line="79" w:lineRule="exact"/>
        <w:rPr>
          <w:rFonts w:ascii="Arial" w:cs="Arial" w:eastAsia="Arial" w:hAnsi="Arial"/>
          <w:sz w:val="18"/>
          <w:szCs w:val="18"/>
          <w:color w:val="auto"/>
        </w:rPr>
      </w:pPr>
    </w:p>
    <w:p>
      <w:pPr>
        <w:ind w:left="440" w:right="680" w:firstLine="419"/>
        <w:spacing w:after="0" w:line="308" w:lineRule="auto"/>
        <w:tabs>
          <w:tab w:leader="none" w:pos="1118" w:val="left"/>
        </w:tabs>
        <w:numPr>
          <w:ilvl w:val="0"/>
          <w:numId w:val="55"/>
        </w:numPr>
        <w:rPr>
          <w:rFonts w:ascii="Arial" w:cs="Arial" w:eastAsia="Arial" w:hAnsi="Arial"/>
          <w:sz w:val="17"/>
          <w:szCs w:val="17"/>
          <w:color w:val="auto"/>
        </w:rPr>
      </w:pPr>
      <w:r>
        <w:rPr>
          <w:rFonts w:ascii="Arial" w:cs="Arial" w:eastAsia="Arial" w:hAnsi="Arial"/>
          <w:sz w:val="17"/>
          <w:szCs w:val="17"/>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4.16. </w:t>
      </w:r>
      <w:r>
        <w:rPr>
          <w:rFonts w:ascii="Arial" w:cs="Arial" w:eastAsia="Arial" w:hAnsi="Arial"/>
          <w:sz w:val="18"/>
          <w:szCs w:val="18"/>
          <w:u w:val="single" w:color="auto"/>
          <w:color w:val="auto"/>
        </w:rPr>
        <w:t>Reports to Holders</w:t>
      </w:r>
      <w:r>
        <w:rPr>
          <w:rFonts w:ascii="Arial" w:cs="Arial" w:eastAsia="Arial" w:hAnsi="Arial"/>
          <w:sz w:val="18"/>
          <w:szCs w:val="18"/>
          <w:color w:val="auto"/>
        </w:rPr>
        <w:t>.</w:t>
      </w:r>
    </w:p>
    <w:p>
      <w:pPr>
        <w:spacing w:after="0" w:line="225" w:lineRule="exact"/>
        <w:rPr>
          <w:sz w:val="20"/>
          <w:szCs w:val="20"/>
          <w:color w:val="auto"/>
        </w:rPr>
      </w:pPr>
    </w:p>
    <w:p>
      <w:pPr>
        <w:ind w:right="320" w:firstLine="987"/>
        <w:spacing w:after="0" w:line="277" w:lineRule="auto"/>
        <w:tabs>
          <w:tab w:leader="none" w:pos="1236" w:val="left"/>
        </w:tabs>
        <w:numPr>
          <w:ilvl w:val="1"/>
          <w:numId w:val="56"/>
        </w:numPr>
        <w:rPr>
          <w:rFonts w:ascii="Arial" w:cs="Arial" w:eastAsia="Arial" w:hAnsi="Arial"/>
          <w:sz w:val="18"/>
          <w:szCs w:val="18"/>
          <w:color w:val="auto"/>
        </w:rPr>
      </w:pPr>
      <w:r>
        <w:rPr>
          <w:rFonts w:ascii="Arial" w:cs="Arial" w:eastAsia="Arial" w:hAnsi="Arial"/>
          <w:sz w:val="18"/>
          <w:szCs w:val="18"/>
          <w:color w:val="auto"/>
        </w:rPr>
        <w:t>Whether or not required by the rules and regulations of the Commission, so long as any Notes are outstanding hereunder, the Issuer shall furnish to the Trustee and Holders thereof the following:</w:t>
      </w:r>
    </w:p>
    <w:p>
      <w:pPr>
        <w:spacing w:after="0" w:line="62" w:lineRule="exact"/>
        <w:rPr>
          <w:rFonts w:ascii="Arial" w:cs="Arial" w:eastAsia="Arial" w:hAnsi="Arial"/>
          <w:sz w:val="18"/>
          <w:szCs w:val="18"/>
          <w:color w:val="auto"/>
        </w:rPr>
      </w:pPr>
    </w:p>
    <w:p>
      <w:pPr>
        <w:ind w:left="440" w:right="40" w:firstLine="419"/>
        <w:spacing w:after="0" w:line="279" w:lineRule="auto"/>
        <w:tabs>
          <w:tab w:leader="none" w:pos="1118"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quarterly and annual financial information of Parent that would be required to be contained in a filing with the Commission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Commission on Form 8-K if Parent were required to file such reports,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each case, within the time periods specified in the Commission’s rules and regulations. The Issuer may satisfy its obligation to deliver the information and reports referred to in clauses (1) and (2) above by filing the same with the Commission.</w:t>
      </w:r>
    </w:p>
    <w:p>
      <w:pPr>
        <w:spacing w:after="0" w:line="170" w:lineRule="exact"/>
        <w:rPr>
          <w:sz w:val="20"/>
          <w:szCs w:val="20"/>
          <w:color w:val="auto"/>
        </w:rPr>
      </w:pPr>
    </w:p>
    <w:p>
      <w:pPr>
        <w:ind w:firstLine="987"/>
        <w:spacing w:after="0" w:line="255" w:lineRule="auto"/>
        <w:tabs>
          <w:tab w:leader="none" w:pos="1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addition, whether or not required by the rules and regulations of the Commission, Parent shall file a copy of all such information and reports with the Commission for public availability within the time periods specified in the Commission’s rules and regulations (unless the Commission will not accept such a filing) and make such information available to securities analysts and prospective investors upon request. In addition, the Issuer and the Guarantors shall,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TIA § 314(a).</w:t>
      </w:r>
    </w:p>
    <w:p>
      <w:pPr>
        <w:spacing w:after="0" w:line="192" w:lineRule="exact"/>
        <w:rPr>
          <w:rFonts w:ascii="Arial" w:cs="Arial" w:eastAsia="Arial" w:hAnsi="Arial"/>
          <w:sz w:val="18"/>
          <w:szCs w:val="18"/>
          <w:color w:val="auto"/>
        </w:rPr>
      </w:pPr>
    </w:p>
    <w:p>
      <w:pPr>
        <w:ind w:right="240" w:firstLine="987"/>
        <w:spacing w:after="0" w:line="286" w:lineRule="auto"/>
        <w:tabs>
          <w:tab w:leader="none" w:pos="12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Delivery of such reports and information to the Trustee is for informational purposes only and the Trustee’s receipt of them shall not constitute constructive notice of any information contained therein or determinable from information contained therein (including the Issuer’s compliance with any of its covenants hereunder as to which the Trustee is entitled to rely exclusively on an Officers’ Certificate).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Additional Note Guarantees</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If Parent acquires or creates a Domestic Subsidiary after the Issue Date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this Indenture, including, without limitation, a supplement or amendment to this Indenture and an Opinion of Counsel as to the enforceability of such Note Guarantee), pursuant to which such Domestic Subsidiary will become a Guarantor.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8" w:name="page59"/>
    <w:bookmarkEnd w:id="5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Note Guarantee of any Guarantor shall be subject to release and discharge as provided under Section 10.03.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FIVE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SUCCESSOR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987"/>
        <w:spacing w:after="0" w:line="259" w:lineRule="auto"/>
        <w:tabs>
          <w:tab w:leader="none" w:pos="1236" w:val="left"/>
        </w:tabs>
        <w:numPr>
          <w:ilvl w:val="1"/>
          <w:numId w:val="59"/>
        </w:numPr>
        <w:rPr>
          <w:rFonts w:ascii="Arial" w:cs="Arial" w:eastAsia="Arial" w:hAnsi="Arial"/>
          <w:sz w:val="18"/>
          <w:szCs w:val="18"/>
          <w:color w:val="auto"/>
        </w:rPr>
      </w:pPr>
      <w:r>
        <w:rPr>
          <w:rFonts w:ascii="Arial" w:cs="Arial" w:eastAsia="Arial" w:hAnsi="Arial"/>
          <w:sz w:val="18"/>
          <w:szCs w:val="18"/>
          <w:color w:val="auto"/>
        </w:rPr>
        <w:t>(i) Neither Parent nor any Issuer shall consolidate or merge with or into any other Person or Transfer all or substantially all of the properties or assets of Parent and its Subsidiaries, taken as a whole and (ii) neither Parent nor any Issuer shall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8"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76" w:lineRule="exact"/>
        <w:rPr>
          <w:sz w:val="20"/>
          <w:szCs w:val="20"/>
          <w:color w:val="auto"/>
        </w:rPr>
      </w:pPr>
    </w:p>
    <w:p>
      <w:pPr>
        <w:ind w:left="440" w:right="340" w:firstLine="419"/>
        <w:spacing w:after="0" w:line="311" w:lineRule="auto"/>
        <w:tabs>
          <w:tab w:leader="none" w:pos="11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case of a merger, consolidation or Transfer involving the Issuer, the Issuer is the surviving Person or the Person formed by or surviving any such consolidation or merger (if other than the Issuer) or to which such Transfer has been made is a limited liability company, partnership or corporation organized or existing under the laws of the United States, any State thereof or the District of Columbia;</w:t>
      </w:r>
    </w:p>
    <w:p>
      <w:pPr>
        <w:spacing w:after="0" w:line="41" w:lineRule="exact"/>
        <w:rPr>
          <w:sz w:val="20"/>
          <w:szCs w:val="20"/>
          <w:color w:val="auto"/>
        </w:rPr>
      </w:pPr>
    </w:p>
    <w:p>
      <w:pPr>
        <w:ind w:left="440" w:firstLine="419"/>
        <w:spacing w:after="0" w:line="311" w:lineRule="auto"/>
        <w:tabs>
          <w:tab w:leader="none" w:pos="111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this Indenture and the Registration Rights Agreement pursuant to a supplemental indenture or amendment of the relevant documents; and</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440" w:top="274" w:right="539" w:bottom="1440" w:gutter="0" w:footer="0" w:header="0"/>
        </w:sectPr>
      </w:pPr>
    </w:p>
    <w:bookmarkStart w:id="59" w:name="page60"/>
    <w:bookmarkEnd w:id="59"/>
    <w:p>
      <w:pPr>
        <w:ind w:left="1240" w:hanging="253"/>
        <w:spacing w:after="0"/>
        <w:tabs>
          <w:tab w:leader="none" w:pos="1240"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none of the following shall be permitted:</w:t>
      </w:r>
    </w:p>
    <w:p>
      <w:pPr>
        <w:spacing w:after="0" w:line="117" w:lineRule="exact"/>
        <w:rPr>
          <w:rFonts w:ascii="Arial" w:cs="Arial" w:eastAsia="Arial" w:hAnsi="Arial"/>
          <w:sz w:val="18"/>
          <w:szCs w:val="18"/>
          <w:color w:val="auto"/>
        </w:rPr>
      </w:pPr>
    </w:p>
    <w:p>
      <w:pPr>
        <w:ind w:left="440" w:right="400" w:firstLine="419"/>
        <w:spacing w:after="0" w:line="308" w:lineRule="auto"/>
        <w:tabs>
          <w:tab w:leader="none" w:pos="111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38" w:lineRule="exact"/>
        <w:rPr>
          <w:rFonts w:ascii="Arial" w:cs="Arial" w:eastAsia="Arial" w:hAnsi="Arial"/>
          <w:sz w:val="17"/>
          <w:szCs w:val="17"/>
          <w:color w:val="auto"/>
        </w:rPr>
      </w:pPr>
    </w:p>
    <w:p>
      <w:pPr>
        <w:ind w:left="440" w:right="80" w:firstLine="419"/>
        <w:spacing w:after="0" w:line="277" w:lineRule="auto"/>
        <w:tabs>
          <w:tab w:leader="none" w:pos="11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property or assets of Crown and its Subsidiaries, taken as a whole, to Crown, other than any Transfer to a Subsidiary of Crown; and</w:t>
      </w:r>
    </w:p>
    <w:p>
      <w:pPr>
        <w:spacing w:after="0" w:line="62" w:lineRule="exact"/>
        <w:rPr>
          <w:rFonts w:ascii="Arial" w:cs="Arial" w:eastAsia="Arial" w:hAnsi="Arial"/>
          <w:sz w:val="18"/>
          <w:szCs w:val="18"/>
          <w:color w:val="auto"/>
        </w:rPr>
      </w:pPr>
    </w:p>
    <w:p>
      <w:pPr>
        <w:ind w:left="440" w:right="160" w:firstLine="419"/>
        <w:spacing w:after="0" w:line="342" w:lineRule="auto"/>
        <w:tabs>
          <w:tab w:leader="none" w:pos="11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This Section 5.01 shall not prohibit:</w:t>
      </w:r>
    </w:p>
    <w:p>
      <w:pPr>
        <w:spacing w:after="0" w:line="117" w:lineRule="exact"/>
        <w:rPr>
          <w:sz w:val="20"/>
          <w:szCs w:val="20"/>
          <w:color w:val="auto"/>
        </w:rPr>
      </w:pPr>
    </w:p>
    <w:p>
      <w:pPr>
        <w:ind w:left="1120" w:hanging="261"/>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consolidation or merger between the Issuer and a Guarantor other than Crown;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consolidation or merger between a Guarantor and any other Guarantor other than Crown;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consolidation or merger between a Subsidiary (other than the Issuer) that is not a Guarantor and any other Subsidiary other than</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Crown;</w:t>
      </w:r>
    </w:p>
    <w:p>
      <w:pPr>
        <w:spacing w:after="0" w:line="102" w:lineRule="exact"/>
        <w:rPr>
          <w:rFonts w:ascii="Arial" w:cs="Arial" w:eastAsia="Arial" w:hAnsi="Arial"/>
          <w:sz w:val="17"/>
          <w:szCs w:val="17"/>
          <w:color w:val="auto"/>
        </w:rPr>
      </w:pPr>
    </w:p>
    <w:p>
      <w:pPr>
        <w:ind w:left="1120" w:hanging="261"/>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consolidation or merger of Parent with or into an Affiliate for the purposes of reincorporating Parent in another jurisdiction;</w:t>
      </w:r>
    </w:p>
    <w:p>
      <w:pPr>
        <w:spacing w:after="0" w:line="117" w:lineRule="exact"/>
        <w:rPr>
          <w:rFonts w:ascii="Arial" w:cs="Arial" w:eastAsia="Arial" w:hAnsi="Arial"/>
          <w:sz w:val="18"/>
          <w:szCs w:val="18"/>
          <w:color w:val="auto"/>
        </w:rPr>
      </w:pPr>
    </w:p>
    <w:p>
      <w:pPr>
        <w:ind w:left="440" w:right="540" w:firstLine="419"/>
        <w:spacing w:after="0" w:line="277"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Guarantor to the Issuer and/or any other Guarantor other than Crown; or</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Subsidiary (other than the Issuer) that is not a Guarantor to any other Subsidiary other than Crown;</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each case involving the Issuer or a Guarantor, if the Issuer or such Guarantor is not the surviving entity of such transaction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to which such Transfer is made, the surviving entity or the Person to which such Transfer is made shall comply with subsection (a)(2) of this Section 5.01.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Upon any consolidation, combination or merger of Parent, the Issuer or any other Guarantor, or any Transfer of all or substantially all of the assets of Parent or the Issuer in accordance with the foregoing provisions of Section 5.01,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this Indenture, the Notes and the Note Guarantees with the same effect as if such surviving entity had been named therein as Parent, the Issuer or such Guarantor, as the case may be, and, except in the case of a Transfer to Parent or any of its Subsidiaries, Parent, the Issuer or such Guarantor, as the case may be, shall be released from the obligation to pay the principal of and interest on the Notes or in respect of its Note Guarantee, as the case may be, and all of Parent’s, the Issuer’s or such Guarantor’s, as the case may be, other obligations and covenants under the Notes, this Indenture and its Note Guarantee, if applicable.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SIX</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of the following constitutes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with respect to the Notes:</w:t>
      </w:r>
    </w:p>
    <w:p>
      <w:pPr>
        <w:spacing w:after="0" w:line="117" w:lineRule="exact"/>
        <w:rPr>
          <w:sz w:val="20"/>
          <w:szCs w:val="20"/>
          <w:color w:val="auto"/>
        </w:rPr>
      </w:pPr>
    </w:p>
    <w:p>
      <w:pPr>
        <w:ind w:left="1120" w:hanging="261"/>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with respect to the Notes;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in payment when due of principal or premium, if any, on the Notes at maturity, upon redemption or otherwise;</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Parent or any Subsidiary for 30 days after receipt of notice from the Trustee or Holders of at least 25% in principal amount of the Notes then outstanding under this Indenture to comply with any of the provisions under Section 4.08;</w:t>
      </w:r>
    </w:p>
    <w:p>
      <w:pPr>
        <w:spacing w:after="0" w:line="62"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Parent or any Subsidiary of Parent for 60 days after receipt of notice from the Trustee or the Holders of at least 25% in principal amount of the Notes then outstanding under this Indenture to comply with any covenant or agreement contained in this Indenture (other than the covenants and agreements specified in clauses (1) through (3) of this Section 6.01);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4" w:right="499" w:bottom="1440" w:gutter="0" w:footer="0" w:header="0"/>
        </w:sectPr>
      </w:pPr>
    </w:p>
    <w:bookmarkStart w:id="61" w:name="page62"/>
    <w:bookmarkEnd w:id="61"/>
    <w:p>
      <w:pPr>
        <w:ind w:right="120" w:firstLine="419"/>
        <w:spacing w:after="0" w:line="290" w:lineRule="auto"/>
        <w:tabs>
          <w:tab w:leader="none" w:pos="678"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which default (a) is caused by a failure to pay when due at final stated maturity (giving effect to any grace period related thereto) principal of such Indebtedness (a “</w:t>
      </w:r>
      <w:r>
        <w:rPr>
          <w:rFonts w:ascii="Arial" w:cs="Arial" w:eastAsia="Arial" w:hAnsi="Arial"/>
          <w:sz w:val="16"/>
          <w:szCs w:val="16"/>
          <w:u w:val="single" w:color="auto"/>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$75,000,000 or more and, in each case, Parent has received notice specifying the default from the Trustee or Holders of at least 25% of the aggregate principal amount of Notes then outstanding and does not cure the default within 30 days;</w:t>
      </w:r>
    </w:p>
    <w:p>
      <w:pPr>
        <w:spacing w:after="0" w:line="57" w:lineRule="exact"/>
        <w:rPr>
          <w:rFonts w:ascii="Arial" w:cs="Arial" w:eastAsia="Arial" w:hAnsi="Arial"/>
          <w:sz w:val="16"/>
          <w:szCs w:val="16"/>
          <w:color w:val="auto"/>
        </w:rPr>
      </w:pPr>
    </w:p>
    <w:p>
      <w:pPr>
        <w:ind w:right="40" w:firstLine="419"/>
        <w:spacing w:after="0" w:line="263" w:lineRule="auto"/>
        <w:tabs>
          <w:tab w:leader="none" w:pos="6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by Parent or any of its Subsidiaries to pay final judgments (net of any amounts covered by insurance and as to which such insurer has not denied responsibility or coverage in writing) aggregating $75,000,000 or more, which judgments are not paid, discharged, bonded or stayed within 60 days after their entry;</w:t>
      </w:r>
    </w:p>
    <w:p>
      <w:pPr>
        <w:spacing w:after="0" w:line="75" w:lineRule="exact"/>
        <w:rPr>
          <w:rFonts w:ascii="Arial" w:cs="Arial" w:eastAsia="Arial" w:hAnsi="Arial"/>
          <w:sz w:val="18"/>
          <w:szCs w:val="18"/>
          <w:color w:val="auto"/>
        </w:rPr>
      </w:pPr>
    </w:p>
    <w:p>
      <w:pPr>
        <w:ind w:firstLine="419"/>
        <w:spacing w:after="0" w:line="287" w:lineRule="auto"/>
        <w:tabs>
          <w:tab w:leader="none" w:pos="678"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a court having jurisdiction over Parent, the Issuer or any other Subsidiary of Parent enters (x) a decree or order for relief in respect of Parent, the Issuer or any Subsidiary of Parent that is a Significant Subsidiary or group of Subsidiaries of Parent that, taken together, would constitute a Significant Subsidiary in an involuntary case or proceeding under any Bankruptcy Law or (y) a decree or order adjudging Parent, the Issuer or any Subsidiary of Parent that is a Significant Subsidiary or group of Subsidiaries of Parent that, taken together, would constitute a Significant Subsidiary as bankrupt or insolvent, or approving as properly filed a petition seeking reorganization, arrangement, adjustment or composition of or in respect of Parent, the Issuer or any such Subsidiary or group of Subsidiaries under any Bankruptcy Law, or appointing a custodian, receiver, liquidator, assignee, trustee, sequestrator or other similar official of Parent, the Issuer or any such Subsidiary or group of Subsidiaries or of any substantial part of its property, or ordering the winding up or liquidation of its affairs, and the continuance of any such decree or order for relief or any such other decree or order unstayed and in effect for a period of 60 consecutive days or (B) Parent, the Issuer or any Subsidiary of Parent that is a Significant Subsidiary or group of Subsidiaries of Parent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40"/>
          </w:cols>
          <w:pgMar w:left="880" w:top="274" w:right="479" w:bottom="1440" w:gutter="0" w:footer="0" w:header="0"/>
        </w:sectPr>
      </w:pPr>
    </w:p>
    <w:bookmarkStart w:id="62" w:name="page63"/>
    <w:bookmarkEnd w:id="62"/>
    <w:p>
      <w:pPr>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similar official of Parent, the Issuer or any such Subsidiary or group of Subsidiaries or for all or substantially all the property and assets of Parent, the Issuer or any such Subsidiary or group of Subsidiaries, (iii) effects any general assignment for the benefit of creditors or (iv) generally is not paying its debts as they become due; and</w:t>
      </w:r>
    </w:p>
    <w:p>
      <w:pPr>
        <w:spacing w:after="0" w:line="76" w:lineRule="exact"/>
        <w:rPr>
          <w:sz w:val="20"/>
          <w:szCs w:val="20"/>
          <w:color w:val="auto"/>
        </w:rPr>
      </w:pPr>
    </w:p>
    <w:p>
      <w:pPr>
        <w:ind w:left="440" w:right="80" w:firstLine="419"/>
        <w:spacing w:after="0" w:line="259" w:lineRule="auto"/>
        <w:tabs>
          <w:tab w:leader="none" w:pos="11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Note Guarantee of any Guarantor that is a Significant Subsidiary ceases to be in full force and effect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 of Maturity; Rescission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If an Event of Default occurs and is continuing under this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Notwithstanding the foregoing, if after such acceleration but before a judgment or decree based on such acceleration is obtained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the Holders of a majority in aggregate principal amount of outstanding Notes may rescind and annul such acceleration if:</w:t>
      </w:r>
    </w:p>
    <w:p>
      <w:pPr>
        <w:spacing w:after="0" w:line="103" w:lineRule="exact"/>
        <w:rPr>
          <w:sz w:val="20"/>
          <w:szCs w:val="20"/>
          <w:color w:val="auto"/>
        </w:rPr>
      </w:pPr>
    </w:p>
    <w:p>
      <w:pPr>
        <w:ind w:left="440" w:right="600" w:firstLine="419"/>
        <w:spacing w:after="0" w:line="277"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Events of Default, other than nonpayment of principal, premium, if any, or interest that has become due solely because of the acceleration, have been cured or waived;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has paid the Trustee its reasonable compensation and reimbursed the Trustee for its expenses, disbursements, indemnities and advances;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0"/>
          </w:cols>
          <w:pgMar w:left="440" w:top="274" w:right="519" w:bottom="1440" w:gutter="0" w:footer="0" w:header="0"/>
        </w:sectPr>
      </w:pPr>
    </w:p>
    <w:bookmarkStart w:id="63" w:name="page64"/>
    <w:bookmarkEnd w:id="63"/>
    <w:p>
      <w:pPr>
        <w:ind w:left="440" w:right="460" w:firstLine="419"/>
        <w:spacing w:after="0" w:line="277"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the cure or waiver of an Event of Default of the type described in Section 6.01(7), the Trustee shall have received an Officers’ Certificate and an Opinion of Counsel that such Event of Default has been cured or waived.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Other Remedies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by the Holders of a majority of the principal amount outstanding of the Notes to settle, compromise, adjust or otherwise conclude any proceedings to which it is a party.</w:t>
      </w:r>
    </w:p>
    <w:p>
      <w:pPr>
        <w:spacing w:after="0" w:line="187"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Waiver of Existing Defaults and Events of Default</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4" w:lineRule="auto"/>
        <w:tabs>
          <w:tab w:leader="none" w:pos="12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Subject to Sections 2.10, 6.02, 6.08 and 8.02, the Holders of a majority in principal amount of the Notes then outstanding shall have the right to waive past Defaults under this Indenture </w:t>
      </w:r>
      <w:r>
        <w:rPr>
          <w:rFonts w:ascii="Arial" w:cs="Arial" w:eastAsia="Arial" w:hAnsi="Arial"/>
          <w:sz w:val="16"/>
          <w:szCs w:val="16"/>
          <w:i w:val="1"/>
          <w:iCs w:val="1"/>
          <w:color w:val="auto"/>
        </w:rPr>
        <w:t>except</w:t>
      </w:r>
      <w:r>
        <w:rPr>
          <w:rFonts w:ascii="Arial" w:cs="Arial" w:eastAsia="Arial" w:hAnsi="Arial"/>
          <w:sz w:val="16"/>
          <w:szCs w:val="16"/>
          <w:color w:val="auto"/>
        </w:rPr>
        <w:t xml:space="preserve"> a Default in the payment of the principal of, or interest or premium, if any, on any Note as specified in clauses (1) and (2) of Section 6.01 or in respect of a covenant or a provision which cannot be modified or amended without the consent of all Holders as provided for in Section 8.02.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 This subsection (a) of this Section 6.04 shall be in lieu of TIA § 316(a)</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(1)(B), and TIA § 316(a)(1)(B) is hereby expressly excluded from this Indenture and the Notes, as permitted by the TIA.</w:t>
      </w:r>
    </w:p>
    <w:p>
      <w:pPr>
        <w:spacing w:after="0" w:line="210" w:lineRule="exact"/>
        <w:rPr>
          <w:rFonts w:ascii="Arial" w:cs="Arial" w:eastAsia="Arial" w:hAnsi="Arial"/>
          <w:sz w:val="16"/>
          <w:szCs w:val="16"/>
          <w:color w:val="auto"/>
        </w:rPr>
      </w:pPr>
    </w:p>
    <w:p>
      <w:pPr>
        <w:ind w:right="340" w:firstLine="987"/>
        <w:spacing w:after="0" w:line="263" w:lineRule="auto"/>
        <w:tabs>
          <w:tab w:leader="none" w:pos="12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Arial" w:cs="Arial" w:eastAsia="Arial" w:hAnsi="Arial"/>
          <w:sz w:val="18"/>
          <w:szCs w:val="18"/>
          <w:u w:val="single" w:color="auto"/>
          <w:color w:val="auto"/>
        </w:rPr>
        <w:t>Control by Majority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Subject to Sections 2.10 and 7.01, the Holders of a majority in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if the Trustee, being advised by counsel, determines that the action so directed may not lawfully be taken or if the Trustee in good faith shall, by a Responsible Officer, determine that the proceedings so directed may involve it in personal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reasonably satisfactory to it against any loss or expense caused by taking such action or following such direction. This Section 6.05 shall be in lieu of TIA § 316(a)(1)(A), and TIA § 316(a)(1)(A) is hereby expressly excluded from this Indenture and the Notes, as permitted by the TIA.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Subject to Section 6.08, a Holder may not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 has given the Trustee written notice of a continuing Event of Default;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the Notes then outstanding make a written request to the Trustee to pursue the remedy;</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A Noteholder may not use any provision of this Indenture to disturb or prejudice the rights of another Noteholder or to obtain a preference or priority over another Noteholder.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Arial" w:cs="Arial" w:eastAsia="Arial" w:hAnsi="Arial"/>
          <w:sz w:val="18"/>
          <w:szCs w:val="18"/>
          <w:u w:val="single" w:color="auto"/>
          <w:color w:val="auto"/>
        </w:rPr>
        <w:t>No Personal Liability of Directors, Officers, Employees and Stockholders.</w:t>
      </w:r>
    </w:p>
    <w:p>
      <w:pPr>
        <w:spacing w:after="0" w:line="225" w:lineRule="exact"/>
        <w:rPr>
          <w:sz w:val="20"/>
          <w:szCs w:val="20"/>
          <w:color w:val="auto"/>
        </w:rPr>
      </w:pPr>
    </w:p>
    <w:p>
      <w:pPr>
        <w:jc w:val="both"/>
        <w:ind w:right="300" w:firstLine="991"/>
        <w:spacing w:after="0" w:line="311" w:lineRule="auto"/>
        <w:rPr>
          <w:sz w:val="20"/>
          <w:szCs w:val="20"/>
          <w:color w:val="auto"/>
        </w:rPr>
      </w:pPr>
      <w:r>
        <w:rPr>
          <w:rFonts w:ascii="Arial" w:cs="Arial" w:eastAsia="Arial" w:hAnsi="Arial"/>
          <w:sz w:val="16"/>
          <w:szCs w:val="16"/>
          <w:color w:val="auto"/>
        </w:rPr>
        <w:t>No director, officer, employee, incorporator or stockholder of Parent or of any Subsidiary of Parent,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Collection Suit by Trustee</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 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66" w:name="page67"/>
    <w:bookmarkEnd w:id="66"/>
    <w:p>
      <w:pPr>
        <w:ind w:right="4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Priorities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the Trustee collects any money pursuant to this Article Six, it shall pay out the money in the following order:</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Trustee for amounts due under Section 7.07;</w:t>
      </w:r>
    </w:p>
    <w:p>
      <w:pPr>
        <w:spacing w:after="0" w:line="117" w:lineRule="exact"/>
        <w:rPr>
          <w:sz w:val="20"/>
          <w:szCs w:val="20"/>
          <w:color w:val="auto"/>
        </w:rPr>
      </w:pPr>
    </w:p>
    <w:p>
      <w:pPr>
        <w:ind w:left="440" w:right="440" w:firstLine="423"/>
        <w:spacing w:after="0" w:line="342" w:lineRule="auto"/>
        <w:rPr>
          <w:sz w:val="20"/>
          <w:szCs w:val="20"/>
          <w:color w:val="auto"/>
        </w:rPr>
      </w:pPr>
      <w:r>
        <w:rPr>
          <w:rFonts w:ascii="Arial" w:cs="Arial" w:eastAsia="Arial" w:hAnsi="Arial"/>
          <w:sz w:val="16"/>
          <w:szCs w:val="16"/>
          <w:color w:val="auto"/>
        </w:rPr>
        <w:t>SECOND: to Noteholders for amounts due and unpaid on the Notes for principal, premium, if any, and interest (including Additional Interest, if any), ratably, without preference or priority of any kind, according to the amounts due and payable on the Notes; and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Issuer or, to the extent the Trustee collects any amount from any Guarantor, to such Guarantor.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Trustee may fix a record date and payment date for any payment to Noteholders pursuant to this Section 6.11.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Noteholders of more than 10% in aggregate principal amount of the Notes then outstanding.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80"/>
          </w:cols>
          <w:pgMar w:left="440" w:top="274" w:right="5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SEVEN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225" w:lineRule="exact"/>
        <w:rPr>
          <w:sz w:val="20"/>
          <w:szCs w:val="20"/>
          <w:color w:val="auto"/>
        </w:rPr>
      </w:pPr>
    </w:p>
    <w:p>
      <w:pPr>
        <w:jc w:val="both"/>
        <w:ind w:firstLine="987"/>
        <w:spacing w:after="0" w:line="263" w:lineRule="auto"/>
        <w:tabs>
          <w:tab w:leader="none" w:pos="12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would exercise or use under the same circumstances.</w:t>
      </w:r>
    </w:p>
    <w:p>
      <w:pPr>
        <w:spacing w:after="0" w:line="76"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The Trustee shall not be deemed to have actual knowledge of any Default or Event of Default unless written notice of any event which is in fact such a default is received by the Trustee at the Corporate Trust Office of the Trustee, and such notice references the Notes and this Indenture.</w:t>
      </w:r>
    </w:p>
    <w:p>
      <w:pPr>
        <w:spacing w:after="0" w:line="124" w:lineRule="exact"/>
        <w:rPr>
          <w:sz w:val="20"/>
          <w:szCs w:val="20"/>
          <w:color w:val="auto"/>
        </w:rPr>
      </w:pPr>
    </w:p>
    <w:p>
      <w:pPr>
        <w:ind w:left="1240" w:hanging="253"/>
        <w:spacing w:after="0"/>
        <w:tabs>
          <w:tab w:leader="none" w:pos="12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Except during the continuance of a Default or an Event of Default of which a Responsible Officer of the Trustee has actual knowledge:</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need perform only those duties expressly set forth in this Indenture and no others; and</w:t>
      </w:r>
    </w:p>
    <w:p>
      <w:pPr>
        <w:spacing w:after="0" w:line="117" w:lineRule="exact"/>
        <w:rPr>
          <w:rFonts w:ascii="Arial" w:cs="Arial" w:eastAsia="Arial" w:hAnsi="Arial"/>
          <w:sz w:val="18"/>
          <w:szCs w:val="18"/>
          <w:color w:val="auto"/>
        </w:rPr>
      </w:pPr>
    </w:p>
    <w:p>
      <w:pPr>
        <w:ind w:left="440" w:right="20" w:firstLine="419"/>
        <w:spacing w:after="0" w:line="271" w:lineRule="auto"/>
        <w:tabs>
          <w:tab w:leader="none" w:pos="1118"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subject to the requirement in the preceding sentence, if applicable.</w:t>
      </w:r>
    </w:p>
    <w:p>
      <w:pPr>
        <w:spacing w:after="0" w:line="178" w:lineRule="exact"/>
        <w:rPr>
          <w:rFonts w:ascii="Arial" w:cs="Arial" w:eastAsia="Arial" w:hAnsi="Arial"/>
          <w:sz w:val="17"/>
          <w:szCs w:val="17"/>
          <w:color w:val="auto"/>
        </w:rPr>
      </w:pPr>
    </w:p>
    <w:p>
      <w:pPr>
        <w:ind w:right="800" w:firstLine="987"/>
        <w:spacing w:after="0" w:line="277" w:lineRule="auto"/>
        <w:tabs>
          <w:tab w:leader="none" w:pos="123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sz w:val="20"/>
          <w:szCs w:val="20"/>
          <w:color w:val="auto"/>
        </w:rPr>
      </w:pPr>
    </w:p>
    <w:p>
      <w:pPr>
        <w:ind w:left="5360" w:right="4300" w:hanging="4501"/>
        <w:spacing w:after="0" w:line="490" w:lineRule="auto"/>
        <w:tabs>
          <w:tab w:leader="none" w:pos="11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This paragraph does not limit the effect of subsection (b) of this Section 7.01; -57-</w:t>
      </w:r>
    </w:p>
    <w:p>
      <w:pPr>
        <w:sectPr>
          <w:pgSz w:w="11900" w:h="16838" w:orient="portrait"/>
          <w:cols w:equalWidth="0" w:num="1">
            <w:col w:w="11000"/>
          </w:cols>
          <w:pgMar w:left="440" w:top="274" w:right="459" w:bottom="1440" w:gutter="0" w:footer="0" w:header="0"/>
        </w:sectPr>
      </w:pPr>
    </w:p>
    <w:bookmarkStart w:id="68" w:name="page69"/>
    <w:bookmarkEnd w:id="68"/>
    <w:p>
      <w:pPr>
        <w:ind w:left="440" w:right="60" w:firstLine="419"/>
        <w:spacing w:after="0" w:line="277"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the terms of this Indenture; and</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rights, powers or duties.</w:t>
      </w:r>
    </w:p>
    <w:p>
      <w:pPr>
        <w:spacing w:after="0" w:line="170" w:lineRule="exact"/>
        <w:rPr>
          <w:rFonts w:ascii="Arial" w:cs="Arial" w:eastAsia="Arial" w:hAnsi="Arial"/>
          <w:sz w:val="18"/>
          <w:szCs w:val="18"/>
          <w:color w:val="auto"/>
        </w:rPr>
      </w:pPr>
    </w:p>
    <w:p>
      <w:pPr>
        <w:ind w:right="160" w:firstLine="987"/>
        <w:spacing w:after="0" w:line="277" w:lineRule="auto"/>
        <w:tabs>
          <w:tab w:leader="none" w:pos="124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Whether or not therein expressly so provided, subsections (a), (b), (c) and (e) of this Section 7.01 shall govern every provision of this Indenture that in any way relates to the Trustee.</w:t>
      </w:r>
    </w:p>
    <w:p>
      <w:pPr>
        <w:spacing w:after="0" w:line="170" w:lineRule="exact"/>
        <w:rPr>
          <w:rFonts w:ascii="Arial" w:cs="Arial" w:eastAsia="Arial" w:hAnsi="Arial"/>
          <w:sz w:val="18"/>
          <w:szCs w:val="18"/>
          <w:color w:val="auto"/>
        </w:rPr>
      </w:pPr>
    </w:p>
    <w:p>
      <w:pPr>
        <w:ind w:right="80" w:firstLine="987"/>
        <w:spacing w:after="0" w:line="259" w:lineRule="auto"/>
        <w:tabs>
          <w:tab w:leader="none" w:pos="1236"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fully indemnified the Trustee to the satisfaction of the Trustee, against the costs, expenses and liabilities which might be incurred by it in compliance with such request or direction (including, but not limited to, the fees and disbursements of agents and attorneys).</w:t>
      </w:r>
    </w:p>
    <w:p>
      <w:pPr>
        <w:spacing w:after="0" w:line="186" w:lineRule="exact"/>
        <w:rPr>
          <w:rFonts w:ascii="Arial" w:cs="Arial" w:eastAsia="Arial" w:hAnsi="Arial"/>
          <w:sz w:val="18"/>
          <w:szCs w:val="18"/>
          <w:color w:val="auto"/>
        </w:rPr>
      </w:pPr>
    </w:p>
    <w:p>
      <w:pPr>
        <w:ind w:firstLine="987"/>
        <w:spacing w:after="0" w:line="308" w:lineRule="auto"/>
        <w:tabs>
          <w:tab w:leader="none" w:pos="1216"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Subject to Section 7.01, the Trustee shall have the following rights, benefits and exemptions from duties with respect to this Indenture:</w:t>
      </w:r>
    </w:p>
    <w:p>
      <w:pPr>
        <w:spacing w:after="0" w:line="140" w:lineRule="exact"/>
        <w:rPr>
          <w:sz w:val="20"/>
          <w:szCs w:val="20"/>
          <w:color w:val="auto"/>
        </w:rPr>
      </w:pPr>
    </w:p>
    <w:p>
      <w:pPr>
        <w:ind w:firstLine="987"/>
        <w:spacing w:after="0" w:line="257"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facsimile, .pdf attachment or other electronically transmitted form) believed by it to be genuine and to have been signed or presented by the proper party or parties, whether such document is in original, facsimile, .pdf attachment or other electronically transmitted form; even if it has a monetary limit;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9" w:name="page70"/>
    <w:bookmarkEnd w:id="69"/>
    <w:p>
      <w:pPr>
        <w:ind w:left="-100" w:firstLine="987"/>
        <w:spacing w:after="0" w:line="273" w:lineRule="auto"/>
        <w:tabs>
          <w:tab w:leader="none" w:pos="1146" w:val="left"/>
        </w:tabs>
        <w:numPr>
          <w:ilvl w:val="0"/>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sole and absolute discretion, may make such further inquiry or investigation into such facts or matters as it may see fit at the sole cost of the Issuer and shall incur no liability or additional liability of any kind by reason of such inquiry or investigation except for liability resulting from the Trustee’s negligence or willful misconduct, and, if the Trustee shall determine to make such further inquiry or investigation, it shall be entitled to examine the books, records and premises of the Issuer, personally or by agent or attorney;</w:t>
      </w:r>
    </w:p>
    <w:p>
      <w:pPr>
        <w:spacing w:after="0" w:line="177" w:lineRule="exact"/>
        <w:rPr>
          <w:rFonts w:ascii="Arial" w:cs="Arial" w:eastAsia="Arial" w:hAnsi="Arial"/>
          <w:sz w:val="17"/>
          <w:szCs w:val="17"/>
          <w:color w:val="auto"/>
        </w:rPr>
      </w:pPr>
    </w:p>
    <w:p>
      <w:pPr>
        <w:ind w:left="-100" w:right="20" w:firstLine="987"/>
        <w:spacing w:after="0" w:line="263" w:lineRule="auto"/>
        <w:tabs>
          <w:tab w:leader="none" w:pos="11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which shall conform to the provisions of Section 11.05. The Trustee shall be protected and shall not be liable for any action it takes or omits to take in good faith in reliance on such certificate or opinion;</w:t>
      </w:r>
    </w:p>
    <w:p>
      <w:pPr>
        <w:spacing w:after="0" w:line="183" w:lineRule="exact"/>
        <w:rPr>
          <w:rFonts w:ascii="Arial" w:cs="Arial" w:eastAsia="Arial" w:hAnsi="Arial"/>
          <w:sz w:val="18"/>
          <w:szCs w:val="18"/>
          <w:color w:val="auto"/>
        </w:rPr>
      </w:pPr>
    </w:p>
    <w:p>
      <w:pPr>
        <w:ind w:left="-100" w:right="80" w:firstLine="987"/>
        <w:spacing w:after="0" w:line="277" w:lineRule="auto"/>
        <w:tabs>
          <w:tab w:leader="none" w:pos="11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by it with due care;</w:t>
      </w:r>
    </w:p>
    <w:p>
      <w:pPr>
        <w:spacing w:after="0" w:line="170" w:lineRule="exact"/>
        <w:rPr>
          <w:rFonts w:ascii="Arial" w:cs="Arial" w:eastAsia="Arial" w:hAnsi="Arial"/>
          <w:sz w:val="18"/>
          <w:szCs w:val="18"/>
          <w:color w:val="auto"/>
        </w:rPr>
      </w:pPr>
    </w:p>
    <w:p>
      <w:pPr>
        <w:ind w:left="-100" w:right="260" w:firstLine="987"/>
        <w:spacing w:after="0" w:line="277" w:lineRule="auto"/>
        <w:tabs>
          <w:tab w:leader="none" w:pos="11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Trustee shall not be liable for any action it takes or omits to take in good faith which it reasonably believes to be authorized or within its rights or powers;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Trustee’s conduct does not constitute negligence or willful misconduct;</w:t>
      </w:r>
    </w:p>
    <w:p>
      <w:pPr>
        <w:spacing w:after="0" w:line="170" w:lineRule="exact"/>
        <w:rPr>
          <w:rFonts w:ascii="Arial" w:cs="Arial" w:eastAsia="Arial" w:hAnsi="Arial"/>
          <w:sz w:val="18"/>
          <w:szCs w:val="18"/>
          <w:color w:val="auto"/>
        </w:rPr>
      </w:pPr>
    </w:p>
    <w:p>
      <w:pPr>
        <w:jc w:val="both"/>
        <w:ind w:left="-100" w:right="100" w:firstLine="987"/>
        <w:spacing w:after="0" w:line="263" w:lineRule="auto"/>
        <w:tabs>
          <w:tab w:leader="none" w:pos="111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83" w:lineRule="exact"/>
        <w:rPr>
          <w:rFonts w:ascii="Arial" w:cs="Arial" w:eastAsia="Arial" w:hAnsi="Arial"/>
          <w:sz w:val="18"/>
          <w:szCs w:val="18"/>
          <w:color w:val="auto"/>
        </w:rPr>
      </w:pPr>
    </w:p>
    <w:p>
      <w:pPr>
        <w:ind w:left="-100" w:right="140" w:firstLine="987"/>
        <w:spacing w:after="0" w:line="263" w:lineRule="auto"/>
        <w:tabs>
          <w:tab w:leader="none" w:pos="11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(including but not limited to as Registrar and Paying Agent), and each agent, custodian and other person employed to act hereunder;</w:t>
      </w:r>
    </w:p>
    <w:p>
      <w:pPr>
        <w:spacing w:after="0" w:line="183" w:lineRule="exact"/>
        <w:rPr>
          <w:rFonts w:ascii="Arial" w:cs="Arial" w:eastAsia="Arial" w:hAnsi="Arial"/>
          <w:sz w:val="18"/>
          <w:szCs w:val="18"/>
          <w:color w:val="auto"/>
        </w:rPr>
      </w:pPr>
    </w:p>
    <w:p>
      <w:pPr>
        <w:ind w:left="-100" w:firstLine="987"/>
        <w:spacing w:after="0" w:line="277" w:lineRule="auto"/>
        <w:tabs>
          <w:tab w:leader="none" w:pos="11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 of the Trustee to perform any discretionary act enumerated in this Indenture shall not be construed as a duty, and the Trustee shall not be answerable for other than its own negligence or willful misconduct in the performance of such act;</w:t>
      </w:r>
    </w:p>
    <w:p>
      <w:pPr>
        <w:spacing w:after="0" w:line="170" w:lineRule="exact"/>
        <w:rPr>
          <w:rFonts w:ascii="Arial" w:cs="Arial" w:eastAsia="Arial" w:hAnsi="Arial"/>
          <w:sz w:val="18"/>
          <w:szCs w:val="18"/>
          <w:color w:val="auto"/>
        </w:rPr>
      </w:pPr>
    </w:p>
    <w:p>
      <w:pPr>
        <w:ind w:left="-100" w:firstLine="987"/>
        <w:spacing w:after="0" w:line="259" w:lineRule="auto"/>
        <w:tabs>
          <w:tab w:leader="none" w:pos="110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may from time to time request that the Issuer delivers an Officers’ Certificate setting forth the names of individuals and/or titles of officers authorized at such time to take specified actions pursuant to the Indenture, which Officers’ Certificate may be signed by any persons authorized to sign an Officers’ Certificate, including any person specified as so authorized in any such certificate previously delivered and not superseded;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00"/>
          </w:cols>
          <w:pgMar w:left="540" w:top="274" w:right="559" w:bottom="1440" w:gutter="0" w:footer="0" w:header="0"/>
        </w:sectPr>
      </w:pPr>
    </w:p>
    <w:bookmarkStart w:id="70" w:name="page71"/>
    <w:bookmarkEnd w:id="70"/>
    <w:p>
      <w:pPr>
        <w:ind w:left="1200" w:hanging="213"/>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duty to inquire as to the performance of the covenants of the Issuer.</w:t>
      </w:r>
    </w:p>
    <w:p>
      <w:pPr>
        <w:spacing w:after="0" w:line="225" w:lineRule="exact"/>
        <w:rPr>
          <w:rFonts w:ascii="Arial" w:cs="Arial" w:eastAsia="Arial" w:hAnsi="Arial"/>
          <w:sz w:val="18"/>
          <w:szCs w:val="18"/>
          <w:color w:val="auto"/>
        </w:rPr>
      </w:pPr>
    </w:p>
    <w:p>
      <w:pPr>
        <w:ind w:right="60" w:firstLine="987"/>
        <w:spacing w:after="0" w:line="301" w:lineRule="auto"/>
        <w:tabs>
          <w:tab w:leader="none" w:pos="12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it being understood that the Trustee shall use reasonable best efforts which are consistent with accepted practices in the banking industry to resume performance as soon as practicable under the circumstances;</w:t>
      </w:r>
    </w:p>
    <w:p>
      <w:pPr>
        <w:spacing w:after="0" w:line="157" w:lineRule="exact"/>
        <w:rPr>
          <w:rFonts w:ascii="Arial" w:cs="Arial" w:eastAsia="Arial" w:hAnsi="Arial"/>
          <w:sz w:val="16"/>
          <w:szCs w:val="16"/>
          <w:color w:val="auto"/>
        </w:rPr>
      </w:pPr>
    </w:p>
    <w:p>
      <w:pPr>
        <w:ind w:firstLine="987"/>
        <w:spacing w:after="0" w:line="277" w:lineRule="auto"/>
        <w:tabs>
          <w:tab w:leader="none" w:pos="12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is entitled to assume without inquiry, that the Issuer has performed in accordance with all of the provisions in the Indenture, unless notified to the contrary; and</w:t>
      </w:r>
    </w:p>
    <w:p>
      <w:pPr>
        <w:spacing w:after="0" w:line="170" w:lineRule="exact"/>
        <w:rPr>
          <w:rFonts w:ascii="Arial" w:cs="Arial" w:eastAsia="Arial" w:hAnsi="Arial"/>
          <w:sz w:val="18"/>
          <w:szCs w:val="18"/>
          <w:color w:val="auto"/>
        </w:rPr>
      </w:pPr>
    </w:p>
    <w:p>
      <w:pPr>
        <w:ind w:right="840" w:firstLine="987"/>
        <w:spacing w:after="0" w:line="277"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Under no circumstances will the Trustee be liable to the Issuer for any consequential loss (being loss of business, goodwill, opportunity or profit), even if advised of the possibility of such loss or damage.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91"/>
        <w:spacing w:after="0" w:line="279" w:lineRule="auto"/>
        <w:rPr>
          <w:sz w:val="20"/>
          <w:szCs w:val="20"/>
          <w:color w:val="auto"/>
        </w:rPr>
      </w:pPr>
      <w:r>
        <w:rPr>
          <w:rFonts w:ascii="Arial" w:cs="Arial" w:eastAsia="Arial" w:hAnsi="Arial"/>
          <w:sz w:val="17"/>
          <w:szCs w:val="17"/>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it must eliminate such conflict within 90 days, apply to the Commission for permission to continue as Trustee or resign. Any Agent may do the same with like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jc w:val="both"/>
        <w:ind w:right="80" w:firstLine="991"/>
        <w:spacing w:after="0" w:line="257"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Notes or any Note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If a Default or an Event of Default occurs and is continuing and if it is known to a Responsible Officer of the Trustee, the Trustee shall give to each Noteholder a notice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1" w:name="page72"/>
    <w:bookmarkEnd w:id="71"/>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Default or Event of Default within 90 days after the later of (i) the occurrence of the Default or Event of Default and (ii) the Default or Event of Default becoming known to a Responsible Officer of the Trustee in the manner and to the extent provided in the TIA and otherwise as provided in this Indenture. Except in the case of a Default or an Event of Default relating to the payment of the principal of or interest on any Note (including payments pursuant to a redemption or repurchase of the Notes pursuant to the provisions of this Indenture) or relating to Article Five of this Indenture, the Trustee may withhold the notice if and so long as a Responsible Officer in good faith determines that withholding the notice is in the interests of 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If required by TIA § 313(a), within 60 days after March 1 of any year, commencing on the March 1 following the date of this Indenture, the Trustee shall mail to each Noteholder a brief report dated as of such date that complies with TIA § 313(a). The Trustee also shall comply with TIA § 313(b)(2). The Trustee shall also transmit by mail all reports as required by TIA § 313(c) and TIA § 313(d).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Reports pursuant to this Section 7.06 shall be transmitted by mail:</w:t>
      </w:r>
    </w:p>
    <w:p>
      <w:pPr>
        <w:spacing w:after="0" w:line="117" w:lineRule="exact"/>
        <w:rPr>
          <w:sz w:val="20"/>
          <w:szCs w:val="20"/>
          <w:color w:val="auto"/>
        </w:rPr>
      </w:pPr>
    </w:p>
    <w:p>
      <w:pPr>
        <w:ind w:left="1120" w:hanging="261"/>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all Holders of Notes, as the names and addresses of such Holders appear on the Registrar’s books; and</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such Holders of Notes as have, within the two years preceding such transmission, filed their names and addresses with the Trustee for that purpose.</w:t>
      </w:r>
    </w:p>
    <w:p>
      <w:pPr>
        <w:spacing w:after="0" w:line="170"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A copy of each report at the time of its mailing to Holders shall be filed with the Commission and each stock exchange on which the Notes are listed. The Issuer shall promptly notify the Trustee, in writing, when the Notes are listed on any stock exchange or delisted therefrom.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Issuer and the Guarantors shall pay to the Trustee from time to time reasonable compensation as agreed upon for its services hereunder (which compensation shall not be limited by any provision of law in regard to the compensation of a trustee of an express trust). The Issuer and the Guarantors shall reimburse the Trustee upon request for all reasonable out-of-pocket disbursements, expenses and advances incurred or made by it in connection with the Trustee’s duties under this Indenture, including, but not limited to, the reasonable compensation, disbursements and expenses of the Trustee’s agents and external counsel and such additional fees as may be applicable in the event of a potential Event of Default, an Event of Default or in relation to the exceptional duties.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2" w:name="page73"/>
    <w:bookmarkEnd w:id="72"/>
    <w:p>
      <w:pPr>
        <w:ind w:right="60"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incurred by each of them in connection with the acceptance or performance of its duties under this Indenture and including the reasonable costs and expenses of defending itself or themselves against any claim or liability in connection with the exercise or performance of any of the Trustee’s powers or duties hereunder (including, without limitation, settlement costs). The Trustee shall notify the Issuer and the Guarantors in writing promptly of any claim of which a Responsible Officer of the Trustee has actual knowledge asserted against the Trustee and/or its agents, employees, stockholders, directors and officers and any predecessor Trustee for which it or they may seek indemnity;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by the Trustee to so notify the Issuer and the Guarantors shall not relieve the Issuer and Guarantors of their obligations hereunder except to the extent the Issuer and the Guarantors are actually prejudiced thereby. In the event that a conflict of interest exists, the Trustee may have separate counsel and the Issuer shall pay the reasonable fees and expenses of such counsel.</w:t>
      </w:r>
    </w:p>
    <w:p>
      <w:pPr>
        <w:spacing w:after="0" w:line="168"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Notwithstanding the foregoing, the Issuer and the Guarantors need not reimburse the Trustee for any expense or indemnify it against any loss or liability incurred by the Trustee through its own negligence, bad faith or willful misconduct.</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w:t>
      </w:r>
    </w:p>
    <w:p>
      <w:pPr>
        <w:spacing w:after="0" w:line="187"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When the Trustee incurs expenses or renders services after an Event of Default specified in Section 6.01 (7) occurs, the expenses and the compensation for the services are intended to constitute expenses of administration under any applicable Bankruptcy Law.</w:t>
      </w:r>
    </w:p>
    <w:p>
      <w:pPr>
        <w:spacing w:after="0" w:line="146"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For purposes of this Section 7.07, the term “Trustee” shall include any trustee appointed pursuant to this Article Seven. The provisions of this Section 7.07 shall apply to the Trustee in its capacity as Paying Agent, Registrar and any other Agent under this Indenture.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3" w:name="page74"/>
    <w:bookmarkEnd w:id="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7.07 shall survive the satisfaction and discharge of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its election if:</w:t>
      </w:r>
    </w:p>
    <w:p>
      <w:pPr>
        <w:spacing w:after="0" w:line="57" w:lineRule="exact"/>
        <w:rPr>
          <w:sz w:val="20"/>
          <w:szCs w:val="20"/>
          <w:color w:val="auto"/>
        </w:rPr>
      </w:pPr>
    </w:p>
    <w:p>
      <w:pPr>
        <w:ind w:left="1120" w:hanging="261"/>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117"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Issuer shall promptly appoint a successor Trustee.</w:t>
      </w:r>
    </w:p>
    <w:p>
      <w:pPr>
        <w:spacing w:after="0" w:line="170"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If a successor Trustee does not take office within 60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retiring Trustee resigns and a court has not appointed a successor within 60 days, such retiring Trustee may appoint a successor that meets the eligibility requirements of Section 7.10.</w:t>
      </w:r>
    </w:p>
    <w:p>
      <w:pPr>
        <w:spacing w:after="0" w:line="17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70"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Arial" w:cs="Arial" w:eastAsia="Arial" w:hAnsi="Arial"/>
          <w:sz w:val="18"/>
          <w:szCs w:val="18"/>
          <w:u w:val="single" w:color="auto"/>
          <w:color w:val="auto"/>
        </w:rPr>
        <w:t>Successor Trustee by Consolidation, Merger, etc</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Any corporation into which the Trustee may be merged or converted, or any corporation with which the Trustee may be consolidated, or any corporation resulting from any merger, conversion or consolidation to which the Trustee shall be a party, or any corporation, including affiliated corporations, to which the Trustee shall sell or otherwise transfer: (a) all or substantially all of its assets or (b) all or substantially all of its corporate trust business shall, on the date when the merger, conversion, consolidation or transfer becomes effective and to the extent permitted by any applicable laws and subject to the requirements set forth in Section 7.10 of this Indenture become the successor Trustee under this Indenture without the execution or filing of any paper or any further act on the part of the parties to this Indenture, unless otherwise required by the Issuer, and after the said effective date all references in this Indenture to the Trustee shall be deemed to be references to such successor corporation. Written notice of any such merger, conversion, consolidation or transfer shall immediately be given to the Issuer by the Trustee. Notwithstanding anything herein to the contrary, to the extent permitted by any applicable laws and subject to the requirements set forth in Section 7.10 of this Indenture, U.S. Bank Trust Company, National Association, an affiliate of the Trustee (the “Trust Company”), may become the successor Trustee under this Indenture upon written notice thereof delivered by the Trustee to Issuer, and without the execution or filing of any paper or any further act on the part of the parties to this Indenture and after the said delivery date all references in this Indenture to the Trustee shall be deemed to be references to the Trust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This Indenture shall always have a Trustee who satisfies the requirements of TIA § 310(a)(1) and (2) in every respect. The Trustee shall have a combined capital and surplus of at least $100,000,000 as set forth in the most recent applicable published annual report of condition. The Trustee shall comply with TIA § 310(b);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there shall be excluded from the operation of TIA § 310(b)(1) any indenture or indentures under which other securities or certificates of interest or participation in other securities of the Issuer are outstanding if the requirements for such exclusion set forth in TIA § 310(b)(1) are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Issuer</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The Trustee is subject to and shall comply with TIA § 311(a), excluding any creditor relationship listed in TIA § 311(b). A Trustee who has resigned or been removed shall be subject to TIA § 311(a) to the extent indicated therein.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Issuer shall cause each Paying Agent other than the Trustee to execute and deliver to it and the Trustee an instrument in which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Paying Agent shall agree with the Trustee, subject to the provisions of this Section 7.12:</w:t>
      </w:r>
    </w:p>
    <w:p>
      <w:pPr>
        <w:spacing w:after="0" w:line="103" w:lineRule="exact"/>
        <w:rPr>
          <w:sz w:val="20"/>
          <w:szCs w:val="20"/>
          <w:color w:val="auto"/>
        </w:rPr>
      </w:pPr>
    </w:p>
    <w:p>
      <w:pPr>
        <w:ind w:left="440" w:right="160" w:firstLine="419"/>
        <w:spacing w:after="0" w:line="308" w:lineRule="auto"/>
        <w:tabs>
          <w:tab w:leader="none" w:pos="115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38" w:lineRule="exact"/>
        <w:rPr>
          <w:rFonts w:ascii="Arial" w:cs="Arial" w:eastAsia="Arial" w:hAnsi="Arial"/>
          <w:sz w:val="17"/>
          <w:szCs w:val="17"/>
          <w:color w:val="auto"/>
        </w:rPr>
      </w:pPr>
    </w:p>
    <w:p>
      <w:pPr>
        <w:ind w:left="440" w:right="160" w:firstLine="419"/>
        <w:spacing w:after="0" w:line="277" w:lineRule="auto"/>
        <w:tabs>
          <w:tab w:leader="none" w:pos="11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62" w:lineRule="exact"/>
        <w:rPr>
          <w:rFonts w:ascii="Arial" w:cs="Arial" w:eastAsia="Arial" w:hAnsi="Arial"/>
          <w:sz w:val="18"/>
          <w:szCs w:val="18"/>
          <w:color w:val="auto"/>
        </w:rPr>
      </w:pPr>
    </w:p>
    <w:p>
      <w:pPr>
        <w:ind w:left="440" w:right="80" w:firstLine="419"/>
        <w:spacing w:after="0" w:line="308" w:lineRule="auto"/>
        <w:tabs>
          <w:tab w:leader="none" w:pos="114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Communications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In no event shall the Agent or any other entity of U.S. Bank National Association be liable for any Losses arising to the Agent or any other entity of U.S. Bank National Association receiving or transmitting any data from any Issuer, any Authorized Person or any party to the transaction via any non-secure method of transmission or communication, such as, but without limitation, by facsimile or email.</w:t>
      </w:r>
    </w:p>
    <w:p>
      <w:pPr>
        <w:spacing w:after="0" w:line="165"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The parties hereto accept that some methods of communication are not secure and the Agent or any other entity of U.S. Bank National Association shall incur no liability for receiving instructions via any such non-secure method. The Agent or any other entity of U.S. Bank National Association is authorized to comply with and rely upon any such notice, instructions or other communications believed by it to have been sent or given by an Authorized Person or an appropriate party to the transaction (or authorized representative thereof). The Issuer or authorized officer of the Issuer shall use all reasonable endeavors to ensure that instructions transmitted to the Agent or any other entity of U.S. Bank National Association pursuant to this Indenture are complete and correct. Any instructions shall be conclusively deemed to be valid instructions from the Issuer or authorized officer of the Issuer to the Agent or any other entity of U.S. Bank National Association for the purposes of this Indenture.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EIGHT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Without Consent of Noteholders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Notwithstanding Section 8.02, the Issuer and Trustee may modify and amend this Indenture, the Notes or the Note Guarantees without the consent of any Holder for any of the following purposes:</w:t>
      </w:r>
    </w:p>
    <w:p>
      <w:pPr>
        <w:spacing w:after="0" w:line="62" w:lineRule="exact"/>
        <w:rPr>
          <w:sz w:val="20"/>
          <w:szCs w:val="20"/>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Physical Notes;</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provide for the assumption of the Issuer’s or any Guarantor’s obligations to the Holders in the case of a merger or consolidation or sale of all or substantially all of the Issuer’s or such Guarantor’s assets;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conform the text of this Indenture, Note Guarantees or the Notes to any provision of the “Description of the Notes” contained in the Offering Memorandum to the extent that such provision in the “Description of the Notes” contained in the Offering Memorandum was intended to be a verbatim recitation of a provision of this Indenture, Note Guarantees or the Notes;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add any Guarantor or release any Guarantor from its Note Guarantee if such release is in accordance with the terms of this Indenture;</w:t>
      </w:r>
    </w:p>
    <w:p>
      <w:pPr>
        <w:spacing w:after="0" w:line="140" w:lineRule="exact"/>
        <w:rPr>
          <w:rFonts w:ascii="Arial" w:cs="Arial" w:eastAsia="Arial" w:hAnsi="Arial"/>
          <w:sz w:val="16"/>
          <w:szCs w:val="16"/>
          <w:color w:val="auto"/>
        </w:rPr>
      </w:pPr>
    </w:p>
    <w:p>
      <w:pPr>
        <w:ind w:left="440" w:right="340" w:firstLine="419"/>
        <w:spacing w:after="0" w:line="277" w:lineRule="auto"/>
        <w:tabs>
          <w:tab w:leader="none" w:pos="11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add to the covenants of the Issuer and the Guarantors for the benefit of the Holders of the Notes or to surrender any right or power conferred upon the Issuer and the Guarantors;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provide for or confirm the issuance of Exchange Notes and Additional Notes;</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rights under this Indenture of any Holder in any material respect; or</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comply with requirements of the Commission in order to effect or maintain the qualification of this Indenture under the TIA.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Arial" w:cs="Arial" w:eastAsia="Arial" w:hAnsi="Arial"/>
          <w:sz w:val="18"/>
          <w:szCs w:val="18"/>
          <w:u w:val="single" w:color="auto"/>
          <w:color w:val="auto"/>
        </w:rPr>
        <w:t>With Consent of Noteholders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Except to the extent provided in Section 8.01 and subsection (b) of this Section 8.02, this Indenture, the Notes or the Note Guarantees may be amended with the consent of the Holders of at least a majority in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the Note Guarantees may be waived with the consent of the Holders of at least a majority in principal amount of the then outstanding Notes voting as a single class (including, without limitation, consents obtained in connection with a purchase of, tender offer or exchange offer for Notes).</w:t>
      </w:r>
    </w:p>
    <w:p>
      <w:pPr>
        <w:spacing w:after="0" w:line="192" w:lineRule="exact"/>
        <w:rPr>
          <w:rFonts w:ascii="Arial" w:cs="Arial" w:eastAsia="Arial" w:hAnsi="Arial"/>
          <w:sz w:val="18"/>
          <w:szCs w:val="18"/>
          <w:color w:val="auto"/>
        </w:rPr>
      </w:pPr>
    </w:p>
    <w:p>
      <w:pPr>
        <w:ind w:right="180" w:firstLine="987"/>
        <w:spacing w:after="0" w:line="277" w:lineRule="auto"/>
        <w:tabs>
          <w:tab w:leader="none" w:pos="1246"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Notwithstanding subsection (a) of this Section 8.02, without the consent of each Holder of Notes issued under this Indenture affected thereby, an amendment or waiver may not (with respect to any Note held by a non-consenting Holder):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reduce the principal amount of Notes issued under this Indenture whose Holders must consent to an amendment, supplement or waiver;</w:t>
      </w:r>
    </w:p>
    <w:p>
      <w:pPr>
        <w:spacing w:after="0" w:line="140" w:lineRule="exact"/>
        <w:rPr>
          <w:rFonts w:ascii="Arial" w:cs="Arial" w:eastAsia="Arial" w:hAnsi="Arial"/>
          <w:sz w:val="16"/>
          <w:szCs w:val="16"/>
          <w:color w:val="auto"/>
        </w:rPr>
      </w:pPr>
    </w:p>
    <w:p>
      <w:pPr>
        <w:ind w:left="440" w:right="60" w:firstLine="419"/>
        <w:spacing w:after="0" w:line="301" w:lineRule="auto"/>
        <w:tabs>
          <w:tab w:leader="none" w:pos="111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reduce the principal amount of or change the Maturity Date of any Notes, or alter the provisions with respect to the redemption of any such Notes other than, except as set forth in clause (7) below, the provisions of Section 4.08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Notes;</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make any change to the provisions of this Indenture relating to the waiver of past Defaults or the rights of Holders of the Notes issued hereunder to receive payments of principal of or interest on the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8" w:name="page79"/>
    <w:bookmarkEnd w:id="78"/>
    <w:p>
      <w:pPr>
        <w:jc w:val="both"/>
        <w:ind w:left="440" w:right="260" w:firstLine="419"/>
        <w:spacing w:after="0" w:line="286" w:lineRule="auto"/>
        <w:tabs>
          <w:tab w:leader="none" w:pos="1118"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Issuer’s obligation to purchase Notes arises hereunder, amend, change or modify in any material respect the obligation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57" w:lineRule="exact"/>
        <w:rPr>
          <w:rFonts w:ascii="Arial" w:cs="Arial" w:eastAsia="Arial" w:hAnsi="Arial"/>
          <w:sz w:val="17"/>
          <w:szCs w:val="17"/>
          <w:color w:val="auto"/>
        </w:rPr>
      </w:pPr>
    </w:p>
    <w:p>
      <w:pPr>
        <w:ind w:left="440" w:right="60" w:firstLine="419"/>
        <w:spacing w:after="0" w:line="277"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release Parent, Crown or any other Guarantor that is a Significant Subsidiary from any of its obligations under its Note Guarantee or this Indenture otherwise than in accordance with the terms of this Indenture; or</w:t>
      </w:r>
    </w:p>
    <w:p>
      <w:pPr>
        <w:spacing w:after="0" w:line="62" w:lineRule="exact"/>
        <w:rPr>
          <w:rFonts w:ascii="Arial" w:cs="Arial" w:eastAsia="Arial" w:hAnsi="Arial"/>
          <w:sz w:val="18"/>
          <w:szCs w:val="18"/>
          <w:color w:val="auto"/>
        </w:rPr>
      </w:pPr>
    </w:p>
    <w:p>
      <w:pPr>
        <w:ind w:left="440" w:right="500" w:firstLine="419"/>
        <w:spacing w:after="0" w:line="277"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modify or change any provision of this Indenture affecting the ranking of the Notes or Note Guarantees in a manner adverse to the Holders of Notes.</w:t>
      </w:r>
    </w:p>
    <w:p>
      <w:pPr>
        <w:spacing w:after="0" w:line="170" w:lineRule="exact"/>
        <w:rPr>
          <w:rFonts w:ascii="Arial" w:cs="Arial" w:eastAsia="Arial" w:hAnsi="Arial"/>
          <w:sz w:val="18"/>
          <w:szCs w:val="18"/>
          <w:color w:val="auto"/>
        </w:rPr>
      </w:pPr>
    </w:p>
    <w:p>
      <w:pPr>
        <w:ind w:right="740" w:firstLine="987"/>
        <w:spacing w:after="0" w:line="277" w:lineRule="auto"/>
        <w:tabs>
          <w:tab w:leader="none" w:pos="12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It shall not be necessary for the consent of the Holders under this Section 8.02 to approve the particular form of any proposed amendment, supplement or waiver, but it shall be sufficient if such consent approves the substance thereof.</w:t>
      </w:r>
    </w:p>
    <w:p>
      <w:pPr>
        <w:spacing w:after="0" w:line="170" w:lineRule="exact"/>
        <w:rPr>
          <w:rFonts w:ascii="Arial" w:cs="Arial" w:eastAsia="Arial" w:hAnsi="Arial"/>
          <w:sz w:val="18"/>
          <w:szCs w:val="18"/>
          <w:color w:val="auto"/>
        </w:rPr>
      </w:pPr>
    </w:p>
    <w:p>
      <w:pPr>
        <w:ind w:firstLine="987"/>
        <w:spacing w:after="0" w:line="279" w:lineRule="auto"/>
        <w:tabs>
          <w:tab w:leader="none" w:pos="1246" w:val="left"/>
        </w:tabs>
        <w:numPr>
          <w:ilvl w:val="1"/>
          <w:numId w:val="87"/>
        </w:numPr>
        <w:rPr>
          <w:rFonts w:ascii="Arial" w:cs="Arial" w:eastAsia="Arial" w:hAnsi="Arial"/>
          <w:sz w:val="17"/>
          <w:szCs w:val="17"/>
          <w:color w:val="auto"/>
        </w:rPr>
      </w:pPr>
      <w:r>
        <w:rPr>
          <w:rFonts w:ascii="Arial" w:cs="Arial" w:eastAsia="Arial" w:hAnsi="Arial"/>
          <w:sz w:val="17"/>
          <w:szCs w:val="17"/>
          <w:color w:val="auto"/>
        </w:rPr>
        <w:t>After an amendment, supplement or waiver under Section 8.01 or this Section 8.02 becomes effective, the Issuer shall send to the Holders affected thereby a notice briefly describing the amendment, supplement or waiver. The Issuer may elect in its sole discretion to have the Trustee mail such notice prepared by the Issuer on the Issuer’s behalf and at the Issuer’s sole expense. Any failure of the Issuer to send such notice, or any defect therein, shall not, however, in any way impair or affect the validity of any such amendment, supplement or waiver.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Every amendment or supplement to this Indenture, the Notes or the Note Guarantees shall comply with the TIA as then in effect.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280" w:firstLine="987"/>
        <w:spacing w:after="0" w:line="286" w:lineRule="auto"/>
        <w:tabs>
          <w:tab w:leader="none" w:pos="1236" w:val="left"/>
        </w:tabs>
        <w:numPr>
          <w:ilvl w:val="0"/>
          <w:numId w:val="88"/>
        </w:numPr>
        <w:rPr>
          <w:rFonts w:ascii="Arial" w:cs="Arial" w:eastAsia="Arial" w:hAnsi="Arial"/>
          <w:sz w:val="17"/>
          <w:szCs w:val="17"/>
          <w:color w:val="auto"/>
        </w:rPr>
      </w:pPr>
      <w:r>
        <w:rPr>
          <w:rFonts w:ascii="Arial" w:cs="Arial" w:eastAsia="Arial" w:hAnsi="Arial"/>
          <w:sz w:val="17"/>
          <w:szCs w:val="17"/>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65" w:lineRule="exact"/>
        <w:rPr>
          <w:rFonts w:ascii="Arial" w:cs="Arial" w:eastAsia="Arial" w:hAnsi="Arial"/>
          <w:sz w:val="17"/>
          <w:szCs w:val="17"/>
          <w:color w:val="auto"/>
        </w:rPr>
      </w:pPr>
    </w:p>
    <w:p>
      <w:pPr>
        <w:ind w:firstLine="987"/>
        <w:spacing w:after="0" w:line="296" w:lineRule="auto"/>
        <w:tabs>
          <w:tab w:leader="none" w:pos="124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 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jc w:val="both"/>
        <w:ind w:right="120" w:firstLine="987"/>
        <w:spacing w:after="0" w:line="259" w:lineRule="auto"/>
        <w:tabs>
          <w:tab w:leader="none" w:pos="1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an amendment, supplement, waiver or other action under Section 8.01 or this Section 8.02 becomes effective, it shall bind every Noteholder, unless it makes a change described in any of clauses (1) through (9) of Section 8.02(b). In that case the amendment, supplement, waiver or other action shall bind each Noteholder who has consented to it and every subsequent Holder of a Note that evidences the same debt or a portion of the same debt as the Note of a consenting 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Trustee To Sign Amendments, etc</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 11.04, that such amendment, supplement or waiver is authorized or permitted by this Indenture and is a legal, valid and binding obligation of the Issuer and the Guarantors, enforceable against the Issuer and the Guarantors in accordance with its terms (subject to customary exceptions).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NINE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DISCHARGE OF INDENTURE;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Discharge of Indenture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This Indenture will be discharged and will cease to be of further effect as to all Notes and Note Guarantees, and the Trustee, at the expense of the Issuer, will execute proper instruments acknowledging satisfaction and discharge of this Indenture, the Notes and the Note Guarantees, when all amounts due to the Trustee shall have been paid and either:</w:t>
      </w:r>
    </w:p>
    <w:p>
      <w:pPr>
        <w:spacing w:after="0" w:line="76" w:lineRule="exact"/>
        <w:rPr>
          <w:sz w:val="20"/>
          <w:szCs w:val="20"/>
          <w:color w:val="auto"/>
        </w:rPr>
      </w:pPr>
    </w:p>
    <w:p>
      <w:pPr>
        <w:ind w:left="440" w:right="140" w:firstLine="419"/>
        <w:spacing w:after="0" w:line="277" w:lineRule="auto"/>
        <w:tabs>
          <w:tab w:leader="none" w:pos="111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Issuer delivers to the Trustee all outstanding Notes issued under this Indenture (other than Notes which have been replaced because of mutilation, loss, destruction or wrongful taking as provided in Section 2.08 hereof) for cancellation; or</w:t>
      </w:r>
    </w:p>
    <w:p>
      <w:pPr>
        <w:spacing w:after="0" w:line="62" w:lineRule="exact"/>
        <w:rPr>
          <w:rFonts w:ascii="Arial" w:cs="Arial" w:eastAsia="Arial" w:hAnsi="Arial"/>
          <w:sz w:val="18"/>
          <w:szCs w:val="18"/>
          <w:color w:val="auto"/>
        </w:rPr>
      </w:pPr>
    </w:p>
    <w:p>
      <w:pPr>
        <w:ind w:left="440" w:right="20" w:firstLine="419"/>
        <w:spacing w:after="0" w:line="283" w:lineRule="auto"/>
        <w:tabs>
          <w:tab w:leader="none" w:pos="1118" w:val="left"/>
        </w:tabs>
        <w:numPr>
          <w:ilvl w:val="1"/>
          <w:numId w:val="90"/>
        </w:numPr>
        <w:rPr>
          <w:rFonts w:ascii="Arial" w:cs="Arial" w:eastAsia="Arial" w:hAnsi="Arial"/>
          <w:sz w:val="16"/>
          <w:szCs w:val="16"/>
          <w:color w:val="auto"/>
        </w:rPr>
      </w:pPr>
      <w:r>
        <w:rPr>
          <w:rFonts w:ascii="Arial" w:cs="Arial" w:eastAsia="Arial" w:hAnsi="Arial"/>
          <w:sz w:val="16"/>
          <w:szCs w:val="16"/>
          <w:color w:val="auto"/>
        </w:rPr>
        <w:t>(a) all Notes outstanding under this Indenture (I) have become due and payable, whether at maturity or as a result of the sending of a notice of redemption,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U.S. Dollars, U.S. Government Obligations or a combination thereof in such amounts as will be sufficient, in the opinion of a nationally recognized firm of independent public accountants, to pay the principal of, premium, if any, and interest on the Notes outstanding under this Indenture on the maturity date or on the applicable optional redemption date, as the case may be; (b) no Default or Event of Default shall have occurred and be continuing on the date of such deposit or shall occur as a result of such deposit and such deposit shall not result in a breach or violation of, or constitute a default under, any other instrument to which the Issuer or any Guarantor is a party or by which the Issuer or any Guarantor is bound;</w:t>
      </w:r>
    </w:p>
    <w:p>
      <w:pPr>
        <w:spacing w:after="0" w:line="5" w:lineRule="exact"/>
        <w:rPr>
          <w:rFonts w:ascii="Arial" w:cs="Arial" w:eastAsia="Arial" w:hAnsi="Arial"/>
          <w:sz w:val="16"/>
          <w:szCs w:val="16"/>
          <w:color w:val="auto"/>
        </w:rPr>
      </w:pPr>
    </w:p>
    <w:p>
      <w:pPr>
        <w:ind w:left="440" w:right="60" w:hanging="4"/>
        <w:spacing w:after="0" w:line="292" w:lineRule="auto"/>
        <w:tabs>
          <w:tab w:leader="none" w:pos="68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Issuer or any Guarantor has paid or caused to be paid all sums payable by the Issuer or any Guarantor under this Indenture; and (d) the Issuer has delivered (I) irrevocable instructions to the Trustee under this Indenture to apply the deposited money toward the payment of the Notes at maturity or the redemption date, as the case may be, and (II) an Officers’ Certificate and an Opinion of Counsel each stating that all conditions precedent herein provided for relating to the satisfaction and discharge of this Indenture have been complied with and that such satisfaction and discharge does not result in a default under any agreement or instrument then known to such counsel which binds or affects the Issuer.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acknowledge satisfaction and discharge of this Indenture on demand of and at the expense of the Issuer.</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Notwithstanding the satisfaction and discharge of this Indenture, the obligations of the Issuer in Article Two and in Sections 4.01, 4.02, 7.07, 9.05 and 9.06 shall survive such satisfaction and discharge.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Legal Defeasance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88" w:lineRule="auto"/>
        <w:rPr>
          <w:sz w:val="20"/>
          <w:szCs w:val="20"/>
          <w:color w:val="auto"/>
        </w:rPr>
      </w:pPr>
      <w:r>
        <w:rPr>
          <w:rFonts w:ascii="Arial" w:cs="Arial" w:eastAsia="Arial" w:hAnsi="Arial"/>
          <w:sz w:val="16"/>
          <w:szCs w:val="16"/>
          <w:color w:val="auto"/>
        </w:rPr>
        <w:t>The Issuer may, at its option and at any time, elect to have its obligations and the obligations of the Guarantors discharged with respect to the outstanding Notes on a date the conditions set forth in Section 9.04 are satisfied (hereinafter, “</w:t>
      </w:r>
      <w:r>
        <w:rPr>
          <w:rFonts w:ascii="Arial" w:cs="Arial" w:eastAsia="Arial" w:hAnsi="Arial"/>
          <w:sz w:val="16"/>
          <w:szCs w:val="16"/>
          <w:u w:val="single" w:color="auto"/>
          <w:color w:val="auto"/>
        </w:rPr>
        <w:t>Legal Defeasance</w:t>
      </w:r>
      <w:r>
        <w:rPr>
          <w:rFonts w:ascii="Arial" w:cs="Arial" w:eastAsia="Arial" w:hAnsi="Arial"/>
          <w:sz w:val="16"/>
          <w:szCs w:val="16"/>
          <w:color w:val="auto"/>
        </w:rPr>
        <w:t>”). For this purpose, such Legal Defeasance means that the Issuer will be deemed to have paid and discharged the entire indebtedness represented by the outstanding Notes and to have satisfied all its other obligations under such Notes and this Indenture insofar as such Notes are concerned (and the Trustee, at the expense of the Issuer, shall, subject to Section 9.06, execute instruments in form and substance reasonably satisfactory to the Trustee and the Issuer acknowledging the same), except for the following which shall survive until otherwise terminated or discharged hereunder: (1) the rights of Holders of outstanding Notes to receive solely from the trust funds described in Section 9.04 and as more fully set forth in Section 9.04, payments in respect of the principal of, premium, if any, and interest on such Notes when such payments are due, (2) the Issuer’s obligations with respect to such Notes under Article Two and Sections 4.02, 4.03 and 4.05, (3) the rights, powers, trusts, duties, and immunities of the Trustee hereunder (including claims of, or payments to, the Trustee under or pursuant to Section 7.07) and the Issuer’s obligations in connection therewith and (4) this Article Nine.</w:t>
      </w:r>
    </w:p>
    <w:p>
      <w:pPr>
        <w:spacing w:after="0" w:line="16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 provide the Trustee with written notice of its desire to terminate such Note Guarantee prior to the delivery of the Opinions of Counsel referred to in Section 9.04.</w:t>
      </w:r>
    </w:p>
    <w:p>
      <w:pPr>
        <w:spacing w:after="0" w:line="171"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The Issuer may, at its option and at any time, elect to have its obligations and the obligations of the Guarantors under Sections 4.08, 4.11, 4.15, 4.16 and 4.17 (except for obligations mandated by the TIA) and clause (3) of Section 5.01(a) released with respect to the outstanding Notes on a date the conditions set forth in Section 9.04 are satisfied (hereinafter,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and (6) shall not constitute Events of Default.</w:t>
      </w:r>
    </w:p>
    <w:p>
      <w:pPr>
        <w:spacing w:after="0" w:line="18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Notwithstanding any discharge or release of any obligations under this Indenture pursuant to Section 9.02 or this Section 9.03, the Issuer’s obligations in Article Two and Sections 7.07, 9.05, 9.06, 9.07 and 9.08 shall survive until such time as the Notes have been paid in full. Thereafter, the Issuer’s obligations in Sections 7.07, 9.05, 9.07 and 9.08 shall survive.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shall be the conditions to application of Section 9.02 or Section 9.03 to the outstanding Notes:</w:t>
      </w:r>
    </w:p>
    <w:p>
      <w:pPr>
        <w:spacing w:after="0" w:line="117" w:lineRule="exact"/>
        <w:rPr>
          <w:sz w:val="20"/>
          <w:szCs w:val="20"/>
          <w:color w:val="auto"/>
        </w:rPr>
      </w:pPr>
    </w:p>
    <w:p>
      <w:pPr>
        <w:ind w:left="440" w:firstLine="419"/>
        <w:spacing w:after="0" w:line="255"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in trust, for the benefit of the Holders of the Notes issued under this Indenture, cash in U.S. Dollars, U.S. Government Obligations or a combination thereof in such amounts as will be sufficient, in the opinion of a nationally recognized firm of independent public accountants (such opinion shall be addressed and delivered to the Trustee, and upon which the Trustee shall have no liability in relying), to pay the principal, premium, if any, and interest on the Notes outstanding under this Indenture on the stated maturity date or on the applicable optional redemption date, as the case may be, and the Issuer must specify whether such Notes are being defeased to maturity or to a particular redemption date;</w:t>
      </w:r>
    </w:p>
    <w:p>
      <w:pPr>
        <w:spacing w:after="0" w:line="84" w:lineRule="exact"/>
        <w:rPr>
          <w:rFonts w:ascii="Arial" w:cs="Arial" w:eastAsia="Arial" w:hAnsi="Arial"/>
          <w:sz w:val="18"/>
          <w:szCs w:val="18"/>
          <w:color w:val="auto"/>
        </w:rPr>
      </w:pPr>
    </w:p>
    <w:p>
      <w:pPr>
        <w:ind w:left="440" w:firstLine="419"/>
        <w:spacing w:after="0" w:line="293" w:lineRule="auto"/>
        <w:tabs>
          <w:tab w:leader="none" w:pos="1118"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case of Legal Defeasance, the Issuer shall have delivered to the Trustee an Opinion of Counsel in the United States (upon which the Trustee shall have no liability in relying) confirming that (a) the Issuer has received from, or there has been published by, the Internal Revenue Service a ruling or (b) since the date of this Indenture, there has been a change in the applicable federal income tax law, in either case to the effect that, and based thereon such Opinion of Counsel shall confirm that, the beneficial owners of the Notes outstanding under this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83" w:name="page84"/>
    <w:bookmarkEnd w:id="83"/>
    <w:p>
      <w:pPr>
        <w:ind w:right="60" w:firstLine="419"/>
        <w:spacing w:after="0" w:line="301" w:lineRule="auto"/>
        <w:tabs>
          <w:tab w:leader="none" w:pos="678"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Covenant Defeasance, the Issuer shall have delivered to the Trustee an Opinion of Counsel in the United States (upon which the Trustee shall have no liability in relying) confirming that the beneficial owners of the Notes outstanding under this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9" w:lineRule="exact"/>
        <w:rPr>
          <w:rFonts w:ascii="Arial" w:cs="Arial" w:eastAsia="Arial" w:hAnsi="Arial"/>
          <w:sz w:val="16"/>
          <w:szCs w:val="16"/>
          <w:color w:val="auto"/>
        </w:rPr>
      </w:pPr>
    </w:p>
    <w:p>
      <w:pPr>
        <w:ind w:firstLine="419"/>
        <w:spacing w:after="0" w:line="263" w:lineRule="auto"/>
        <w:tabs>
          <w:tab w:leader="none" w:pos="6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75" w:lineRule="exact"/>
        <w:rPr>
          <w:rFonts w:ascii="Arial" w:cs="Arial" w:eastAsia="Arial" w:hAnsi="Arial"/>
          <w:sz w:val="18"/>
          <w:szCs w:val="18"/>
          <w:color w:val="auto"/>
        </w:rPr>
      </w:pPr>
    </w:p>
    <w:p>
      <w:pPr>
        <w:ind w:right="340" w:firstLine="419"/>
        <w:spacing w:after="0" w:line="263" w:lineRule="auto"/>
        <w:tabs>
          <w:tab w:leader="none" w:pos="6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Parent or any of its Subsidiaries is a party or by which Parent or any of its Subsidiaries is bound;</w:t>
      </w:r>
    </w:p>
    <w:p>
      <w:pPr>
        <w:spacing w:after="0" w:line="75" w:lineRule="exact"/>
        <w:rPr>
          <w:rFonts w:ascii="Arial" w:cs="Arial" w:eastAsia="Arial" w:hAnsi="Arial"/>
          <w:sz w:val="18"/>
          <w:szCs w:val="18"/>
          <w:color w:val="auto"/>
        </w:rPr>
      </w:pPr>
    </w:p>
    <w:p>
      <w:pPr>
        <w:ind w:right="40" w:firstLine="419"/>
        <w:spacing w:after="0" w:line="259" w:lineRule="auto"/>
        <w:tabs>
          <w:tab w:leader="none" w:pos="6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Issuer must have delivered to the Trustee an Opinion of Counsel (upon which the Trustee shall have no liability in relying) to the effect that assuming no intervening bankruptcy of any Issuer or any Guarantor between the date of deposit and the 91st day following the deposit and assuming that no Holder is an “insider” of the Issuer under applicable Bankruptcy Law, after the 91st day following the deposit, the trust funds will not be subject to the effect of applicable Bankruptcy Law;</w:t>
      </w:r>
    </w:p>
    <w:p>
      <w:pPr>
        <w:spacing w:after="0" w:line="78" w:lineRule="exact"/>
        <w:rPr>
          <w:rFonts w:ascii="Arial" w:cs="Arial" w:eastAsia="Arial" w:hAnsi="Arial"/>
          <w:sz w:val="18"/>
          <w:szCs w:val="18"/>
          <w:color w:val="auto"/>
        </w:rPr>
      </w:pPr>
    </w:p>
    <w:p>
      <w:pPr>
        <w:ind w:right="140" w:firstLine="419"/>
        <w:spacing w:after="0" w:line="286" w:lineRule="auto"/>
        <w:tabs>
          <w:tab w:leader="none" w:pos="67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(upon which the Trustee shall have no liability in relying) stating that the deposit was not made by the Issuer with the intent of preferring the Holders of Notes issued under this Indenture over the other creditors of the Issuer with the intent of defeating, hindering, delaying or defrauding creditors of the Issuer or others; and</w:t>
      </w:r>
    </w:p>
    <w:p>
      <w:pPr>
        <w:spacing w:after="0" w:line="57" w:lineRule="exact"/>
        <w:rPr>
          <w:rFonts w:ascii="Arial" w:cs="Arial" w:eastAsia="Arial" w:hAnsi="Arial"/>
          <w:sz w:val="17"/>
          <w:szCs w:val="17"/>
          <w:color w:val="auto"/>
        </w:rPr>
      </w:pPr>
    </w:p>
    <w:p>
      <w:pPr>
        <w:ind w:right="60" w:firstLine="419"/>
        <w:spacing w:after="0" w:line="263" w:lineRule="auto"/>
        <w:tabs>
          <w:tab w:leader="none" w:pos="6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480"/>
          </w:cols>
          <w:pgMar w:left="880" w:top="274" w:right="5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9.05. </w:t>
      </w:r>
      <w:r>
        <w:rPr>
          <w:rFonts w:ascii="Arial" w:cs="Arial" w:eastAsia="Arial" w:hAnsi="Arial"/>
          <w:sz w:val="18"/>
          <w:szCs w:val="18"/>
          <w:u w:val="single" w:color="auto"/>
          <w:color w:val="auto"/>
        </w:rPr>
        <w:t>Deposited Money and U.S. Government Obligations To Be Held in Trust.</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All money and U.S. Government Obligations (including the proceeds thereof) deposited with the Trustee pursuant to Sections 9.01 and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pacing w:after="0" w:line="157"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The Issuer and the Guarantors shall (on a joint and several basis) pay and indemnify the Trustee against any tax, fee or other charge imposed on or assessed against the U.S. Government Obligations deposited pursuant to Sections 9.01 and 9.04 or the principal, premium, if any, and interest received in respect thereof other than any such tax, fee or other charge which by law is for the account of the Holders of the outstanding Notes.</w:t>
      </w:r>
    </w:p>
    <w:p>
      <w:pPr>
        <w:spacing w:after="0" w:line="149"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Anything in this Article Nine to the contrary notwithstanding, the Trustee shall deliver or pay to the Issuer from time to time upon a request of the Issuer any money or U.S. Government Obligations held by it as provided in Sections 9.01 and 9.04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Legal Defeasance or Covenant Defeasance.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If the Trustee or any Paying Agent is unable to apply any money or U.S. Government Obligations in accordance with Section 9.01, 9.02 or 9.03 by reason of any legal proceeding or by reason of any order or judgment of any court or governmental authority enjoining, restraining or otherwise prohibiting such application, each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U.S. Government Obligations in accordance with Section 9.01, 9.02 or 9.03;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U.S. Government Obligations held by the Trustee or any Paying Agent.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9.07. </w:t>
      </w:r>
      <w:r>
        <w:rPr>
          <w:rFonts w:ascii="Arial" w:cs="Arial" w:eastAsia="Arial" w:hAnsi="Arial"/>
          <w:sz w:val="18"/>
          <w:szCs w:val="18"/>
          <w:u w:val="single" w:color="auto"/>
          <w:color w:val="auto"/>
        </w:rPr>
        <w:t>Moneys Held by Paying Agent</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In connection with the satisfaction and discharge of this Indenture, all moneys and U.S. Government Obligations then held by any Paying Agent under the provisions of this Indenture shall, upon written demand of the Issuer, be paid or delivered to the Trustee, or if sufficient moneys and U.S. Government Obligations have been deposited pursuant to Section 9.04, to the Issuer upon a request of the Issuer (or, if such moneys and U.S. Government Obligations had been deposited by the Guarantors, to such Guarantors), and thereupon such Paying Agent shall be released from all further liability with respect to such moneys.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Moneys Held by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Any moneys and U.S.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U.S. Government Obligations are then held by the Issuer or the Guarantors in trust, such moneys and U.S.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U.S. Government Obligations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 Section 2.06, or cause to be published once a week for two successive weeks, in one newspaper published in the English language, customarily published each Business Day and of general circulation in The City of New York, the State of New York, a notice that such moneys and U.S. Government Obligations remains unclaimed and that, after a date specified therein, which shall not be less than 30 days from the date of such mailing or publication, any unclaimed balance of such moneys and U.S. Government Obligations then remaining will be repaid or returned to the Issuer. After payment or return to the Issuer or the Guarantors or the release of any moneys and U.S. Government Obligations held in trust by the Issuer or any Guarantors, as the case may be, Holders entitled thereto must look only to the Issuer and the Guarantors for payment as general creditors unless applicable abandoned property law designates another Person.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6" w:name="page87"/>
    <w:bookmarkEnd w:id="86"/>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TEN</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GUARANTEE OF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The Guarantors, by execution of this Indenture, jointly and severally, guarantee to each Holder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w:t>
      </w:r>
    </w:p>
    <w:p>
      <w:pPr>
        <w:spacing w:after="0" w:line="182"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w:t>
      </w:r>
    </w:p>
    <w:p>
      <w:pPr>
        <w:spacing w:after="0" w:line="4" w:lineRule="exact"/>
        <w:rPr>
          <w:sz w:val="20"/>
          <w:szCs w:val="20"/>
          <w:color w:val="auto"/>
        </w:rPr>
      </w:pPr>
    </w:p>
    <w:p>
      <w:pPr>
        <w:ind w:left="4" w:right="20" w:hanging="4"/>
        <w:spacing w:after="0" w:line="260" w:lineRule="auto"/>
        <w:tabs>
          <w:tab w:leader="none" w:pos="2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event of any declaration of acceleration of such obligations as provided in Article Six, such obligations (whether or not due and payable) shall forthwith become due and payable by each Guarantor for the purpose of this Guarantee.</w:t>
      </w:r>
    </w:p>
    <w:p>
      <w:pPr>
        <w:spacing w:after="0" w:line="185"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The Guarantors shall have the right to seek contribution from any non-paying Guarantor so long as the exercise of such right does not impair the rights of any Holder under the Note Guarantees.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4"/>
          </w:cols>
          <w:pgMar w:left="436" w:top="274" w:right="49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10.02. </w:t>
      </w:r>
      <w:r>
        <w:rPr>
          <w:rFonts w:ascii="Arial" w:cs="Arial" w:eastAsia="Arial" w:hAnsi="Arial"/>
          <w:sz w:val="18"/>
          <w:szCs w:val="18"/>
          <w:u w:val="single" w:color="auto"/>
          <w:color w:val="auto"/>
        </w:rPr>
        <w:t>Execution and Delivery of Note Guarantee</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 xml:space="preserve">To further evidence the Note Guarantee set forth in Section 10.01, each Guarantor hereby agrees that a notation of such Note Guarantee, substantially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shall be endorsed on each Note authenticated and delivered by the Trustee and such Note Guarantee shall be executed by either manual, facsimile, .pdf attachment or other electronically transmitted signature of an Officer of each Guarantor. The validity and enforceability of any Note Guarantee shall not be affected by the fact that it is not affixed to any particular Note.</w:t>
      </w:r>
    </w:p>
    <w:p>
      <w:pPr>
        <w:spacing w:after="0" w:line="15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Each of the Guarantors hereby agrees that its Note Guarantee set forth in Section 10.01 shall be in full force and effect notwithstanding any failure to endorse on each Note a notation of such Note Guarantee.</w:t>
      </w:r>
    </w:p>
    <w:p>
      <w:pPr>
        <w:spacing w:after="0" w:line="17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an Officer of a Guarantor whose signature is on this Indenture or a Note Guarantee no longer holds that office at the time the Trustee authenticates the Note on which such Note Guarantee is endorsed or at any time thereafter, such Guarantor’s Guarantee of such Note shall be valid nevertheless.</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any Note Guarantee set forth in this Indenture on behalf of the Guarantor.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Release of Guarantors</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Note Guarantee of a Guarantor (other than Parent) will be unconditionally released and discharged upon any of the following:</w:t>
      </w:r>
    </w:p>
    <w:p>
      <w:pPr>
        <w:spacing w:after="0" w:line="140" w:lineRule="exact"/>
        <w:rPr>
          <w:rFonts w:ascii="Arial" w:cs="Arial" w:eastAsia="Arial" w:hAnsi="Arial"/>
          <w:sz w:val="16"/>
          <w:szCs w:val="16"/>
          <w:color w:val="auto"/>
        </w:rPr>
      </w:pPr>
    </w:p>
    <w:p>
      <w:pPr>
        <w:ind w:left="440" w:right="320" w:firstLine="419"/>
        <w:spacing w:after="0" w:line="342" w:lineRule="auto"/>
        <w:tabs>
          <w:tab w:leader="none" w:pos="1118"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15" w:lineRule="exact"/>
        <w:rPr>
          <w:rFonts w:ascii="Arial" w:cs="Arial" w:eastAsia="Arial" w:hAnsi="Arial"/>
          <w:sz w:val="16"/>
          <w:szCs w:val="16"/>
          <w:color w:val="auto"/>
        </w:rPr>
      </w:pPr>
    </w:p>
    <w:p>
      <w:pPr>
        <w:jc w:val="both"/>
        <w:ind w:left="440" w:right="60" w:firstLine="419"/>
        <w:spacing w:after="0" w:line="259"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Guarantor is also released from all of its obligations in respect of Indebtedness under each Credit Facility;</w:t>
      </w:r>
    </w:p>
    <w:p>
      <w:pPr>
        <w:spacing w:after="0" w:line="78"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each Credit Facility, except to the extent such Guarantor is otherwise required to provide a Guarantee pursuant to Section 4.17; or</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the contemporaneous release or discharge of all Guarantees by such Guarantor which would have required such Guarantor to guarantee the Notes pursuant to Section 4.17.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74" w:right="499" w:bottom="1440" w:gutter="0" w:footer="0" w:header="0"/>
        </w:sectPr>
      </w:pPr>
    </w:p>
    <w:bookmarkStart w:id="88" w:name="page89"/>
    <w:bookmarkEnd w:id="88"/>
    <w:p>
      <w:pPr>
        <w:ind w:right="460" w:firstLine="987"/>
        <w:spacing w:after="0" w:line="277" w:lineRule="auto"/>
        <w:tabs>
          <w:tab w:leader="none" w:pos="1246"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provided under Article Five, a Note Guarantee of Parent may be released and discharged only with the consent of each Holder of Notes to which such Note Guarantee relates.</w:t>
      </w:r>
    </w:p>
    <w:p>
      <w:pPr>
        <w:spacing w:after="0" w:line="170" w:lineRule="exact"/>
        <w:rPr>
          <w:rFonts w:ascii="Arial" w:cs="Arial" w:eastAsia="Arial" w:hAnsi="Arial"/>
          <w:sz w:val="18"/>
          <w:szCs w:val="18"/>
          <w:color w:val="auto"/>
        </w:rPr>
      </w:pPr>
    </w:p>
    <w:p>
      <w:pPr>
        <w:ind w:firstLine="987"/>
        <w:spacing w:after="0" w:line="290" w:lineRule="auto"/>
        <w:tabs>
          <w:tab w:leader="none" w:pos="1236"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such release or discharge of a Note Guarantee of a Guarantor shall be effective against the Trustee or the Holders of Notes to which such Note Guarantee relates (i) if a Default or Event of Default shall have occurred and be continuing under this Indenture as of the time of such proposed release until such time as such Default or Event of Default is cured and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this Indenture relating to such transactions have been complied with and that such release and discharge is authorized and permitted under this Indenture.</w:t>
      </w:r>
    </w:p>
    <w:p>
      <w:pPr>
        <w:spacing w:after="0" w:line="165" w:lineRule="exact"/>
        <w:rPr>
          <w:rFonts w:ascii="Arial" w:cs="Arial" w:eastAsia="Arial" w:hAnsi="Arial"/>
          <w:sz w:val="16"/>
          <w:szCs w:val="16"/>
          <w:color w:val="auto"/>
        </w:rPr>
      </w:pPr>
    </w:p>
    <w:p>
      <w:pPr>
        <w:ind w:right="220" w:firstLine="987"/>
        <w:spacing w:after="0" w:line="277" w:lineRule="auto"/>
        <w:tabs>
          <w:tab w:leader="none" w:pos="12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shall execute any documents reasonably requested by either the Issuer or a Guarantor in order to evidence the release of such Guarantor from its obligations under its Guarantee endorsed on the Notes and under this Article 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10.04 is knowingly made in contemplation of such benefits.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10.05.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The Issuer or any Guarantor shall give prompt written notice to the Trustee of any fact known to the Issuer or any such Guarantor which would prohibit the making of any payment to or by the Trustee at its Corporate Trust Office in respect of the Note Guarantees. Notwithstanding the provisions of this Article Ten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one Business Day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Trustee shall not have received the notice referred to in this Section 10.05 at least one Business Day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three Business Days prior to such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Limitation on Guarantor’s Liability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Each Guarantor, and by its acceptance hereof, each Holder, hereby confirm that it is the intention of all such parties that the Guarantee of a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Guarantor hereby irrevocably agree that the obligations of a Guarantor under its Note Guarantee shall be limited to the maximum amount as will, after giving effect to all other contingent and fixed liabilities of such Guarantor result in the obligations of such Guarantor not constituting such a fraudulent transfer or conveyance.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4" w:right="479" w:bottom="1440" w:gutter="0" w:footer="0" w:header="0"/>
        </w:sectPr>
      </w:pPr>
    </w:p>
    <w:bookmarkStart w:id="90" w:name="page91"/>
    <w:bookmarkEnd w:id="90"/>
    <w:p>
      <w:pPr>
        <w:ind w:left="4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ELEVEN</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to be included in this Indenture by the TIA, the required provision shall control. If any provision of this Indenture modifies any TIA provision that may be so modified, such TIA provision shall be deemed to apply to this Indenture as so modified. If any provision of this Indenture excludes any TIA provision that may be so excluded, such TIA provision shall be excluded from this Indenture.</w:t>
      </w:r>
    </w:p>
    <w:p>
      <w:pPr>
        <w:spacing w:after="0" w:line="187" w:lineRule="exact"/>
        <w:rPr>
          <w:sz w:val="20"/>
          <w:szCs w:val="20"/>
          <w:color w:val="auto"/>
        </w:rPr>
      </w:pPr>
    </w:p>
    <w:p>
      <w:pPr>
        <w:ind w:right="360" w:firstLine="991"/>
        <w:spacing w:after="0" w:line="308" w:lineRule="auto"/>
        <w:rPr>
          <w:sz w:val="20"/>
          <w:szCs w:val="20"/>
          <w:color w:val="auto"/>
        </w:rPr>
      </w:pPr>
      <w:r>
        <w:rPr>
          <w:rFonts w:ascii="Arial" w:cs="Arial" w:eastAsia="Arial" w:hAnsi="Arial"/>
          <w:sz w:val="17"/>
          <w:szCs w:val="17"/>
          <w:color w:val="auto"/>
        </w:rPr>
        <w:t>The provisions of TIA §§ 310 through 317 that impose duties on any Person (including the provisions automatically deemed included unless expressly excluded by this Indenture) are a part of and govern this Indenture, whether or not physically contained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Issuer or any Guarantor: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(215) 856-5576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adam.dickstein@crowncork.com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Cira Center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2929 Arch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Philadelphia, PA 19104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Ian A. Hartman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(215) 994-4000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(215) 994-2222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91" w:name="page92"/>
    <w:bookmarkEnd w:id="9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Trustee: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Global Corporate Trust Services Two Liberty Place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 South 16th Street, Suite 2000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Mail Station: EX-PA-WBSP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Michael Judge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(215) 761-9326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(215) 761-9412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Michael.Judge@usbank.com</w:t>
      </w:r>
    </w:p>
    <w:p>
      <w:pPr>
        <w:spacing w:after="0" w:line="21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Issuer, the Guarantors or the Trustee by written notice to the others may designate additional or different addresses for subsequent notices or communications.</w:t>
      </w:r>
    </w:p>
    <w:p>
      <w:pPr>
        <w:spacing w:after="0" w:line="170"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 and the next Business Day after timely delivery to the courier, if sent by overnight air courier guaranteeing next day delivery.</w:t>
      </w:r>
    </w:p>
    <w:p>
      <w:pPr>
        <w:spacing w:after="0" w:line="15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87"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If a notice or communication to a Holder is mailed in the manner provided above, it shall be deemed duly given, whether or not the addressee receives it.</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8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Notwithstanding anything herein to the contrary, any notice to the Trustee shall be deemed given when actually received.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92" w:name="page93"/>
    <w:bookmarkEnd w:id="92"/>
    <w:p>
      <w:pPr>
        <w:ind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the right to accept and act upon instructions or directions, including funds transfer instructions, pursuant to this Indenture sent by Electronic Means. As used in this paragraph, “Electronic Means” means a portable document format (“pdf”) or other replicating image attached to an unsecured email, facsimile transmission, secure electronic transmission (containing applicable authorization codes, passwords and/or authentication keys issued by the Trustee), or another method or system specified by the Trustee as available for use in connection with its services hereunder; provided, however, that the Issuer shall provide to the Trustee an incumbency certificate listing designated persons authorized to provide such instructions (“Authorized Officers”), which incumbency certificate shall be amended whenever a person is to be added or deleted from the listing. If the Issuer elects to give the Trustee instructions by Electronic Means and the Trustee in its discretion elects to act upon such instructions, the Trustee’s understanding of such instructions shall be deemed controlling. The Issuer agrees that the Trustee cannot determine the identity of the actual sender of such instructions and that the Trustee shall conclusively presume that instructions that purport to have been sent by an Authorized Officer listed on the incumbency certificate provided to the Trustee have been sent by such Authorized Officer. The Issuer shall be responsible for ensuring that only their respective Authorized Officers transmit such instructions to the Trustee, and the Issuer and their Authorized Officers are responsible to safeguard the use and confidentiality of applicable user and authorization codes, passwords and authentication keys provided by the Trustee, if any. The Trustee shall not be liable for any losses, costs, or expenses arising directly or indirectly from the Trustee’s reliance upon and compliance with such instructions notwithstanding such instructions conflict or are inconsistent with a subsequent written instruction delivered by other means. The Issuer agrees (i) to assume all risks arising out of the use of such Electronic Means to submit instructions and direction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use of Electronic Means; (iii) that the security procedures (if any) to be followed in connection with its transmission of instructions provide to it a commercially reasonable degree of protection in light of its particular needs and circumstances; and (iv) that it will notify the Trustee immediately upon learning of any compromise or unauthorized use of the security procedures.</w:t>
      </w:r>
    </w:p>
    <w:p>
      <w:pPr>
        <w:spacing w:after="0" w:line="182"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All notices, approvals, consents, requests and any communications to the Trustee hereunder must be in writing in English and must be in the form of a document that is signed manually or by way of an electronic signature (including electronic images of handwritten signatures and digital signatures provided by DocuSign, Orbit, Adobe Sign or any other electronic signature provider acceptable to the Trustee). Electronic signatures believed by the Trustee to comply with the ESIGN ACT of 2000 or other applicable law shall be deemed original signatures for all purposes. If the Issuer chooses to use electronic signatures to sign documents delivered to the Trustee, the Issuer agrees to assume all risks arising out 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3" w:name="page94"/>
    <w:bookmarkEnd w:id="93"/>
    <w:p>
      <w:pPr>
        <w:ind w:right="2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use of electronic signatures, including without limitation the risk of the Trustee acting on an unauthorized document and the risk of interception or misuse by third parties. Notwithstanding the foregoing, the Trustee may in any instance and in its sole discretion require that an original document bearing a manual signature be delivered to the Trustee in lieu of, or in addition to, any document signed via electronic signature.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Communications by Holders with Other Holders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Issuer, the Guarantors, the Trustee, the Registrar, each Agent and anyone else shall have the protection of TIA § 312(c).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Issuer or any Guarantor to the Trustee to take any action under this Indenture, the Issuer or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 shall furnish to the Trustee:</w:t>
      </w:r>
    </w:p>
    <w:p>
      <w:pPr>
        <w:spacing w:after="0" w:line="103" w:lineRule="exact"/>
        <w:rPr>
          <w:sz w:val="20"/>
          <w:szCs w:val="20"/>
          <w:color w:val="auto"/>
        </w:rPr>
      </w:pPr>
    </w:p>
    <w:p>
      <w:pPr>
        <w:ind w:left="440" w:right="40" w:firstLine="419"/>
        <w:spacing w:after="0" w:line="342" w:lineRule="auto"/>
        <w:tabs>
          <w:tab w:leader="none" w:pos="111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 Officers’ Certificate (which shall include the statements set forth in Section 11.05 below) stating that, in the opinion of the signers, all conditions precedent and covenants, if any, provided for in this Indenture relating to the proposed action have been complied with; and</w:t>
      </w:r>
    </w:p>
    <w:p>
      <w:pPr>
        <w:spacing w:after="0" w:line="15" w:lineRule="exact"/>
        <w:rPr>
          <w:rFonts w:ascii="Arial" w:cs="Arial" w:eastAsia="Arial" w:hAnsi="Arial"/>
          <w:sz w:val="16"/>
          <w:szCs w:val="16"/>
          <w:color w:val="auto"/>
        </w:rPr>
      </w:pPr>
    </w:p>
    <w:p>
      <w:pPr>
        <w:ind w:left="440" w:right="120" w:firstLine="419"/>
        <w:spacing w:after="0" w:line="277" w:lineRule="auto"/>
        <w:tabs>
          <w:tab w:leader="none" w:pos="11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11.05 below) stating that, in the opinion of such counsel, all such conditions precedent and covenants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Statements Required in Certificate and Opinion</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Each certificate and opinion with respect to compliance by or on behalf of the Issuer or any Guarantor with a condition or covenant provided for in this Indenture shall include:</w:t>
      </w:r>
    </w:p>
    <w:p>
      <w:pPr>
        <w:spacing w:after="0" w:line="62" w:lineRule="exact"/>
        <w:rPr>
          <w:sz w:val="20"/>
          <w:szCs w:val="20"/>
          <w:color w:val="auto"/>
        </w:rPr>
      </w:pPr>
    </w:p>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covenant or condition has been complied 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The Trustee may make reasonable rules for action by or meetings of Noteholders. The Registrar and Paying Agent may make reasonable rules for their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Business Days; Legal Holidays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Business Day</w:t>
      </w:r>
      <w:r>
        <w:rPr>
          <w:rFonts w:ascii="Arial" w:cs="Arial" w:eastAsia="Arial" w:hAnsi="Arial"/>
          <w:sz w:val="16"/>
          <w:szCs w:val="16"/>
          <w:color w:val="auto"/>
        </w:rPr>
        <w:t>” is a day that is not a Legal Holiday. A “</w:t>
      </w:r>
      <w:r>
        <w:rPr>
          <w:rFonts w:ascii="Arial" w:cs="Arial" w:eastAsia="Arial" w:hAnsi="Arial"/>
          <w:sz w:val="16"/>
          <w:szCs w:val="16"/>
          <w:u w:val="single" w:color="auto"/>
          <w:color w:val="auto"/>
        </w:rPr>
        <w:t>Legal Holiday</w:t>
      </w:r>
      <w:r>
        <w:rPr>
          <w:rFonts w:ascii="Arial" w:cs="Arial" w:eastAsia="Arial" w:hAnsi="Arial"/>
          <w:sz w:val="16"/>
          <w:szCs w:val="16"/>
          <w:color w:val="auto"/>
        </w:rPr>
        <w:t>” is a Saturday, a Sunday or other day on which commercial banks in The City of New York, the State of New York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This Indenture may not be used to interpret another indenture, loan, security or debt agreement of Parent or any Subsidiary thereof. No such indenture, loan, security or debt agreement may be used to interpret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parties may sign multiple counterparts of this Indenture. Each signed counterpart shall be deemed an original, but all of them together represent one and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11.12.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Waiver of Jury Trial</w:t>
      </w:r>
    </w:p>
    <w:p>
      <w:pPr>
        <w:spacing w:after="0" w:line="225"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EACH OF THE ISSUER, THE GUARANTORS AND THE TRUSTEE IRREVOCABLY WAIVES, TO THE FULLEST EXTENT PERMITTED BY APPLICABLE LAW, ANY AND ALL RIGHT TO TRIAL BY JURY IN ANY LEGAL PROCEEDING ARISING OUT OF OR RELATING TO THIS INDENTURE, THE NOTES OR THE TRANSACTIONS CONTEMPLATED 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Force Majeure</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By the execution and delivery of this Indenture, the Issuer and each Guarantor (i) acknowledges that it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(ii) irrevocably submits to the non-exclusive jurisdiction of any such court in any such suit or proceeding in subsection (a)(i) above and (iii) agrees that service of process upon the Issuer in accordance with this Section 11.16 shall</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deemed in every respect effective service of process upon the Issuer or any Guarantor, if any, in any such suit or proceeding.</w:t>
      </w:r>
    </w:p>
    <w:p>
      <w:pPr>
        <w:sectPr>
          <w:pgSz w:w="11900" w:h="16838" w:orient="portrait"/>
          <w:cols w:equalWidth="0" w:num="1">
            <w:col w:w="10019"/>
          </w:cols>
          <w:pgMar w:left="440" w:top="274" w:right="1440" w:bottom="1440" w:gutter="0" w:footer="0" w:header="0"/>
        </w:sectPr>
      </w:pPr>
    </w:p>
    <w:p>
      <w:pPr>
        <w:spacing w:after="0" w:line="248"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[Signature Pages Follow]</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019"/>
          </w:cols>
          <w:pgMar w:left="440" w:top="274"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all as of the date and year first written above.</w:t>
      </w:r>
    </w:p>
    <w:p>
      <w:pPr>
        <w:spacing w:after="0" w:line="2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CROWN AMERICAS LLC</w:t>
      </w:r>
    </w:p>
    <w:p>
      <w:pPr>
        <w:spacing w:after="0" w:line="239"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By:</w:t>
        <w:tab/>
        <w:t>/s/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25800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By:</w:t>
        <w:tab/>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25800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and Chief Financial Officer</w:t>
      </w:r>
    </w:p>
    <w:p>
      <w:pPr>
        <w:sectPr>
          <w:pgSz w:w="11900" w:h="16838" w:orient="portrait"/>
          <w:cols w:equalWidth="0" w:num="1">
            <w:col w:w="10040"/>
          </w:cols>
          <w:pgMar w:left="1420" w:top="274" w:right="439" w:bottom="1440" w:gutter="0" w:footer="0" w:header="0"/>
        </w:sectPr>
      </w:pPr>
    </w:p>
    <w:bookmarkStart w:id="98" w:name="page99"/>
    <w:bookmarkEnd w:id="98"/>
    <w:p>
      <w:pPr>
        <w:ind w:left="56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 USA,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CROWN Beverage Packaging Puerto Rico, Inc.</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USA,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26574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Holdings,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Financial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26574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(DE),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26574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60"/>
          </w:cols>
          <w:pgMar w:left="1440" w:top="274" w:right="1399" w:bottom="1440" w:gutter="0" w:footer="0" w:header="0"/>
        </w:sectPr>
      </w:pPr>
    </w:p>
    <w:bookmarkStart w:id="99" w:name="page100"/>
    <w:bookmarkEnd w:id="9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Manufacturers Finance Corporation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Ronald S. Cenderelli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Packaging,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Packaging Technology,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ectPr>
          <w:pgSz w:w="11900" w:h="16838" w:orient="portrait"/>
          <w:cols w:equalWidth="0" w:num="1">
            <w:col w:w="9019"/>
          </w:cols>
          <w:pgMar w:left="1440" w:top="274" w:right="1440" w:bottom="1440" w:gutter="0" w:footer="0" w:header="0"/>
        </w:sectPr>
      </w:pPr>
    </w:p>
    <w:bookmarkStart w:id="100" w:name="page101"/>
    <w:bookmarkEnd w:id="10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Signode Industrial Group Holdings US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International IP Holdings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Keith Heaverlo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26574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Keith Heaverlo</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Title: Sr. Vice President, Treasurer &amp; CFO</w:t>
      </w:r>
    </w:p>
    <w:p>
      <w:pPr>
        <w:sectPr>
          <w:pgSz w:w="11900" w:h="16838" w:orient="portrait"/>
          <w:cols w:equalWidth="0" w:num="1">
            <w:col w:w="9019"/>
          </w:cols>
          <w:pgMar w:left="1440" w:top="490" w:right="1440" w:bottom="1440" w:gutter="0" w:footer="0" w:header="0"/>
        </w:sectPr>
      </w:pPr>
    </w:p>
    <w:bookmarkStart w:id="101" w:name="page102"/>
    <w:bookmarkEnd w:id="10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US Inc.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4" w:right="1440" w:bottom="1440" w:gutter="0" w:footer="0" w:header="0"/>
        </w:sectPr>
      </w:pPr>
    </w:p>
    <w:bookmarkStart w:id="102" w:name="page103"/>
    <w:bookmarkEnd w:id="10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Trustee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Judge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460"/>
          </w:cols>
          <w:pgMar w:left="1440" w:top="274" w:right="9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EXHIBIT A-1</w:t>
            </w:r>
          </w:p>
        </w:tc>
      </w:tr>
      <w:tr>
        <w:trPr>
          <w:trHeight w:val="453"/>
        </w:trPr>
        <w:tc>
          <w:tcPr>
            <w:tcW w:w="2280" w:type="dxa"/>
            <w:vAlign w:val="bottom"/>
          </w:tcPr>
          <w:p>
            <w:pPr>
              <w:spacing w:after="0"/>
              <w:rPr>
                <w:sz w:val="24"/>
                <w:szCs w:val="24"/>
                <w:color w:val="auto"/>
              </w:rPr>
            </w:pPr>
          </w:p>
        </w:tc>
        <w:tc>
          <w:tcPr>
            <w:tcW w:w="8320" w:type="dxa"/>
            <w:vAlign w:val="bottom"/>
            <w:gridSpan w:val="2"/>
          </w:tcPr>
          <w:p>
            <w:pPr>
              <w:jc w:val="center"/>
              <w:ind w:right="1790"/>
              <w:spacing w:after="0"/>
              <w:rPr>
                <w:sz w:val="20"/>
                <w:szCs w:val="20"/>
                <w:color w:val="auto"/>
              </w:rPr>
            </w:pPr>
            <w:r>
              <w:rPr>
                <w:rFonts w:ascii="Arial" w:cs="Arial" w:eastAsia="Arial" w:hAnsi="Arial"/>
                <w:sz w:val="18"/>
                <w:szCs w:val="18"/>
                <w:color w:val="auto"/>
                <w:w w:val="95"/>
              </w:rPr>
              <w:t>[FORM OF RESTRICTED NOTE]</w:t>
            </w:r>
          </w:p>
        </w:tc>
        <w:tc>
          <w:tcPr>
            <w:tcW w:w="42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8320" w:type="dxa"/>
            <w:vAlign w:val="bottom"/>
            <w:gridSpan w:val="2"/>
          </w:tcPr>
          <w:p>
            <w:pPr>
              <w:jc w:val="center"/>
              <w:ind w:right="1790"/>
              <w:spacing w:after="0"/>
              <w:rPr>
                <w:sz w:val="20"/>
                <w:szCs w:val="20"/>
                <w:color w:val="auto"/>
              </w:rPr>
            </w:pPr>
            <w:r>
              <w:rPr>
                <w:rFonts w:ascii="Arial" w:cs="Arial" w:eastAsia="Arial" w:hAnsi="Arial"/>
                <w:sz w:val="18"/>
                <w:szCs w:val="18"/>
                <w:b w:val="1"/>
                <w:bCs w:val="1"/>
                <w:color w:val="auto"/>
              </w:rPr>
              <w:t>CROWN AMERICAS LLC</w:t>
            </w:r>
          </w:p>
        </w:tc>
        <w:tc>
          <w:tcPr>
            <w:tcW w:w="42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8320" w:type="dxa"/>
            <w:vAlign w:val="bottom"/>
            <w:gridSpan w:val="2"/>
          </w:tcPr>
          <w:p>
            <w:pPr>
              <w:jc w:val="center"/>
              <w:ind w:right="1790"/>
              <w:spacing w:after="0"/>
              <w:rPr>
                <w:sz w:val="20"/>
                <w:szCs w:val="20"/>
                <w:color w:val="auto"/>
              </w:rPr>
            </w:pPr>
            <w:r>
              <w:rPr>
                <w:rFonts w:ascii="Arial" w:cs="Arial" w:eastAsia="Arial" w:hAnsi="Arial"/>
                <w:sz w:val="18"/>
                <w:szCs w:val="18"/>
                <w:color w:val="auto"/>
                <w:w w:val="93"/>
              </w:rPr>
              <w:t>5.250% SENIOR NOTE DUE 2030</w:t>
            </w:r>
          </w:p>
        </w:tc>
        <w:tc>
          <w:tcPr>
            <w:tcW w:w="42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8320" w:type="dxa"/>
            <w:vAlign w:val="bottom"/>
            <w:gridSpan w:val="2"/>
          </w:tcPr>
          <w:p>
            <w:pPr>
              <w:jc w:val="center"/>
              <w:ind w:right="1770"/>
              <w:spacing w:after="0"/>
              <w:rPr>
                <w:sz w:val="20"/>
                <w:szCs w:val="20"/>
                <w:color w:val="auto"/>
              </w:rPr>
            </w:pPr>
            <w:r>
              <w:rPr>
                <w:rFonts w:ascii="Arial" w:cs="Arial" w:eastAsia="Arial" w:hAnsi="Arial"/>
                <w:sz w:val="18"/>
                <w:szCs w:val="18"/>
                <w:b w:val="1"/>
                <w:bCs w:val="1"/>
                <w:i w:val="1"/>
                <w:iCs w:val="1"/>
                <w:color w:val="auto"/>
                <w:w w:val="88"/>
              </w:rPr>
              <w:t>[Insert Global Note Legend, if applicable]</w:t>
            </w:r>
          </w:p>
        </w:tc>
        <w:tc>
          <w:tcPr>
            <w:tcW w:w="42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8320" w:type="dxa"/>
            <w:vAlign w:val="bottom"/>
            <w:gridSpan w:val="2"/>
          </w:tcPr>
          <w:p>
            <w:pPr>
              <w:jc w:val="center"/>
              <w:ind w:right="179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b w:val="1"/>
                <w:bCs w:val="1"/>
                <w:i w:val="1"/>
                <w:iCs w:val="1"/>
                <w:color w:val="auto"/>
                <w:w w:val="88"/>
              </w:rPr>
              <w:t>Insert Private Placement Legend</w:t>
            </w:r>
            <w:r>
              <w:rPr>
                <w:rFonts w:ascii="Arial" w:cs="Arial" w:eastAsia="Arial" w:hAnsi="Arial"/>
                <w:sz w:val="18"/>
                <w:szCs w:val="18"/>
                <w:b w:val="1"/>
                <w:bCs w:val="1"/>
                <w:color w:val="auto"/>
                <w:w w:val="88"/>
              </w:rPr>
              <w:t>]</w:t>
            </w:r>
          </w:p>
        </w:tc>
        <w:tc>
          <w:tcPr>
            <w:tcW w:w="420" w:type="dxa"/>
            <w:vAlign w:val="bottom"/>
          </w:tcPr>
          <w:p>
            <w:pPr>
              <w:spacing w:after="0"/>
              <w:rPr>
                <w:sz w:val="24"/>
                <w:szCs w:val="24"/>
                <w:color w:val="auto"/>
              </w:rPr>
            </w:pPr>
          </w:p>
        </w:tc>
      </w:tr>
      <w:tr>
        <w:trPr>
          <w:trHeight w:val="445"/>
        </w:trPr>
        <w:tc>
          <w:tcPr>
            <w:tcW w:w="2280" w:type="dxa"/>
            <w:vAlign w:val="bottom"/>
          </w:tcPr>
          <w:p>
            <w:pPr>
              <w:spacing w:after="0"/>
              <w:rPr>
                <w:sz w:val="20"/>
                <w:szCs w:val="20"/>
                <w:color w:val="auto"/>
              </w:rPr>
            </w:pPr>
            <w:r>
              <w:rPr>
                <w:rFonts w:ascii="Arial" w:cs="Arial" w:eastAsia="Arial" w:hAnsi="Arial"/>
                <w:sz w:val="18"/>
                <w:szCs w:val="18"/>
                <w:color w:val="auto"/>
              </w:rPr>
              <w:t>No. [  ]</w:t>
            </w:r>
          </w:p>
        </w:tc>
        <w:tc>
          <w:tcPr>
            <w:tcW w:w="8320" w:type="dxa"/>
            <w:vAlign w:val="bottom"/>
            <w:gridSpan w:val="2"/>
          </w:tcPr>
          <w:p>
            <w:pPr>
              <w:jc w:val="right"/>
              <w:ind w:right="270"/>
              <w:spacing w:after="0"/>
              <w:rPr>
                <w:sz w:val="20"/>
                <w:szCs w:val="20"/>
                <w:color w:val="auto"/>
              </w:rPr>
            </w:pPr>
            <w:r>
              <w:rPr>
                <w:rFonts w:ascii="Arial" w:cs="Arial" w:eastAsia="Arial" w:hAnsi="Arial"/>
                <w:sz w:val="18"/>
                <w:szCs w:val="18"/>
                <w:color w:val="auto"/>
              </w:rPr>
              <w:t>CUSIP No.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spacing w:after="0"/>
              <w:rPr>
                <w:sz w:val="18"/>
                <w:szCs w:val="18"/>
                <w:color w:val="auto"/>
              </w:rPr>
            </w:pPr>
          </w:p>
        </w:tc>
        <w:tc>
          <w:tcPr>
            <w:tcW w:w="8320" w:type="dxa"/>
            <w:vAlign w:val="bottom"/>
            <w:gridSpan w:val="2"/>
          </w:tcPr>
          <w:p>
            <w:pPr>
              <w:jc w:val="right"/>
              <w:ind w:right="270"/>
              <w:spacing w:after="0"/>
              <w:rPr>
                <w:sz w:val="20"/>
                <w:szCs w:val="20"/>
                <w:color w:val="auto"/>
              </w:rPr>
            </w:pPr>
            <w:r>
              <w:rPr>
                <w:rFonts w:ascii="Arial" w:cs="Arial" w:eastAsia="Arial" w:hAnsi="Arial"/>
                <w:sz w:val="18"/>
                <w:szCs w:val="18"/>
                <w:color w:val="auto"/>
              </w:rPr>
              <w:t>ISIN No.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80" w:type="dxa"/>
            <w:vAlign w:val="bottom"/>
          </w:tcPr>
          <w:p>
            <w:pPr>
              <w:spacing w:after="0"/>
              <w:rPr>
                <w:sz w:val="20"/>
                <w:szCs w:val="20"/>
                <w:color w:val="auto"/>
              </w:rPr>
            </w:pPr>
          </w:p>
        </w:tc>
        <w:tc>
          <w:tcPr>
            <w:tcW w:w="83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7"/>
          <w:szCs w:val="17"/>
          <w:color w:val="auto"/>
        </w:rPr>
        <w:t>CROWN AMERICAS LLC, a Pennsylvania limited liability company (“</w:t>
      </w:r>
      <w:r>
        <w:rPr>
          <w:rFonts w:ascii="Arial" w:cs="Arial" w:eastAsia="Arial" w:hAnsi="Arial"/>
          <w:sz w:val="17"/>
          <w:szCs w:val="17"/>
          <w:u w:val="single" w:color="auto"/>
          <w:color w:val="auto"/>
        </w:rPr>
        <w:t>Crown Americas</w:t>
      </w:r>
      <w:r>
        <w:rPr>
          <w:rFonts w:ascii="Arial" w:cs="Arial" w:eastAsia="Arial" w:hAnsi="Arial"/>
          <w:sz w:val="17"/>
          <w:szCs w:val="17"/>
          <w:color w:val="auto"/>
        </w:rPr>
        <w:t>”), as issuer (the “</w:t>
      </w:r>
      <w:r>
        <w:rPr>
          <w:rFonts w:ascii="Arial" w:cs="Arial" w:eastAsia="Arial" w:hAnsi="Arial"/>
          <w:sz w:val="17"/>
          <w:szCs w:val="17"/>
          <w:u w:val="single" w:color="auto"/>
          <w:color w:val="auto"/>
        </w:rPr>
        <w:t>Issuer</w:t>
      </w:r>
      <w:r>
        <w:rPr>
          <w:rFonts w:ascii="Arial" w:cs="Arial" w:eastAsia="Arial" w:hAnsi="Arial"/>
          <w:sz w:val="17"/>
          <w:szCs w:val="17"/>
          <w:color w:val="auto"/>
        </w:rPr>
        <w:t>”), for value received,</w:t>
      </w:r>
    </w:p>
    <w:p>
      <w:pPr>
        <w:spacing w:after="0" w:line="3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promises to pay to [ ] or registered assigns the principal sum of [ ] (or such other principal amount as shall be set forth in the Schedule of Exchanges of Interests in Global Note attached hereto), on April 1, 2030.</w:t>
      </w:r>
    </w:p>
    <w:p>
      <w:pPr>
        <w:sectPr>
          <w:pgSz w:w="11900" w:h="16838" w:orient="portrait"/>
          <w:cols w:equalWidth="0" w:num="1">
            <w:col w:w="11020"/>
          </w:cols>
          <w:pgMar w:left="440" w:top="257" w:right="4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April 1 and October 1, commencing October 1, 2022.</w:t>
      </w:r>
    </w:p>
    <w:p>
      <w:pPr>
        <w:spacing w:after="0" w:line="200" w:lineRule="exact"/>
        <w:rPr>
          <w:sz w:val="20"/>
          <w:szCs w:val="20"/>
          <w:color w:val="auto"/>
        </w:rPr>
      </w:pPr>
    </w:p>
    <w:p>
      <w:pPr>
        <w:sectPr>
          <w:pgSz w:w="11900" w:h="16838" w:orient="portrait"/>
          <w:cols w:equalWidth="0" w:num="2">
            <w:col w:w="1720" w:space="560"/>
            <w:col w:w="8740"/>
          </w:cols>
          <w:pgMar w:left="440" w:top="257"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Record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March 15 and September 15 (whether or not a Business Day).</w:t>
      </w:r>
    </w:p>
    <w:p>
      <w:pPr>
        <w:spacing w:after="0" w:line="200" w:lineRule="exact"/>
        <w:rPr>
          <w:sz w:val="20"/>
          <w:szCs w:val="20"/>
          <w:color w:val="auto"/>
        </w:rPr>
      </w:pPr>
    </w:p>
    <w:p>
      <w:pPr>
        <w:sectPr>
          <w:pgSz w:w="11900" w:h="16838" w:orient="portrait"/>
          <w:cols w:equalWidth="0" w:num="2">
            <w:col w:w="1020" w:space="580"/>
            <w:col w:w="9420"/>
          </w:cols>
          <w:pgMar w:left="440" w:top="257" w:right="439" w:bottom="1440" w:gutter="0" w:footer="0" w:header="0"/>
          <w:type w:val="continuous"/>
        </w:sectPr>
      </w:pPr>
    </w:p>
    <w:p>
      <w:pPr>
        <w:spacing w:after="0" w:line="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place.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57" w:right="4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Issuer has caused this Note to be signed by two of its duly authorized officers.</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-19050</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-19050</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9039"/>
          </w:cols>
          <w:pgMar w:left="1420" w:top="274" w:right="1440" w:bottom="1440" w:gutter="0" w:footer="0" w:header="0"/>
        </w:sectPr>
      </w:pPr>
    </w:p>
    <w:bookmarkStart w:id="105" w:name="page106"/>
    <w:bookmarkEnd w:id="105"/>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5.250% Senior Notes due 2030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-19050</wp:posOffset>
            </wp:positionV>
            <wp:extent cx="25628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2022</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480"/>
          </w:cols>
          <w:pgMar w:left="440" w:top="274" w:right="979" w:bottom="1440" w:gutter="0" w:footer="0" w:header="0"/>
        </w:sectPr>
      </w:pPr>
    </w:p>
    <w:bookmarkStart w:id="106" w:name="page107"/>
    <w:bookmarkEnd w:id="106"/>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RESTRICTED NOTE]</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CROWN AMERICAS LLC</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5.250% SENIOR NOTE DUE 2030</w:t>
      </w:r>
    </w:p>
    <w:p>
      <w:pPr>
        <w:spacing w:after="0" w:line="225" w:lineRule="exact"/>
        <w:rPr>
          <w:sz w:val="20"/>
          <w:szCs w:val="20"/>
          <w:color w:val="auto"/>
        </w:rPr>
      </w:pPr>
    </w:p>
    <w:p>
      <w:pPr>
        <w:ind w:left="4" w:right="60" w:firstLine="987"/>
        <w:spacing w:after="0" w:line="255" w:lineRule="auto"/>
        <w:tabs>
          <w:tab w:leader="none" w:pos="117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CROWN AMERICAS LLC, a Pennsylvania limited liability company (“</w:t>
      </w:r>
      <w:r>
        <w:rPr>
          <w:rFonts w:ascii="Arial" w:cs="Arial" w:eastAsia="Arial" w:hAnsi="Arial"/>
          <w:sz w:val="18"/>
          <w:szCs w:val="18"/>
          <w:u w:val="single" w:color="auto"/>
          <w:color w:val="auto"/>
        </w:rPr>
        <w:t>Crown Americas</w:t>
      </w:r>
      <w:r>
        <w:rPr>
          <w:rFonts w:ascii="Arial" w:cs="Arial" w:eastAsia="Arial" w:hAnsi="Arial"/>
          <w:sz w:val="18"/>
          <w:szCs w:val="18"/>
          <w:color w:val="auto"/>
        </w:rPr>
        <w:t>”), as issuer (the “</w:t>
      </w:r>
      <w:r>
        <w:rPr>
          <w:rFonts w:ascii="Arial" w:cs="Arial" w:eastAsia="Arial" w:hAnsi="Arial"/>
          <w:sz w:val="18"/>
          <w:szCs w:val="18"/>
          <w:u w:val="single" w:color="auto"/>
          <w:color w:val="auto"/>
        </w:rPr>
        <w:t>Issuer</w:t>
      </w:r>
      <w:r>
        <w:rPr>
          <w:rFonts w:ascii="Arial" w:cs="Arial" w:eastAsia="Arial" w:hAnsi="Arial"/>
          <w:sz w:val="18"/>
          <w:szCs w:val="18"/>
          <w:color w:val="auto"/>
        </w:rPr>
        <w:t>”), promises to pay interest on the principal amount set forth on the face hereof at a rate of 5.250% per annum. Interest hereon will accrue from and including the most recent date to which interest has been paid or, if no interest has been paid, from and including March 17, 2022</w:t>
      </w:r>
      <w:r>
        <w:rPr>
          <w:rFonts w:ascii="Arial" w:cs="Arial" w:eastAsia="Arial" w:hAnsi="Arial"/>
          <w:sz w:val="15"/>
          <w:szCs w:val="15"/>
          <w:color w:val="auto"/>
        </w:rPr>
        <w:t>1</w:t>
      </w:r>
      <w:r>
        <w:rPr>
          <w:rFonts w:ascii="Arial" w:cs="Arial" w:eastAsia="Arial" w:hAnsi="Arial"/>
          <w:sz w:val="18"/>
          <w:szCs w:val="18"/>
          <w:color w:val="auto"/>
        </w:rPr>
        <w:t xml:space="preserve"> to but excluding the date on which interest is paid. Interest shall be payable in arrears on each April 1 and October 1, commencing October 1, 2022</w:t>
      </w:r>
      <w:r>
        <w:rPr>
          <w:rFonts w:ascii="Arial" w:cs="Arial" w:eastAsia="Arial" w:hAnsi="Arial"/>
          <w:sz w:val="15"/>
          <w:szCs w:val="15"/>
          <w:color w:val="auto"/>
        </w:rPr>
        <w:t>2</w:t>
      </w:r>
      <w:r>
        <w:rPr>
          <w:rFonts w:ascii="Arial" w:cs="Arial" w:eastAsia="Arial" w:hAnsi="Arial"/>
          <w:sz w:val="18"/>
          <w:szCs w:val="18"/>
          <w:color w:val="auto"/>
        </w:rPr>
        <w:t>.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92" w:lineRule="exact"/>
        <w:rPr>
          <w:rFonts w:ascii="Arial" w:cs="Arial" w:eastAsia="Arial" w:hAnsi="Arial"/>
          <w:sz w:val="18"/>
          <w:szCs w:val="18"/>
          <w:color w:val="auto"/>
        </w:rPr>
      </w:pPr>
    </w:p>
    <w:p>
      <w:pPr>
        <w:ind w:left="4" w:firstLine="987"/>
        <w:spacing w:after="0" w:line="279" w:lineRule="auto"/>
        <w:tabs>
          <w:tab w:leader="none" w:pos="117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The Issuer will pay interest hereon (except defaulted interest) to the Persons who are registered Holders at the close of business on March 15 or September 15 preceding the Interest Payment Date (whether or not a Business Day). Holders must surrender Notes to a Paying Agent to collect principal payments. The Issuer will pay principal and interest in U.S. Dollars. Interest may be paid by check mailed to the Holder entitled thereto at the address indicated on the register maintained by the Registrar for the Notes.</w:t>
      </w:r>
    </w:p>
    <w:p>
      <w:pPr>
        <w:spacing w:after="0" w:line="171" w:lineRule="exact"/>
        <w:rPr>
          <w:rFonts w:ascii="Arial" w:cs="Arial" w:eastAsia="Arial" w:hAnsi="Arial"/>
          <w:sz w:val="17"/>
          <w:szCs w:val="17"/>
          <w:color w:val="auto"/>
        </w:rPr>
      </w:pPr>
    </w:p>
    <w:p>
      <w:pPr>
        <w:ind w:left="4" w:right="380" w:firstLine="987"/>
        <w:spacing w:after="0" w:line="342" w:lineRule="auto"/>
        <w:tabs>
          <w:tab w:leader="none" w:pos="117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U.S. Bank National Association (the “</w:t>
      </w:r>
      <w:r>
        <w:rPr>
          <w:rFonts w:ascii="Arial" w:cs="Arial" w:eastAsia="Arial" w:hAnsi="Arial"/>
          <w:sz w:val="16"/>
          <w:szCs w:val="16"/>
          <w:u w:val="single" w:color="auto"/>
          <w:color w:val="auto"/>
        </w:rPr>
        <w:t>Trustee</w:t>
      </w:r>
      <w:r>
        <w:rPr>
          <w:rFonts w:ascii="Arial" w:cs="Arial" w:eastAsia="Arial" w:hAnsi="Arial"/>
          <w:sz w:val="16"/>
          <w:szCs w:val="16"/>
          <w:color w:val="auto"/>
        </w:rPr>
        <w:t>”) will act as a Paying Agent and Registrar. The Issuer may change any Paying Agent or Registrar without notice. The Issuer or any Affiliate thereof may act as Paying Agent or Registrar.</w:t>
      </w:r>
    </w:p>
    <w:p>
      <w:pPr>
        <w:spacing w:after="0" w:line="123" w:lineRule="exact"/>
        <w:rPr>
          <w:rFonts w:ascii="Arial" w:cs="Arial" w:eastAsia="Arial" w:hAnsi="Arial"/>
          <w:sz w:val="16"/>
          <w:szCs w:val="16"/>
          <w:color w:val="auto"/>
        </w:rPr>
      </w:pPr>
    </w:p>
    <w:p>
      <w:pPr>
        <w:ind w:left="4" w:right="180" w:firstLine="987"/>
        <w:spacing w:after="0" w:line="296" w:lineRule="auto"/>
        <w:tabs>
          <w:tab w:leader="none" w:pos="117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 issued the Notes under an Indenture dated as of March 17, 2022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the Issuer, the Guarantors and the Trustee.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6" w:lineRule="exact"/>
        <w:rPr>
          <w:sz w:val="20"/>
          <w:szCs w:val="20"/>
          <w:color w:val="auto"/>
        </w:rPr>
      </w:pPr>
    </w:p>
    <w:p>
      <w:pPr>
        <w:ind w:left="424" w:hanging="424"/>
        <w:spacing w:after="0"/>
        <w:tabs>
          <w:tab w:leader="none" w:pos="424" w:val="left"/>
        </w:tabs>
        <w:numPr>
          <w:ilvl w:val="0"/>
          <w:numId w:val="101"/>
        </w:numPr>
        <w:rPr>
          <w:rFonts w:ascii="Arial" w:cs="Arial" w:eastAsia="Arial" w:hAnsi="Arial"/>
          <w:sz w:val="15"/>
          <w:szCs w:val="15"/>
          <w:color w:val="auto"/>
        </w:rPr>
      </w:pPr>
      <w:r>
        <w:rPr>
          <w:rFonts w:ascii="Arial" w:cs="Arial" w:eastAsia="Arial" w:hAnsi="Arial"/>
          <w:sz w:val="18"/>
          <w:szCs w:val="18"/>
          <w:color w:val="auto"/>
        </w:rPr>
        <w:t>In the case of Notes issued on the Issue Date.</w:t>
      </w:r>
    </w:p>
    <w:p>
      <w:pPr>
        <w:spacing w:after="0" w:line="22" w:lineRule="exact"/>
        <w:rPr>
          <w:sz w:val="20"/>
          <w:szCs w:val="20"/>
          <w:color w:val="auto"/>
        </w:rPr>
      </w:pPr>
    </w:p>
    <w:p>
      <w:pPr>
        <w:ind w:left="424" w:hanging="424"/>
        <w:spacing w:after="0"/>
        <w:tabs>
          <w:tab w:leader="none" w:pos="424" w:val="left"/>
        </w:tabs>
        <w:numPr>
          <w:ilvl w:val="0"/>
          <w:numId w:val="102"/>
        </w:numPr>
        <w:rPr>
          <w:rFonts w:ascii="Arial" w:cs="Arial" w:eastAsia="Arial" w:hAnsi="Arial"/>
          <w:sz w:val="15"/>
          <w:szCs w:val="15"/>
          <w:color w:val="auto"/>
        </w:rPr>
      </w:pPr>
      <w:r>
        <w:rPr>
          <w:rFonts w:ascii="Arial" w:cs="Arial" w:eastAsia="Arial" w:hAnsi="Arial"/>
          <w:sz w:val="18"/>
          <w:szCs w:val="18"/>
          <w:color w:val="auto"/>
        </w:rPr>
        <w:t>In the case of Notes issued on the Issue Date.</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04"/>
          </w:cols>
          <w:pgMar w:left="436" w:top="274" w:right="459" w:bottom="1440" w:gutter="0" w:footer="0" w:header="0"/>
        </w:sectPr>
      </w:pPr>
    </w:p>
    <w:bookmarkStart w:id="107" w:name="page108"/>
    <w:bookmarkEnd w:id="107"/>
    <w:p>
      <w:pPr>
        <w:ind w:left="1160" w:hanging="173"/>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75" w:lineRule="auto"/>
        <w:tabs>
          <w:tab w:leader="none" w:pos="123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Prior to January 1, 2030, the Issuer may redeem the Notes, at its option, in whole at any time or in part from time to time, at a redemption price equal to 100% of the principal amount thereof,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to but excluding the applicable Make-Whole Redemption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Make-Whole Premium (a “</w:t>
      </w:r>
      <w:r>
        <w:rPr>
          <w:rFonts w:ascii="Arial" w:cs="Arial" w:eastAsia="Arial" w:hAnsi="Arial"/>
          <w:sz w:val="17"/>
          <w:szCs w:val="17"/>
          <w:u w:val="single" w:color="auto"/>
          <w:color w:val="auto"/>
        </w:rPr>
        <w:t>Make-Whole Redemption</w:t>
      </w:r>
      <w:r>
        <w:rPr>
          <w:rFonts w:ascii="Arial" w:cs="Arial" w:eastAsia="Arial" w:hAnsi="Arial"/>
          <w:sz w:val="17"/>
          <w:szCs w:val="17"/>
          <w:color w:val="auto"/>
        </w:rPr>
        <w:t>”). The Issuer shall notify the Trustee of the Make-Whole Premium by delivering to the Trustee, on or before the applicable Make-Whole Redemption Date, an Officer’s Certificate showing the calculation thereof in reasonable detail, and the Trustee shall have no responsibility for verifying or otherwise for such calculation.</w:t>
      </w:r>
    </w:p>
    <w:p>
      <w:pPr>
        <w:spacing w:after="0" w:line="176" w:lineRule="exact"/>
        <w:rPr>
          <w:rFonts w:ascii="Arial" w:cs="Arial" w:eastAsia="Arial" w:hAnsi="Arial"/>
          <w:sz w:val="17"/>
          <w:szCs w:val="17"/>
          <w:color w:val="auto"/>
        </w:rPr>
      </w:pPr>
    </w:p>
    <w:p>
      <w:pPr>
        <w:ind w:right="280" w:firstLine="987"/>
        <w:spacing w:after="0" w:line="263"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On or after January 1, 2030, the Issuer may redeem the Notes, at its option, in whole at any time or in part from time to time, at a redemption price equal to 100%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excluding the applicable Redemption Date.</w:t>
      </w:r>
    </w:p>
    <w:p>
      <w:pPr>
        <w:spacing w:after="0" w:line="183" w:lineRule="exact"/>
        <w:rPr>
          <w:rFonts w:ascii="Arial" w:cs="Arial" w:eastAsia="Arial" w:hAnsi="Arial"/>
          <w:sz w:val="18"/>
          <w:szCs w:val="18"/>
          <w:color w:val="auto"/>
        </w:rPr>
      </w:pPr>
    </w:p>
    <w:p>
      <w:pPr>
        <w:ind w:right="220" w:firstLine="987"/>
        <w:spacing w:after="0" w:line="263" w:lineRule="auto"/>
        <w:tabs>
          <w:tab w:leader="none" w:pos="12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84" w:lineRule="exact"/>
        <w:rPr>
          <w:sz w:val="20"/>
          <w:szCs w:val="20"/>
          <w:color w:val="auto"/>
        </w:rPr>
      </w:pPr>
    </w:p>
    <w:p>
      <w:pPr>
        <w:ind w:firstLine="987"/>
        <w:spacing w:after="0" w:line="301" w:lineRule="auto"/>
        <w:tabs>
          <w:tab w:leader="none" w:pos="117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57" w:lineRule="exact"/>
        <w:rPr>
          <w:rFonts w:ascii="Arial" w:cs="Arial" w:eastAsia="Arial" w:hAnsi="Arial"/>
          <w:sz w:val="16"/>
          <w:szCs w:val="16"/>
          <w:color w:val="auto"/>
        </w:rPr>
      </w:pPr>
    </w:p>
    <w:p>
      <w:pPr>
        <w:ind w:left="1160" w:hanging="173"/>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342" w:lineRule="auto"/>
        <w:tabs>
          <w:tab w:leader="none" w:pos="117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Offers To Purchase</w:t>
      </w:r>
      <w:r>
        <w:rPr>
          <w:rFonts w:ascii="Arial" w:cs="Arial" w:eastAsia="Arial" w:hAnsi="Arial"/>
          <w:sz w:val="16"/>
          <w:szCs w:val="16"/>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23" w:lineRule="exact"/>
        <w:rPr>
          <w:rFonts w:ascii="Arial" w:cs="Arial" w:eastAsia="Arial" w:hAnsi="Arial"/>
          <w:sz w:val="16"/>
          <w:szCs w:val="16"/>
          <w:color w:val="auto"/>
        </w:rPr>
      </w:pPr>
    </w:p>
    <w:p>
      <w:pPr>
        <w:ind w:left="1160" w:hanging="173"/>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Holder of this Note is entitled to the benefits of the Registration Rights Agreement.</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Holders shall be entitled under the Registration Rights Agreement to receive Additional Interest hereon upon other conditions, all pursuant to and in accordance with the terms of the Registration Rights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0"/>
          </w:cols>
          <w:pgMar w:left="440" w:top="274" w:right="459" w:bottom="1440" w:gutter="0" w:footer="0" w:header="0"/>
        </w:sectPr>
      </w:pPr>
    </w:p>
    <w:bookmarkStart w:id="108" w:name="page109"/>
    <w:bookmarkEnd w:id="108"/>
    <w:p>
      <w:pPr>
        <w:ind w:left="-60" w:right="80" w:firstLine="987"/>
        <w:spacing w:after="0" w:line="273" w:lineRule="auto"/>
        <w:tabs>
          <w:tab w:leader="none" w:pos="120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Denominations, Transfer, Exchange</w:t>
      </w:r>
      <w:r>
        <w:rPr>
          <w:rFonts w:ascii="Arial" w:cs="Arial" w:eastAsia="Arial" w:hAnsi="Arial"/>
          <w:sz w:val="17"/>
          <w:szCs w:val="17"/>
          <w:color w:val="auto"/>
        </w:rPr>
        <w:t>. The Notes are in registered form without coupons in denominations of $2,000 and any integral multiple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77" w:lineRule="exact"/>
        <w:rPr>
          <w:rFonts w:ascii="Arial" w:cs="Arial" w:eastAsia="Arial" w:hAnsi="Arial"/>
          <w:sz w:val="17"/>
          <w:szCs w:val="17"/>
          <w:color w:val="auto"/>
        </w:rPr>
      </w:pPr>
    </w:p>
    <w:p>
      <w:pPr>
        <w:ind w:left="1200" w:hanging="273"/>
        <w:spacing w:after="0"/>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this Note may be treated as the owner of this Note for all purposes.</w:t>
      </w:r>
    </w:p>
    <w:p>
      <w:pPr>
        <w:spacing w:after="0" w:line="225" w:lineRule="exact"/>
        <w:rPr>
          <w:rFonts w:ascii="Arial" w:cs="Arial" w:eastAsia="Arial" w:hAnsi="Arial"/>
          <w:sz w:val="18"/>
          <w:szCs w:val="18"/>
          <w:color w:val="auto"/>
        </w:rPr>
      </w:pPr>
    </w:p>
    <w:p>
      <w:pPr>
        <w:ind w:left="-60" w:right="40" w:firstLine="987"/>
        <w:spacing w:after="0" w:line="263" w:lineRule="auto"/>
        <w:tabs>
          <w:tab w:leader="none" w:pos="120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will pay the money back to the Issuer at its written request. After that, Holders entitled to the money must look to the Issuer and the Guarantors for payment as general creditors unless an “abandoned property” law designates another Person.</w:t>
      </w:r>
    </w:p>
    <w:p>
      <w:pPr>
        <w:spacing w:after="0" w:line="183" w:lineRule="exact"/>
        <w:rPr>
          <w:rFonts w:ascii="Arial" w:cs="Arial" w:eastAsia="Arial" w:hAnsi="Arial"/>
          <w:sz w:val="18"/>
          <w:szCs w:val="18"/>
          <w:color w:val="auto"/>
        </w:rPr>
      </w:pPr>
    </w:p>
    <w:p>
      <w:pPr>
        <w:ind w:left="-60" w:firstLine="987"/>
        <w:spacing w:after="0" w:line="254" w:lineRule="auto"/>
        <w:tabs>
          <w:tab w:leader="none" w:pos="120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 Etc</w:t>
      </w:r>
      <w:r>
        <w:rPr>
          <w:rFonts w:ascii="Arial" w:cs="Arial" w:eastAsia="Arial" w:hAnsi="Arial"/>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94" w:lineRule="exact"/>
        <w:rPr>
          <w:rFonts w:ascii="Arial" w:cs="Arial" w:eastAsia="Arial" w:hAnsi="Arial"/>
          <w:sz w:val="18"/>
          <w:szCs w:val="18"/>
          <w:color w:val="auto"/>
        </w:rPr>
      </w:pPr>
    </w:p>
    <w:p>
      <w:pPr>
        <w:ind w:left="-60" w:right="100" w:firstLine="987"/>
        <w:spacing w:after="0" w:line="257" w:lineRule="auto"/>
        <w:tabs>
          <w:tab w:leader="none" w:pos="120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7" w:lineRule="exact"/>
        <w:rPr>
          <w:rFonts w:ascii="Arial" w:cs="Arial" w:eastAsia="Arial" w:hAnsi="Arial"/>
          <w:sz w:val="18"/>
          <w:szCs w:val="18"/>
          <w:color w:val="auto"/>
        </w:rPr>
      </w:pPr>
    </w:p>
    <w:p>
      <w:pPr>
        <w:ind w:left="-60" w:right="20" w:firstLine="987"/>
        <w:spacing w:after="0" w:line="263" w:lineRule="auto"/>
        <w:tabs>
          <w:tab w:leader="none" w:pos="120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Successor Corporation</w:t>
      </w:r>
      <w:r>
        <w:rPr>
          <w:rFonts w:ascii="Arial" w:cs="Arial" w:eastAsia="Arial" w:hAnsi="Arial"/>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83" w:lineRule="exact"/>
        <w:rPr>
          <w:rFonts w:ascii="Arial" w:cs="Arial" w:eastAsia="Arial" w:hAnsi="Arial"/>
          <w:sz w:val="18"/>
          <w:szCs w:val="18"/>
          <w:color w:val="auto"/>
        </w:rPr>
      </w:pPr>
    </w:p>
    <w:p>
      <w:pPr>
        <w:ind w:left="-60" w:right="380" w:firstLine="987"/>
        <w:spacing w:after="0" w:line="311" w:lineRule="auto"/>
        <w:tabs>
          <w:tab w:leader="none" w:pos="120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880"/>
          </w:cols>
          <w:pgMar w:left="500" w:top="274" w:right="519" w:bottom="1440" w:gutter="0" w:footer="0" w:header="0"/>
        </w:sectPr>
      </w:pPr>
    </w:p>
    <w:bookmarkStart w:id="109" w:name="page110"/>
    <w:bookmarkEnd w:id="10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Notwithstanding the foregoing, if after such acceleration but before a judgment or decree based on such acceleration is obtained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the Holders of a majority in aggregate principal amount of outstanding Notes may rescind and annul such acceleration if:</w:t>
      </w:r>
    </w:p>
    <w:p>
      <w:pPr>
        <w:spacing w:after="0" w:line="103" w:lineRule="exact"/>
        <w:rPr>
          <w:sz w:val="20"/>
          <w:szCs w:val="20"/>
          <w:color w:val="auto"/>
        </w:rPr>
      </w:pPr>
    </w:p>
    <w:p>
      <w:pPr>
        <w:ind w:left="440" w:right="660" w:firstLine="419"/>
        <w:spacing w:after="0" w:line="277" w:lineRule="auto"/>
        <w:tabs>
          <w:tab w:leader="none" w:pos="11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Events of Default, other than nonpayment of principal, premium, if any, or interest that has become due solely because of the acceleration, have been cured or waived;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Issuer has paid the Trustee its reasonable compensation and reimbursed the Trustee for its expenses, disbursements and advances;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440" w:firstLine="419"/>
        <w:spacing w:after="0" w:line="277" w:lineRule="auto"/>
        <w:tabs>
          <w:tab w:leader="none" w:pos="11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8" w:lineRule="exact"/>
        <w:rPr>
          <w:sz w:val="20"/>
          <w:szCs w:val="20"/>
          <w:color w:val="auto"/>
        </w:rPr>
      </w:pPr>
    </w:p>
    <w:p>
      <w:pPr>
        <w:ind w:right="380" w:firstLine="987"/>
        <w:spacing w:after="0" w:line="308" w:lineRule="auto"/>
        <w:tabs>
          <w:tab w:leader="none" w:pos="1261"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Trustee Dealings with the Issuer</w:t>
      </w:r>
      <w:r>
        <w:rPr>
          <w:rFonts w:ascii="Arial" w:cs="Arial" w:eastAsia="Arial" w:hAnsi="Arial"/>
          <w:sz w:val="17"/>
          <w:szCs w:val="17"/>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46" w:lineRule="exact"/>
        <w:rPr>
          <w:rFonts w:ascii="Arial" w:cs="Arial" w:eastAsia="Arial" w:hAnsi="Arial"/>
          <w:sz w:val="17"/>
          <w:szCs w:val="17"/>
          <w:color w:val="auto"/>
        </w:rPr>
      </w:pPr>
    </w:p>
    <w:p>
      <w:pPr>
        <w:ind w:right="140" w:firstLine="987"/>
        <w:spacing w:after="0" w:line="259" w:lineRule="auto"/>
        <w:tabs>
          <w:tab w:leader="none" w:pos="126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holder of Capital Stock of Parent or of any Restricted Subsidiary,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0"/>
          </w:cols>
          <w:pgMar w:left="440" w:top="274" w:right="459" w:bottom="1440" w:gutter="0" w:footer="0" w:header="0"/>
        </w:sectPr>
      </w:pPr>
    </w:p>
    <w:bookmarkStart w:id="110" w:name="page111"/>
    <w:bookmarkEnd w:id="110"/>
    <w:p>
      <w:pPr>
        <w:ind w:left="-40" w:right="20" w:firstLine="987"/>
        <w:spacing w:after="0" w:line="259" w:lineRule="auto"/>
        <w:tabs>
          <w:tab w:leader="none" w:pos="122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Discharge</w:t>
      </w:r>
      <w:r>
        <w:rPr>
          <w:rFonts w:ascii="Arial" w:cs="Arial" w:eastAsia="Arial" w:hAnsi="Arial"/>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U.S. Dollars, U.S. Government Obligations or a combination thereof, in such amounts as will be sufficient to pay when due principal of and interest on the Notes to maturity or redemption, as the case may be.</w:t>
      </w:r>
    </w:p>
    <w:p>
      <w:pPr>
        <w:spacing w:after="0" w:line="186" w:lineRule="exact"/>
        <w:rPr>
          <w:rFonts w:ascii="Arial" w:cs="Arial" w:eastAsia="Arial" w:hAnsi="Arial"/>
          <w:sz w:val="18"/>
          <w:szCs w:val="18"/>
          <w:color w:val="auto"/>
        </w:rPr>
      </w:pPr>
    </w:p>
    <w:p>
      <w:pPr>
        <w:jc w:val="both"/>
        <w:ind w:left="-40" w:firstLine="987"/>
        <w:spacing w:after="0" w:line="263" w:lineRule="auto"/>
        <w:tabs>
          <w:tab w:leader="none" w:pos="122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83" w:lineRule="exact"/>
        <w:rPr>
          <w:rFonts w:ascii="Arial" w:cs="Arial" w:eastAsia="Arial" w:hAnsi="Arial"/>
          <w:sz w:val="18"/>
          <w:szCs w:val="18"/>
          <w:color w:val="auto"/>
        </w:rPr>
      </w:pPr>
    </w:p>
    <w:p>
      <w:pPr>
        <w:ind w:left="1220" w:hanging="273"/>
        <w:spacing w:after="0"/>
        <w:tabs>
          <w:tab w:leader="none" w:pos="122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the Trustee signs the certificate of authentication on the other side of this Note.</w:t>
      </w:r>
    </w:p>
    <w:p>
      <w:pPr>
        <w:spacing w:after="0" w:line="236" w:lineRule="exact"/>
        <w:rPr>
          <w:rFonts w:ascii="Arial" w:cs="Arial" w:eastAsia="Arial" w:hAnsi="Arial"/>
          <w:sz w:val="17"/>
          <w:szCs w:val="17"/>
          <w:color w:val="auto"/>
        </w:rPr>
      </w:pPr>
    </w:p>
    <w:p>
      <w:pPr>
        <w:ind w:left="-40" w:right="40" w:firstLine="987"/>
        <w:spacing w:after="0" w:line="263" w:lineRule="auto"/>
        <w:tabs>
          <w:tab w:leader="none" w:pos="122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3" w:lineRule="exact"/>
        <w:rPr>
          <w:rFonts w:ascii="Arial" w:cs="Arial" w:eastAsia="Arial" w:hAnsi="Arial"/>
          <w:sz w:val="18"/>
          <w:szCs w:val="18"/>
          <w:color w:val="auto"/>
        </w:rPr>
      </w:pPr>
    </w:p>
    <w:p>
      <w:pPr>
        <w:ind w:left="-40" w:right="580" w:firstLine="987"/>
        <w:spacing w:after="0" w:line="263" w:lineRule="auto"/>
        <w:tabs>
          <w:tab w:leader="none" w:pos="122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Issuer will furnish to any Holder upon written request and without charge a copy of the Indenture. Requests may be made to:</w:t>
      </w:r>
    </w:p>
    <w:p>
      <w:pPr>
        <w:spacing w:after="0" w:line="12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Telephone: (215) 856-5576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20"/>
          </w:cols>
          <w:pgMar w:left="480" w:top="274" w:right="4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-10160</wp:posOffset>
            </wp:positionV>
            <wp:extent cx="51415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15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color w:val="auto"/>
              </w:rPr>
              <w:t>Date:</w:t>
            </w:r>
          </w:p>
        </w:tc>
        <w:tc>
          <w:tcPr>
            <w:tcW w:w="2060" w:type="dxa"/>
            <w:vAlign w:val="bottom"/>
          </w:tcPr>
          <w:p>
            <w:pPr>
              <w:spacing w:after="0"/>
              <w:rPr>
                <w:sz w:val="17"/>
                <w:szCs w:val="17"/>
                <w:color w:val="auto"/>
              </w:rPr>
            </w:pPr>
          </w:p>
        </w:tc>
        <w:tc>
          <w:tcPr>
            <w:tcW w:w="7360" w:type="dxa"/>
            <w:vAlign w:val="bottom"/>
            <w:gridSpan w:val="2"/>
          </w:tcPr>
          <w:p>
            <w:pPr>
              <w:ind w:left="1540"/>
              <w:spacing w:after="0"/>
              <w:rPr>
                <w:sz w:val="20"/>
                <w:szCs w:val="20"/>
                <w:color w:val="auto"/>
              </w:rPr>
            </w:pPr>
            <w:r>
              <w:rPr>
                <w:rFonts w:ascii="Arial" w:cs="Arial" w:eastAsia="Arial" w:hAnsi="Arial"/>
                <w:sz w:val="18"/>
                <w:szCs w:val="18"/>
                <w:color w:val="auto"/>
              </w:rPr>
              <w:t>Your Signature:</w:t>
            </w:r>
          </w:p>
        </w:tc>
      </w:tr>
      <w:tr>
        <w:trPr>
          <w:trHeight w:val="20"/>
        </w:trPr>
        <w:tc>
          <w:tcPr>
            <w:tcW w:w="3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w w:val="91"/>
              </w:rPr>
              <w:t>(Sign exactly as your name appears on the other side of this</w:t>
            </w:r>
          </w:p>
        </w:tc>
      </w:tr>
      <w:tr>
        <w:trPr>
          <w:trHeight w:val="230"/>
        </w:trPr>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Note)</w:t>
            </w:r>
          </w:p>
        </w:tc>
      </w:tr>
      <w:tr>
        <w:trPr>
          <w:trHeight w:val="432"/>
        </w:trPr>
        <w:tc>
          <w:tcPr>
            <w:tcW w:w="1600" w:type="dxa"/>
            <w:vAlign w:val="bottom"/>
            <w:gridSpan w:val="2"/>
          </w:tcPr>
          <w:p>
            <w:pPr>
              <w:spacing w:after="0"/>
              <w:rPr>
                <w:sz w:val="20"/>
                <w:szCs w:val="20"/>
                <w:color w:val="auto"/>
              </w:rPr>
            </w:pPr>
            <w:r>
              <w:rPr>
                <w:rFonts w:ascii="Arial" w:cs="Arial" w:eastAsia="Arial" w:hAnsi="Arial"/>
                <w:sz w:val="18"/>
                <w:szCs w:val="18"/>
                <w:color w:val="auto"/>
                <w:w w:val="91"/>
              </w:rPr>
              <w:t>Signature Guarantee:</w:t>
            </w:r>
          </w:p>
        </w:tc>
        <w:tc>
          <w:tcPr>
            <w:tcW w:w="4900" w:type="dxa"/>
            <w:vAlign w:val="bottom"/>
            <w:gridSpan w:val="2"/>
          </w:tcPr>
          <w:p>
            <w:pPr>
              <w:jc w:val="right"/>
              <w:ind w:right="2010"/>
              <w:spacing w:after="0"/>
              <w:rPr>
                <w:sz w:val="20"/>
                <w:szCs w:val="20"/>
                <w:color w:val="auto"/>
              </w:rPr>
            </w:pPr>
            <w:r>
              <w:rPr>
                <w:rFonts w:ascii="Arial" w:cs="Arial" w:eastAsia="Arial" w:hAnsi="Arial"/>
                <w:sz w:val="18"/>
                <w:szCs w:val="18"/>
                <w:color w:val="auto"/>
                <w:w w:val="92"/>
              </w:rPr>
              <w:t>______________________________</w:t>
            </w:r>
          </w:p>
        </w:tc>
        <w:tc>
          <w:tcPr>
            <w:tcW w:w="452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20"/>
          </w:cols>
          <w:pgMar w:left="440" w:top="274" w:right="4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you want to elect to have all or any part of this Note purchased by the Issuer pursuant to Section 4.08, check the appropriate box:</w:t>
      </w:r>
    </w:p>
    <w:p>
      <w:pPr>
        <w:spacing w:after="0" w:line="23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Section 4.08</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If you want to have only part of the Note purchased by the Issuer pursuant to Section 4.08 of the Indenture, state the amount you elect to have purchased: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-10160</wp:posOffset>
            </wp:positionV>
            <wp:extent cx="16281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($1,000 or any integral multiple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 not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purchased must be at least $2,000)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5138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(Sign exactly as your name appears on</w:t>
      </w:r>
    </w:p>
    <w:p>
      <w:pPr>
        <w:spacing w:after="0" w:line="34"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the face of this Note)</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000"/>
          </w:cols>
          <w:pgMar w:left="440" w:top="274" w:right="4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25"/>
          <w:szCs w:val="25"/>
          <w:color w:val="auto"/>
          <w:vertAlign w:val="superscript"/>
        </w:rPr>
        <w:t>*</w:t>
      </w:r>
    </w:p>
    <w:p>
      <w:pPr>
        <w:spacing w:after="0" w:line="146"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Amount</w:t>
            </w:r>
          </w:p>
        </w:tc>
        <w:tc>
          <w:tcPr>
            <w:tcW w:w="1540" w:type="dxa"/>
            <w:vAlign w:val="bottom"/>
          </w:tcPr>
          <w:p>
            <w:pPr>
              <w:spacing w:after="0"/>
              <w:rPr>
                <w:sz w:val="14"/>
                <w:szCs w:val="14"/>
                <w:color w:val="auto"/>
              </w:rPr>
            </w:pPr>
          </w:p>
        </w:tc>
      </w:tr>
      <w:tr>
        <w:trPr>
          <w:trHeight w:val="148"/>
        </w:trPr>
        <w:tc>
          <w:tcPr>
            <w:tcW w:w="1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 of decrease in</w:t>
            </w:r>
          </w:p>
        </w:tc>
        <w:tc>
          <w:tcPr>
            <w:tcW w:w="26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Amount of increase</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of this Global Note</w:t>
            </w:r>
          </w:p>
        </w:tc>
        <w:tc>
          <w:tcPr>
            <w:tcW w:w="154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Principal Amount</w:t>
            </w:r>
          </w:p>
        </w:tc>
        <w:tc>
          <w:tcPr>
            <w:tcW w:w="26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in Principal 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following such</w:t>
            </w:r>
          </w:p>
        </w:tc>
        <w:tc>
          <w:tcPr>
            <w:tcW w:w="154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of</w:t>
            </w:r>
          </w:p>
        </w:tc>
        <w:tc>
          <w:tcPr>
            <w:tcW w:w="26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of</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decrease</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Signature of authorized</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192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3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(or increase)</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signatory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317500</wp:posOffset>
            </wp:positionV>
            <wp:extent cx="77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272" w:right="4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Insert in Global Securities only.</w:t>
      </w:r>
    </w:p>
    <w:p>
      <w:pPr>
        <w:spacing w:after="0" w:line="181" w:lineRule="exact"/>
        <w:rPr>
          <w:sz w:val="20"/>
          <w:szCs w:val="20"/>
          <w:color w:val="auto"/>
        </w:rPr>
      </w:pPr>
    </w:p>
    <w:p>
      <w:pPr>
        <w:sectPr>
          <w:pgSz w:w="11900" w:h="16838" w:orient="portrait"/>
          <w:cols w:equalWidth="0" w:num="2">
            <w:col w:w="80" w:space="340"/>
            <w:col w:w="10600"/>
          </w:cols>
          <w:pgMar w:left="440" w:top="272"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A-1-11</w:t>
      </w:r>
    </w:p>
    <w:p>
      <w:pPr>
        <w:sectPr>
          <w:pgSz w:w="11900" w:h="16838" w:orient="portrait"/>
          <w:cols w:equalWidth="0" w:num="1">
            <w:col w:w="11020"/>
          </w:cols>
          <w:pgMar w:left="440" w:top="272" w:right="4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EXHIBIT A-2</w:t>
            </w:r>
          </w:p>
        </w:tc>
      </w:tr>
      <w:tr>
        <w:trPr>
          <w:trHeight w:val="453"/>
        </w:trPr>
        <w:tc>
          <w:tcPr>
            <w:tcW w:w="2280" w:type="dxa"/>
            <w:vAlign w:val="bottom"/>
          </w:tcPr>
          <w:p>
            <w:pPr>
              <w:spacing w:after="0"/>
              <w:rPr>
                <w:sz w:val="24"/>
                <w:szCs w:val="24"/>
                <w:color w:val="auto"/>
              </w:rPr>
            </w:pPr>
          </w:p>
        </w:tc>
        <w:tc>
          <w:tcPr>
            <w:tcW w:w="8400" w:type="dxa"/>
            <w:vAlign w:val="bottom"/>
            <w:gridSpan w:val="2"/>
          </w:tcPr>
          <w:p>
            <w:pPr>
              <w:jc w:val="center"/>
              <w:ind w:right="1850"/>
              <w:spacing w:after="0"/>
              <w:rPr>
                <w:sz w:val="20"/>
                <w:szCs w:val="20"/>
                <w:color w:val="auto"/>
              </w:rPr>
            </w:pPr>
            <w:r>
              <w:rPr>
                <w:rFonts w:ascii="Arial" w:cs="Arial" w:eastAsia="Arial" w:hAnsi="Arial"/>
                <w:sz w:val="18"/>
                <w:szCs w:val="18"/>
                <w:color w:val="auto"/>
                <w:w w:val="95"/>
              </w:rPr>
              <w:t>[FORM OF UNRESTRICTED NOTE]</w:t>
            </w:r>
          </w:p>
        </w:tc>
        <w:tc>
          <w:tcPr>
            <w:tcW w:w="340" w:type="dxa"/>
            <w:vAlign w:val="bottom"/>
          </w:tcPr>
          <w:p>
            <w:pPr>
              <w:spacing w:after="0"/>
              <w:rPr>
                <w:sz w:val="24"/>
                <w:szCs w:val="24"/>
                <w:color w:val="auto"/>
              </w:rPr>
            </w:pPr>
          </w:p>
        </w:tc>
      </w:tr>
      <w:tr>
        <w:trPr>
          <w:trHeight w:val="324"/>
        </w:trPr>
        <w:tc>
          <w:tcPr>
            <w:tcW w:w="2280" w:type="dxa"/>
            <w:vAlign w:val="bottom"/>
          </w:tcPr>
          <w:p>
            <w:pPr>
              <w:spacing w:after="0"/>
              <w:rPr>
                <w:sz w:val="24"/>
                <w:szCs w:val="24"/>
                <w:color w:val="auto"/>
              </w:rPr>
            </w:pPr>
          </w:p>
        </w:tc>
        <w:tc>
          <w:tcPr>
            <w:tcW w:w="8400" w:type="dxa"/>
            <w:vAlign w:val="bottom"/>
            <w:gridSpan w:val="2"/>
          </w:tcPr>
          <w:p>
            <w:pPr>
              <w:jc w:val="center"/>
              <w:ind w:right="1870"/>
              <w:spacing w:after="0"/>
              <w:rPr>
                <w:sz w:val="20"/>
                <w:szCs w:val="20"/>
                <w:color w:val="auto"/>
              </w:rPr>
            </w:pPr>
            <w:r>
              <w:rPr>
                <w:rFonts w:ascii="Arial" w:cs="Arial" w:eastAsia="Arial" w:hAnsi="Arial"/>
                <w:sz w:val="18"/>
                <w:szCs w:val="18"/>
                <w:b w:val="1"/>
                <w:bCs w:val="1"/>
                <w:color w:val="auto"/>
              </w:rPr>
              <w:t>CROWN AMERICAS LLC</w:t>
            </w:r>
          </w:p>
        </w:tc>
        <w:tc>
          <w:tcPr>
            <w:tcW w:w="34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8400" w:type="dxa"/>
            <w:vAlign w:val="bottom"/>
            <w:gridSpan w:val="2"/>
          </w:tcPr>
          <w:p>
            <w:pPr>
              <w:jc w:val="right"/>
              <w:ind w:right="3510"/>
              <w:spacing w:after="0"/>
              <w:rPr>
                <w:sz w:val="20"/>
                <w:szCs w:val="20"/>
                <w:color w:val="auto"/>
              </w:rPr>
            </w:pPr>
            <w:r>
              <w:rPr>
                <w:rFonts w:ascii="Arial" w:cs="Arial" w:eastAsia="Arial" w:hAnsi="Arial"/>
                <w:sz w:val="18"/>
                <w:szCs w:val="18"/>
                <w:color w:val="auto"/>
              </w:rPr>
              <w:t>5.250% SENIOR NOTE DUE 2030</w:t>
            </w:r>
          </w:p>
        </w:tc>
        <w:tc>
          <w:tcPr>
            <w:tcW w:w="340" w:type="dxa"/>
            <w:vAlign w:val="bottom"/>
          </w:tcPr>
          <w:p>
            <w:pPr>
              <w:spacing w:after="0"/>
              <w:rPr>
                <w:sz w:val="24"/>
                <w:szCs w:val="24"/>
                <w:color w:val="auto"/>
              </w:rPr>
            </w:pPr>
          </w:p>
        </w:tc>
      </w:tr>
      <w:tr>
        <w:trPr>
          <w:trHeight w:val="324"/>
        </w:trPr>
        <w:tc>
          <w:tcPr>
            <w:tcW w:w="2280" w:type="dxa"/>
            <w:vAlign w:val="bottom"/>
          </w:tcPr>
          <w:p>
            <w:pPr>
              <w:spacing w:after="0"/>
              <w:rPr>
                <w:sz w:val="24"/>
                <w:szCs w:val="24"/>
                <w:color w:val="auto"/>
              </w:rPr>
            </w:pPr>
          </w:p>
        </w:tc>
        <w:tc>
          <w:tcPr>
            <w:tcW w:w="8400" w:type="dxa"/>
            <w:vAlign w:val="bottom"/>
            <w:gridSpan w:val="2"/>
          </w:tcPr>
          <w:p>
            <w:pPr>
              <w:jc w:val="center"/>
              <w:ind w:right="185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b w:val="1"/>
                <w:bCs w:val="1"/>
                <w:i w:val="1"/>
                <w:iCs w:val="1"/>
                <w:color w:val="auto"/>
                <w:w w:val="88"/>
              </w:rPr>
              <w:t>Insert Global Note Legend</w:t>
            </w:r>
            <w:r>
              <w:rPr>
                <w:rFonts w:ascii="Arial" w:cs="Arial" w:eastAsia="Arial" w:hAnsi="Arial"/>
                <w:sz w:val="18"/>
                <w:szCs w:val="18"/>
                <w:b w:val="1"/>
                <w:bCs w:val="1"/>
                <w:color w:val="auto"/>
                <w:w w:val="88"/>
              </w:rPr>
              <w:t xml:space="preserve">, </w:t>
            </w:r>
            <w:r>
              <w:rPr>
                <w:rFonts w:ascii="Arial" w:cs="Arial" w:eastAsia="Arial" w:hAnsi="Arial"/>
                <w:sz w:val="18"/>
                <w:szCs w:val="18"/>
                <w:b w:val="1"/>
                <w:bCs w:val="1"/>
                <w:i w:val="1"/>
                <w:iCs w:val="1"/>
                <w:color w:val="auto"/>
                <w:w w:val="88"/>
              </w:rPr>
              <w:t>if applicable</w:t>
            </w:r>
            <w:r>
              <w:rPr>
                <w:rFonts w:ascii="Arial" w:cs="Arial" w:eastAsia="Arial" w:hAnsi="Arial"/>
                <w:sz w:val="18"/>
                <w:szCs w:val="18"/>
                <w:b w:val="1"/>
                <w:bCs w:val="1"/>
                <w:color w:val="auto"/>
                <w:w w:val="88"/>
              </w:rPr>
              <w:t>]</w:t>
            </w:r>
          </w:p>
        </w:tc>
        <w:tc>
          <w:tcPr>
            <w:tcW w:w="340" w:type="dxa"/>
            <w:vAlign w:val="bottom"/>
          </w:tcPr>
          <w:p>
            <w:pPr>
              <w:spacing w:after="0"/>
              <w:rPr>
                <w:sz w:val="24"/>
                <w:szCs w:val="24"/>
                <w:color w:val="auto"/>
              </w:rPr>
            </w:pPr>
          </w:p>
        </w:tc>
      </w:tr>
      <w:tr>
        <w:trPr>
          <w:trHeight w:val="445"/>
        </w:trPr>
        <w:tc>
          <w:tcPr>
            <w:tcW w:w="2280" w:type="dxa"/>
            <w:vAlign w:val="bottom"/>
          </w:tcPr>
          <w:p>
            <w:pPr>
              <w:spacing w:after="0"/>
              <w:rPr>
                <w:sz w:val="20"/>
                <w:szCs w:val="20"/>
                <w:color w:val="auto"/>
              </w:rPr>
            </w:pPr>
            <w:r>
              <w:rPr>
                <w:rFonts w:ascii="Arial" w:cs="Arial" w:eastAsia="Arial" w:hAnsi="Arial"/>
                <w:sz w:val="18"/>
                <w:szCs w:val="18"/>
                <w:color w:val="auto"/>
              </w:rPr>
              <w:t>No. [  ]</w:t>
            </w:r>
          </w:p>
        </w:tc>
        <w:tc>
          <w:tcPr>
            <w:tcW w:w="8400" w:type="dxa"/>
            <w:vAlign w:val="bottom"/>
            <w:gridSpan w:val="2"/>
          </w:tcPr>
          <w:p>
            <w:pPr>
              <w:jc w:val="right"/>
              <w:ind w:right="170"/>
              <w:spacing w:after="0"/>
              <w:rPr>
                <w:sz w:val="20"/>
                <w:szCs w:val="20"/>
                <w:color w:val="auto"/>
              </w:rPr>
            </w:pPr>
            <w:r>
              <w:rPr>
                <w:rFonts w:ascii="Arial" w:cs="Arial" w:eastAsia="Arial" w:hAnsi="Arial"/>
                <w:sz w:val="18"/>
                <w:szCs w:val="18"/>
                <w:color w:val="auto"/>
              </w:rPr>
              <w:t>CUSIP No.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spacing w:after="0"/>
              <w:rPr>
                <w:sz w:val="18"/>
                <w:szCs w:val="18"/>
                <w:color w:val="auto"/>
              </w:rPr>
            </w:pPr>
          </w:p>
        </w:tc>
        <w:tc>
          <w:tcPr>
            <w:tcW w:w="8400" w:type="dxa"/>
            <w:vAlign w:val="bottom"/>
            <w:gridSpan w:val="2"/>
          </w:tcPr>
          <w:p>
            <w:pPr>
              <w:jc w:val="right"/>
              <w:ind w:right="170"/>
              <w:spacing w:after="0"/>
              <w:rPr>
                <w:sz w:val="20"/>
                <w:szCs w:val="20"/>
                <w:color w:val="auto"/>
              </w:rPr>
            </w:pPr>
            <w:r>
              <w:rPr>
                <w:rFonts w:ascii="Arial" w:cs="Arial" w:eastAsia="Arial" w:hAnsi="Arial"/>
                <w:sz w:val="18"/>
                <w:szCs w:val="18"/>
                <w:color w:val="auto"/>
              </w:rPr>
              <w:t>ISIN No.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80" w:type="dxa"/>
            <w:vAlign w:val="bottom"/>
          </w:tcPr>
          <w:p>
            <w:pPr>
              <w:spacing w:after="0"/>
              <w:rPr>
                <w:sz w:val="20"/>
                <w:szCs w:val="20"/>
                <w:color w:val="auto"/>
              </w:rPr>
            </w:pPr>
          </w:p>
        </w:tc>
        <w:tc>
          <w:tcPr>
            <w:tcW w:w="8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7"/>
          <w:szCs w:val="17"/>
          <w:color w:val="auto"/>
        </w:rPr>
        <w:t>CROWN AMERICAS LLC, a Pennsylvania limited liability company (“</w:t>
      </w:r>
      <w:r>
        <w:rPr>
          <w:rFonts w:ascii="Arial" w:cs="Arial" w:eastAsia="Arial" w:hAnsi="Arial"/>
          <w:sz w:val="17"/>
          <w:szCs w:val="17"/>
          <w:u w:val="single" w:color="auto"/>
          <w:color w:val="auto"/>
        </w:rPr>
        <w:t>Crown Americas</w:t>
      </w:r>
      <w:r>
        <w:rPr>
          <w:rFonts w:ascii="Arial" w:cs="Arial" w:eastAsia="Arial" w:hAnsi="Arial"/>
          <w:sz w:val="17"/>
          <w:szCs w:val="17"/>
          <w:color w:val="auto"/>
        </w:rPr>
        <w:t>”), as issuer (the “</w:t>
      </w:r>
      <w:r>
        <w:rPr>
          <w:rFonts w:ascii="Arial" w:cs="Arial" w:eastAsia="Arial" w:hAnsi="Arial"/>
          <w:sz w:val="17"/>
          <w:szCs w:val="17"/>
          <w:u w:val="single" w:color="auto"/>
          <w:color w:val="auto"/>
        </w:rPr>
        <w:t>Issuer</w:t>
      </w:r>
      <w:r>
        <w:rPr>
          <w:rFonts w:ascii="Arial" w:cs="Arial" w:eastAsia="Arial" w:hAnsi="Arial"/>
          <w:sz w:val="17"/>
          <w:szCs w:val="17"/>
          <w:color w:val="auto"/>
        </w:rPr>
        <w:t>”), for value received,</w:t>
      </w:r>
    </w:p>
    <w:p>
      <w:pPr>
        <w:spacing w:after="0" w:line="3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promises to pay to [ ] or registered assigns the principal sum of [ ] (or such other principal amount as shall be set forth in the Schedule of Exchanges of Interests in Global Note attached hereto), on April 1, 2030.</w:t>
      </w:r>
    </w:p>
    <w:p>
      <w:pPr>
        <w:spacing w:after="0" w:line="212"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April 1 and October 1, commencing October 1, 2022.</w:t>
      </w:r>
    </w:p>
    <w:p>
      <w:pPr>
        <w:spacing w:after="0" w:line="11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Record Dates:</w:t>
      </w:r>
      <w:r>
        <w:rPr>
          <w:sz w:val="20"/>
          <w:szCs w:val="20"/>
          <w:color w:val="auto"/>
        </w:rPr>
        <w:tab/>
      </w:r>
      <w:r>
        <w:rPr>
          <w:rFonts w:ascii="Arial" w:cs="Arial" w:eastAsia="Arial" w:hAnsi="Arial"/>
          <w:sz w:val="16"/>
          <w:szCs w:val="16"/>
          <w:color w:val="auto"/>
        </w:rPr>
        <w:t>March 15 and September 15 (whether or not a Business Day).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56" w:right="4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Issuer has caused this Note to be signed by two of its duly authorized officers.</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9039"/>
          </w:cols>
          <w:pgMar w:left="1420" w:top="274" w:right="1440" w:bottom="1440" w:gutter="0" w:footer="0" w:header="0"/>
        </w:sectPr>
      </w:pPr>
    </w:p>
    <w:bookmarkStart w:id="116" w:name="page117"/>
    <w:bookmarkEnd w:id="116"/>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5.250% Senior Notes due 2030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U.S. BANK NATIONAL ASSOCIATION, as Trustee</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-1905</wp:posOffset>
            </wp:positionV>
            <wp:extent cx="24517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2022</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480"/>
          </w:cols>
          <w:pgMar w:left="440" w:top="274" w:right="97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UNRESTRICTED NOTE]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SENIOR NOTE DUE 2030</w:t>
      </w:r>
    </w:p>
    <w:p>
      <w:pPr>
        <w:spacing w:after="0" w:line="225" w:lineRule="exact"/>
        <w:rPr>
          <w:sz w:val="20"/>
          <w:szCs w:val="20"/>
          <w:color w:val="auto"/>
        </w:rPr>
      </w:pPr>
    </w:p>
    <w:p>
      <w:pPr>
        <w:ind w:right="140" w:firstLine="987"/>
        <w:spacing w:after="0" w:line="255" w:lineRule="auto"/>
        <w:tabs>
          <w:tab w:leader="none" w:pos="117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CROWN AMERICAS LLC, a Pennsylvania limited liability company (“</w:t>
      </w:r>
      <w:r>
        <w:rPr>
          <w:rFonts w:ascii="Arial" w:cs="Arial" w:eastAsia="Arial" w:hAnsi="Arial"/>
          <w:sz w:val="18"/>
          <w:szCs w:val="18"/>
          <w:u w:val="single" w:color="auto"/>
          <w:color w:val="auto"/>
        </w:rPr>
        <w:t>Crown Americas</w:t>
      </w:r>
      <w:r>
        <w:rPr>
          <w:rFonts w:ascii="Arial" w:cs="Arial" w:eastAsia="Arial" w:hAnsi="Arial"/>
          <w:sz w:val="18"/>
          <w:szCs w:val="18"/>
          <w:color w:val="auto"/>
        </w:rPr>
        <w:t>”), as issuer (the “</w:t>
      </w:r>
      <w:r>
        <w:rPr>
          <w:rFonts w:ascii="Arial" w:cs="Arial" w:eastAsia="Arial" w:hAnsi="Arial"/>
          <w:sz w:val="18"/>
          <w:szCs w:val="18"/>
          <w:u w:val="single" w:color="auto"/>
          <w:color w:val="auto"/>
        </w:rPr>
        <w:t>Issuer</w:t>
      </w:r>
      <w:r>
        <w:rPr>
          <w:rFonts w:ascii="Arial" w:cs="Arial" w:eastAsia="Arial" w:hAnsi="Arial"/>
          <w:sz w:val="18"/>
          <w:szCs w:val="18"/>
          <w:color w:val="auto"/>
        </w:rPr>
        <w:t>”), promises to pay interest on the principal amount set forth on the face hereof at a rate of 5.250% per annum. Interest hereon will accrue from and including the most recent date to which interest has been paid or, if no interest has been paid, from and including March 17, 2022 to but excluding the date on which interest is paid. Interest shall be payable in arrears on each April 1 and October 1, commencing October 1, 2022.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92" w:lineRule="exact"/>
        <w:rPr>
          <w:rFonts w:ascii="Arial" w:cs="Arial" w:eastAsia="Arial" w:hAnsi="Arial"/>
          <w:sz w:val="18"/>
          <w:szCs w:val="18"/>
          <w:color w:val="auto"/>
        </w:rPr>
      </w:pPr>
    </w:p>
    <w:p>
      <w:pPr>
        <w:ind w:firstLine="987"/>
        <w:spacing w:after="0" w:line="279" w:lineRule="auto"/>
        <w:tabs>
          <w:tab w:leader="none" w:pos="1171"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The Issuer will pay interest hereon (except defaulted interest) to the Persons who are registered Holders at the close of business on March 15 or September 15 preceding the Interest Payment Date (whether or not a Business Day). Holders must surrender Notes to a Paying Agent to collect principal payments. The Issuer will pay principal and interest in U.S. Dollars. Interest may be paid by check mailed to the Holder entitled thereto at the address indicated on the register maintained by the Registrar for the Notes.</w:t>
      </w:r>
    </w:p>
    <w:p>
      <w:pPr>
        <w:spacing w:after="0" w:line="171" w:lineRule="exact"/>
        <w:rPr>
          <w:rFonts w:ascii="Arial" w:cs="Arial" w:eastAsia="Arial" w:hAnsi="Arial"/>
          <w:sz w:val="17"/>
          <w:szCs w:val="17"/>
          <w:color w:val="auto"/>
        </w:rPr>
      </w:pPr>
    </w:p>
    <w:p>
      <w:pPr>
        <w:ind w:right="380" w:firstLine="987"/>
        <w:spacing w:after="0" w:line="342" w:lineRule="auto"/>
        <w:tabs>
          <w:tab w:leader="none" w:pos="117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U.S. Bank National Association (the “</w:t>
      </w:r>
      <w:r>
        <w:rPr>
          <w:rFonts w:ascii="Arial" w:cs="Arial" w:eastAsia="Arial" w:hAnsi="Arial"/>
          <w:sz w:val="16"/>
          <w:szCs w:val="16"/>
          <w:u w:val="single" w:color="auto"/>
          <w:color w:val="auto"/>
        </w:rPr>
        <w:t>Trustee</w:t>
      </w:r>
      <w:r>
        <w:rPr>
          <w:rFonts w:ascii="Arial" w:cs="Arial" w:eastAsia="Arial" w:hAnsi="Arial"/>
          <w:sz w:val="16"/>
          <w:szCs w:val="16"/>
          <w:color w:val="auto"/>
        </w:rPr>
        <w:t>”) will act as a Paying Agent and Registrar. The Issuer may change any Paying Agent or Registrar without notice. The Issuer or any Affiliate thereof may act as Paying Agent or Registrar.</w:t>
      </w:r>
    </w:p>
    <w:p>
      <w:pPr>
        <w:spacing w:after="0" w:line="123" w:lineRule="exact"/>
        <w:rPr>
          <w:rFonts w:ascii="Arial" w:cs="Arial" w:eastAsia="Arial" w:hAnsi="Arial"/>
          <w:sz w:val="16"/>
          <w:szCs w:val="16"/>
          <w:color w:val="auto"/>
        </w:rPr>
      </w:pPr>
    </w:p>
    <w:p>
      <w:pPr>
        <w:ind w:right="180" w:firstLine="987"/>
        <w:spacing w:after="0" w:line="296" w:lineRule="auto"/>
        <w:tabs>
          <w:tab w:leader="none" w:pos="117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 issued the Notes under an Indenture dated as of March 17, 2022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the Issuer, the Guarantors and the Trustee.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161" w:lineRule="exact"/>
        <w:rPr>
          <w:rFonts w:ascii="Arial" w:cs="Arial" w:eastAsia="Arial" w:hAnsi="Arial"/>
          <w:sz w:val="16"/>
          <w:szCs w:val="16"/>
          <w:color w:val="auto"/>
        </w:rPr>
      </w:pPr>
    </w:p>
    <w:p>
      <w:pPr>
        <w:ind w:left="1160" w:hanging="173"/>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75" w:lineRule="auto"/>
        <w:tabs>
          <w:tab w:leader="none" w:pos="123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Prior to January 1, 2030, the Issuer may redeem the Notes, at its option, in whole at any time or in part from time to time, at a redemption price equal to 100% of the principal amount thereof,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to but excluding the applicable Make-Whole Redemption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Make-Whole Premium (a “</w:t>
      </w:r>
      <w:r>
        <w:rPr>
          <w:rFonts w:ascii="Arial" w:cs="Arial" w:eastAsia="Arial" w:hAnsi="Arial"/>
          <w:sz w:val="17"/>
          <w:szCs w:val="17"/>
          <w:u w:val="single" w:color="auto"/>
          <w:color w:val="auto"/>
        </w:rPr>
        <w:t>Make-Whole Redemption</w:t>
      </w:r>
      <w:r>
        <w:rPr>
          <w:rFonts w:ascii="Arial" w:cs="Arial" w:eastAsia="Arial" w:hAnsi="Arial"/>
          <w:sz w:val="17"/>
          <w:szCs w:val="17"/>
          <w:color w:val="auto"/>
        </w:rPr>
        <w:t>”). The Issuer shall notify the Trustee of the Make-Whole Premium by delivering to the Trustee, on or before the applicable Make-Whole Redemption Date, an Officer’s Certificate showing the calculation thereof in reasonable detail, and the Trustee shall have no responsibility for verifying or otherwise for such calculation .</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00"/>
          </w:cols>
          <w:pgMar w:left="440" w:top="274" w:right="459" w:bottom="1440" w:gutter="0" w:footer="0" w:header="0"/>
        </w:sectPr>
      </w:pPr>
    </w:p>
    <w:bookmarkStart w:id="118" w:name="page119"/>
    <w:bookmarkEnd w:id="118"/>
    <w:p>
      <w:pPr>
        <w:ind w:left="-20" w:right="280" w:firstLine="987"/>
        <w:spacing w:after="0" w:line="263" w:lineRule="auto"/>
        <w:tabs>
          <w:tab w:leader="none" w:pos="1226"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or after January 1, 2030, the Issuer may redeem the Notes, at its option, in whole at any time or in part from time to time, at a redemption price equal to 100%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excluding the applicable Redemption Date.</w:t>
      </w:r>
    </w:p>
    <w:p>
      <w:pPr>
        <w:spacing w:after="0" w:line="183" w:lineRule="exact"/>
        <w:rPr>
          <w:rFonts w:ascii="Arial" w:cs="Arial" w:eastAsia="Arial" w:hAnsi="Arial"/>
          <w:sz w:val="18"/>
          <w:szCs w:val="18"/>
          <w:color w:val="auto"/>
        </w:rPr>
      </w:pPr>
    </w:p>
    <w:p>
      <w:pPr>
        <w:ind w:left="-20" w:right="220" w:firstLine="987"/>
        <w:spacing w:after="0" w:line="263" w:lineRule="auto"/>
        <w:tabs>
          <w:tab w:leader="none" w:pos="12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84" w:lineRule="exact"/>
        <w:rPr>
          <w:sz w:val="20"/>
          <w:szCs w:val="20"/>
          <w:color w:val="auto"/>
        </w:rPr>
      </w:pPr>
    </w:p>
    <w:p>
      <w:pPr>
        <w:ind w:left="-20" w:firstLine="987"/>
        <w:spacing w:after="0" w:line="301" w:lineRule="auto"/>
        <w:tabs>
          <w:tab w:leader="none" w:pos="115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57" w:lineRule="exact"/>
        <w:rPr>
          <w:rFonts w:ascii="Arial" w:cs="Arial" w:eastAsia="Arial" w:hAnsi="Arial"/>
          <w:sz w:val="16"/>
          <w:szCs w:val="16"/>
          <w:color w:val="auto"/>
        </w:rPr>
      </w:pPr>
    </w:p>
    <w:p>
      <w:pPr>
        <w:ind w:left="1140" w:hanging="173"/>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987"/>
        <w:spacing w:after="0" w:line="342" w:lineRule="auto"/>
        <w:tabs>
          <w:tab w:leader="none" w:pos="115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Offers To Purchase</w:t>
      </w:r>
      <w:r>
        <w:rPr>
          <w:rFonts w:ascii="Arial" w:cs="Arial" w:eastAsia="Arial" w:hAnsi="Arial"/>
          <w:sz w:val="16"/>
          <w:szCs w:val="16"/>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23" w:lineRule="exact"/>
        <w:rPr>
          <w:rFonts w:ascii="Arial" w:cs="Arial" w:eastAsia="Arial" w:hAnsi="Arial"/>
          <w:sz w:val="16"/>
          <w:szCs w:val="16"/>
          <w:color w:val="auto"/>
        </w:rPr>
      </w:pPr>
    </w:p>
    <w:p>
      <w:pPr>
        <w:ind w:left="-20" w:right="140" w:firstLine="987"/>
        <w:spacing w:after="0" w:line="273" w:lineRule="auto"/>
        <w:tabs>
          <w:tab w:leader="none" w:pos="1151"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denominations of $2,000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77" w:lineRule="exact"/>
        <w:rPr>
          <w:rFonts w:ascii="Arial" w:cs="Arial" w:eastAsia="Arial" w:hAnsi="Arial"/>
          <w:sz w:val="17"/>
          <w:szCs w:val="17"/>
          <w:color w:val="auto"/>
        </w:rPr>
      </w:pPr>
    </w:p>
    <w:p>
      <w:pPr>
        <w:ind w:left="1240" w:hanging="273"/>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this Note may be treated as the owner of this Note for all purposes.</w:t>
      </w:r>
    </w:p>
    <w:p>
      <w:pPr>
        <w:spacing w:after="0" w:line="225" w:lineRule="exact"/>
        <w:rPr>
          <w:rFonts w:ascii="Arial" w:cs="Arial" w:eastAsia="Arial" w:hAnsi="Arial"/>
          <w:sz w:val="18"/>
          <w:szCs w:val="18"/>
          <w:color w:val="auto"/>
        </w:rPr>
      </w:pPr>
    </w:p>
    <w:p>
      <w:pPr>
        <w:ind w:left="-20" w:right="100" w:firstLine="987"/>
        <w:spacing w:after="0" w:line="263" w:lineRule="auto"/>
        <w:tabs>
          <w:tab w:leader="none" w:pos="1234"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for the payment of principal or interest remains unclaimed for two years, the Trustee will pay the money back to the Issuer at its written request. After that, Holders entitled to the money must look to the Issuer and the Guarantors for payment as general creditors unless an “abandoned property” law designates another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0980"/>
          </w:cols>
          <w:pgMar w:left="460" w:top="274" w:right="459" w:bottom="1440" w:gutter="0" w:footer="0" w:header="0"/>
        </w:sectPr>
      </w:pPr>
    </w:p>
    <w:bookmarkStart w:id="119" w:name="page120"/>
    <w:bookmarkEnd w:id="119"/>
    <w:p>
      <w:pPr>
        <w:ind w:left="-60" w:right="20" w:firstLine="987"/>
        <w:spacing w:after="0" w:line="254" w:lineRule="auto"/>
        <w:tabs>
          <w:tab w:leader="none" w:pos="120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Supplement, Waiver, Etc</w:t>
      </w:r>
      <w:r>
        <w:rPr>
          <w:rFonts w:ascii="Arial" w:cs="Arial" w:eastAsia="Arial" w:hAnsi="Arial"/>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94" w:lineRule="exact"/>
        <w:rPr>
          <w:rFonts w:ascii="Arial" w:cs="Arial" w:eastAsia="Arial" w:hAnsi="Arial"/>
          <w:sz w:val="18"/>
          <w:szCs w:val="18"/>
          <w:color w:val="auto"/>
        </w:rPr>
      </w:pPr>
    </w:p>
    <w:p>
      <w:pPr>
        <w:ind w:left="-60" w:right="120" w:firstLine="987"/>
        <w:spacing w:after="0" w:line="257" w:lineRule="auto"/>
        <w:tabs>
          <w:tab w:leader="none" w:pos="120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7" w:lineRule="exact"/>
        <w:rPr>
          <w:rFonts w:ascii="Arial" w:cs="Arial" w:eastAsia="Arial" w:hAnsi="Arial"/>
          <w:sz w:val="18"/>
          <w:szCs w:val="18"/>
          <w:color w:val="auto"/>
        </w:rPr>
      </w:pPr>
    </w:p>
    <w:p>
      <w:pPr>
        <w:ind w:left="-60" w:right="40" w:firstLine="987"/>
        <w:spacing w:after="0" w:line="263" w:lineRule="auto"/>
        <w:tabs>
          <w:tab w:leader="none" w:pos="120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Successor Corporation</w:t>
      </w:r>
      <w:r>
        <w:rPr>
          <w:rFonts w:ascii="Arial" w:cs="Arial" w:eastAsia="Arial" w:hAnsi="Arial"/>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83" w:lineRule="exact"/>
        <w:rPr>
          <w:rFonts w:ascii="Arial" w:cs="Arial" w:eastAsia="Arial" w:hAnsi="Arial"/>
          <w:sz w:val="18"/>
          <w:szCs w:val="18"/>
          <w:color w:val="auto"/>
        </w:rPr>
      </w:pPr>
    </w:p>
    <w:p>
      <w:pPr>
        <w:ind w:left="-60" w:firstLine="987"/>
        <w:spacing w:after="0" w:line="271" w:lineRule="auto"/>
        <w:tabs>
          <w:tab w:leader="none" w:pos="1201"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00"/>
          </w:cols>
          <w:pgMar w:left="500" w:top="274" w:right="499" w:bottom="1440" w:gutter="0" w:footer="0" w:header="0"/>
        </w:sectPr>
      </w:pPr>
    </w:p>
    <w:bookmarkStart w:id="120" w:name="page121"/>
    <w:bookmarkEnd w:id="12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after such acceleration but before a judgment or decree based on such acceleration is obtained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the Holders of a majority in aggregate principal amount of outstanding Notes may rescind and annul such acceleration if:</w:t>
      </w:r>
    </w:p>
    <w:p>
      <w:pPr>
        <w:spacing w:after="0" w:line="103" w:lineRule="exact"/>
        <w:rPr>
          <w:sz w:val="20"/>
          <w:szCs w:val="20"/>
          <w:color w:val="auto"/>
        </w:rPr>
      </w:pPr>
    </w:p>
    <w:p>
      <w:pPr>
        <w:ind w:left="440" w:right="660" w:firstLine="419"/>
        <w:spacing w:after="0" w:line="277" w:lineRule="auto"/>
        <w:tabs>
          <w:tab w:leader="none" w:pos="11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Events of Default, other than nonpayment of principal, premium, if any, or interest that has become due solely because of the acceleration, have been cured or waived;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Issuer has paid the Trustee its reasonable compensation and reimbursed the Trustee for its expenses, disbursements and advances;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440" w:firstLine="419"/>
        <w:spacing w:after="0" w:line="277" w:lineRule="auto"/>
        <w:tabs>
          <w:tab w:leader="none" w:pos="11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8" w:lineRule="exact"/>
        <w:rPr>
          <w:sz w:val="20"/>
          <w:szCs w:val="20"/>
          <w:color w:val="auto"/>
        </w:rPr>
      </w:pPr>
    </w:p>
    <w:p>
      <w:pPr>
        <w:ind w:right="380" w:firstLine="987"/>
        <w:spacing w:after="0" w:line="308" w:lineRule="auto"/>
        <w:tabs>
          <w:tab w:leader="none" w:pos="1261"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Trustee Dealings with the Issuer</w:t>
      </w:r>
      <w:r>
        <w:rPr>
          <w:rFonts w:ascii="Arial" w:cs="Arial" w:eastAsia="Arial" w:hAnsi="Arial"/>
          <w:sz w:val="17"/>
          <w:szCs w:val="17"/>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46" w:lineRule="exact"/>
        <w:rPr>
          <w:rFonts w:ascii="Arial" w:cs="Arial" w:eastAsia="Arial" w:hAnsi="Arial"/>
          <w:sz w:val="17"/>
          <w:szCs w:val="17"/>
          <w:color w:val="auto"/>
        </w:rPr>
      </w:pPr>
    </w:p>
    <w:p>
      <w:pPr>
        <w:ind w:right="140" w:firstLine="987"/>
        <w:spacing w:after="0" w:line="259" w:lineRule="auto"/>
        <w:tabs>
          <w:tab w:leader="none" w:pos="126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holder of Capital Stock of Parent or of any Restricted Subsidiary,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86" w:lineRule="exact"/>
        <w:rPr>
          <w:rFonts w:ascii="Arial" w:cs="Arial" w:eastAsia="Arial" w:hAnsi="Arial"/>
          <w:sz w:val="18"/>
          <w:szCs w:val="18"/>
          <w:color w:val="auto"/>
        </w:rPr>
      </w:pPr>
    </w:p>
    <w:p>
      <w:pPr>
        <w:ind w:right="60" w:firstLine="987"/>
        <w:spacing w:after="0" w:line="259" w:lineRule="auto"/>
        <w:tabs>
          <w:tab w:leader="none" w:pos="126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Discharge</w:t>
      </w:r>
      <w:r>
        <w:rPr>
          <w:rFonts w:ascii="Arial" w:cs="Arial" w:eastAsia="Arial" w:hAnsi="Arial"/>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U.S. Dollars, U.S. Government Obligations or a combination thereof, in such amounts as will be sufficient to pay when due principal of and interest on the Notes to maturity or redemption, as the case may be.</w:t>
      </w:r>
    </w:p>
    <w:p>
      <w:pPr>
        <w:spacing w:after="0" w:line="186" w:lineRule="exact"/>
        <w:rPr>
          <w:rFonts w:ascii="Arial" w:cs="Arial" w:eastAsia="Arial" w:hAnsi="Arial"/>
          <w:sz w:val="18"/>
          <w:szCs w:val="18"/>
          <w:color w:val="auto"/>
        </w:rPr>
      </w:pPr>
    </w:p>
    <w:p>
      <w:pPr>
        <w:jc w:val="both"/>
        <w:ind w:right="40" w:firstLine="987"/>
        <w:spacing w:after="0" w:line="263" w:lineRule="auto"/>
        <w:tabs>
          <w:tab w:leader="none" w:pos="126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00"/>
          </w:cols>
          <w:pgMar w:left="440" w:top="274" w:right="459" w:bottom="1440" w:gutter="0" w:footer="0" w:header="0"/>
        </w:sectPr>
      </w:pPr>
    </w:p>
    <w:bookmarkStart w:id="121" w:name="page122"/>
    <w:bookmarkEnd w:id="121"/>
    <w:p>
      <w:pPr>
        <w:ind w:left="1180" w:hanging="273"/>
        <w:spacing w:after="0"/>
        <w:tabs>
          <w:tab w:leader="none" w:pos="118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Authentication</w:t>
      </w:r>
      <w:r>
        <w:rPr>
          <w:rFonts w:ascii="Arial" w:cs="Arial" w:eastAsia="Arial" w:hAnsi="Arial"/>
          <w:sz w:val="17"/>
          <w:szCs w:val="17"/>
          <w:color w:val="auto"/>
        </w:rPr>
        <w:t>. This Note shall not be valid until the Trustee signs the certificate of authentication on the other side of this Note.</w:t>
      </w:r>
    </w:p>
    <w:p>
      <w:pPr>
        <w:spacing w:after="0" w:line="236" w:lineRule="exact"/>
        <w:rPr>
          <w:rFonts w:ascii="Arial" w:cs="Arial" w:eastAsia="Arial" w:hAnsi="Arial"/>
          <w:sz w:val="17"/>
          <w:szCs w:val="17"/>
          <w:color w:val="auto"/>
        </w:rPr>
      </w:pPr>
    </w:p>
    <w:p>
      <w:pPr>
        <w:ind w:left="-80" w:firstLine="987"/>
        <w:spacing w:after="0" w:line="263" w:lineRule="auto"/>
        <w:tabs>
          <w:tab w:leader="none" w:pos="118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3" w:lineRule="exact"/>
        <w:rPr>
          <w:rFonts w:ascii="Arial" w:cs="Arial" w:eastAsia="Arial" w:hAnsi="Arial"/>
          <w:sz w:val="18"/>
          <w:szCs w:val="18"/>
          <w:color w:val="auto"/>
        </w:rPr>
      </w:pPr>
    </w:p>
    <w:p>
      <w:pPr>
        <w:ind w:left="-80" w:right="560" w:firstLine="987"/>
        <w:spacing w:after="0" w:line="263" w:lineRule="auto"/>
        <w:tabs>
          <w:tab w:leader="none" w:pos="118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Issuer will furnish to any Holder upon written request and without charge a copy of the Indenture. Requests may be made to:</w:t>
      </w:r>
    </w:p>
    <w:p>
      <w:pPr>
        <w:spacing w:after="0" w:line="1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Telephone: (215) 856-5576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0860"/>
          </w:cols>
          <w:pgMar w:left="520" w:top="274" w:right="5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57346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p>
      <w:pPr>
        <w:spacing w:after="0" w:line="252"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9317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-10160</wp:posOffset>
            </wp:positionV>
            <wp:extent cx="6858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(Sign exactly as your name appears on the other side of this</w:t>
      </w:r>
    </w:p>
    <w:p>
      <w:pPr>
        <w:spacing w:after="0" w:line="4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29400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000"/>
          </w:cols>
          <w:pgMar w:left="440" w:top="274" w:right="4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If you want to elect to have all or any part of this Note purchased by the Issuer pursuant to Section 4.08 of the Indenture, check the appropriate box:</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Section 4.08</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If you want to have only part of the Note purchased by the Issuer pursuant to Section 4.08 of the Indenture, state the amount you elect to have purchased: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-10160</wp:posOffset>
            </wp:positionV>
            <wp:extent cx="18853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($1,000 or any integral multiple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 not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purchased must be at least $2,000)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6281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5715</wp:posOffset>
            </wp:positionV>
            <wp:extent cx="3472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6668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6687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A-2-10</w:t>
      </w:r>
    </w:p>
    <w:p>
      <w:pPr>
        <w:sectPr>
          <w:pgSz w:w="11900" w:h="16838" w:orient="portrait"/>
          <w:cols w:equalWidth="0" w:num="1">
            <w:col w:w="11000"/>
          </w:cols>
          <w:pgMar w:left="440" w:top="274" w:right="45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25"/>
          <w:szCs w:val="25"/>
          <w:color w:val="auto"/>
          <w:vertAlign w:val="superscript"/>
        </w:rPr>
        <w:t>*</w:t>
      </w:r>
    </w:p>
    <w:p>
      <w:pPr>
        <w:spacing w:after="0" w:line="146"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 Amount</w:t>
            </w:r>
          </w:p>
        </w:tc>
        <w:tc>
          <w:tcPr>
            <w:tcW w:w="1540" w:type="dxa"/>
            <w:vAlign w:val="bottom"/>
          </w:tcPr>
          <w:p>
            <w:pPr>
              <w:spacing w:after="0"/>
              <w:rPr>
                <w:sz w:val="14"/>
                <w:szCs w:val="14"/>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Amount of decrease in</w:t>
            </w:r>
          </w:p>
        </w:tc>
        <w:tc>
          <w:tcPr>
            <w:tcW w:w="27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Amount of increase in</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of this Global Note</w:t>
            </w:r>
          </w:p>
        </w:tc>
        <w:tc>
          <w:tcPr>
            <w:tcW w:w="1540" w:type="dxa"/>
            <w:vAlign w:val="bottom"/>
          </w:tcPr>
          <w:p>
            <w:pPr>
              <w:spacing w:after="0"/>
              <w:rPr>
                <w:sz w:val="12"/>
                <w:szCs w:val="12"/>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Principal Amount</w:t>
            </w:r>
          </w:p>
        </w:tc>
        <w:tc>
          <w:tcPr>
            <w:tcW w:w="27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Principal Amount</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1540" w:type="dxa"/>
            <w:vAlign w:val="bottom"/>
          </w:tcPr>
          <w:p>
            <w:pPr>
              <w:spacing w:after="0"/>
              <w:rPr>
                <w:sz w:val="12"/>
                <w:szCs w:val="12"/>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of</w:t>
            </w:r>
          </w:p>
        </w:tc>
        <w:tc>
          <w:tcPr>
            <w:tcW w:w="27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decrease</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Signature of authorized</w:t>
            </w:r>
          </w:p>
        </w:tc>
      </w:tr>
      <w:tr>
        <w:trPr>
          <w:trHeight w:val="181"/>
        </w:trPr>
        <w:tc>
          <w:tcPr>
            <w:tcW w:w="27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Date of Exchange</w:t>
            </w:r>
          </w:p>
        </w:tc>
        <w:tc>
          <w:tcPr>
            <w:tcW w:w="12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1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3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(or increase)</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signatory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316865</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272" w:right="4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Insert in Global Securities only.</w:t>
      </w:r>
    </w:p>
    <w:p>
      <w:pPr>
        <w:spacing w:after="0" w:line="181" w:lineRule="exact"/>
        <w:rPr>
          <w:sz w:val="20"/>
          <w:szCs w:val="20"/>
          <w:color w:val="auto"/>
        </w:rPr>
      </w:pPr>
    </w:p>
    <w:p>
      <w:pPr>
        <w:sectPr>
          <w:pgSz w:w="11900" w:h="16838" w:orient="portrait"/>
          <w:cols w:equalWidth="0" w:num="2">
            <w:col w:w="80" w:space="340"/>
            <w:col w:w="10600"/>
          </w:cols>
          <w:pgMar w:left="440" w:top="272"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A-2-11</w:t>
      </w:r>
    </w:p>
    <w:p>
      <w:pPr>
        <w:sectPr>
          <w:pgSz w:w="11900" w:h="16838" w:orient="portrait"/>
          <w:cols w:equalWidth="0" w:num="1">
            <w:col w:w="11020"/>
          </w:cols>
          <w:pgMar w:left="440" w:top="272" w:right="4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RESTRICTED SECURITIES]</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Any Restricted Note authenticated and delivered hereunder shall bear a legend (which would be in addition to any other legends required in the case of a Global Note) in substantially the following form:</w:t>
      </w:r>
    </w:p>
    <w:p>
      <w:pPr>
        <w:spacing w:after="0" w:line="62" w:lineRule="exact"/>
        <w:rPr>
          <w:sz w:val="20"/>
          <w:szCs w:val="20"/>
          <w:color w:val="auto"/>
        </w:rPr>
      </w:pPr>
    </w:p>
    <w:p>
      <w:pPr>
        <w:ind w:left="440" w:right="20"/>
        <w:spacing w:after="0" w:line="267" w:lineRule="auto"/>
        <w:rPr>
          <w:sz w:val="20"/>
          <w:szCs w:val="20"/>
          <w:color w:val="auto"/>
        </w:rPr>
      </w:pPr>
      <w:r>
        <w:rPr>
          <w:rFonts w:ascii="Arial" w:cs="Arial" w:eastAsia="Arial" w:hAnsi="Arial"/>
          <w:sz w:val="17"/>
          <w:szCs w:val="17"/>
          <w:color w:val="auto"/>
        </w:rPr>
        <w:t>THIS SECURITY HAS NOT BEEN REGISTERED UNDER THE U.S. SECURITIES ACT OF 1933, AS AMENDED (THE “SECURITIES ACT”), OR THE SECURITIES LAWS OF ANY STATE OR OTHER JURISDICTION, AND, ACCORDINGLY, MAY NOT BE OFFERED OR SOLD EXCEPT AS SET FORTH BELOW. BY ITS ACQUISITION HEREOF, THE HOLDER (1) REPRESENTS THAT (A) IT IS A “QUALIFIED INSTITUTIONAL BUYER” (AS DEFINED IN RULE 144A UNDER THE SECURITIES ACT), (B) IT IS NOT A U.S. PERSON AND IS ACQUIRING THIS SECURITY IN AN OFFSHORE TRANSACTION IN COMPLIANCE WITH RULE 904 UNDER THE SECURITIES ACT OR (C) IT IS AN ACCREDITED INVESTOR (AS DEFINED IN RULE 501(a)(1), (2), (3), OR (7) UNDER THE SECURITIES ACT (AN “ACCREDITED INVESTOR”), (2) AGREES THAT IT WILL NOT, ON ITS OWN BEHALF AND ON BEHALF OF ANY INVESTOR FOR WHICH IT HAS PURCHASED SECURITIES, PRIOR TO THE DATE (THE “RESALE RESTRICTION TERMINATION DATE”) WHICH IS [IN THE CASE OF RULE 144A NOTES: ONE YEAR] [ IN THE CASE OF REGULATION S NOTES:</w:t>
      </w:r>
    </w:p>
    <w:p>
      <w:pPr>
        <w:spacing w:after="0" w:line="1" w:lineRule="exact"/>
        <w:rPr>
          <w:sz w:val="20"/>
          <w:szCs w:val="20"/>
          <w:color w:val="auto"/>
        </w:rPr>
      </w:pPr>
    </w:p>
    <w:p>
      <w:pPr>
        <w:ind w:left="440" w:right="20"/>
        <w:spacing w:after="0" w:line="265" w:lineRule="auto"/>
        <w:rPr>
          <w:sz w:val="20"/>
          <w:szCs w:val="20"/>
          <w:color w:val="auto"/>
        </w:rPr>
      </w:pPr>
      <w:r>
        <w:rPr>
          <w:rFonts w:ascii="Arial" w:cs="Arial" w:eastAsia="Arial" w:hAnsi="Arial"/>
          <w:sz w:val="17"/>
          <w:szCs w:val="17"/>
          <w:color w:val="auto"/>
        </w:rPr>
        <w:t>40 DAYS] (OR SUCH SHORTER PERIOD OF TIME AS PERMITTED BY [RULE 144] [REGULATION S] UNDER THE SECURITIES ACT OR ANY SUCCESSOR PROVISION THEREUNDER) AFTER THE LATER OF THE ORIGINAL ISSUE DATE OF THIS SECURITY AND THE LAST DATE ON WHICH THE ISSUER OR ANY AFFILIATE OF THE ISSUER WAS THE OWNER OF THIS SECURITY (OR ANY PREDECESSOR OF THIS SECURITY) OR, IF LATER, THE LAST DATE UPON WHICH ADDITIONAL NOTES (AS DEFINED IN THE INDENTURE) HAVE BEEN ISSUED, OFFER, RESELL OR OTHERWISE TRANSFER THIS SECURITY EXCEPT (A) TO THE ISSUER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w:t>
      </w:r>
    </w:p>
    <w:p>
      <w:pPr>
        <w:spacing w:after="0" w:line="2" w:lineRule="exact"/>
        <w:rPr>
          <w:sz w:val="20"/>
          <w:szCs w:val="20"/>
          <w:color w:val="auto"/>
        </w:rPr>
      </w:pPr>
    </w:p>
    <w:p>
      <w:pPr>
        <w:ind w:left="440" w:right="100" w:hanging="4"/>
        <w:spacing w:after="0" w:line="255" w:lineRule="auto"/>
        <w:tabs>
          <w:tab w:leader="none" w:pos="7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OUTSIDE THE UNITED STATES IN AN OFFSHORE TRANSACTION IN COMPLIANCE WITH RULE 904 UNDER THE SECURITIES ACT (IF AVAILABLE), (E) PURSUANT TO THE EXEMPTION FROM REGISTRATION PROVIDED BY RULE 144 UNDER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4" w:right="439" w:bottom="1440" w:gutter="0" w:footer="0" w:header="0"/>
        </w:sectPr>
      </w:pPr>
    </w:p>
    <w:bookmarkStart w:id="126" w:name="page127"/>
    <w:bookmarkEnd w:id="126"/>
    <w:p>
      <w:pPr>
        <w:ind w:left="4" w:right="24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(IF AVAILABLE), (F) IN ACCORDANCE WITH ANOTHER EXEMPTION FROM THE REGISTRATION REQUIREMENTS OF THE SECURITIES ACT (AND BASED UPON AN OPINION OF COUNSEL IF THE ISSUER SO REQUESTS), OR</w:t>
      </w:r>
    </w:p>
    <w:p>
      <w:pPr>
        <w:ind w:left="4" w:hanging="4"/>
        <w:spacing w:after="0" w:line="251" w:lineRule="auto"/>
        <w:tabs>
          <w:tab w:leader="none" w:pos="29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w:t>
      </w:r>
    </w:p>
    <w:p>
      <w:pPr>
        <w:spacing w:after="0" w:line="1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564"/>
          </w:cols>
          <w:pgMar w:left="876" w:top="274" w:right="4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GLOBAL NOTE]</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NOTE IS A GLOBAL NOTE WITHIN THE MEANING OF THE INDENTURE HEREINAFTER REFERRED TO AND IS REGISTERED IN THE NAME OF A DEPOSITORY OR A NOMINEE OF A DEPOSITORY. THIS NOTE IS NOT EXCHANGEABLE FOR NOTES REGISTERED IN THE NAME OF A PERSON OTHER THAN THE DEPOSITORY OR ITS NOMINEE EXCEPT IN THE LIMITED CIRCUMSTANCES DESCRIBED IN THE INDENTURE, AND NO TRANSFER OF THIS NOTE (OTHER THAN A TRANSFER OF THIS NOTE AS A WHOLE BY THE DEPOSITORY TO A NOMINEE OF THE DEPOSITORY OR BY A NOMINEE OF THE DEPOSITORY TO THE DEPOSITORY OR ANOTHER NOMINEE OF THE DEPOSITORY) MAY BE REGISTERED EXCEPT IN THE LIMITED CIRCUMSTANCES DESCRIBED IN THE INDENTURE.</w:t>
      </w:r>
    </w:p>
    <w:p>
      <w:pPr>
        <w:spacing w:after="0" w:line="19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4"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NOTE ISSUED WITH OID]</w:t>
      </w:r>
    </w:p>
    <w:p>
      <w:pPr>
        <w:spacing w:after="0" w:line="225"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Any Note issued with more than de minimis original issue discount for U.S. Federal Income Tax purposes authenticated and delivered hereunder shall bear a legend (which would be in addition to any other legends required in the case of a Restricted Note) in substantially the following form:</w:t>
      </w:r>
    </w:p>
    <w:p>
      <w:pPr>
        <w:spacing w:after="0" w:line="7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“THIS NOTE IS ISSUED WITH ORIGINAL ISSUE DISCOUNT FOR PURPOSES OF SECTION 1271 ET SEQ. OF THE INTERNAL REVENUE CODE. A HOLDER MAY OBTAIN THE ISSUE PRICE, AMOUNT OF ORIGINAL ISSUE DISCOUNT, ISSUE DATE AND YIELD TO MATURITY FOR SUCH NOTE BY SUBMITTING A REQUEST FOR SUCH INFORMATION TO THE ISSUER AT THE FOLLOWING ADDRESS: 770 TOWNSHIP LINE ROAD, YARDLEY, PA 19067, ATTENTION: CHIEF FINANCIAL OFFICER.”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4"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LEGEND FOR TEMPORARY REGULATION S NOTE]</w:t>
      </w:r>
    </w:p>
    <w:p>
      <w:pPr>
        <w:spacing w:after="0" w:line="225" w:lineRule="exact"/>
        <w:rPr>
          <w:sz w:val="20"/>
          <w:szCs w:val="20"/>
          <w:color w:val="auto"/>
        </w:rPr>
      </w:pPr>
    </w:p>
    <w:p>
      <w:pPr>
        <w:ind w:right="600" w:firstLine="991"/>
        <w:spacing w:after="0" w:line="342" w:lineRule="auto"/>
        <w:rPr>
          <w:sz w:val="20"/>
          <w:szCs w:val="20"/>
          <w:color w:val="auto"/>
        </w:rPr>
      </w:pPr>
      <w:r>
        <w:rPr>
          <w:rFonts w:ascii="Arial" w:cs="Arial" w:eastAsia="Arial" w:hAnsi="Arial"/>
          <w:sz w:val="16"/>
          <w:szCs w:val="16"/>
          <w:color w:val="auto"/>
        </w:rPr>
        <w:t>Any Regulation S Note authenticated and delivered hereunder shall bear a legend (which would be in addition to any other legends required in the case of a Restricted Note) for the 40 day distribution period (as defined in Regulation S) in substantially the following form:</w:t>
      </w:r>
    </w:p>
    <w:p>
      <w:pPr>
        <w:spacing w:after="0" w:line="16" w:lineRule="exact"/>
        <w:rPr>
          <w:sz w:val="20"/>
          <w:szCs w:val="20"/>
          <w:color w:val="auto"/>
        </w:rPr>
      </w:pPr>
    </w:p>
    <w:p>
      <w:pPr>
        <w:jc w:val="both"/>
        <w:ind w:right="840" w:firstLine="991"/>
        <w:spacing w:after="0" w:line="263" w:lineRule="auto"/>
        <w:rPr>
          <w:sz w:val="20"/>
          <w:szCs w:val="20"/>
          <w:color w:val="auto"/>
        </w:rPr>
      </w:pPr>
      <w:r>
        <w:rPr>
          <w:rFonts w:ascii="Arial" w:cs="Arial" w:eastAsia="Arial" w:hAnsi="Arial"/>
          <w:sz w:val="18"/>
          <w:szCs w:val="18"/>
          <w:color w:val="auto"/>
        </w:rPr>
        <w:t>“BY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020"/>
          </w:cols>
          <w:pgMar w:left="440" w:top="274" w:right="4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CERTIFICATE OF TRANSFER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Yardley, PA 19067</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Two Liberty Place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50 South 16th Street, Suite 2000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Mail Station: EX-PA-WBSP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 215-761-9326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Facsimile: 215-761-9412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Michael Judge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5.250% Senior Notes due 2030</w:t>
      </w:r>
    </w:p>
    <w:p>
      <w:pPr>
        <w:spacing w:after="0" w:line="225" w:lineRule="exact"/>
        <w:rPr>
          <w:sz w:val="20"/>
          <w:szCs w:val="20"/>
          <w:color w:val="auto"/>
        </w:rPr>
      </w:pPr>
    </w:p>
    <w:p>
      <w:pPr>
        <w:ind w:left="4584"/>
        <w:spacing w:after="0"/>
        <w:rPr>
          <w:sz w:val="20"/>
          <w:szCs w:val="20"/>
          <w:color w:val="auto"/>
        </w:rPr>
      </w:pPr>
      <w:r>
        <w:rPr>
          <w:rFonts w:ascii="Arial" w:cs="Arial" w:eastAsia="Arial" w:hAnsi="Arial"/>
          <w:sz w:val="18"/>
          <w:szCs w:val="18"/>
          <w:color w:val="auto"/>
        </w:rPr>
        <w:t>(CUSIP _____________)</w:t>
      </w:r>
    </w:p>
    <w:p>
      <w:pPr>
        <w:spacing w:after="0" w:line="225" w:lineRule="exact"/>
        <w:rPr>
          <w:sz w:val="20"/>
          <w:szCs w:val="20"/>
          <w:color w:val="auto"/>
        </w:rPr>
      </w:pPr>
    </w:p>
    <w:p>
      <w:pPr>
        <w:ind w:left="4584"/>
        <w:spacing w:after="0"/>
        <w:rPr>
          <w:sz w:val="20"/>
          <w:szCs w:val="20"/>
          <w:color w:val="auto"/>
        </w:rPr>
      </w:pPr>
      <w:r>
        <w:rPr>
          <w:rFonts w:ascii="Arial" w:cs="Arial" w:eastAsia="Arial" w:hAnsi="Arial"/>
          <w:sz w:val="18"/>
          <w:szCs w:val="18"/>
          <w:color w:val="auto"/>
        </w:rPr>
        <w:t>(ISIN _______________)</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Reference is hereby made to the Indenture, dated as of March 17, 2022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among Crown Americas LLC (“</w:t>
      </w:r>
      <w:r>
        <w:rPr>
          <w:rFonts w:ascii="Arial" w:cs="Arial" w:eastAsia="Arial" w:hAnsi="Arial"/>
          <w:sz w:val="18"/>
          <w:szCs w:val="18"/>
          <w:u w:val="single" w:color="auto"/>
          <w:color w:val="auto"/>
        </w:rPr>
        <w:t>Crown Americas</w:t>
      </w:r>
      <w:r>
        <w:rPr>
          <w:rFonts w:ascii="Arial" w:cs="Arial" w:eastAsia="Arial" w:hAnsi="Arial"/>
          <w:sz w:val="18"/>
          <w:szCs w:val="18"/>
          <w:color w:val="auto"/>
        </w:rPr>
        <w:t>”), as issuer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and U.S. Bank National Association, as trustee. Capitalized terms used but not defined herein shall have the meanings given to them in the Indenture.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______________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principal amount of ___________ in such Note[s] or interests (the “</w:t>
      </w:r>
      <w:r>
        <w:rPr>
          <w:rFonts w:ascii="Arial" w:cs="Arial" w:eastAsia="Arial" w:hAnsi="Arial"/>
          <w:sz w:val="16"/>
          <w:szCs w:val="16"/>
          <w:u w:val="single" w:color="auto"/>
          <w:color w:val="auto"/>
        </w:rPr>
        <w:t>Transfer</w:t>
      </w:r>
      <w:r>
        <w:rPr>
          <w:rFonts w:ascii="Arial" w:cs="Arial" w:eastAsia="Arial" w:hAnsi="Arial"/>
          <w:sz w:val="16"/>
          <w:szCs w:val="16"/>
          <w:color w:val="auto"/>
        </w:rPr>
        <w:t>”), to __________ (the “</w:t>
      </w:r>
      <w:r>
        <w:rPr>
          <w:rFonts w:ascii="Arial" w:cs="Arial" w:eastAsia="Arial" w:hAnsi="Arial"/>
          <w:sz w:val="16"/>
          <w:szCs w:val="16"/>
          <w:u w:val="single" w:color="auto"/>
          <w:color w:val="auto"/>
        </w:rPr>
        <w:t>Transferee</w:t>
      </w:r>
      <w:r>
        <w:rPr>
          <w:rFonts w:ascii="Arial" w:cs="Arial" w:eastAsia="Arial" w:hAnsi="Arial"/>
          <w:sz w:val="16"/>
          <w:szCs w:val="16"/>
          <w:color w:val="auto"/>
        </w:rPr>
        <w:t>”), as further specified in Annex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hereto. In connection with the Transfer, the Transferor hereby certifies that: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jc w:val="both"/>
        <w:ind w:left="4" w:right="280" w:hanging="4"/>
        <w:spacing w:after="0" w:line="228" w:lineRule="exact"/>
        <w:tabs>
          <w:tab w:leader="none" w:pos="184" w:val="left"/>
        </w:tabs>
        <w:numPr>
          <w:ilvl w:val="0"/>
          <w:numId w:val="1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if Transferee will take delivery of a beneficial interest in a Rule 144A Global Note or a Physical Note pursuant to Rule 144A</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is being effected pursuant to and in accordance with Rule 144A under the United States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and, accordingly, the Transferor hereby further certifies that the beneficial interest or Physical Note is being transferred to a Person that the Transferor</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4"/>
          </w:cols>
          <w:pgMar w:left="436" w:top="274" w:right="439" w:bottom="1440" w:gutter="0" w:footer="0" w:header="0"/>
        </w:sectPr>
      </w:pPr>
    </w:p>
    <w:bookmarkStart w:id="131" w:name="page132"/>
    <w:bookmarkEnd w:id="131"/>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believed and believes is purchasing the beneficial interest or Physical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45" w:lineRule="exact"/>
        <w:rPr>
          <w:sz w:val="20"/>
          <w:szCs w:val="20"/>
          <w:color w:val="auto"/>
        </w:rPr>
      </w:pPr>
    </w:p>
    <w:p>
      <w:pPr>
        <w:ind w:left="4" w:hanging="4"/>
        <w:spacing w:after="0" w:line="220" w:lineRule="exact"/>
        <w:tabs>
          <w:tab w:leader="none" w:pos="184" w:val="left"/>
        </w:tabs>
        <w:numPr>
          <w:ilvl w:val="0"/>
          <w:numId w:val="12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a Regulation S Global Note or a Physical Note pursuant to Regulation S</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69" w:lineRule="exact"/>
        <w:rPr>
          <w:rFonts w:ascii="Arial" w:cs="Arial" w:eastAsia="Arial" w:hAnsi="Arial"/>
          <w:sz w:val="17"/>
          <w:szCs w:val="17"/>
          <w:color w:val="auto"/>
        </w:rPr>
      </w:pPr>
    </w:p>
    <w:p>
      <w:pPr>
        <w:ind w:left="4" w:right="20" w:hanging="4"/>
        <w:spacing w:after="0" w:line="228" w:lineRule="exact"/>
        <w:tabs>
          <w:tab w:leader="none" w:pos="184" w:val="left"/>
        </w:tabs>
        <w:numPr>
          <w:ilvl w:val="0"/>
          <w:numId w:val="12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Global Note or a Physical Note pursuant to any provision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of the Securities Act other than Rule 144A or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 restrictions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61" w:lineRule="exact"/>
        <w:rPr>
          <w:rFonts w:ascii="Arial" w:cs="Arial" w:eastAsia="Arial" w:hAnsi="Arial"/>
          <w:sz w:val="16"/>
          <w:szCs w:val="16"/>
          <w:color w:val="auto"/>
        </w:rPr>
      </w:pPr>
    </w:p>
    <w:p>
      <w:pPr>
        <w:ind w:left="1104" w:hanging="241"/>
        <w:spacing w:after="0" w:line="207" w:lineRule="exact"/>
        <w:tabs>
          <w:tab w:leader="none" w:pos="1104" w:val="left"/>
        </w:tabs>
        <w:numPr>
          <w:ilvl w:val="1"/>
          <w:numId w:val="1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5384" w:right="4800" w:hanging="4521"/>
        <w:spacing w:after="0" w:line="314" w:lineRule="exact"/>
        <w:tabs>
          <w:tab w:leader="none" w:pos="1119" w:val="left"/>
        </w:tabs>
        <w:numPr>
          <w:ilvl w:val="0"/>
          <w:numId w:val="12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such Transfer is being effected to the Issuer or a Subsidiary thereof; F-2</w:t>
      </w:r>
    </w:p>
    <w:p>
      <w:pPr>
        <w:sectPr>
          <w:pgSz w:w="11900" w:h="16838" w:orient="portrait"/>
          <w:cols w:equalWidth="0" w:num="1">
            <w:col w:w="11004"/>
          </w:cols>
          <w:pgMar w:left="436" w:top="274" w:right="459" w:bottom="1440" w:gutter="0" w:footer="0" w:header="0"/>
        </w:sectPr>
      </w:pPr>
    </w:p>
    <w:bookmarkStart w:id="132" w:name="page133"/>
    <w:bookmarkEnd w:id="132"/>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w:t>
      </w:r>
    </w:p>
    <w:p>
      <w:pPr>
        <w:spacing w:after="0" w:line="84" w:lineRule="exact"/>
        <w:rPr>
          <w:sz w:val="20"/>
          <w:szCs w:val="20"/>
          <w:color w:val="auto"/>
        </w:rPr>
      </w:pPr>
    </w:p>
    <w:p>
      <w:pPr>
        <w:ind w:left="444" w:right="380" w:firstLine="419"/>
        <w:spacing w:after="0" w:line="239" w:lineRule="exact"/>
        <w:tabs>
          <w:tab w:leader="none" w:pos="1112" w:val="left"/>
        </w:tabs>
        <w:numPr>
          <w:ilvl w:val="0"/>
          <w:numId w:val="1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95" w:lineRule="exact"/>
        <w:rPr>
          <w:sz w:val="20"/>
          <w:szCs w:val="20"/>
          <w:color w:val="auto"/>
        </w:rPr>
      </w:pPr>
    </w:p>
    <w:p>
      <w:pPr>
        <w:ind w:left="864"/>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444" w:firstLine="419"/>
        <w:spacing w:after="0" w:line="220" w:lineRule="exact"/>
        <w:tabs>
          <w:tab w:leader="none" w:pos="1122" w:val="left"/>
        </w:tabs>
        <w:numPr>
          <w:ilvl w:val="1"/>
          <w:numId w:val="12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76" w:lineRule="exact"/>
        <w:rPr>
          <w:rFonts w:ascii="Arial" w:cs="Arial" w:eastAsia="Arial" w:hAnsi="Arial"/>
          <w:sz w:val="17"/>
          <w:szCs w:val="17"/>
          <w:color w:val="auto"/>
        </w:rPr>
      </w:pPr>
    </w:p>
    <w:p>
      <w:pPr>
        <w:ind w:left="184" w:hanging="184"/>
        <w:spacing w:after="0" w:line="196" w:lineRule="exact"/>
        <w:tabs>
          <w:tab w:leader="none" w:pos="184" w:val="left"/>
        </w:tabs>
        <w:numPr>
          <w:ilvl w:val="0"/>
          <w:numId w:val="12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Transferee will take delivery of a beneficial interest in an Unrestricted Global Note or an Unrestricted Physical Note.</w:t>
      </w:r>
    </w:p>
    <w:p>
      <w:pPr>
        <w:spacing w:after="0" w:line="236" w:lineRule="exact"/>
        <w:rPr>
          <w:rFonts w:ascii="Arial" w:cs="Arial" w:eastAsia="Arial" w:hAnsi="Arial"/>
          <w:sz w:val="17"/>
          <w:szCs w:val="17"/>
          <w:color w:val="auto"/>
        </w:rPr>
      </w:pPr>
    </w:p>
    <w:p>
      <w:pPr>
        <w:ind w:left="4" w:right="160" w:firstLine="987"/>
        <w:spacing w:after="0" w:line="224" w:lineRule="exact"/>
        <w:tabs>
          <w:tab w:leader="none" w:pos="1240" w:val="left"/>
        </w:tabs>
        <w:numPr>
          <w:ilvl w:val="2"/>
          <w:numId w:val="12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Rule 144. </w:t>
      </w:r>
      <w:r>
        <w:rPr>
          <w:rFonts w:ascii="Arial" w:cs="Arial" w:eastAsia="Arial" w:hAnsi="Arial"/>
          <w:sz w:val="17"/>
          <w:szCs w:val="17"/>
          <w:color w:val="auto"/>
        </w:rPr>
        <w:t>(i) The Transfer is being effected pursuant to and in accordance with Rule 144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73" w:lineRule="exact"/>
        <w:rPr>
          <w:rFonts w:ascii="Arial" w:cs="Arial" w:eastAsia="Arial" w:hAnsi="Arial"/>
          <w:sz w:val="17"/>
          <w:szCs w:val="17"/>
          <w:color w:val="auto"/>
        </w:rPr>
      </w:pPr>
    </w:p>
    <w:p>
      <w:pPr>
        <w:jc w:val="both"/>
        <w:ind w:left="4" w:right="60" w:firstLine="987"/>
        <w:spacing w:after="0" w:line="228" w:lineRule="exact"/>
        <w:tabs>
          <w:tab w:leader="none" w:pos="1250" w:val="left"/>
        </w:tabs>
        <w:numPr>
          <w:ilvl w:val="2"/>
          <w:numId w:val="1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 </w:t>
      </w:r>
      <w:r>
        <w:rPr>
          <w:rFonts w:ascii="Arial" w:cs="Arial" w:eastAsia="Arial" w:hAnsi="Arial"/>
          <w:sz w:val="18"/>
          <w:szCs w:val="18"/>
          <w:color w:val="auto"/>
        </w:rPr>
        <w:t>(i) The Transfer is being effected pursuant to and in accordance with Rule 903 or</w:t>
      </w:r>
      <w:r>
        <w:rPr>
          <w:rFonts w:ascii="Arial" w:cs="Arial" w:eastAsia="Arial" w:hAnsi="Arial"/>
          <w:sz w:val="18"/>
          <w:szCs w:val="18"/>
          <w:b w:val="1"/>
          <w:bCs w:val="1"/>
          <w:color w:val="auto"/>
        </w:rPr>
        <w:t xml:space="preserve"> </w:t>
      </w:r>
      <w:r>
        <w:rPr>
          <w:rFonts w:ascii="Arial" w:cs="Arial" w:eastAsia="Arial" w:hAnsi="Arial"/>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w:t>
      </w:r>
    </w:p>
    <w:p>
      <w:pPr>
        <w:spacing w:after="0" w:line="13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04"/>
          </w:cols>
          <w:pgMar w:left="436" w:top="274" w:right="459" w:bottom="1440" w:gutter="0" w:footer="0" w:header="0"/>
        </w:sectPr>
      </w:pPr>
    </w:p>
    <w:bookmarkStart w:id="133" w:name="page134"/>
    <w:bookmarkEnd w:id="133"/>
    <w:p>
      <w:pPr>
        <w:jc w:val="both"/>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51" w:lineRule="exact"/>
        <w:rPr>
          <w:sz w:val="20"/>
          <w:szCs w:val="20"/>
          <w:color w:val="auto"/>
        </w:rPr>
      </w:pPr>
    </w:p>
    <w:p>
      <w:pPr>
        <w:ind w:right="160" w:firstLine="987"/>
        <w:spacing w:after="0" w:line="223" w:lineRule="exact"/>
        <w:tabs>
          <w:tab w:leader="none" w:pos="1236" w:val="left"/>
        </w:tabs>
        <w:numPr>
          <w:ilvl w:val="0"/>
          <w:numId w:val="1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 </w:t>
      </w:r>
      <w:r>
        <w:rPr>
          <w:rFonts w:ascii="Arial" w:cs="Arial" w:eastAsia="Arial" w:hAnsi="Arial"/>
          <w:sz w:val="18"/>
          <w:szCs w:val="18"/>
          <w:color w:val="auto"/>
        </w:rPr>
        <w:t>(i) The Transfer is being effected pursuant to and in compliance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70" w:lineRule="exact"/>
        <w:rPr>
          <w:rFonts w:ascii="Arial" w:cs="Arial" w:eastAsia="Arial" w:hAnsi="Arial"/>
          <w:sz w:val="18"/>
          <w:szCs w:val="18"/>
          <w:color w:val="auto"/>
        </w:rPr>
      </w:pPr>
    </w:p>
    <w:p>
      <w:pPr>
        <w:ind w:firstLine="987"/>
        <w:spacing w:after="0" w:line="224" w:lineRule="exact"/>
        <w:tabs>
          <w:tab w:leader="none" w:pos="1246" w:val="left"/>
        </w:tabs>
        <w:numPr>
          <w:ilvl w:val="0"/>
          <w:numId w:val="12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an Effective Registration Statement. </w:t>
      </w:r>
      <w:r>
        <w:rPr>
          <w:rFonts w:ascii="Arial" w:cs="Arial" w:eastAsia="Arial" w:hAnsi="Arial"/>
          <w:sz w:val="16"/>
          <w:szCs w:val="16"/>
          <w:color w:val="auto"/>
        </w:rPr>
        <w:t>(i) The Transfer is being effected pursuant to and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-10160</wp:posOffset>
            </wp:positionV>
            <wp:extent cx="7143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60"/>
          </w:cols>
          <w:pgMar w:left="440" w:top="274" w:right="499" w:bottom="1440" w:gutter="0" w:footer="0" w:header="0"/>
        </w:sectPr>
      </w:pPr>
    </w:p>
    <w:bookmarkStart w:id="134" w:name="page135"/>
    <w:bookmarkEnd w:id="134"/>
    <w:p>
      <w:pPr>
        <w:ind w:left="36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The Transferor owns and proposes to transfer the following:</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[CHECK ONE]</w:t>
      </w:r>
    </w:p>
    <w:p>
      <w:pPr>
        <w:spacing w:after="0" w:line="219" w:lineRule="exact"/>
        <w:rPr>
          <w:sz w:val="20"/>
          <w:szCs w:val="20"/>
          <w:color w:val="auto"/>
        </w:rPr>
      </w:pPr>
    </w:p>
    <w:p>
      <w:pPr>
        <w:ind w:left="964" w:hanging="532"/>
        <w:spacing w:after="0" w:line="207" w:lineRule="exact"/>
        <w:tabs>
          <w:tab w:leader="none" w:pos="964" w:val="left"/>
        </w:tabs>
        <w:numPr>
          <w:ilvl w:val="1"/>
          <w:numId w:val="1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2"/>
          <w:numId w:val="1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144A Global Note (CUSIP ______) (ISIN ______), or</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2"/>
          <w:numId w:val="1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 (ISIN ______), or</w:t>
      </w:r>
    </w:p>
    <w:p>
      <w:pPr>
        <w:spacing w:after="0" w:line="117" w:lineRule="exact"/>
        <w:rPr>
          <w:rFonts w:ascii="Arial" w:cs="Arial" w:eastAsia="Arial" w:hAnsi="Arial"/>
          <w:sz w:val="18"/>
          <w:szCs w:val="18"/>
          <w:color w:val="auto"/>
        </w:rPr>
      </w:pPr>
    </w:p>
    <w:p>
      <w:pPr>
        <w:ind w:left="704" w:hanging="264"/>
        <w:spacing w:after="0" w:line="207" w:lineRule="exact"/>
        <w:tabs>
          <w:tab w:leader="none" w:pos="704" w:val="left"/>
        </w:tabs>
        <w:numPr>
          <w:ilvl w:val="1"/>
          <w:numId w:val="1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Physical Note.</w:t>
      </w:r>
    </w:p>
    <w:p>
      <w:pPr>
        <w:spacing w:after="0" w:line="257" w:lineRule="exact"/>
        <w:rPr>
          <w:rFonts w:ascii="Arial" w:cs="Arial" w:eastAsia="Arial" w:hAnsi="Arial"/>
          <w:sz w:val="18"/>
          <w:szCs w:val="18"/>
          <w:color w:val="auto"/>
        </w:rPr>
      </w:pPr>
    </w:p>
    <w:p>
      <w:pPr>
        <w:ind w:left="164" w:hanging="164"/>
        <w:spacing w:after="0"/>
        <w:tabs>
          <w:tab w:leader="none" w:pos="16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[CHECK ONE]</w:t>
      </w:r>
    </w:p>
    <w:p>
      <w:pPr>
        <w:spacing w:after="0" w:line="219" w:lineRule="exact"/>
        <w:rPr>
          <w:sz w:val="20"/>
          <w:szCs w:val="20"/>
          <w:color w:val="auto"/>
        </w:rPr>
      </w:pPr>
    </w:p>
    <w:p>
      <w:pPr>
        <w:ind w:left="964" w:hanging="532"/>
        <w:spacing w:after="0" w:line="207" w:lineRule="exact"/>
        <w:tabs>
          <w:tab w:leader="none" w:pos="964" w:val="left"/>
        </w:tabs>
        <w:numPr>
          <w:ilvl w:val="0"/>
          <w:numId w:val="1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1"/>
          <w:numId w:val="1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144A Global Note (CUSIP _______) (ISIN ______), or</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1"/>
          <w:numId w:val="1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______)(ISIN ______), or</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1"/>
          <w:numId w:val="1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______) (ISIN ______), or</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Physical Note; or</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Physical Note,</w:t>
      </w:r>
    </w:p>
    <w:p>
      <w:pPr>
        <w:spacing w:after="0" w:line="2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384"/>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023"/>
          </w:cols>
          <w:pgMar w:left="436" w:top="270"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CERTIFICATE OF EXCHANGE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Yardley, PA 19067</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Two Liberty Place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50 South 16th Street, Suite 2000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Mail Station: EX-PA-WBSP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 215-761-9326 Facsimile: 215-761-9412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Michael Judge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5.250% Senior Notes due 2030</w:t>
      </w:r>
    </w:p>
    <w:p>
      <w:pPr>
        <w:spacing w:after="0" w:line="225"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(CUSIP______________)</w:t>
      </w:r>
    </w:p>
    <w:p>
      <w:pPr>
        <w:spacing w:after="0" w:line="23" w:lineRule="exact"/>
        <w:rPr>
          <w:sz w:val="20"/>
          <w:szCs w:val="20"/>
          <w:color w:val="auto"/>
        </w:rPr>
      </w:pPr>
    </w:p>
    <w:p>
      <w:pPr>
        <w:ind w:left="4584"/>
        <w:spacing w:after="0"/>
        <w:rPr>
          <w:sz w:val="20"/>
          <w:szCs w:val="20"/>
          <w:color w:val="auto"/>
        </w:rPr>
      </w:pPr>
      <w:r>
        <w:rPr>
          <w:rFonts w:ascii="Arial" w:cs="Arial" w:eastAsia="Arial" w:hAnsi="Arial"/>
          <w:sz w:val="18"/>
          <w:szCs w:val="18"/>
          <w:color w:val="auto"/>
        </w:rPr>
        <w:t>(ISIN _______________)</w:t>
      </w:r>
    </w:p>
    <w:p>
      <w:pPr>
        <w:spacing w:after="0" w:line="21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Reference is hereby made to the Indenture, dated as of March 17, 2022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among Crown Americas LLC (“</w:t>
      </w:r>
      <w:r>
        <w:rPr>
          <w:rFonts w:ascii="Arial" w:cs="Arial" w:eastAsia="Arial" w:hAnsi="Arial"/>
          <w:sz w:val="18"/>
          <w:szCs w:val="18"/>
          <w:u w:val="single" w:color="auto"/>
          <w:color w:val="auto"/>
        </w:rPr>
        <w:t>Crown Americas</w:t>
      </w:r>
      <w:r>
        <w:rPr>
          <w:rFonts w:ascii="Arial" w:cs="Arial" w:eastAsia="Arial" w:hAnsi="Arial"/>
          <w:sz w:val="18"/>
          <w:szCs w:val="18"/>
          <w:color w:val="auto"/>
        </w:rPr>
        <w:t>”), as issuer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and U.S. Bank National Association, as trustee. Capitalized terms used but not defined herein shall have the meanings given to them in the Indenture.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____________ (the “</w:t>
      </w:r>
      <w:r>
        <w:rPr>
          <w:rFonts w:ascii="Arial" w:cs="Arial" w:eastAsia="Arial" w:hAnsi="Arial"/>
          <w:sz w:val="17"/>
          <w:szCs w:val="17"/>
          <w:u w:val="single" w:color="auto"/>
          <w:color w:val="auto"/>
        </w:rPr>
        <w:t>Owner</w:t>
      </w:r>
      <w:r>
        <w:rPr>
          <w:rFonts w:ascii="Arial" w:cs="Arial" w:eastAsia="Arial" w:hAnsi="Arial"/>
          <w:sz w:val="17"/>
          <w:szCs w:val="17"/>
          <w:color w:val="auto"/>
        </w:rPr>
        <w:t>”) owns and proposes to exchange the Note[s] or interest in such Note[s] specified herein, in the principal</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 of ____________ in such Note[s] or interests (the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the Exchange, the Owner hereby certifies that:</w:t>
      </w:r>
    </w:p>
    <w:p>
      <w:pPr>
        <w:spacing w:after="0" w:line="207" w:lineRule="exact"/>
        <w:rPr>
          <w:sz w:val="20"/>
          <w:szCs w:val="20"/>
          <w:color w:val="auto"/>
        </w:rPr>
      </w:pPr>
    </w:p>
    <w:p>
      <w:pPr>
        <w:ind w:left="4" w:right="580" w:hanging="4"/>
        <w:spacing w:after="0" w:line="282" w:lineRule="auto"/>
        <w:tabs>
          <w:tab w:leader="none" w:pos="18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of Restricted Physical Notes or Beneficial Interests in a Restricted Global Note for Unrestricted Physical Notes or Beneficial Interests in an Unrestricted Global Note</w:t>
      </w:r>
    </w:p>
    <w:p>
      <w:pPr>
        <w:spacing w:after="0" w:line="132" w:lineRule="exact"/>
        <w:rPr>
          <w:rFonts w:ascii="Arial" w:cs="Arial" w:eastAsia="Arial" w:hAnsi="Arial"/>
          <w:sz w:val="18"/>
          <w:szCs w:val="18"/>
          <w:b w:val="1"/>
          <w:bCs w:val="1"/>
          <w:color w:val="auto"/>
        </w:rPr>
      </w:pPr>
    </w:p>
    <w:p>
      <w:pPr>
        <w:ind w:left="4" w:right="160" w:firstLine="987"/>
        <w:spacing w:after="0" w:line="232" w:lineRule="exact"/>
        <w:tabs>
          <w:tab w:leader="none" w:pos="1240" w:val="left"/>
        </w:tabs>
        <w:numPr>
          <w:ilvl w:val="1"/>
          <w:numId w:val="13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Exchange is from beneficial interest in a Restricted Global Note to beneficial interest in an Unrestricted Global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Note</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Exchange of the Owner’s beneficial interest in a Restricted Global Note for a beneficial interest in an Unrestricted Global</w:t>
      </w:r>
      <w:r>
        <w:rPr>
          <w:rFonts w:ascii="Arial" w:cs="Arial" w:eastAsia="Arial" w:hAnsi="Arial"/>
          <w:sz w:val="16"/>
          <w:szCs w:val="16"/>
          <w:b w:val="1"/>
          <w:bCs w:val="1"/>
          <w:color w:val="auto"/>
        </w:rPr>
        <w:t xml:space="preserve"> </w:t>
      </w:r>
      <w:r>
        <w:rPr>
          <w:rFonts w:ascii="Arial" w:cs="Arial" w:eastAsia="Arial" w:hAnsi="Arial"/>
          <w:sz w:val="16"/>
          <w:szCs w:val="16"/>
          <w:color w:val="auto"/>
        </w:rPr>
        <w:t>Note in an equal principal amount, the Owner hereby certifies (i) the beneficial interest is being acquired for the Owner’s own account without</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024"/>
          </w:cols>
          <w:pgMar w:left="436" w:top="274" w:right="439" w:bottom="1440" w:gutter="0" w:footer="0" w:header="0"/>
        </w:sectPr>
      </w:pPr>
    </w:p>
    <w:bookmarkStart w:id="136" w:name="page137"/>
    <w:bookmarkEnd w:id="136"/>
    <w:p>
      <w:pPr>
        <w:ind w:left="4"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24" w:lineRule="exact"/>
        <w:rPr>
          <w:sz w:val="20"/>
          <w:szCs w:val="20"/>
          <w:color w:val="auto"/>
        </w:rPr>
      </w:pPr>
    </w:p>
    <w:p>
      <w:pPr>
        <w:ind w:left="4" w:right="20" w:firstLine="987"/>
        <w:spacing w:after="0" w:line="224" w:lineRule="exact"/>
        <w:tabs>
          <w:tab w:leader="none" w:pos="1250" w:val="left"/>
        </w:tabs>
        <w:numPr>
          <w:ilvl w:val="1"/>
          <w:numId w:val="13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Exchange is from Restricted Physical Note to beneficial interest in an Unrestricted Global Note</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ind w:left="4" w:firstLine="987"/>
        <w:spacing w:after="0" w:line="224" w:lineRule="exact"/>
        <w:tabs>
          <w:tab w:leader="none" w:pos="1240" w:val="left"/>
        </w:tabs>
        <w:numPr>
          <w:ilvl w:val="1"/>
          <w:numId w:val="13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Exchange is from Restricted Physical Note to Unrestricted Physical Note</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Owner’s Exchange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201" w:lineRule="exact"/>
        <w:rPr>
          <w:rFonts w:ascii="Arial" w:cs="Arial" w:eastAsia="Arial" w:hAnsi="Arial"/>
          <w:sz w:val="17"/>
          <w:szCs w:val="17"/>
          <w:color w:val="auto"/>
        </w:rPr>
      </w:pPr>
    </w:p>
    <w:p>
      <w:pPr>
        <w:ind w:left="184" w:hanging="184"/>
        <w:spacing w:after="0"/>
        <w:tabs>
          <w:tab w:leader="none" w:pos="184"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Exchange of Restricted Physical Notes for Restricted Physical Notes or Beneficial Interests in Restricted Global Notes.</w:t>
      </w:r>
    </w:p>
    <w:p>
      <w:pPr>
        <w:spacing w:after="0" w:line="196" w:lineRule="exact"/>
        <w:rPr>
          <w:rFonts w:ascii="Arial" w:cs="Arial" w:eastAsia="Arial" w:hAnsi="Arial"/>
          <w:sz w:val="18"/>
          <w:szCs w:val="18"/>
          <w:color w:val="auto"/>
        </w:rPr>
      </w:pPr>
    </w:p>
    <w:p>
      <w:pPr>
        <w:ind w:left="4" w:right="120" w:firstLine="987"/>
        <w:spacing w:after="0" w:line="223" w:lineRule="exact"/>
        <w:tabs>
          <w:tab w:leader="none" w:pos="1240" w:val="left"/>
        </w:tabs>
        <w:numPr>
          <w:ilvl w:val="1"/>
          <w:numId w:val="13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Exchange is from Restricted Physical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Restricted Physical Note for a beneficial interest in the [CHECK ONE] __ Rule 144A Global Note or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004"/>
          </w:cols>
          <w:pgMar w:left="436" w:top="274" w:right="459" w:bottom="1440" w:gutter="0" w:footer="0" w:header="0"/>
        </w:sectPr>
      </w:pPr>
    </w:p>
    <w:bookmarkStart w:id="137" w:name="page138"/>
    <w:bookmarkEnd w:id="13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0019"/>
          </w:cols>
          <w:pgMar w:left="440" w:top="274"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Two Liberty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South 16th Street, 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Station: EX-PA-WBSP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215-761-9326 Facsimile: 215-761-9412</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Michael Judge</w:t>
      </w:r>
    </w:p>
    <w:p>
      <w:pPr>
        <w:spacing w:after="0" w:line="211"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5.250% Senior Notes due 2030</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(CUSIP______________)</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(ISIN _______________)</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Reference is hereby made to the Indenture, dated as of March 17, 2022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among Crown Americas LLC (“</w:t>
      </w:r>
      <w:r>
        <w:rPr>
          <w:rFonts w:ascii="Arial" w:cs="Arial" w:eastAsia="Arial" w:hAnsi="Arial"/>
          <w:sz w:val="18"/>
          <w:szCs w:val="18"/>
          <w:u w:val="single" w:color="auto"/>
          <w:color w:val="auto"/>
        </w:rPr>
        <w:t>Crown Americas</w:t>
      </w:r>
      <w:r>
        <w:rPr>
          <w:rFonts w:ascii="Arial" w:cs="Arial" w:eastAsia="Arial" w:hAnsi="Arial"/>
          <w:sz w:val="18"/>
          <w:szCs w:val="18"/>
          <w:color w:val="auto"/>
        </w:rPr>
        <w:t>”), as issuer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and U.S. Bank National Association, as trustee. Capitalized terms used but not defined herein shall have the meanings given to them in the Indenture.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connection with our proposed purchase of ____________ aggregate principal amount of:</w:t>
      </w:r>
    </w:p>
    <w:p>
      <w:pPr>
        <w:spacing w:after="0" w:line="192" w:lineRule="exact"/>
        <w:rPr>
          <w:sz w:val="20"/>
          <w:szCs w:val="20"/>
          <w:color w:val="auto"/>
        </w:rPr>
      </w:pPr>
    </w:p>
    <w:p>
      <w:pPr>
        <w:ind w:left="1240" w:hanging="253"/>
        <w:spacing w:after="0" w:line="207" w:lineRule="exact"/>
        <w:tabs>
          <w:tab w:leader="none" w:pos="1240" w:val="left"/>
        </w:tabs>
        <w:numPr>
          <w:ilvl w:val="0"/>
          <w:numId w:val="13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1240" w:hanging="253"/>
        <w:spacing w:after="0" w:line="207" w:lineRule="exact"/>
        <w:tabs>
          <w:tab w:leader="none" w:pos="1240" w:val="left"/>
        </w:tabs>
        <w:numPr>
          <w:ilvl w:val="0"/>
          <w:numId w:val="13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Physical Note,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117" w:lineRule="exact"/>
        <w:rPr>
          <w:sz w:val="20"/>
          <w:szCs w:val="20"/>
          <w:color w:val="auto"/>
        </w:rPr>
      </w:pPr>
    </w:p>
    <w:p>
      <w:pPr>
        <w:ind w:right="160" w:firstLine="987"/>
        <w:spacing w:after="0" w:line="311" w:lineRule="auto"/>
        <w:tabs>
          <w:tab w:leader="none" w:pos="117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020"/>
          </w:cols>
          <w:pgMar w:left="440" w:top="274" w:right="439" w:bottom="1440" w:gutter="0" w:footer="0" w:header="0"/>
        </w:sectPr>
      </w:pPr>
    </w:p>
    <w:bookmarkStart w:id="139" w:name="page140"/>
    <w:bookmarkEnd w:id="139"/>
    <w:p>
      <w:pPr>
        <w:ind w:left="4" w:right="40" w:firstLine="987"/>
        <w:spacing w:after="0" w:line="287" w:lineRule="auto"/>
        <w:tabs>
          <w:tab w:leader="none" w:pos="1175"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w:t>
      </w:r>
    </w:p>
    <w:p>
      <w:pPr>
        <w:spacing w:after="0" w:line="2" w:lineRule="exact"/>
        <w:rPr>
          <w:rFonts w:ascii="Arial" w:cs="Arial" w:eastAsia="Arial" w:hAnsi="Arial"/>
          <w:sz w:val="16"/>
          <w:szCs w:val="16"/>
          <w:color w:val="auto"/>
        </w:rPr>
      </w:pPr>
    </w:p>
    <w:p>
      <w:pPr>
        <w:ind w:left="4" w:right="200" w:hanging="4"/>
        <w:spacing w:after="0" w:line="281" w:lineRule="auto"/>
        <w:tabs>
          <w:tab w:leader="none" w:pos="28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w:t>
      </w:r>
    </w:p>
    <w:p>
      <w:pPr>
        <w:spacing w:after="0" w:line="2" w:lineRule="exact"/>
        <w:rPr>
          <w:rFonts w:ascii="Arial" w:cs="Arial" w:eastAsia="Arial" w:hAnsi="Arial"/>
          <w:sz w:val="16"/>
          <w:szCs w:val="16"/>
          <w:color w:val="auto"/>
        </w:rPr>
      </w:pPr>
    </w:p>
    <w:p>
      <w:pPr>
        <w:jc w:val="both"/>
        <w:ind w:left="4" w:right="20" w:hanging="4"/>
        <w:spacing w:after="0" w:line="253" w:lineRule="auto"/>
        <w:tabs>
          <w:tab w:leader="none" w:pos="29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outside the United States in accordance with Rule 904 of Regulation S under the Securities Act or (E) pursuant to an effective registration statement under the Securities Act, and we further agree to provide to any person purchasing the Physical Note or beneficial interest in a Global Note from us in a transaction meeting the requirements of clauses (A) through (E) of this paragraph a notice advising such purchaser that resales thereof are restricted as stated herein.</w:t>
      </w:r>
    </w:p>
    <w:p>
      <w:pPr>
        <w:spacing w:after="0" w:line="192" w:lineRule="exact"/>
        <w:rPr>
          <w:rFonts w:ascii="Arial" w:cs="Arial" w:eastAsia="Arial" w:hAnsi="Arial"/>
          <w:sz w:val="18"/>
          <w:szCs w:val="18"/>
          <w:color w:val="auto"/>
        </w:rPr>
      </w:pPr>
    </w:p>
    <w:p>
      <w:pPr>
        <w:ind w:left="4" w:right="60" w:firstLine="987"/>
        <w:spacing w:after="0" w:line="286" w:lineRule="auto"/>
        <w:tabs>
          <w:tab w:leader="none" w:pos="117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65" w:lineRule="exact"/>
        <w:rPr>
          <w:rFonts w:ascii="Arial" w:cs="Arial" w:eastAsia="Arial" w:hAnsi="Arial"/>
          <w:sz w:val="17"/>
          <w:szCs w:val="17"/>
          <w:color w:val="auto"/>
        </w:rPr>
      </w:pPr>
    </w:p>
    <w:p>
      <w:pPr>
        <w:ind w:left="4" w:firstLine="987"/>
        <w:spacing w:after="0" w:line="286" w:lineRule="auto"/>
        <w:tabs>
          <w:tab w:leader="none" w:pos="117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65" w:lineRule="exact"/>
        <w:rPr>
          <w:rFonts w:ascii="Arial" w:cs="Arial" w:eastAsia="Arial" w:hAnsi="Arial"/>
          <w:sz w:val="17"/>
          <w:szCs w:val="17"/>
          <w:color w:val="auto"/>
        </w:rPr>
      </w:pPr>
    </w:p>
    <w:p>
      <w:pPr>
        <w:ind w:left="4" w:right="400" w:firstLine="987"/>
        <w:spacing w:after="0" w:line="277" w:lineRule="auto"/>
        <w:tabs>
          <w:tab w:leader="none" w:pos="117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left="4" w:right="680" w:firstLine="991"/>
        <w:spacing w:after="0" w:line="308" w:lineRule="auto"/>
        <w:rPr>
          <w:sz w:val="20"/>
          <w:szCs w:val="20"/>
          <w:color w:val="auto"/>
        </w:rPr>
      </w:pPr>
      <w:r>
        <w:rPr>
          <w:rFonts w:ascii="Arial" w:cs="Arial" w:eastAsia="Arial" w:hAnsi="Arial"/>
          <w:sz w:val="17"/>
          <w:szCs w:val="17"/>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0964"/>
          </w:cols>
          <w:pgMar w:left="436" w:top="274" w:right="499" w:bottom="1440" w:gutter="0" w:footer="0" w:header="0"/>
        </w:sectPr>
      </w:pPr>
    </w:p>
    <w:bookmarkStart w:id="140" w:name="page141"/>
    <w:bookmarkEnd w:id="140"/>
    <w:p>
      <w:pPr>
        <w:ind w:left="6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[Insert Name of Accredited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-115570</wp:posOffset>
            </wp:positionV>
            <wp:extent cx="27946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0019"/>
          </w:cols>
          <w:pgMar w:left="440" w:top="503"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Each of the undersigned (the “</w:t>
      </w:r>
      <w:r>
        <w:rPr>
          <w:rFonts w:ascii="Arial" w:cs="Arial" w:eastAsia="Arial" w:hAnsi="Arial"/>
          <w:sz w:val="17"/>
          <w:szCs w:val="17"/>
          <w:u w:val="single" w:color="auto"/>
          <w:color w:val="auto"/>
        </w:rPr>
        <w:t>Guarantors</w:t>
      </w:r>
      <w:r>
        <w:rPr>
          <w:rFonts w:ascii="Arial" w:cs="Arial" w:eastAsia="Arial" w:hAnsi="Arial"/>
          <w:sz w:val="17"/>
          <w:szCs w:val="17"/>
          <w:color w:val="auto"/>
        </w:rPr>
        <w:t>”) hereby jointly and severally unconditionally guarantees, to the extent set forth in the Indenture, dated as of March 17, 2022, by and among Crown Americas LLC (“</w:t>
      </w:r>
      <w:r>
        <w:rPr>
          <w:rFonts w:ascii="Arial" w:cs="Arial" w:eastAsia="Arial" w:hAnsi="Arial"/>
          <w:sz w:val="17"/>
          <w:szCs w:val="17"/>
          <w:u w:val="single" w:color="auto"/>
          <w:color w:val="auto"/>
        </w:rPr>
        <w:t>Crown Americas</w:t>
      </w:r>
      <w:r>
        <w:rPr>
          <w:rFonts w:ascii="Arial" w:cs="Arial" w:eastAsia="Arial" w:hAnsi="Arial"/>
          <w:sz w:val="17"/>
          <w:szCs w:val="17"/>
          <w:color w:val="auto"/>
        </w:rPr>
        <w:t>”), as issuer (the “</w:t>
      </w:r>
      <w:r>
        <w:rPr>
          <w:rFonts w:ascii="Arial" w:cs="Arial" w:eastAsia="Arial" w:hAnsi="Arial"/>
          <w:sz w:val="17"/>
          <w:szCs w:val="17"/>
          <w:u w:val="single" w:color="auto"/>
          <w:color w:val="auto"/>
        </w:rPr>
        <w:t>Issuer</w:t>
      </w:r>
      <w:r>
        <w:rPr>
          <w:rFonts w:ascii="Arial" w:cs="Arial" w:eastAsia="Arial" w:hAnsi="Arial"/>
          <w:sz w:val="17"/>
          <w:szCs w:val="17"/>
          <w:color w:val="auto"/>
        </w:rPr>
        <w:t>”), the Guarantors and U.S. Bank National Association, as trustee (as amended, restated or supplemented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and subject to the Indenture, (a) the due and punctual payment of the principal of, and premium, if any, and interest on the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Issuer to the Noteholders or the Trustee, all in accordance with the terms set forth in Article Ten of the Indenture,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and (c) all amounts due to the Trustee pursuant to the Indenture.</w:t>
      </w:r>
    </w:p>
    <w:p>
      <w:pPr>
        <w:spacing w:after="0" w:line="18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obligations of the Guarantors to the Noteholders and to the Trustee pursuant to this Guarantee and the Indenture are expressly set forth in Article Ten of the Indenture, and reference is hereby made to the Indenture for the precise terms and limitations of this Guarantee. Each Holder of the Note to which this Guarantee is endorsed, by accepting such Note, agrees to and shall be bound by such provisions. Capitalized terms used herein without definition shall have the meanings ascribed thereto in the Indenture.</w:t>
      </w:r>
    </w:p>
    <w:p>
      <w:pPr>
        <w:spacing w:after="0" w:line="187"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46"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Each Guarantor (i) acknowledges that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(ii) irrevocably submits to the non-exclusive jurisdiction of any such court in any such suit or proceeding in (i) above and (iii) agrees that service of process upon the Issuer in accordance with this Guarantee shall be deemed in every respect effective service of process upon the Issuer or any Guarantor, if any, in any such suit or proceeding.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20"/>
          </w:cols>
          <w:pgMar w:left="440" w:top="274" w:right="4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Guarantors has caused this Guarantee to be signed by a duly authorized officer.</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 USA,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CROWN Beverage Packaging Puerto Rico, Inc.</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Cork &amp; Seal USA,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14605</wp:posOffset>
            </wp:positionV>
            <wp:extent cx="26574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Beverage Holdings,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Financial Corporation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14605</wp:posOffset>
            </wp:positionV>
            <wp:extent cx="26574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Cork &amp; Seal Company (DE),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14605</wp:posOffset>
            </wp:positionV>
            <wp:extent cx="26574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9080"/>
          </w:cols>
          <w:pgMar w:left="1420" w:top="274" w:right="1399" w:bottom="1440" w:gutter="0" w:footer="0" w:header="0"/>
        </w:sectPr>
      </w:pPr>
    </w:p>
    <w:bookmarkStart w:id="143" w:name="page144"/>
    <w:bookmarkEnd w:id="14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Manufacturers Finance Corporation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Packaging,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Packaging Technology,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Industrial Group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Signode Industrial Group Holdings US Inc.</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International IP Holdings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I-3</w:t>
      </w:r>
    </w:p>
    <w:p>
      <w:pPr>
        <w:sectPr>
          <w:pgSz w:w="11900" w:h="16838" w:orient="portrait"/>
          <w:cols w:equalWidth="0" w:num="1">
            <w:col w:w="9019"/>
          </w:cols>
          <w:pgMar w:left="1440" w:top="274"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5.250% Senior Notes due 2030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17,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Initial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Mizuho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Crown Holdings, Inc., a Pennsylvania corporation, and the indirect parent company of Crown Americas LLC, a Pennsylvania limited liability company , proposes among other things, that the Company (as defined below) issues and sells to the several initial purchasers named in Schedule I hereto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for whom you are acting as representatives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$500,000,000 aggregate principal amount of its 5.250% Senior Notes due 2030 (the “</w:t>
      </w:r>
      <w:r>
        <w:rPr>
          <w:rFonts w:ascii="Arial" w:cs="Arial" w:eastAsia="Arial" w:hAnsi="Arial"/>
          <w:sz w:val="16"/>
          <w:szCs w:val="16"/>
          <w:u w:val="single" w:color="auto"/>
          <w:color w:val="auto"/>
        </w:rPr>
        <w:t>Notes</w:t>
      </w:r>
      <w:r>
        <w:rPr>
          <w:rFonts w:ascii="Arial" w:cs="Arial" w:eastAsia="Arial" w:hAnsi="Arial"/>
          <w:sz w:val="16"/>
          <w:szCs w:val="16"/>
          <w:color w:val="auto"/>
        </w:rPr>
        <w:t>”) upon the terms and conditions set forth in a purchase agreement dated March 14, 2022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relating to the initial placement of the Notes (the “</w:t>
      </w:r>
      <w:r>
        <w:rPr>
          <w:rFonts w:ascii="Arial" w:cs="Arial" w:eastAsia="Arial" w:hAnsi="Arial"/>
          <w:sz w:val="16"/>
          <w:szCs w:val="16"/>
          <w:u w:val="single" w:color="auto"/>
          <w:color w:val="auto"/>
        </w:rPr>
        <w:t>Initial Placement</w:t>
      </w:r>
      <w:r>
        <w:rPr>
          <w:rFonts w:ascii="Arial" w:cs="Arial" w:eastAsia="Arial" w:hAnsi="Arial"/>
          <w:sz w:val="16"/>
          <w:szCs w:val="16"/>
          <w:color w:val="auto"/>
        </w:rPr>
        <w:t>”). The Company’s obligations under the Notes will be initially unconditionally guaranteed (the “</w:t>
      </w:r>
      <w:r>
        <w:rPr>
          <w:rFonts w:ascii="Arial" w:cs="Arial" w:eastAsia="Arial" w:hAnsi="Arial"/>
          <w:sz w:val="16"/>
          <w:szCs w:val="16"/>
          <w:u w:val="single" w:color="auto"/>
          <w:color w:val="auto"/>
        </w:rPr>
        <w:t>Guarantees</w:t>
      </w:r>
      <w:r>
        <w:rPr>
          <w:rFonts w:ascii="Arial" w:cs="Arial" w:eastAsia="Arial" w:hAnsi="Arial"/>
          <w:sz w:val="16"/>
          <w:szCs w:val="16"/>
          <w:color w:val="auto"/>
        </w:rPr>
        <w:t xml:space="preserve">”) by Crown (as defined below) and each of Crown’s subsidiaries named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to the Purchase Agreement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References herein to the “</w:t>
      </w:r>
      <w:r>
        <w:rPr>
          <w:rFonts w:ascii="Arial" w:cs="Arial" w:eastAsia="Arial" w:hAnsi="Arial"/>
          <w:sz w:val="16"/>
          <w:szCs w:val="16"/>
          <w:u w:val="single" w:color="auto"/>
          <w:color w:val="auto"/>
        </w:rPr>
        <w:t>Issuers</w:t>
      </w:r>
      <w:r>
        <w:rPr>
          <w:rFonts w:ascii="Arial" w:cs="Arial" w:eastAsia="Arial" w:hAnsi="Arial"/>
          <w:sz w:val="16"/>
          <w:szCs w:val="16"/>
          <w:color w:val="auto"/>
        </w:rPr>
        <w:t>” refer to the Company and the Guarantors. References herein to the “</w:t>
      </w:r>
      <w:r>
        <w:rPr>
          <w:rFonts w:ascii="Arial" w:cs="Arial" w:eastAsia="Arial" w:hAnsi="Arial"/>
          <w:sz w:val="16"/>
          <w:szCs w:val="16"/>
          <w:u w:val="single" w:color="auto"/>
          <w:color w:val="auto"/>
        </w:rPr>
        <w:t>Securities</w:t>
      </w:r>
      <w:r>
        <w:rPr>
          <w:rFonts w:ascii="Arial" w:cs="Arial" w:eastAsia="Arial" w:hAnsi="Arial"/>
          <w:sz w:val="16"/>
          <w:szCs w:val="16"/>
          <w:color w:val="auto"/>
        </w:rPr>
        <w:t>” refer to the Notes and the Guarantees. To induce the Initial Purchasers to enter into the Purchase Agreement and to satisfy a condition of your obligations thereunder, the Issuers hereby agree with you for your benefit and the benefit of the holders from time to time of Securities and Exchange Securities (as defined below) (including the Initial Purchasers) (each a “</w:t>
      </w:r>
      <w:r>
        <w:rPr>
          <w:rFonts w:ascii="Arial" w:cs="Arial" w:eastAsia="Arial" w:hAnsi="Arial"/>
          <w:sz w:val="16"/>
          <w:szCs w:val="16"/>
          <w:u w:val="single" w:color="auto"/>
          <w:color w:val="auto"/>
        </w:rPr>
        <w:t>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as follows:</w:t>
      </w:r>
    </w:p>
    <w:p>
      <w:pPr>
        <w:spacing w:after="0" w:line="60" w:lineRule="exact"/>
        <w:rPr>
          <w:sz w:val="20"/>
          <w:szCs w:val="20"/>
          <w:color w:val="auto"/>
        </w:rPr>
      </w:pPr>
    </w:p>
    <w:p>
      <w:pPr>
        <w:ind w:right="160" w:firstLine="987"/>
        <w:spacing w:after="0" w:line="277" w:lineRule="auto"/>
        <w:tabs>
          <w:tab w:leader="none" w:pos="117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their respective meanings set forth in the Purchase Agreement. As used in this Agreement, the following defined terms shall have the following respective meanings: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ectPr>
          <w:pgSz w:w="11900" w:h="16838" w:orient="portrait"/>
          <w:cols w:equalWidth="0" w:num="1">
            <w:col w:w="11020"/>
          </w:cols>
          <w:pgMar w:left="440" w:top="121" w:right="439" w:bottom="1440" w:gutter="0" w:footer="0" w:header="0"/>
        </w:sectPr>
      </w:pPr>
    </w:p>
    <w:bookmarkStart w:id="145" w:name="page146"/>
    <w:bookmarkEnd w:id="14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shall have the meaning set forth in Section 8 hereof.</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shall mean any other Person that, directly or indirectly, is in control of, is controlled by, or is under common control with, such specified Person. For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of a Person shall mean the power, direct or indirect, to direct or cause the direction of the management and policies of such Person whether by contract or otherwise; and the terms “controlling” and “controlled” shall have meanings correlative to the foregoing.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w:t>
      </w:r>
      <w:r>
        <w:rPr>
          <w:rFonts w:ascii="Arial" w:cs="Arial" w:eastAsia="Arial" w:hAnsi="Arial"/>
          <w:sz w:val="18"/>
          <w:szCs w:val="18"/>
          <w:color w:val="auto"/>
        </w:rPr>
        <w:t>” shall mean any broker or dealer registered as such under the Exchange Act.</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Crown Americas LLC, a Pennsylvania limited liability company, and any successor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Conduct Rules</w:t>
      </w:r>
      <w:r>
        <w:rPr>
          <w:rFonts w:ascii="Arial" w:cs="Arial" w:eastAsia="Arial" w:hAnsi="Arial"/>
          <w:sz w:val="18"/>
          <w:szCs w:val="18"/>
          <w:color w:val="auto"/>
        </w:rPr>
        <w:t>” shall have the meaning set forth in Section 4(u)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Crown</w:t>
      </w:r>
      <w:r>
        <w:rPr>
          <w:rFonts w:ascii="Arial" w:cs="Arial" w:eastAsia="Arial" w:hAnsi="Arial"/>
          <w:sz w:val="18"/>
          <w:szCs w:val="18"/>
          <w:color w:val="auto"/>
        </w:rPr>
        <w:t>” shall mean Crown Holdings, Inc., a Pennsylvania corporation, and any successor thereto.</w:t>
      </w:r>
    </w:p>
    <w:p>
      <w:pPr>
        <w:spacing w:after="0" w:line="225"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right="3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Offer Registration Period</w:t>
      </w:r>
      <w:r>
        <w:rPr>
          <w:rFonts w:ascii="Arial" w:cs="Arial" w:eastAsia="Arial" w:hAnsi="Arial"/>
          <w:sz w:val="16"/>
          <w:szCs w:val="16"/>
          <w:color w:val="auto"/>
        </w:rPr>
        <w:t>” shall mean the one-year period following the consummation of the Registered Exchange Offer, exclusive of any period during which any stop order shall be in effect suspending the effectiveness of the Exchange Offer Registration Statement.</w:t>
      </w:r>
    </w:p>
    <w:p>
      <w:pPr>
        <w:spacing w:after="0" w:line="124"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Offer Registration Statement</w:t>
      </w:r>
      <w:r>
        <w:rPr>
          <w:rFonts w:ascii="Arial" w:cs="Arial" w:eastAsia="Arial" w:hAnsi="Arial"/>
          <w:sz w:val="16"/>
          <w:szCs w:val="16"/>
          <w:color w:val="auto"/>
        </w:rPr>
        <w:t>” shall mean a registration statement of the Issuers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w:t>
      </w:r>
    </w:p>
    <w:p>
      <w:pPr>
        <w:spacing w:after="0" w:line="149" w:lineRule="exact"/>
        <w:rPr>
          <w:sz w:val="20"/>
          <w:szCs w:val="20"/>
          <w:color w:val="auto"/>
        </w:rPr>
      </w:pPr>
    </w:p>
    <w:p>
      <w:pPr>
        <w:ind w:right="2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Securities</w:t>
      </w:r>
      <w:r>
        <w:rPr>
          <w:rFonts w:ascii="Arial" w:cs="Arial" w:eastAsia="Arial" w:hAnsi="Arial"/>
          <w:sz w:val="17"/>
          <w:szCs w:val="17"/>
          <w:color w:val="auto"/>
        </w:rPr>
        <w:t>” shall mean debt securities of the Company guaranteed by the Guarantors identical in all material respects to the Securities (except that the U.S. transfer restrictions shall be modified or eliminated as appropriate) to be issued under the Indenture.</w:t>
      </w:r>
    </w:p>
    <w:p>
      <w:pPr>
        <w:spacing w:after="0" w:line="14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Exchanging Dealer</w:t>
      </w:r>
      <w:r>
        <w:rPr>
          <w:rFonts w:ascii="Arial" w:cs="Arial" w:eastAsia="Arial" w:hAnsi="Arial"/>
          <w:sz w:val="18"/>
          <w:szCs w:val="18"/>
          <w:color w:val="auto"/>
        </w:rPr>
        <w:t>” shall mean any Holder (which may include any Initial Purchaser) that is a Broker-Dealer and elects to exchange any Securities that it acquired for its own account as a result of market-making activities or other trading activities (but not directly from any Issuer or any Affiliate of any Issuer) for Exchange Securities.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Memorandum</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Guarantees</w:t>
      </w:r>
      <w:r>
        <w:rPr>
          <w:rFonts w:ascii="Arial" w:cs="Arial" w:eastAsia="Arial" w:hAnsi="Arial"/>
          <w:sz w:val="18"/>
          <w:szCs w:val="18"/>
          <w:color w:val="auto"/>
        </w:rPr>
        <w:t>” shall have the meaning set forth in the preamble hereto.</w:t>
      </w:r>
    </w:p>
    <w:p>
      <w:pPr>
        <w:sectPr>
          <w:pgSz w:w="11900" w:h="16838" w:orient="portrait"/>
          <w:cols w:equalWidth="0" w:num="1">
            <w:col w:w="10920"/>
          </w:cols>
          <w:pgMar w:left="440" w:top="274" w:right="539" w:bottom="1440" w:gutter="0" w:footer="0" w:header="0"/>
        </w:sectPr>
      </w:pPr>
    </w:p>
    <w:bookmarkStart w:id="146" w:name="page147"/>
    <w:bookmarkEnd w:id="14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Guarantors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shall mean the Indenture relating to the Securities to be dated as of the date of original issuance of the Notes among the Company, the Guarantors and U.S. Bank National Association, as trustee, as amended or supplemented from time to time in accordance with the terms thereof.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Placement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shall mean March 17, 2022, the date of first issuance of the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6(d) hereof.</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Holders</w:t>
      </w:r>
      <w:r>
        <w:rPr>
          <w:rFonts w:ascii="Arial" w:cs="Arial" w:eastAsia="Arial" w:hAnsi="Arial"/>
          <w:sz w:val="18"/>
          <w:szCs w:val="18"/>
          <w:color w:val="auto"/>
        </w:rPr>
        <w:t>” shall mean, on any date, Holders of a majority of the aggregate principal amount of Securities and Exchange Securities registered under a Registration Statement.</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Underwriters</w:t>
      </w:r>
      <w:r>
        <w:rPr>
          <w:rFonts w:ascii="Arial" w:cs="Arial" w:eastAsia="Arial" w:hAnsi="Arial"/>
          <w:sz w:val="18"/>
          <w:szCs w:val="18"/>
          <w:color w:val="auto"/>
        </w:rPr>
        <w:t>” shall mean the investment banker or investment bankers and manager or managers that shall administer an underwritten offering.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trustee, corporation, partnership, limited liability company, joint stock company, trust, unincorporated association, union, business association, firm or other legal entity.</w:t>
      </w:r>
    </w:p>
    <w:p>
      <w:pPr>
        <w:spacing w:after="0" w:line="170"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any Registration Statement (including, without limitation, a prospectus that discloses information previously omitted from a prospectus filed as part of an effective registration statement in reliance upon Rule 430A under the Act and any “issuer free writing prospectus” as defined in Rule 433 under the Act), as amended or supplemented by any prospectus supplement, with respect to the terms of the offering of any portion of the Securities or the Exchange Securities covered by such Registration Statement, and all amendments and supplements thereto, including any and all exhibits thereto and any information incorporated by reference therein.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Exchange Offer</w:t>
      </w:r>
      <w:r>
        <w:rPr>
          <w:rFonts w:ascii="Arial" w:cs="Arial" w:eastAsia="Arial" w:hAnsi="Arial"/>
          <w:sz w:val="18"/>
          <w:szCs w:val="18"/>
          <w:color w:val="auto"/>
        </w:rPr>
        <w:t>” shall mean the proposed offer of the Issuers to issue and deliver to the Holders of the Securities that are not prohibited by any law or policy of the Commission from participating in such offer, in exchange for the Securities, a like aggregate principal amount of the Exchange Securities.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Default</w:t>
      </w:r>
      <w:r>
        <w:rPr>
          <w:rFonts w:ascii="Arial" w:cs="Arial" w:eastAsia="Arial" w:hAnsi="Arial"/>
          <w:sz w:val="18"/>
          <w:szCs w:val="18"/>
          <w:color w:val="auto"/>
        </w:rPr>
        <w:t>” shall have the meaning set forth in Section 8 hereof.</w:t>
      </w:r>
    </w:p>
    <w:p>
      <w:pPr>
        <w:spacing w:after="0" w:line="225"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Exchange Offer Registration Statement or Shelf Registration Statement that covers any of the Securities or the Exchange Securities pursuant to the provisions of this Agreement, any amendments and supplements to such registration statement, including post-effective amendments (in each case including the Prospectus contained therein), all exhibits thereto and all material incorporated by reference therein.</w:t>
      </w:r>
    </w:p>
    <w:p>
      <w:pPr>
        <w:sectPr>
          <w:pgSz w:w="11900" w:h="16838" w:orient="portrait"/>
          <w:cols w:equalWidth="0" w:num="1">
            <w:col w:w="11000"/>
          </w:cols>
          <w:pgMar w:left="440" w:top="274" w:right="459" w:bottom="1440" w:gutter="0" w:footer="0" w:header="0"/>
        </w:sectPr>
      </w:pPr>
    </w:p>
    <w:bookmarkStart w:id="147" w:name="page148"/>
    <w:bookmarkEnd w:id="14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shall mean a registration effected pursuant to Section 3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Period</w:t>
      </w:r>
      <w:r>
        <w:rPr>
          <w:rFonts w:ascii="Arial" w:cs="Arial" w:eastAsia="Arial" w:hAnsi="Arial"/>
          <w:sz w:val="18"/>
          <w:szCs w:val="18"/>
          <w:color w:val="auto"/>
        </w:rPr>
        <w:t>” shall have the meaning set forth in Section 3(b) hereof.</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shall mean a “shelf” registration statement of the Issuers pursuant to the provisions of Section 3 hereof which covers some or all of the Securities or Exchange Securities,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with respect to the Securities under the Indenture.</w:t>
      </w:r>
    </w:p>
    <w:p>
      <w:pPr>
        <w:spacing w:after="0" w:line="225"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mean any underwriter of Securities or Exchange Securities in connection with an offering thereof under a Shelf Registration Statement.</w:t>
      </w:r>
    </w:p>
    <w:p>
      <w:pPr>
        <w:spacing w:after="0" w:line="170" w:lineRule="exact"/>
        <w:rPr>
          <w:sz w:val="20"/>
          <w:szCs w:val="20"/>
          <w:color w:val="auto"/>
        </w:rPr>
      </w:pPr>
    </w:p>
    <w:p>
      <w:pPr>
        <w:ind w:left="1160" w:hanging="173"/>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Registered Exchange Offer</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63" w:lineRule="auto"/>
        <w:tabs>
          <w:tab w:leader="none" w:pos="123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Issuers shall prepare and use their reasonable best efforts to file with the Commission and cause to become effective the Exchange Offer Registration Statement with respect to the Registered Exchange Offer. The Issuers shall use their reasonable best efforts to cause the Registered Exchange Offer to become completed under the Act within 360 days of the Issue Date.</w:t>
      </w:r>
    </w:p>
    <w:p>
      <w:pPr>
        <w:spacing w:after="0" w:line="183" w:lineRule="exact"/>
        <w:rPr>
          <w:rFonts w:ascii="Arial" w:cs="Arial" w:eastAsia="Arial" w:hAnsi="Arial"/>
          <w:sz w:val="18"/>
          <w:szCs w:val="18"/>
          <w:color w:val="auto"/>
        </w:rPr>
      </w:pPr>
    </w:p>
    <w:p>
      <w:pPr>
        <w:ind w:right="20" w:firstLine="987"/>
        <w:spacing w:after="0" w:line="291" w:lineRule="auto"/>
        <w:tabs>
          <w:tab w:leader="none" w:pos="124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Upon the effectiveness of the Exchange Offer Registration Statement, the Issuers shall promptly commence the Registered Exchange Offer, it being the objective of such Registered Exchange Offer to enable each Holder electing to exchange Securities for Exchange Securities (provided that such Holder (i) is not an Affiliate of any Issuer, (ii) acquires the Exchange Securities in the ordinary course of such Holder’s business, (iii) has no arrangements with any Person to participate in the distribution of the Exchange Securities, (iv) is not prohibited by any law or policy of the Commission from participating in the Registered Exchange Offer and (v) is not an Initial Purchaser holding Securities that have the status of an unsold allotment remaining from the initial distribution of the Securities) to trade such Exchange Securities from and after their receipt without any limitations or restrictions under the Act and without material restrictions under the securities laws of a substantial proportion of the several states of the United States.</w:t>
      </w:r>
    </w:p>
    <w:p>
      <w:pPr>
        <w:spacing w:after="0" w:line="166" w:lineRule="exact"/>
        <w:rPr>
          <w:rFonts w:ascii="Arial" w:cs="Arial" w:eastAsia="Arial" w:hAnsi="Arial"/>
          <w:sz w:val="16"/>
          <w:szCs w:val="16"/>
          <w:color w:val="auto"/>
        </w:rPr>
      </w:pPr>
    </w:p>
    <w:p>
      <w:pPr>
        <w:ind w:left="1240" w:hanging="253"/>
        <w:spacing w:after="0"/>
        <w:tabs>
          <w:tab w:leader="none" w:pos="1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connection with the Registered Exchange Offer, the Issuers shall:</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0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cause to be delivered to each Holder a copy of the Prospectus forming part of the Exchange Offer Registration Statement, together with an appropriate letter of transmittal and related documents;</w:t>
      </w:r>
    </w:p>
    <w:p>
      <w:pPr>
        <w:spacing w:after="0" w:line="62" w:lineRule="exact"/>
        <w:rPr>
          <w:rFonts w:ascii="Arial" w:cs="Arial" w:eastAsia="Arial" w:hAnsi="Arial"/>
          <w:sz w:val="18"/>
          <w:szCs w:val="18"/>
          <w:color w:val="auto"/>
        </w:rPr>
      </w:pPr>
    </w:p>
    <w:p>
      <w:pPr>
        <w:ind w:left="440" w:right="120" w:firstLine="419"/>
        <w:spacing w:after="0" w:line="263" w:lineRule="auto"/>
        <w:tabs>
          <w:tab w:leader="none" w:pos="112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keep the Registered Exchange Offer open for not less than 20 Business Days after the date notice thereof is mailed to the Holders (or longer if required by applicable law) and consummated such Registered Exchange Offer no later than the 35th day after the date notice thereof is mailed to the Holders (or longer if required by applicable law);</w:t>
      </w:r>
    </w:p>
    <w:p>
      <w:pPr>
        <w:sectPr>
          <w:pgSz w:w="11900" w:h="16838" w:orient="portrait"/>
          <w:cols w:equalWidth="0" w:num="1">
            <w:col w:w="10980"/>
          </w:cols>
          <w:pgMar w:left="440" w:top="274" w:right="479" w:bottom="1440" w:gutter="0" w:footer="0" w:header="0"/>
        </w:sectPr>
      </w:pPr>
    </w:p>
    <w:bookmarkStart w:id="148" w:name="page149"/>
    <w:bookmarkEnd w:id="148"/>
    <w:p>
      <w:pPr>
        <w:jc w:val="both"/>
        <w:ind w:left="-419" w:right="40" w:firstLine="419"/>
        <w:spacing w:after="0" w:line="263" w:lineRule="auto"/>
        <w:tabs>
          <w:tab w:leader="none" w:pos="3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their reasonable best efforts to keep the Exchange Offer Registration Statement continuously effective under the Act, supplemented and amended as required under the Act, to ensure that it is available for sales of Exchange Securities by Exchanging Dealers during the Exchange Offer Registration Period;</w:t>
      </w:r>
    </w:p>
    <w:p>
      <w:pPr>
        <w:spacing w:after="0" w:line="75" w:lineRule="exact"/>
        <w:rPr>
          <w:rFonts w:ascii="Arial" w:cs="Arial" w:eastAsia="Arial" w:hAnsi="Arial"/>
          <w:sz w:val="18"/>
          <w:szCs w:val="18"/>
          <w:color w:val="auto"/>
        </w:rPr>
      </w:pPr>
    </w:p>
    <w:p>
      <w:pPr>
        <w:ind w:left="-419" w:right="180" w:firstLine="419"/>
        <w:spacing w:after="0" w:line="277" w:lineRule="auto"/>
        <w:tabs>
          <w:tab w:leader="none" w:pos="3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utilize the services of a depositary for the Registered Exchange Offer with an address in the Borough of Manhattan in New York City, which may be the Trustee or an Affiliate of the Trustee;</w:t>
      </w:r>
    </w:p>
    <w:p>
      <w:pPr>
        <w:spacing w:after="0" w:line="62" w:lineRule="exact"/>
        <w:rPr>
          <w:rFonts w:ascii="Arial" w:cs="Arial" w:eastAsia="Arial" w:hAnsi="Arial"/>
          <w:sz w:val="18"/>
          <w:szCs w:val="18"/>
          <w:color w:val="auto"/>
        </w:rPr>
      </w:pPr>
    </w:p>
    <w:p>
      <w:pPr>
        <w:ind w:left="-419" w:right="200" w:firstLine="419"/>
        <w:spacing w:after="0" w:line="277" w:lineRule="auto"/>
        <w:tabs>
          <w:tab w:leader="none" w:pos="2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permit Holders to withdraw tendered Securities at any time prior to the close of business, New York time, on the last Business Day on which the Registered Exchange Offer is open;</w:t>
      </w:r>
    </w:p>
    <w:p>
      <w:pPr>
        <w:spacing w:after="0" w:line="62" w:lineRule="exact"/>
        <w:rPr>
          <w:rFonts w:ascii="Arial" w:cs="Arial" w:eastAsia="Arial" w:hAnsi="Arial"/>
          <w:sz w:val="18"/>
          <w:szCs w:val="18"/>
          <w:color w:val="auto"/>
        </w:rPr>
      </w:pPr>
    </w:p>
    <w:p>
      <w:pPr>
        <w:ind w:left="-419" w:firstLine="419"/>
        <w:spacing w:after="0" w:line="272" w:lineRule="auto"/>
        <w:tabs>
          <w:tab w:leader="none" w:pos="30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if requested by the Commission, prior to effectiveness of the Exchange Offer Registration Statement, provide a supplemental letter to the Commission (A) stating that the Issuers are conducting the Registered Exchange Offer in reliance on the position of the Commission in </w:t>
      </w:r>
      <w:r>
        <w:rPr>
          <w:rFonts w:ascii="Arial" w:cs="Arial" w:eastAsia="Arial" w:hAnsi="Arial"/>
          <w:sz w:val="17"/>
          <w:szCs w:val="17"/>
          <w:u w:val="single" w:color="auto"/>
          <w:color w:val="auto"/>
        </w:rPr>
        <w:t>Exxon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Holdings Corporation</w:t>
      </w:r>
      <w:r>
        <w:rPr>
          <w:rFonts w:ascii="Arial" w:cs="Arial" w:eastAsia="Arial" w:hAnsi="Arial"/>
          <w:sz w:val="17"/>
          <w:szCs w:val="17"/>
          <w:color w:val="auto"/>
        </w:rPr>
        <w:t xml:space="preserve"> (pub. avail. May 13, 1988) and </w:t>
      </w:r>
      <w:r>
        <w:rPr>
          <w:rFonts w:ascii="Arial" w:cs="Arial" w:eastAsia="Arial" w:hAnsi="Arial"/>
          <w:sz w:val="17"/>
          <w:szCs w:val="17"/>
          <w:u w:val="single" w:color="auto"/>
          <w:color w:val="auto"/>
        </w:rPr>
        <w:t>Morgan Stanley and Co., Inc</w:t>
      </w:r>
      <w:r>
        <w:rPr>
          <w:rFonts w:ascii="Arial" w:cs="Arial" w:eastAsia="Arial" w:hAnsi="Arial"/>
          <w:sz w:val="17"/>
          <w:szCs w:val="17"/>
          <w:color w:val="auto"/>
        </w:rPr>
        <w:t>. (pub. avail. June 5, 1991); and (B) including a representation that the Issuers have not entered into any arrangement or understanding with any Person to distribute the Exchange Securities to be received in the Registered Exchange Offer and that, to the best of the Issuers’ information and belief, each Holder participating in the Registered Exchange Offer is acquiring the Exchange Securities in the ordinary course of business and has no arrangement or understanding with any Person to participate in the distribution of the Exchange Securities; and</w:t>
      </w:r>
    </w:p>
    <w:p>
      <w:pPr>
        <w:spacing w:after="0" w:line="69" w:lineRule="exact"/>
        <w:rPr>
          <w:rFonts w:ascii="Arial" w:cs="Arial" w:eastAsia="Arial" w:hAnsi="Arial"/>
          <w:sz w:val="17"/>
          <w:szCs w:val="17"/>
          <w:color w:val="auto"/>
        </w:rPr>
      </w:pPr>
    </w:p>
    <w:p>
      <w:pPr>
        <w:ind w:left="361" w:hanging="361"/>
        <w:spacing w:after="0"/>
        <w:tabs>
          <w:tab w:leader="none" w:pos="36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comply in all respects with all laws applicable to the Registered Exchange Offer.</w:t>
      </w:r>
    </w:p>
    <w:p>
      <w:pPr>
        <w:spacing w:after="0" w:line="225" w:lineRule="exact"/>
        <w:rPr>
          <w:sz w:val="20"/>
          <w:szCs w:val="20"/>
          <w:color w:val="auto"/>
        </w:rPr>
      </w:pPr>
    </w:p>
    <w:p>
      <w:pPr>
        <w:ind w:left="381" w:hanging="253"/>
        <w:spacing w:after="0"/>
        <w:tabs>
          <w:tab w:leader="none" w:pos="38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As soon as practicable after the close of the Registered Exchange Offer, the Issuers shall:</w:t>
      </w:r>
    </w:p>
    <w:p>
      <w:pPr>
        <w:spacing w:after="0" w:line="117" w:lineRule="exact"/>
        <w:rPr>
          <w:rFonts w:ascii="Arial" w:cs="Arial" w:eastAsia="Arial" w:hAnsi="Arial"/>
          <w:sz w:val="18"/>
          <w:szCs w:val="18"/>
          <w:color w:val="auto"/>
        </w:rPr>
      </w:pPr>
    </w:p>
    <w:p>
      <w:pPr>
        <w:ind w:left="221" w:hanging="221"/>
        <w:spacing w:after="0"/>
        <w:tabs>
          <w:tab w:leader="none" w:pos="22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accept for exchange all Securities validly tendered and not validly withdrawn pursuant to the Registered Exchange Offer;</w:t>
      </w:r>
    </w:p>
    <w:p>
      <w:pPr>
        <w:spacing w:after="0" w:line="117" w:lineRule="exact"/>
        <w:rPr>
          <w:rFonts w:ascii="Arial" w:cs="Arial" w:eastAsia="Arial" w:hAnsi="Arial"/>
          <w:sz w:val="18"/>
          <w:szCs w:val="18"/>
          <w:color w:val="auto"/>
        </w:rPr>
      </w:pPr>
    </w:p>
    <w:p>
      <w:pPr>
        <w:ind w:left="261" w:hanging="261"/>
        <w:spacing w:after="0"/>
        <w:tabs>
          <w:tab w:leader="none" w:pos="26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deliver to the Trustee for cancellation in accordance with Section 4(s) hereof all Securities so accepted for exchange; and</w:t>
      </w:r>
    </w:p>
    <w:p>
      <w:pPr>
        <w:spacing w:after="0" w:line="117" w:lineRule="exact"/>
        <w:rPr>
          <w:rFonts w:ascii="Arial" w:cs="Arial" w:eastAsia="Arial" w:hAnsi="Arial"/>
          <w:sz w:val="18"/>
          <w:szCs w:val="18"/>
          <w:color w:val="auto"/>
        </w:rPr>
      </w:pPr>
    </w:p>
    <w:p>
      <w:pPr>
        <w:ind w:left="-419" w:right="120" w:firstLine="419"/>
        <w:spacing w:after="0" w:line="277" w:lineRule="auto"/>
        <w:tabs>
          <w:tab w:leader="none" w:pos="3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cause the Trustee promptly to authenticate and deliver to each Holder of Securities a principal amount of Exchange Securities equal to the principal amount of the Securities of such Holder so accepted for exchange.</w:t>
      </w:r>
    </w:p>
    <w:p>
      <w:pPr>
        <w:spacing w:after="0" w:line="170" w:lineRule="exact"/>
        <w:rPr>
          <w:rFonts w:ascii="Arial" w:cs="Arial" w:eastAsia="Arial" w:hAnsi="Arial"/>
          <w:sz w:val="18"/>
          <w:szCs w:val="18"/>
          <w:color w:val="auto"/>
        </w:rPr>
      </w:pPr>
    </w:p>
    <w:p>
      <w:pPr>
        <w:ind w:left="-859" w:right="20" w:firstLine="987"/>
        <w:spacing w:after="0" w:line="270" w:lineRule="auto"/>
        <w:tabs>
          <w:tab w:leader="none" w:pos="37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Each Holder hereby acknowledges and agrees that any Broker-Dealer and any such Holder using the Registered Exchange Offer to participate in a distribution of the Exchange Securities (x) could not under Commission policy as in effect on the date of this Agreement rely on the position of the Commission in </w:t>
      </w:r>
      <w:r>
        <w:rPr>
          <w:rFonts w:ascii="Arial" w:cs="Arial" w:eastAsia="Arial" w:hAnsi="Arial"/>
          <w:sz w:val="17"/>
          <w:szCs w:val="17"/>
          <w:u w:val="single" w:color="auto"/>
          <w:color w:val="auto"/>
        </w:rPr>
        <w:t>Morgan Stanley and Co., Inc</w:t>
      </w:r>
      <w:r>
        <w:rPr>
          <w:rFonts w:ascii="Arial" w:cs="Arial" w:eastAsia="Arial" w:hAnsi="Arial"/>
          <w:sz w:val="17"/>
          <w:szCs w:val="17"/>
          <w:color w:val="auto"/>
        </w:rPr>
        <w:t xml:space="preserve">. (pub. avail. June 5, 1991) and </w:t>
      </w:r>
      <w:r>
        <w:rPr>
          <w:rFonts w:ascii="Arial" w:cs="Arial" w:eastAsia="Arial" w:hAnsi="Arial"/>
          <w:sz w:val="17"/>
          <w:szCs w:val="17"/>
          <w:u w:val="single" w:color="auto"/>
          <w:color w:val="auto"/>
        </w:rPr>
        <w:t>Exxon Capital Holdings Corporation</w:t>
      </w:r>
      <w:r>
        <w:rPr>
          <w:rFonts w:ascii="Arial" w:cs="Arial" w:eastAsia="Arial" w:hAnsi="Arial"/>
          <w:sz w:val="17"/>
          <w:szCs w:val="17"/>
          <w:color w:val="auto"/>
        </w:rPr>
        <w:t xml:space="preserve"> (pub. avail. May 13, 1988), as interpreted in the Commission’s letter to Shearman &amp; Sterling dated July 2, 1993 and similar no-action letters; and (y) must comply with the registration and prospectus delivery requirements of the Act in connection with any secondary resale transaction which must be covered by an effective registration statement containing the selling security holder information required by Item 507 or 508, as applicable, of Regulation S-K under the Act if the resales are of Exchange Securities obtained by such Holder in exchange for Securities acquired by such Holder directly from any Issuer or one of its Affiliates. Accordingly, each Holder participating in the Registered Exchange Offer shall be required to represent to the Issuers that, at the time of the consummation of the Registered Exchange Offer:</w:t>
      </w:r>
    </w:p>
    <w:p>
      <w:pPr>
        <w:sectPr>
          <w:pgSz w:w="11900" w:h="16838" w:orient="portrait"/>
          <w:cols w:equalWidth="0" w:num="1">
            <w:col w:w="10101"/>
          </w:cols>
          <w:pgMar w:left="1299" w:top="274" w:right="499" w:bottom="1440" w:gutter="0" w:footer="0" w:header="0"/>
        </w:sectPr>
      </w:pPr>
    </w:p>
    <w:bookmarkStart w:id="149" w:name="page150"/>
    <w:bookmarkEnd w:id="149"/>
    <w:p>
      <w:pPr>
        <w:ind w:left="1084" w:hanging="221"/>
        <w:spacing w:after="0"/>
        <w:tabs>
          <w:tab w:leader="none" w:pos="1084"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Exchange Securities received by such Holder will be acquired in the ordinary course of business;</w:t>
      </w:r>
    </w:p>
    <w:p>
      <w:pPr>
        <w:spacing w:after="0" w:line="117" w:lineRule="exact"/>
        <w:rPr>
          <w:rFonts w:ascii="Arial" w:cs="Arial" w:eastAsia="Arial" w:hAnsi="Arial"/>
          <w:sz w:val="18"/>
          <w:szCs w:val="18"/>
          <w:color w:val="auto"/>
        </w:rPr>
      </w:pPr>
    </w:p>
    <w:p>
      <w:pPr>
        <w:ind w:left="444" w:right="680" w:firstLine="419"/>
        <w:spacing w:after="0" w:line="277" w:lineRule="auto"/>
        <w:tabs>
          <w:tab w:leader="none" w:pos="113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Holder will have no arrangement or understanding with any Person to participate in the distribution of the Securities or the Exchange Securities within the meaning of the Act; and</w:t>
      </w:r>
    </w:p>
    <w:p>
      <w:pPr>
        <w:spacing w:after="0" w:line="62" w:lineRule="exact"/>
        <w:rPr>
          <w:rFonts w:ascii="Arial" w:cs="Arial" w:eastAsia="Arial" w:hAnsi="Arial"/>
          <w:sz w:val="18"/>
          <w:szCs w:val="18"/>
          <w:color w:val="auto"/>
        </w:rPr>
      </w:pPr>
    </w:p>
    <w:p>
      <w:pPr>
        <w:ind w:left="1184" w:hanging="321"/>
        <w:spacing w:after="0"/>
        <w:tabs>
          <w:tab w:leader="none" w:pos="118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Holder is not an Affiliate of any Issuer.</w:t>
      </w:r>
    </w:p>
    <w:p>
      <w:pPr>
        <w:spacing w:after="0" w:line="225" w:lineRule="exact"/>
        <w:rPr>
          <w:rFonts w:ascii="Arial" w:cs="Arial" w:eastAsia="Arial" w:hAnsi="Arial"/>
          <w:sz w:val="18"/>
          <w:szCs w:val="18"/>
          <w:color w:val="auto"/>
        </w:rPr>
      </w:pPr>
    </w:p>
    <w:p>
      <w:pPr>
        <w:ind w:left="4" w:right="80" w:firstLine="987"/>
        <w:spacing w:after="0" w:line="255" w:lineRule="auto"/>
        <w:tabs>
          <w:tab w:leader="none" w:pos="12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any Initial Purchaser determines that it is not eligible to participate in the Registered Exchange Offer with respect to the exchange of Securities constituting any portion of an unsold allotment, at the request of such Initial Purchaser, the Issuers shall issue and deliver to such Initial Purchaser or the Person purchasing Exchange Securities registered under a Shelf Registration Statement as contemplated by Section 3 hereof from such Initial Purchaser, in exchange for such Securities, a like principal amount of Exchange Securities. The Issuers shall use their reasonable best efforts to cause the same CUSIP and ISIN numbers to be assigned for such Exchange Securities as for Exchange Securities issued pursuant to the Registered Exchange Offer.</w:t>
      </w:r>
    </w:p>
    <w:p>
      <w:pPr>
        <w:spacing w:after="0" w:line="192" w:lineRule="exact"/>
        <w:rPr>
          <w:rFonts w:ascii="Arial" w:cs="Arial" w:eastAsia="Arial" w:hAnsi="Arial"/>
          <w:sz w:val="18"/>
          <w:szCs w:val="18"/>
          <w:color w:val="auto"/>
        </w:rPr>
      </w:pPr>
    </w:p>
    <w:p>
      <w:pPr>
        <w:ind w:left="4" w:right="60" w:firstLine="987"/>
        <w:spacing w:after="0" w:line="259" w:lineRule="auto"/>
        <w:tabs>
          <w:tab w:leader="none" w:pos="125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Interest on each Exchange Security shall accrue from (A) the later of (x) the last date on which interest was paid on the Security surrendered in exchange therefor or (y) if the Security is surrendered for exchange on a date that is after the record date for an interest payment that will occur on or after the date of such exchange and as to which interest will be paid, the date of such interest payment date, or (B) if no interest has been paid on such Security, from the date of such Security’s original issue.</w:t>
      </w:r>
    </w:p>
    <w:p>
      <w:pPr>
        <w:spacing w:after="0" w:line="187" w:lineRule="exact"/>
        <w:rPr>
          <w:sz w:val="20"/>
          <w:szCs w:val="20"/>
          <w:color w:val="auto"/>
        </w:rPr>
      </w:pPr>
    </w:p>
    <w:p>
      <w:pPr>
        <w:ind w:left="1164" w:hanging="173"/>
        <w:spacing w:after="0"/>
        <w:tabs>
          <w:tab w:leader="none" w:pos="116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5" w:lineRule="auto"/>
        <w:tabs>
          <w:tab w:leader="none" w:pos="12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(i) due to any change in law, Commission policy or applicable interpretations or either of the foregoing by the Commission’s staff, the Issuers determine upon advice of their outside counsel that they are not permitted to effect the Registered Exchange Offer as contemplated by Section 2 hereof; (ii) for any other reason the Registered Exchange Offer is not completed within 360 days after the Issue Date; (iii) prior to the 20th day following the consummation of the Registered Exchange Offer (x) any Initial Purchaser so requests with respect to Securities that are not eligible to be exchanged for Exchange Securities in the Registered Exchange Offer and that are held by it following consummation of the Registered Exchange Offer,</w:t>
      </w:r>
    </w:p>
    <w:p>
      <w:pPr>
        <w:spacing w:after="0" w:line="1" w:lineRule="exact"/>
        <w:rPr>
          <w:rFonts w:ascii="Arial" w:cs="Arial" w:eastAsia="Arial" w:hAnsi="Arial"/>
          <w:sz w:val="16"/>
          <w:szCs w:val="16"/>
          <w:color w:val="auto"/>
        </w:rPr>
      </w:pPr>
    </w:p>
    <w:p>
      <w:pPr>
        <w:ind w:left="4" w:hanging="4"/>
        <w:spacing w:after="0" w:line="268" w:lineRule="auto"/>
        <w:tabs>
          <w:tab w:leader="none" w:pos="25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Holder notifies the Company that it is not or was not eligible to participate in the Registered Exchange Offer or (z) in the case of any Initial Purchaser that participates in the Registered Exchange Offer or acquires Exchange Securities pursuant to Section 2(f) hereof, such Initial Purchaser notifies the Company that it will not or did not receive freely tradeable Exchange Securities in exchange for Securities constituting any portion of an unsold allotment (it being understood that (A) the requirement that an Initial Purchaser deliver a Prospectus containing the information required by Item 507 or 508 of Regulation S-K under the Act in connection with sales of Exchange Securities acquired in exchange for such Securities shall result in such Exchange Securities being not “freely tradeable”; and (B) the requirement that an Exchanging Dealer deliver a Prospectus in connection with sales of Exchange Securities acquired in the Registered Exchange Offer in exchange for Securities acquired as a result of market-making activities or other trading activities shall not result in such Exchange Securities being not “freely tradeable”), the Issuers shall, effect a Shelf Registration in accordance with Section 3(b) hereof.</w:t>
      </w:r>
    </w:p>
    <w:p>
      <w:pPr>
        <w:sectPr>
          <w:pgSz w:w="11900" w:h="16838" w:orient="portrait"/>
          <w:cols w:equalWidth="0" w:num="1">
            <w:col w:w="11004"/>
          </w:cols>
          <w:pgMar w:left="436" w:top="274" w:right="459" w:bottom="1440" w:gutter="0" w:footer="0" w:header="0"/>
        </w:sectPr>
      </w:pPr>
    </w:p>
    <w:bookmarkStart w:id="150" w:name="page151"/>
    <w:bookmarkEnd w:id="150"/>
    <w:p>
      <w:pPr>
        <w:ind w:left="381" w:hanging="253"/>
        <w:spacing w:after="0"/>
        <w:tabs>
          <w:tab w:leader="none" w:pos="381" w:val="left"/>
        </w:tabs>
        <w:numPr>
          <w:ilvl w:val="1"/>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Shelf Registration Statement is required to be filed and declared effective pursuant to this Section 3:</w:t>
      </w:r>
    </w:p>
    <w:p>
      <w:pPr>
        <w:spacing w:after="0" w:line="117" w:lineRule="exact"/>
        <w:rPr>
          <w:rFonts w:ascii="Arial" w:cs="Arial" w:eastAsia="Arial" w:hAnsi="Arial"/>
          <w:sz w:val="18"/>
          <w:szCs w:val="18"/>
          <w:color w:val="auto"/>
        </w:rPr>
      </w:pPr>
    </w:p>
    <w:p>
      <w:pPr>
        <w:ind w:left="-419" w:firstLine="419"/>
        <w:spacing w:after="0" w:line="269" w:lineRule="auto"/>
        <w:tabs>
          <w:tab w:leader="none" w:pos="21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the Issuers shall as promptly as practicable (but in no event more than 60 days after so required or requested pursuant to this Section 3), file with the Commission, and thereafter shall use their reasonable best efforts to cause to be declared effective under the Act within 60 days after the filing thereof with the Commission, a Shelf Registration Statement relating to the offer and sale of the Securities or the Exchange Securities, as applicable, by the Holders thereof from time to time in accordance with the methods of distribution elected by such Holders and set forth in such Shelf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Holder (other than an Initial Purchaser) shall be entitled to have the Securities or the Exchange Securities, as applicable, held by it covered by such Shelf Registration Statement unless such Holder agrees in writing to be bound by all of the provisions of this Agreement applicable to such Holder;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with respect to Exchange Securities received by an Initial Purchaser in exchange for Securities constituting any portion of an unsold allotment, the Issuers may, if permitted by current interpretations by the Commission’s staff, file a post-effective amendment to the Exchange Offer Registration Statement containing the information required by Item 507 or 508 of Regulation S-K, as applicable, in satisfaction of their obligations under this subsection with respect thereto, and any such Exchange Offer Registration Statement, as so amended, shall be referred to herein as, and governed by the provisions herein applicable to, a Shelf Registration Statement.</w:t>
      </w:r>
    </w:p>
    <w:p>
      <w:pPr>
        <w:spacing w:after="0" w:line="70" w:lineRule="exact"/>
        <w:rPr>
          <w:rFonts w:ascii="Arial" w:cs="Arial" w:eastAsia="Arial" w:hAnsi="Arial"/>
          <w:sz w:val="17"/>
          <w:szCs w:val="17"/>
          <w:color w:val="auto"/>
        </w:rPr>
      </w:pPr>
    </w:p>
    <w:p>
      <w:pPr>
        <w:ind w:left="-419" w:right="160" w:firstLine="419"/>
        <w:spacing w:after="0" w:line="269" w:lineRule="auto"/>
        <w:tabs>
          <w:tab w:leader="none" w:pos="26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Issuers shall use their reasonable best efforts to keep the Shelf Registration Statement continuously effective, supplemented and amended as required by the Act, in order to permit the Prospectus forming part thereof to be usable by Holders until the earliest of (x) one year from the effective date of the Shelf Registration Statement and (y) the date on which all the Securities or Exchange Securities, as applicable, covered by the Shelf Registration Statement have been sold pursuant to the Shelf Registration Statement (in any such case, such period being called the “</w:t>
      </w:r>
      <w:r>
        <w:rPr>
          <w:rFonts w:ascii="Arial" w:cs="Arial" w:eastAsia="Arial" w:hAnsi="Arial"/>
          <w:sz w:val="17"/>
          <w:szCs w:val="17"/>
          <w:u w:val="single" w:color="auto"/>
          <w:color w:val="auto"/>
        </w:rPr>
        <w:t>Shelf Registration Period</w:t>
      </w:r>
      <w:r>
        <w:rPr>
          <w:rFonts w:ascii="Arial" w:cs="Arial" w:eastAsia="Arial" w:hAnsi="Arial"/>
          <w:sz w:val="17"/>
          <w:szCs w:val="17"/>
          <w:color w:val="auto"/>
        </w:rPr>
        <w:t>”). The Issuers shall be deemed not to have used their reasonable best efforts to keep the Shelf Registration Statement effective during the requisite period if any of them voluntarily takes any action that would reasonably be expected to result in Holders of Securities or Exchange Securities covered thereby not being able to offer and sell such Securities or Exchange Securities during that period, unless (A) such action is required by applicable law; or (B) such action is taken by such Issuer in good faith and for valid business reasons (not including avoidance of its obligations hereunder), including the acquisition or divestiture of assets, so long as the Issuers thereafter comply with the requirements of Section 4(k) hereof, if applicable.</w:t>
      </w:r>
    </w:p>
    <w:p>
      <w:pPr>
        <w:spacing w:after="0" w:line="77" w:lineRule="exact"/>
        <w:rPr>
          <w:rFonts w:ascii="Arial" w:cs="Arial" w:eastAsia="Arial" w:hAnsi="Arial"/>
          <w:sz w:val="17"/>
          <w:szCs w:val="17"/>
          <w:color w:val="auto"/>
        </w:rPr>
      </w:pPr>
    </w:p>
    <w:p>
      <w:pPr>
        <w:ind w:left="-419" w:firstLine="419"/>
        <w:spacing w:after="0" w:line="257" w:lineRule="auto"/>
        <w:tabs>
          <w:tab w:leader="none" w:pos="3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Issuers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the rules and regulations of the Commission; and (B) not to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8" w:lineRule="exact"/>
        <w:rPr>
          <w:sz w:val="20"/>
          <w:szCs w:val="20"/>
          <w:color w:val="auto"/>
        </w:rPr>
      </w:pPr>
    </w:p>
    <w:p>
      <w:pPr>
        <w:ind w:left="-859" w:right="260" w:firstLine="987"/>
        <w:spacing w:after="0" w:line="277" w:lineRule="auto"/>
        <w:tabs>
          <w:tab w:leader="none" w:pos="312"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Additional Registration Procedures</w:t>
      </w:r>
      <w:r>
        <w:rPr>
          <w:rFonts w:ascii="Arial" w:cs="Arial" w:eastAsia="Arial" w:hAnsi="Arial"/>
          <w:sz w:val="18"/>
          <w:szCs w:val="18"/>
          <w:color w:val="auto"/>
        </w:rPr>
        <w:t>. In connection with any Shelf Registration Statement and, to the extent applicable, any Exchange Offer Registration Statement, the following provisions shall apply:</w:t>
      </w:r>
    </w:p>
    <w:p>
      <w:pPr>
        <w:spacing w:after="0" w:line="62" w:lineRule="exact"/>
        <w:rPr>
          <w:rFonts w:ascii="Arial" w:cs="Arial" w:eastAsia="Arial" w:hAnsi="Arial"/>
          <w:sz w:val="18"/>
          <w:szCs w:val="18"/>
          <w:color w:val="auto"/>
        </w:rPr>
      </w:pPr>
    </w:p>
    <w:p>
      <w:pPr>
        <w:ind w:left="241" w:hanging="241"/>
        <w:spacing w:after="0"/>
        <w:tabs>
          <w:tab w:leader="none" w:pos="24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Issuers shall:</w:t>
      </w:r>
    </w:p>
    <w:p>
      <w:pPr>
        <w:spacing w:after="0" w:line="117" w:lineRule="exact"/>
        <w:rPr>
          <w:rFonts w:ascii="Arial" w:cs="Arial" w:eastAsia="Arial" w:hAnsi="Arial"/>
          <w:sz w:val="18"/>
          <w:szCs w:val="18"/>
          <w:color w:val="auto"/>
        </w:rPr>
      </w:pPr>
    </w:p>
    <w:p>
      <w:pPr>
        <w:jc w:val="both"/>
        <w:ind w:left="121" w:right="20" w:firstLine="408"/>
        <w:spacing w:after="0" w:line="301" w:lineRule="auto"/>
        <w:tabs>
          <w:tab w:leader="none" w:pos="736" w:val="left"/>
        </w:tabs>
        <w:numPr>
          <w:ilvl w:val="2"/>
          <w:numId w:val="152"/>
        </w:numPr>
        <w:rPr>
          <w:rFonts w:ascii="Arial" w:cs="Arial" w:eastAsia="Arial" w:hAnsi="Arial"/>
          <w:sz w:val="16"/>
          <w:szCs w:val="16"/>
          <w:color w:val="auto"/>
        </w:rPr>
      </w:pPr>
      <w:r>
        <w:rPr>
          <w:rFonts w:ascii="Arial" w:cs="Arial" w:eastAsia="Arial" w:hAnsi="Arial"/>
          <w:sz w:val="16"/>
          <w:szCs w:val="16"/>
          <w:color w:val="auto"/>
        </w:rPr>
        <w:t>furnish to each of you, not less than five Business Days prior to the filing thereof with the Commission, a copy of any Exchange Offer Registration Statement and any Shelf Registration Statement, and each amendment thereof and each amendment or supplement, if any, to the Prospectus included therein (including all documents incorporated by reference therein after the initial filing) and shall use their reasonable best efforts to reflect in each such document, when so filed with the Commission, such comments as you reasonably propose;</w:t>
      </w:r>
    </w:p>
    <w:p>
      <w:pPr>
        <w:sectPr>
          <w:pgSz w:w="11900" w:h="16838" w:orient="portrait"/>
          <w:cols w:equalWidth="0" w:num="1">
            <w:col w:w="10141"/>
          </w:cols>
          <w:pgMar w:left="1299" w:top="274" w:right="459" w:bottom="1440" w:gutter="0" w:footer="0" w:header="0"/>
        </w:sectPr>
      </w:pPr>
    </w:p>
    <w:bookmarkStart w:id="151" w:name="page152"/>
    <w:bookmarkEnd w:id="151"/>
    <w:p>
      <w:pPr>
        <w:ind w:left="121" w:right="80" w:firstLine="408"/>
        <w:spacing w:after="0" w:line="275" w:lineRule="auto"/>
        <w:tabs>
          <w:tab w:leader="none" w:pos="786" w:val="left"/>
        </w:tabs>
        <w:numPr>
          <w:ilvl w:val="0"/>
          <w:numId w:val="1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 Exchange Offer Registration Statement, to the extent permitted by the Act, include the information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on the front cover of the Prospectus included in the Exchange Offer Registration Statement, in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hereto in the forepart of the Exchange Offer Registration Statement in a section setting forth details of the Registered Exchange Offer, in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hereto in the underwriting or plan of distribution section of the Prospectus contained in the Exchange Offer Registration Statement, and in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hereto in the letter of transmittal delivered pursuant to the Registered Exchange Offer;</w:t>
      </w:r>
    </w:p>
    <w:p>
      <w:pPr>
        <w:spacing w:after="0" w:line="68" w:lineRule="exact"/>
        <w:rPr>
          <w:rFonts w:ascii="Arial" w:cs="Arial" w:eastAsia="Arial" w:hAnsi="Arial"/>
          <w:sz w:val="17"/>
          <w:szCs w:val="17"/>
          <w:color w:val="auto"/>
        </w:rPr>
      </w:pPr>
    </w:p>
    <w:p>
      <w:pPr>
        <w:ind w:left="121" w:firstLine="408"/>
        <w:spacing w:after="0" w:line="342" w:lineRule="auto"/>
        <w:tabs>
          <w:tab w:leader="none" w:pos="83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the case of an Exchange Offer Registration Statement, if requested by an Initial Purchaser, include the information required by Item 507 or 508 of Regulation S-K, as applicable, in the Prospectus contained in the Exchange Offer Registration Statement; and</w:t>
      </w:r>
    </w:p>
    <w:p>
      <w:pPr>
        <w:spacing w:after="0" w:line="15" w:lineRule="exact"/>
        <w:rPr>
          <w:rFonts w:ascii="Arial" w:cs="Arial" w:eastAsia="Arial" w:hAnsi="Arial"/>
          <w:sz w:val="16"/>
          <w:szCs w:val="16"/>
          <w:color w:val="auto"/>
        </w:rPr>
      </w:pPr>
    </w:p>
    <w:p>
      <w:pPr>
        <w:ind w:left="121" w:right="540" w:firstLine="408"/>
        <w:spacing w:after="0" w:line="277" w:lineRule="auto"/>
        <w:tabs>
          <w:tab w:leader="none" w:pos="82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a Shelf Registration Statement, include the names of the Holders that propose to sell Securities or Exchange Securities pursuant to the Shelf Registration Statement as selling security holders.</w:t>
      </w:r>
    </w:p>
    <w:p>
      <w:pPr>
        <w:spacing w:after="0" w:line="62" w:lineRule="exact"/>
        <w:rPr>
          <w:sz w:val="20"/>
          <w:szCs w:val="20"/>
          <w:color w:val="auto"/>
        </w:rPr>
      </w:pPr>
    </w:p>
    <w:p>
      <w:pPr>
        <w:ind w:left="521"/>
        <w:spacing w:after="0"/>
        <w:rPr>
          <w:sz w:val="20"/>
          <w:szCs w:val="20"/>
          <w:color w:val="auto"/>
        </w:rPr>
      </w:pPr>
      <w:r>
        <w:rPr>
          <w:rFonts w:ascii="Arial" w:cs="Arial" w:eastAsia="Arial" w:hAnsi="Arial"/>
          <w:sz w:val="18"/>
          <w:szCs w:val="18"/>
          <w:color w:val="auto"/>
        </w:rPr>
        <w:t>(b) The Issuers shall ensure that:</w:t>
      </w:r>
    </w:p>
    <w:p>
      <w:pPr>
        <w:spacing w:after="0" w:line="117" w:lineRule="exact"/>
        <w:rPr>
          <w:sz w:val="20"/>
          <w:szCs w:val="20"/>
          <w:color w:val="auto"/>
        </w:rPr>
      </w:pPr>
    </w:p>
    <w:p>
      <w:pPr>
        <w:ind w:left="121" w:right="780" w:firstLine="408"/>
        <w:spacing w:after="0" w:line="342" w:lineRule="auto"/>
        <w:tabs>
          <w:tab w:leader="none" w:pos="736"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any Registration Statement and any amendment thereto and any Prospectus forming part thereof and any amendment or supplement thereto complies in all material respects with the Act and the rules and regulations thereunder; and</w:t>
      </w:r>
    </w:p>
    <w:p>
      <w:pPr>
        <w:spacing w:after="0" w:line="15" w:lineRule="exact"/>
        <w:rPr>
          <w:rFonts w:ascii="Arial" w:cs="Arial" w:eastAsia="Arial" w:hAnsi="Arial"/>
          <w:sz w:val="16"/>
          <w:szCs w:val="16"/>
          <w:color w:val="auto"/>
        </w:rPr>
      </w:pPr>
    </w:p>
    <w:p>
      <w:pPr>
        <w:ind w:left="121" w:right="340" w:firstLine="408"/>
        <w:spacing w:after="0" w:line="342" w:lineRule="auto"/>
        <w:tabs>
          <w:tab w:leader="none" w:pos="786"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any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15" w:lineRule="exact"/>
        <w:rPr>
          <w:rFonts w:ascii="Arial" w:cs="Arial" w:eastAsia="Arial" w:hAnsi="Arial"/>
          <w:sz w:val="16"/>
          <w:szCs w:val="16"/>
          <w:color w:val="auto"/>
        </w:rPr>
      </w:pPr>
    </w:p>
    <w:p>
      <w:pPr>
        <w:ind w:left="-419" w:firstLine="419"/>
        <w:spacing w:after="0" w:line="257" w:lineRule="auto"/>
        <w:tabs>
          <w:tab w:leader="none" w:pos="24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Issuers shall advise you, the Holders of Securities or Exchange Securities covered by any Shelf Registration Statement and any Exchanging Dealer under any Exchange Offer Registration Statement that has provided in writing to any Issuer a telephone or facsimile number and address for notices, and, if requested by you or any such Holder or Exchanging Dealer, shall confirm such advice in writing (which notice pursuant to clauses (ii)-(v) hereof shall be accompanied by an instruction to suspend the use of the Prospectus until the Issuers shall have remedied the basis for such suspension):</w:t>
      </w:r>
    </w:p>
    <w:p>
      <w:pPr>
        <w:spacing w:after="0" w:line="79" w:lineRule="exact"/>
        <w:rPr>
          <w:rFonts w:ascii="Arial" w:cs="Arial" w:eastAsia="Arial" w:hAnsi="Arial"/>
          <w:sz w:val="18"/>
          <w:szCs w:val="18"/>
          <w:color w:val="auto"/>
        </w:rPr>
      </w:pPr>
    </w:p>
    <w:p>
      <w:pPr>
        <w:ind w:left="121" w:right="600" w:firstLine="408"/>
        <w:spacing w:after="0" w:line="277" w:lineRule="auto"/>
        <w:tabs>
          <w:tab w:leader="none" w:pos="7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when a Registration Statement and any amendment thereto has been filed with the Commission and when the Registration Statement or any post-effective amendment thereto has become effective;</w:t>
      </w:r>
    </w:p>
    <w:p>
      <w:pPr>
        <w:spacing w:after="0" w:line="62" w:lineRule="exact"/>
        <w:rPr>
          <w:rFonts w:ascii="Arial" w:cs="Arial" w:eastAsia="Arial" w:hAnsi="Arial"/>
          <w:sz w:val="18"/>
          <w:szCs w:val="18"/>
          <w:color w:val="auto"/>
        </w:rPr>
      </w:pPr>
    </w:p>
    <w:p>
      <w:pPr>
        <w:ind w:left="121" w:right="500" w:firstLine="408"/>
        <w:spacing w:after="0" w:line="277" w:lineRule="auto"/>
        <w:tabs>
          <w:tab w:leader="none" w:pos="78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of any request by the Commission for any amendment or supplement to the Registration Statement or the Prospectus or for additional information;</w:t>
      </w:r>
    </w:p>
    <w:p>
      <w:pPr>
        <w:spacing w:after="0" w:line="62" w:lineRule="exact"/>
        <w:rPr>
          <w:rFonts w:ascii="Arial" w:cs="Arial" w:eastAsia="Arial" w:hAnsi="Arial"/>
          <w:sz w:val="18"/>
          <w:szCs w:val="18"/>
          <w:color w:val="auto"/>
        </w:rPr>
      </w:pPr>
    </w:p>
    <w:p>
      <w:pPr>
        <w:ind w:left="121" w:right="120" w:firstLine="408"/>
        <w:spacing w:after="0" w:line="277" w:lineRule="auto"/>
        <w:tabs>
          <w:tab w:leader="none" w:pos="83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the Registration Statement or the initiation of any proceedings for that purpose;</w:t>
      </w:r>
    </w:p>
    <w:p>
      <w:pPr>
        <w:sectPr>
          <w:pgSz w:w="11900" w:h="16838" w:orient="portrait"/>
          <w:cols w:equalWidth="0" w:num="1">
            <w:col w:w="10141"/>
          </w:cols>
          <w:pgMar w:left="1299" w:top="274" w:right="459" w:bottom="1440" w:gutter="0" w:footer="0" w:header="0"/>
        </w:sectPr>
      </w:pPr>
    </w:p>
    <w:bookmarkStart w:id="152" w:name="page153"/>
    <w:bookmarkEnd w:id="152"/>
    <w:p>
      <w:pPr>
        <w:ind w:left="540" w:right="520" w:firstLine="408"/>
        <w:spacing w:after="0" w:line="277" w:lineRule="auto"/>
        <w:tabs>
          <w:tab w:leader="none" w:pos="1246" w:val="left"/>
        </w:tabs>
        <w:numPr>
          <w:ilvl w:val="1"/>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receipt by any Issuer of any notification with respect to the suspension of the qualification of the securities included therein for sale in any jurisdiction or the initiation of any proceeding for such purpose; and</w:t>
      </w:r>
    </w:p>
    <w:p>
      <w:pPr>
        <w:spacing w:after="0" w:line="62" w:lineRule="exact"/>
        <w:rPr>
          <w:rFonts w:ascii="Arial" w:cs="Arial" w:eastAsia="Arial" w:hAnsi="Arial"/>
          <w:sz w:val="18"/>
          <w:szCs w:val="18"/>
          <w:color w:val="auto"/>
        </w:rPr>
      </w:pPr>
    </w:p>
    <w:p>
      <w:pPr>
        <w:ind w:left="540" w:firstLine="408"/>
        <w:spacing w:after="0" w:line="311" w:lineRule="auto"/>
        <w:tabs>
          <w:tab w:leader="none" w:pos="1196" w:val="left"/>
        </w:tabs>
        <w:numPr>
          <w:ilvl w:val="1"/>
          <w:numId w:val="156"/>
        </w:numPr>
        <w:rPr>
          <w:rFonts w:ascii="Arial" w:cs="Arial" w:eastAsia="Arial" w:hAnsi="Arial"/>
          <w:sz w:val="16"/>
          <w:szCs w:val="16"/>
          <w:color w:val="auto"/>
        </w:rPr>
      </w:pPr>
      <w:r>
        <w:rPr>
          <w:rFonts w:ascii="Arial" w:cs="Arial" w:eastAsia="Arial" w:hAnsi="Arial"/>
          <w:sz w:val="16"/>
          <w:szCs w:val="16"/>
          <w:color w:val="auto"/>
        </w:rPr>
        <w:t>of the happening of any event that requires any change in the Registration Statement or the Prospectus so that, as of such date, the statements therein are not misleading and do not omit to state a material fact required to be stated therein or necessary to make the statements therein (in the case of the Prospectus, in the light of the circumstances under which they were made) not misleading.</w:t>
      </w:r>
    </w:p>
    <w:p>
      <w:pPr>
        <w:spacing w:after="0" w:line="40" w:lineRule="exact"/>
        <w:rPr>
          <w:rFonts w:ascii="Arial" w:cs="Arial" w:eastAsia="Arial" w:hAnsi="Arial"/>
          <w:sz w:val="16"/>
          <w:szCs w:val="16"/>
          <w:color w:val="auto"/>
        </w:rPr>
      </w:pPr>
    </w:p>
    <w:p>
      <w:pPr>
        <w:ind w:right="100" w:firstLine="419"/>
        <w:spacing w:after="0" w:line="277" w:lineRule="auto"/>
        <w:tabs>
          <w:tab w:leader="none" w:pos="6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Issuers shall use their reasonable best efforts to obtain the withdrawal of any order suspending the effectiveness of any Registration Statement or the qualification of the securities therein for sale in any jurisdiction at the earliest possible time.</w:t>
      </w:r>
    </w:p>
    <w:p>
      <w:pPr>
        <w:spacing w:after="0" w:line="62" w:lineRule="exact"/>
        <w:rPr>
          <w:rFonts w:ascii="Arial" w:cs="Arial" w:eastAsia="Arial" w:hAnsi="Arial"/>
          <w:sz w:val="18"/>
          <w:szCs w:val="18"/>
          <w:color w:val="auto"/>
        </w:rPr>
      </w:pPr>
    </w:p>
    <w:p>
      <w:pPr>
        <w:jc w:val="both"/>
        <w:ind w:right="460" w:firstLine="419"/>
        <w:spacing w:after="0" w:line="311" w:lineRule="auto"/>
        <w:tabs>
          <w:tab w:leader="none" w:pos="66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Issuers shall furnish to each Holder of Securities or Exchange Securities covered by any Shelf Registration Statement,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w:t>
      </w:r>
    </w:p>
    <w:p>
      <w:pPr>
        <w:spacing w:after="0" w:line="40" w:lineRule="exact"/>
        <w:rPr>
          <w:rFonts w:ascii="Arial" w:cs="Arial" w:eastAsia="Arial" w:hAnsi="Arial"/>
          <w:sz w:val="16"/>
          <w:szCs w:val="16"/>
          <w:color w:val="auto"/>
        </w:rPr>
      </w:pPr>
    </w:p>
    <w:p>
      <w:pPr>
        <w:ind w:right="100" w:firstLine="419"/>
        <w:spacing w:after="0" w:line="296" w:lineRule="auto"/>
        <w:tabs>
          <w:tab w:leader="none" w:pos="64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Issuers shall, during the Shelf Registration Period, deliver to each Holder of Securities or Exchange Securities covered by any Shelf Registration Statement, without charge, as many copies of the Prospectus (including each preliminary Prospectus) included in such Shelf Registration Statement and any amendment or supplement thereto as such Holder may reasonably request. The Issuers consent to the use of the Prospectus or any amendment or supplement thereto by each of the selling Holders of securities in connection with the offering and sale of the securities covered by the Prospectus, or any amendment or supplement thereto, included in the Shelf Registration Statement.</w:t>
      </w:r>
    </w:p>
    <w:p>
      <w:pPr>
        <w:spacing w:after="0" w:line="53" w:lineRule="exact"/>
        <w:rPr>
          <w:rFonts w:ascii="Arial" w:cs="Arial" w:eastAsia="Arial" w:hAnsi="Arial"/>
          <w:sz w:val="16"/>
          <w:szCs w:val="16"/>
          <w:color w:val="auto"/>
        </w:rPr>
      </w:pPr>
    </w:p>
    <w:p>
      <w:pPr>
        <w:ind w:left="680" w:hanging="261"/>
        <w:spacing w:after="0"/>
        <w:tabs>
          <w:tab w:leader="none" w:pos="6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Issuers shall furnish to each Exchanging Dealer which so requests, without charge, at least one copy of the Exchange Offer</w:t>
      </w:r>
    </w:p>
    <w:p>
      <w:pPr>
        <w:spacing w:after="0" w:line="34" w:lineRule="exact"/>
        <w:rPr>
          <w:rFonts w:ascii="Arial" w:cs="Arial" w:eastAsia="Arial" w:hAnsi="Arial"/>
          <w:sz w:val="17"/>
          <w:szCs w:val="17"/>
          <w:color w:val="auto"/>
        </w:rPr>
      </w:pPr>
    </w:p>
    <w:p>
      <w:pPr>
        <w:ind w:right="60"/>
        <w:spacing w:after="0" w:line="260" w:lineRule="auto"/>
        <w:rPr>
          <w:rFonts w:ascii="Arial" w:cs="Arial" w:eastAsia="Arial" w:hAnsi="Arial"/>
          <w:sz w:val="17"/>
          <w:szCs w:val="17"/>
          <w:color w:val="auto"/>
        </w:rPr>
      </w:pPr>
      <w:r>
        <w:rPr>
          <w:rFonts w:ascii="Arial" w:cs="Arial" w:eastAsia="Arial" w:hAnsi="Arial"/>
          <w:sz w:val="18"/>
          <w:szCs w:val="18"/>
          <w:color w:val="auto"/>
        </w:rPr>
        <w:t>Registration Statement and any post-effective amendment thereto, including all material incorporated by reference therein, and, if the Exchanging Dealer so requests in writing, all exhibits thereto (including exhibits incorporated by reference therein).</w:t>
      </w:r>
    </w:p>
    <w:p>
      <w:pPr>
        <w:spacing w:after="0" w:line="77" w:lineRule="exact"/>
        <w:rPr>
          <w:rFonts w:ascii="Arial" w:cs="Arial" w:eastAsia="Arial" w:hAnsi="Arial"/>
          <w:sz w:val="17"/>
          <w:szCs w:val="17"/>
          <w:color w:val="auto"/>
        </w:rPr>
      </w:pPr>
    </w:p>
    <w:p>
      <w:pPr>
        <w:ind w:right="180" w:firstLine="419"/>
        <w:spacing w:after="0" w:line="293" w:lineRule="auto"/>
        <w:tabs>
          <w:tab w:leader="none" w:pos="67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Issuers shall promptly deliver to each Initial Purchaser, each Exchanging Dealer and each other Person required to deliver a Prospectus during the Exchange Offer Registration Period, without charge, as many copies of the Prospectus included in such Exchange Offer Registration Statement and any amendment or supplement thereto as any such Person may reasonably request. The Issuers consent to the use of the Prospectus or any amendment or supplement thereto by any Initial Purchaser, any Exchanging Dealer and any such other Person that may be required to deliver a Prospectus following the Registered Exchange Offer in connection with the offering and sale of the Exchange Securities covered by the Prospectus, or any amendment or supplement thereto, included in the Exchange Offer Registration Statement.</w:t>
      </w:r>
    </w:p>
    <w:p>
      <w:pPr>
        <w:spacing w:after="0" w:line="56" w:lineRule="exact"/>
        <w:rPr>
          <w:rFonts w:ascii="Arial" w:cs="Arial" w:eastAsia="Arial" w:hAnsi="Arial"/>
          <w:sz w:val="16"/>
          <w:szCs w:val="16"/>
          <w:color w:val="auto"/>
        </w:rPr>
      </w:pPr>
    </w:p>
    <w:p>
      <w:pPr>
        <w:ind w:right="20" w:firstLine="419"/>
        <w:spacing w:after="0" w:line="273" w:lineRule="auto"/>
        <w:tabs>
          <w:tab w:leader="none" w:pos="63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Prior to the Registered Exchange Offer or any other offering of Securities or Exchange Securities pursuant to any Registration Statement, the Issuers shall arrange, if necessary, for the qualification of the Securities or the Exchange Securities for sale under the laws of such jurisdictions as any Holder shall reasonably request and will maintain such qualification in effect so long as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Issuer be obligated to qualify to do business in any jurisdiction where it is not then so qualified or to take any action that would subject it to service of process in suits, other than those arising out of the Initial Placement, the Registered Exchange Offer or any offering pursuant to a Shelf Registration Statement, in any such jurisdiction where it is not then so subject.</w:t>
      </w:r>
    </w:p>
    <w:p>
      <w:pPr>
        <w:sectPr>
          <w:pgSz w:w="11900" w:h="16838" w:orient="portrait"/>
          <w:cols w:equalWidth="0" w:num="1">
            <w:col w:w="10560"/>
          </w:cols>
          <w:pgMar w:left="880" w:top="274" w:right="459" w:bottom="1440" w:gutter="0" w:footer="0" w:header="0"/>
        </w:sectPr>
      </w:pPr>
    </w:p>
    <w:bookmarkStart w:id="153" w:name="page154"/>
    <w:bookmarkEnd w:id="153"/>
    <w:p>
      <w:pPr>
        <w:ind w:left="-419" w:right="40" w:firstLine="419"/>
        <w:spacing w:after="0" w:line="263" w:lineRule="auto"/>
        <w:tabs>
          <w:tab w:leader="none" w:pos="218"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Issuers shall cooperate with the Holders to facilitate the timely preparation and delivery of certificates representing Exchange Securities or Securities to be issued or sold pursuant to any Registration Statement free of any restrictive legends and in such denominations and registered in such names as Holders may request.</w:t>
      </w:r>
    </w:p>
    <w:p>
      <w:pPr>
        <w:spacing w:after="0" w:line="75" w:lineRule="exact"/>
        <w:rPr>
          <w:rFonts w:ascii="Arial" w:cs="Arial" w:eastAsia="Arial" w:hAnsi="Arial"/>
          <w:sz w:val="18"/>
          <w:szCs w:val="18"/>
          <w:color w:val="auto"/>
        </w:rPr>
      </w:pPr>
    </w:p>
    <w:p>
      <w:pPr>
        <w:ind w:left="-419" w:firstLine="419"/>
        <w:spacing w:after="0" w:line="290" w:lineRule="auto"/>
        <w:tabs>
          <w:tab w:leader="none" w:pos="25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subsections (c)(ii) through (v) above, the Issuers shall promptly prepare a post-effective amendment to the applicable Registration Statement or an amendment or supplement to the related Prospectus or file any other required document so that, as thereafter delivered to purchasers of the Securities included therein, the Prospectus will not include an untrue statement of a material fact or omit to state any material fact necessary to make the statements therein, in the light of the circumstances under which they were made, not misleading. In such circumstances, the period of effectiveness of the Exchange Offer Registration Statement provided for in Section 2 hereof and the Shelf Registration Statement provided for in Section 3(b) hereof shall each be extended by the number of days from and including the date of the giving of a notice of suspension pursuant to Section 4(c) hereof to and including the date when the Initial Purchasers, the Holders and any known Exchanging Dealer shall have received such amended or supplemented Prospectus pursuant to this Section 4.</w:t>
      </w:r>
    </w:p>
    <w:p>
      <w:pPr>
        <w:spacing w:after="0" w:line="57" w:lineRule="exact"/>
        <w:rPr>
          <w:rFonts w:ascii="Arial" w:cs="Arial" w:eastAsia="Arial" w:hAnsi="Arial"/>
          <w:sz w:val="16"/>
          <w:szCs w:val="16"/>
          <w:color w:val="auto"/>
        </w:rPr>
      </w:pPr>
    </w:p>
    <w:p>
      <w:pPr>
        <w:ind w:left="-419" w:right="120" w:firstLine="419"/>
        <w:spacing w:after="0" w:line="286" w:lineRule="auto"/>
        <w:tabs>
          <w:tab w:leader="none" w:pos="21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Not later than the effective date of any Registration Statement, the Issuers shall provide CUSIP and ISIN numbers for the Securities or the Exchange Securities, as the case may be, registered under such Registration Statement and provide the Trustee with printed certificates for such Securities or Exchange Securities, in a form eligible for deposit with The Depository Trust Company.</w:t>
      </w:r>
    </w:p>
    <w:p>
      <w:pPr>
        <w:spacing w:after="0" w:line="57" w:lineRule="exact"/>
        <w:rPr>
          <w:rFonts w:ascii="Arial" w:cs="Arial" w:eastAsia="Arial" w:hAnsi="Arial"/>
          <w:sz w:val="17"/>
          <w:szCs w:val="17"/>
          <w:color w:val="auto"/>
        </w:rPr>
      </w:pPr>
    </w:p>
    <w:p>
      <w:pPr>
        <w:ind w:left="-419" w:right="40" w:firstLine="419"/>
        <w:spacing w:after="0" w:line="263" w:lineRule="auto"/>
        <w:tabs>
          <w:tab w:leader="none" w:pos="30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Issuers shall comply with all applicable rules and regulations of the Commission and shall make generally available to its security holders as soon as practicable after the effective date of the applicable Registration Statement an earnings statement satisfying the provisions of Section 11(a) of the Act.</w:t>
      </w:r>
    </w:p>
    <w:p>
      <w:pPr>
        <w:spacing w:after="0" w:line="75" w:lineRule="exact"/>
        <w:rPr>
          <w:rFonts w:ascii="Arial" w:cs="Arial" w:eastAsia="Arial" w:hAnsi="Arial"/>
          <w:sz w:val="18"/>
          <w:szCs w:val="18"/>
          <w:color w:val="auto"/>
        </w:rPr>
      </w:pPr>
    </w:p>
    <w:p>
      <w:pPr>
        <w:ind w:left="261" w:hanging="261"/>
        <w:spacing w:after="0"/>
        <w:tabs>
          <w:tab w:leader="none" w:pos="26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Issuers shall cause the Indenture to be qualified under the Trust Indenture Act in a timely manner.</w:t>
      </w:r>
    </w:p>
    <w:p>
      <w:pPr>
        <w:spacing w:after="0" w:line="117" w:lineRule="exact"/>
        <w:rPr>
          <w:rFonts w:ascii="Arial" w:cs="Arial" w:eastAsia="Arial" w:hAnsi="Arial"/>
          <w:sz w:val="18"/>
          <w:szCs w:val="18"/>
          <w:color w:val="auto"/>
        </w:rPr>
      </w:pPr>
    </w:p>
    <w:p>
      <w:pPr>
        <w:ind w:left="-419" w:right="40" w:firstLine="419"/>
        <w:spacing w:after="0" w:line="279" w:lineRule="auto"/>
        <w:tabs>
          <w:tab w:leader="none" w:pos="25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 may require each Holder of securities to be sold pursuant to any Shelf Registration Statement to furnish to the Company such information regarding the Holder and the distribution of such securities as the Company may from time to time reasonably require for inclusion in such Registration Statement. The Company may exclude from such Shelf Registration Statement the Securities or Exchange Securities of any Holder that fails to furnish such information within a reasonable time after receiving such request.</w:t>
      </w:r>
    </w:p>
    <w:p>
      <w:pPr>
        <w:spacing w:after="0" w:line="63" w:lineRule="exact"/>
        <w:rPr>
          <w:rFonts w:ascii="Arial" w:cs="Arial" w:eastAsia="Arial" w:hAnsi="Arial"/>
          <w:sz w:val="17"/>
          <w:szCs w:val="17"/>
          <w:color w:val="auto"/>
        </w:rPr>
      </w:pPr>
    </w:p>
    <w:p>
      <w:pPr>
        <w:ind w:left="-419" w:right="60" w:firstLine="419"/>
        <w:spacing w:after="0" w:line="296" w:lineRule="auto"/>
        <w:tabs>
          <w:tab w:leader="none" w:pos="25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the case of any Shelf Registration Statement, the Issuers shall enter into such and take all other appropriate actions (including if requested an underwriting agreement in customary form) in order to expedite or facilitate the registration or the disposition of the Securities or Exchange Securities, and in connection therewith, if an underwriting agreement is entered into, cause the same to contain indemnification provisions and procedures no less favorable than those set forth in Section 6 (or such other provisions and procedures acceptable to the Majority Holders and the Managing Underwriters, if any, with respect to all parties to be indemnified pursuant to Section 6.</w:t>
      </w:r>
    </w:p>
    <w:p>
      <w:pPr>
        <w:sectPr>
          <w:pgSz w:w="11900" w:h="16838" w:orient="portrait"/>
          <w:cols w:equalWidth="0" w:num="1">
            <w:col w:w="10021"/>
          </w:cols>
          <w:pgMar w:left="1299" w:top="274" w:right="579" w:bottom="1440" w:gutter="0" w:footer="0" w:header="0"/>
        </w:sectPr>
      </w:pPr>
    </w:p>
    <w:bookmarkStart w:id="154" w:name="page155"/>
    <w:bookmarkEnd w:id="154"/>
    <w:p>
      <w:pPr>
        <w:ind w:left="680" w:hanging="261"/>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Shelf Registration Statement, the Issuers shall:</w:t>
      </w:r>
    </w:p>
    <w:p>
      <w:pPr>
        <w:spacing w:after="0" w:line="117" w:lineRule="exact"/>
        <w:rPr>
          <w:rFonts w:ascii="Arial" w:cs="Arial" w:eastAsia="Arial" w:hAnsi="Arial"/>
          <w:sz w:val="18"/>
          <w:szCs w:val="18"/>
          <w:color w:val="auto"/>
        </w:rPr>
      </w:pPr>
    </w:p>
    <w:p>
      <w:pPr>
        <w:ind w:left="540" w:right="40" w:firstLine="408"/>
        <w:spacing w:after="0" w:line="257" w:lineRule="auto"/>
        <w:tabs>
          <w:tab w:leader="none" w:pos="115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make reasonably available for inspection by a representative for the Holders of Securities or Exchange Securities to be registered thereunder, which representative shall be selected by the Majority Holders, by the underwriters, if any, participating in any disposition pursuant to such Shelf Registration Statement, and by any attorney, accountant or other agent for the Holders retained by the Majority Holders or for the underwriters, if any, all relevant financial and other records, pertinent corporate documents and properties of each Issuer and its subsidiaries;</w:t>
      </w:r>
    </w:p>
    <w:p>
      <w:pPr>
        <w:spacing w:after="0" w:line="79" w:lineRule="exact"/>
        <w:rPr>
          <w:rFonts w:ascii="Arial" w:cs="Arial" w:eastAsia="Arial" w:hAnsi="Arial"/>
          <w:sz w:val="18"/>
          <w:szCs w:val="18"/>
          <w:color w:val="auto"/>
        </w:rPr>
      </w:pPr>
    </w:p>
    <w:p>
      <w:pPr>
        <w:ind w:left="540" w:right="80" w:firstLine="408"/>
        <w:spacing w:after="0" w:line="254" w:lineRule="auto"/>
        <w:tabs>
          <w:tab w:leader="none" w:pos="120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cause the officers, directors and employees of each Issuer to supply all relevant information reasonably requested by the representative for the Holders, by the underwriters, if any, or by any such attorney, accountant or agent in connection with any such Shelf Registration Statement as is customary for similar due diligence examinations;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information that is designated in writing by any Issuer, in good faith, as confidential at the time of delivery of such information shall be kept confidential by the Holders, the underwriters, if any, and any such attorney, accountant or agent, unless such disclosure is made in connection with a court proceeding or required by law, or such information becomes available to the public generally or through a third party without an accompanying obligation of confidentiality;</w:t>
      </w:r>
    </w:p>
    <w:p>
      <w:pPr>
        <w:spacing w:after="0" w:line="86" w:lineRule="exact"/>
        <w:rPr>
          <w:rFonts w:ascii="Arial" w:cs="Arial" w:eastAsia="Arial" w:hAnsi="Arial"/>
          <w:sz w:val="18"/>
          <w:szCs w:val="18"/>
          <w:color w:val="auto"/>
        </w:rPr>
      </w:pPr>
    </w:p>
    <w:p>
      <w:pPr>
        <w:ind w:left="540" w:firstLine="408"/>
        <w:spacing w:after="0" w:line="263" w:lineRule="auto"/>
        <w:tabs>
          <w:tab w:leader="none" w:pos="125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make such representations and warranties to the Holders of Securities or Exchange Securities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75" w:lineRule="exact"/>
        <w:rPr>
          <w:rFonts w:ascii="Arial" w:cs="Arial" w:eastAsia="Arial" w:hAnsi="Arial"/>
          <w:sz w:val="18"/>
          <w:szCs w:val="18"/>
          <w:color w:val="auto"/>
        </w:rPr>
      </w:pPr>
    </w:p>
    <w:p>
      <w:pPr>
        <w:ind w:left="540" w:right="180" w:firstLine="408"/>
        <w:spacing w:after="0" w:line="259" w:lineRule="auto"/>
        <w:tabs>
          <w:tab w:leader="none" w:pos="124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obtain opinions of counsel to the Issuers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w:t>
      </w:r>
    </w:p>
    <w:p>
      <w:pPr>
        <w:spacing w:after="0" w:line="78" w:lineRule="exact"/>
        <w:rPr>
          <w:rFonts w:ascii="Arial" w:cs="Arial" w:eastAsia="Arial" w:hAnsi="Arial"/>
          <w:sz w:val="18"/>
          <w:szCs w:val="18"/>
          <w:color w:val="auto"/>
        </w:rPr>
      </w:pPr>
    </w:p>
    <w:p>
      <w:pPr>
        <w:ind w:left="540" w:right="120" w:firstLine="408"/>
        <w:spacing w:after="0" w:line="275" w:lineRule="auto"/>
        <w:tabs>
          <w:tab w:leader="none" w:pos="1196" w:val="left"/>
        </w:tabs>
        <w:numPr>
          <w:ilvl w:val="1"/>
          <w:numId w:val="159"/>
        </w:numPr>
        <w:rPr>
          <w:rFonts w:ascii="Arial" w:cs="Arial" w:eastAsia="Arial" w:hAnsi="Arial"/>
          <w:sz w:val="17"/>
          <w:szCs w:val="17"/>
          <w:color w:val="auto"/>
        </w:rPr>
      </w:pPr>
      <w:r>
        <w:rPr>
          <w:rFonts w:ascii="Arial" w:cs="Arial" w:eastAsia="Arial" w:hAnsi="Arial"/>
          <w:sz w:val="17"/>
          <w:szCs w:val="17"/>
          <w:color w:val="auto"/>
        </w:rPr>
        <w:t>obtain “cold comfort” letters from the independent certified public accountants of the Issuers (and, if necessary, any other independent certified public accountants of any Issuer or any subsidiary of any Issuer or of any business acquired by any Issuer for which financial statements and financial data are, or are required to be, included in the Shelf Registration Statement), addressed to each selling Holder of securities registered thereunder and the underwriters, if any, in customary form and covering matters of the type customarily covered in “cold comfort” letters in connection with primary underwritten offerings; and</w:t>
      </w:r>
    </w:p>
    <w:p>
      <w:pPr>
        <w:spacing w:after="0" w:line="68" w:lineRule="exact"/>
        <w:rPr>
          <w:rFonts w:ascii="Arial" w:cs="Arial" w:eastAsia="Arial" w:hAnsi="Arial"/>
          <w:sz w:val="17"/>
          <w:szCs w:val="17"/>
          <w:color w:val="auto"/>
        </w:rPr>
      </w:pPr>
    </w:p>
    <w:p>
      <w:pPr>
        <w:ind w:left="540" w:right="600" w:firstLine="408"/>
        <w:spacing w:after="0" w:line="263" w:lineRule="auto"/>
        <w:tabs>
          <w:tab w:leader="none" w:pos="124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deliver such documents and certificates as may be reasonably requested by the Majority Holders and the Managing Underwriters, if any, including those to evidence compliance with Section 4(k) and with any customary conditions contained in the underwriting agreement or other agreement entered into by the Issuers.</w:t>
      </w:r>
    </w:p>
    <w:p>
      <w:pPr>
        <w:spacing w:after="0" w:line="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actions set forth in clauses (iii), (iv), (v) and (vi) of this Section 4(q) shall be performed at (A) the effectiveness of such Shelf Registration Statement and each post-effective amendment thereto; and (B) each closing under any underwriting or similar agreement as and to the extent required thereunder.</w:t>
      </w:r>
    </w:p>
    <w:p>
      <w:pPr>
        <w:sectPr>
          <w:pgSz w:w="11900" w:h="16838" w:orient="portrait"/>
          <w:cols w:equalWidth="0" w:num="1">
            <w:col w:w="10580"/>
          </w:cols>
          <w:pgMar w:left="880" w:top="274" w:right="439" w:bottom="1440" w:gutter="0" w:footer="0" w:header="0"/>
        </w:sectPr>
      </w:pPr>
    </w:p>
    <w:bookmarkStart w:id="155" w:name="page156"/>
    <w:bookmarkEnd w:id="155"/>
    <w:p>
      <w:pPr>
        <w:ind w:left="640" w:hanging="221"/>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Exchange Offer Registration Statement, upon the request of any Initial Purchaser, the Issuers shall:</w:t>
      </w:r>
    </w:p>
    <w:p>
      <w:pPr>
        <w:spacing w:after="0" w:line="117" w:lineRule="exact"/>
        <w:rPr>
          <w:rFonts w:ascii="Arial" w:cs="Arial" w:eastAsia="Arial" w:hAnsi="Arial"/>
          <w:sz w:val="18"/>
          <w:szCs w:val="18"/>
          <w:color w:val="auto"/>
        </w:rPr>
      </w:pPr>
    </w:p>
    <w:p>
      <w:pPr>
        <w:ind w:left="540" w:right="100" w:firstLine="408"/>
        <w:spacing w:after="0" w:line="263" w:lineRule="auto"/>
        <w:tabs>
          <w:tab w:leader="none" w:pos="115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make reasonably available for inspection by the Initial Purchasers, and any attorney, accountant or other agent retained by the Initial Purchasers, all relevant financial and other records, pertinent corporate documents and properties of the Issuers and their respective subsidiaries;</w:t>
      </w:r>
    </w:p>
    <w:p>
      <w:pPr>
        <w:spacing w:after="0" w:line="75" w:lineRule="exact"/>
        <w:rPr>
          <w:rFonts w:ascii="Arial" w:cs="Arial" w:eastAsia="Arial" w:hAnsi="Arial"/>
          <w:sz w:val="18"/>
          <w:szCs w:val="18"/>
          <w:color w:val="auto"/>
        </w:rPr>
      </w:pPr>
    </w:p>
    <w:p>
      <w:pPr>
        <w:ind w:left="540" w:right="60" w:firstLine="408"/>
        <w:spacing w:after="0" w:line="293" w:lineRule="auto"/>
        <w:tabs>
          <w:tab w:leader="none" w:pos="1206"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cause the officers, directors and employees of each Issuer to supply all relevant information reasonably requested by any Initial Purchaser or any attorney, accountant or agent retained by the Initial Purchasers in connection with any such Exchange Offer Registration Statement as is customary for similar due diligence examinations;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information that is designated in writing by any Issuer, in good faith, as confidential at the time of delivery of such information shall be kept confidential by such Initial Purchaser or any such attorney, accountant or agent, unless such disclosure is made in connection with a court proceeding or required by law, or such information becomes available to the public generally or through a third party without an accompanying obligation of confidentiality;</w:t>
      </w:r>
    </w:p>
    <w:p>
      <w:pPr>
        <w:spacing w:after="0" w:line="56" w:lineRule="exact"/>
        <w:rPr>
          <w:rFonts w:ascii="Arial" w:cs="Arial" w:eastAsia="Arial" w:hAnsi="Arial"/>
          <w:sz w:val="16"/>
          <w:szCs w:val="16"/>
          <w:color w:val="auto"/>
        </w:rPr>
      </w:pPr>
    </w:p>
    <w:p>
      <w:pPr>
        <w:ind w:left="540" w:right="60" w:firstLine="408"/>
        <w:spacing w:after="0" w:line="263" w:lineRule="auto"/>
        <w:tabs>
          <w:tab w:leader="none" w:pos="125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make such representations and warranties to the Initial Purchasers, in form, substance and scope as are customarily made by issuers to underwriters in primary underwritten offerings and covering matters including, but not limited to, those set forth in the Purchase Agreement;</w:t>
      </w:r>
    </w:p>
    <w:p>
      <w:pPr>
        <w:spacing w:after="0" w:line="75" w:lineRule="exact"/>
        <w:rPr>
          <w:rFonts w:ascii="Arial" w:cs="Arial" w:eastAsia="Arial" w:hAnsi="Arial"/>
          <w:sz w:val="18"/>
          <w:szCs w:val="18"/>
          <w:color w:val="auto"/>
        </w:rPr>
      </w:pPr>
    </w:p>
    <w:p>
      <w:pPr>
        <w:jc w:val="both"/>
        <w:ind w:left="540" w:right="40" w:firstLine="408"/>
        <w:spacing w:after="0" w:line="259" w:lineRule="auto"/>
        <w:tabs>
          <w:tab w:leader="none" w:pos="124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obtain opinions of counsel to the Issuers (which counsel and opinions (in form, scope and substance) shall be reasonably satisfactory to the Initial Purchasers and their counsel, addressed to the Initial Purchasers, covering such matters as are customarily covered in opinions requested in underwritten offerings and such other matters as may be reasonably requested by the Initial Purchasers or their counsel;</w:t>
      </w:r>
    </w:p>
    <w:p>
      <w:pPr>
        <w:spacing w:after="0" w:line="78" w:lineRule="exact"/>
        <w:rPr>
          <w:rFonts w:ascii="Arial" w:cs="Arial" w:eastAsia="Arial" w:hAnsi="Arial"/>
          <w:sz w:val="18"/>
          <w:szCs w:val="18"/>
          <w:color w:val="auto"/>
        </w:rPr>
      </w:pPr>
    </w:p>
    <w:p>
      <w:pPr>
        <w:ind w:left="540" w:right="60" w:firstLine="408"/>
        <w:spacing w:after="0" w:line="293" w:lineRule="auto"/>
        <w:tabs>
          <w:tab w:leader="none" w:pos="1196" w:val="left"/>
        </w:tabs>
        <w:numPr>
          <w:ilvl w:val="1"/>
          <w:numId w:val="160"/>
        </w:numPr>
        <w:rPr>
          <w:rFonts w:ascii="Arial" w:cs="Arial" w:eastAsia="Arial" w:hAnsi="Arial"/>
          <w:sz w:val="16"/>
          <w:szCs w:val="16"/>
          <w:color w:val="auto"/>
        </w:rPr>
      </w:pPr>
      <w:r>
        <w:rPr>
          <w:rFonts w:ascii="Arial" w:cs="Arial" w:eastAsia="Arial" w:hAnsi="Arial"/>
          <w:sz w:val="16"/>
          <w:szCs w:val="16"/>
          <w:color w:val="auto"/>
        </w:rPr>
        <w:t>obtain “cold comfort” letters from the independent certified public accountants of the Issuers (and, if necessary, any other independent certified public accountants of any Issuer or any subsidiary of any Issuer or of any business acquired by any Issuer for which financial statements and financial data are, or are required to be, included in the Exchange Offer Registration Statement), addressed to the Initial Purchasers, in customary form and covering matters of the type customarily covered in “cold comfort” letters in connection with primary underwritten offerings, or if requested by the Initial Purchasers or their counsel in lieu of a “cold comfort” letter, an agreed-upon procedures letter under Statement on Auditing Standards No. 35, covering matters requested by the Initial Purchasers or their counsel; and</w:t>
      </w:r>
    </w:p>
    <w:p>
      <w:pPr>
        <w:spacing w:after="0" w:line="56" w:lineRule="exact"/>
        <w:rPr>
          <w:rFonts w:ascii="Arial" w:cs="Arial" w:eastAsia="Arial" w:hAnsi="Arial"/>
          <w:sz w:val="16"/>
          <w:szCs w:val="16"/>
          <w:color w:val="auto"/>
        </w:rPr>
      </w:pPr>
    </w:p>
    <w:p>
      <w:pPr>
        <w:ind w:left="540" w:firstLine="408"/>
        <w:spacing w:after="0" w:line="308" w:lineRule="auto"/>
        <w:tabs>
          <w:tab w:leader="none" w:pos="1246"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deliver such documents and certificates as may be reasonably requested by the Initial Purchasers or their counsel, including those to evidence compliance with Section 4(k) and with conditions customarily contained in underwriting agreements.</w:t>
      </w:r>
    </w:p>
    <w:p>
      <w:pPr>
        <w:spacing w:after="0" w:line="38" w:lineRule="exact"/>
        <w:rPr>
          <w:sz w:val="20"/>
          <w:szCs w:val="20"/>
          <w:color w:val="auto"/>
        </w:rPr>
      </w:pPr>
    </w:p>
    <w:p>
      <w:pPr>
        <w:ind w:right="640" w:firstLine="423"/>
        <w:spacing w:after="0" w:line="342" w:lineRule="auto"/>
        <w:rPr>
          <w:sz w:val="20"/>
          <w:szCs w:val="20"/>
          <w:color w:val="auto"/>
        </w:rPr>
      </w:pPr>
      <w:r>
        <w:rPr>
          <w:rFonts w:ascii="Arial" w:cs="Arial" w:eastAsia="Arial" w:hAnsi="Arial"/>
          <w:sz w:val="16"/>
          <w:szCs w:val="16"/>
          <w:color w:val="auto"/>
        </w:rPr>
        <w:t>The foregoing actions set forth in clauses (iii), (iv), (v), and (vi) of this Section 4(r) shall be performed at the close of the Registered Exchange Offer and the effective date of any post-effective amendment to the Exchange Offer Exchange Offer Registration Statement.</w:t>
      </w:r>
    </w:p>
    <w:p>
      <w:pPr>
        <w:spacing w:after="0" w:line="16" w:lineRule="exact"/>
        <w:rPr>
          <w:sz w:val="20"/>
          <w:szCs w:val="20"/>
          <w:color w:val="auto"/>
        </w:rPr>
      </w:pPr>
    </w:p>
    <w:p>
      <w:pPr>
        <w:ind w:right="120" w:firstLine="419"/>
        <w:spacing w:after="0" w:line="259" w:lineRule="auto"/>
        <w:tabs>
          <w:tab w:leader="none" w:pos="65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 Registered Exchange Offer is to be consummated, upon delivery of the Securities by Holders to the Company (or to such other Person as directed by the Company) in exchange for the Exchange Securities, the Company shall mark, or caused to be marked, on the Securities so exchanged that such Securities are being canceled in exchange for the Exchange Securities. In no event shall the Securities be marked as paid or otherwise satisfied.</w:t>
      </w:r>
    </w:p>
    <w:p>
      <w:pPr>
        <w:sectPr>
          <w:pgSz w:w="11900" w:h="16838" w:orient="portrait"/>
          <w:cols w:equalWidth="0" w:num="1">
            <w:col w:w="10560"/>
          </w:cols>
          <w:pgMar w:left="880" w:top="274" w:right="459" w:bottom="1440" w:gutter="0" w:footer="0" w:header="0"/>
        </w:sectPr>
      </w:pPr>
    </w:p>
    <w:bookmarkStart w:id="156" w:name="page157"/>
    <w:bookmarkEnd w:id="156"/>
    <w:p>
      <w:pPr>
        <w:ind w:left="4" w:right="100" w:firstLine="419"/>
        <w:spacing w:after="0" w:line="291" w:lineRule="auto"/>
        <w:tabs>
          <w:tab w:leader="none" w:pos="641" w:val="left"/>
        </w:tabs>
        <w:numPr>
          <w:ilvl w:val="1"/>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Issuers will use their reasonable best efforts (i) if the Securities have been rated prior to the initial sale of such Securities, to confirm such ratings will apply to the Securities or the Exchange Securities, as the case may be, covered by a Exchange Offer Registration Statement; or</w:t>
      </w:r>
    </w:p>
    <w:p>
      <w:pPr>
        <w:ind w:left="4" w:right="160" w:hanging="4"/>
        <w:spacing w:after="0" w:line="255" w:lineRule="auto"/>
        <w:tabs>
          <w:tab w:leader="none" w:pos="2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the Securities were not previously rated, to cause the Securities covered by a Registration Statement to be rated with at least one nationally recognized statistical rating agency, if so requested by Majority Holders with respect to the related Registration Statement or by any Managing Underwriters.</w:t>
      </w:r>
    </w:p>
    <w:p>
      <w:pPr>
        <w:spacing w:after="0" w:line="81" w:lineRule="exact"/>
        <w:rPr>
          <w:rFonts w:ascii="Arial" w:cs="Arial" w:eastAsia="Arial" w:hAnsi="Arial"/>
          <w:sz w:val="18"/>
          <w:szCs w:val="18"/>
          <w:color w:val="auto"/>
        </w:rPr>
      </w:pPr>
    </w:p>
    <w:p>
      <w:pPr>
        <w:ind w:left="4" w:right="20" w:firstLine="419"/>
        <w:spacing w:after="0" w:line="301" w:lineRule="auto"/>
        <w:tabs>
          <w:tab w:leader="none" w:pos="68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 the event that any Broker-Dealer shall underwrite any Securities or Exchange Securities or participate as a member of an underwriting syndicate or selling group or “assist in the distribution” (within the meaning of the Financial Industry Regulatory Authority, Inc. (the “</w:t>
      </w:r>
      <w:r>
        <w:rPr>
          <w:rFonts w:ascii="Arial" w:cs="Arial" w:eastAsia="Arial" w:hAnsi="Arial"/>
          <w:sz w:val="16"/>
          <w:szCs w:val="16"/>
          <w:u w:val="single" w:color="auto"/>
          <w:color w:val="auto"/>
        </w:rPr>
        <w:t>Conduct</w:t>
      </w:r>
      <w:r>
        <w:rPr>
          <w:rFonts w:ascii="Arial" w:cs="Arial" w:eastAsia="Arial" w:hAnsi="Arial"/>
          <w:sz w:val="16"/>
          <w:szCs w:val="16"/>
          <w:color w:val="auto"/>
        </w:rPr>
        <w:t xml:space="preserve"> </w:t>
      </w:r>
      <w:r>
        <w:rPr>
          <w:rFonts w:ascii="Arial" w:cs="Arial" w:eastAsia="Arial" w:hAnsi="Arial"/>
          <w:sz w:val="16"/>
          <w:szCs w:val="16"/>
          <w:u w:val="single" w:color="auto"/>
          <w:color w:val="auto"/>
        </w:rPr>
        <w:t>Rules</w:t>
      </w:r>
      <w:r>
        <w:rPr>
          <w:rFonts w:ascii="Arial" w:cs="Arial" w:eastAsia="Arial" w:hAnsi="Arial"/>
          <w:sz w:val="16"/>
          <w:szCs w:val="16"/>
          <w:color w:val="auto"/>
        </w:rPr>
        <w:t>”)) thereof, whether as a Holder or as an underwriter, a placement or sales agent or a broker or dealer in respect thereof, or otherwise, the Issuers shall assist such Broker-Dealer in complying with the requirements of such Conduct Rules, including, without limitation, by:</w:t>
      </w:r>
    </w:p>
    <w:p>
      <w:pPr>
        <w:spacing w:after="0" w:line="49" w:lineRule="exact"/>
        <w:rPr>
          <w:rFonts w:ascii="Arial" w:cs="Arial" w:eastAsia="Arial" w:hAnsi="Arial"/>
          <w:sz w:val="16"/>
          <w:szCs w:val="16"/>
          <w:color w:val="auto"/>
        </w:rPr>
      </w:pPr>
    </w:p>
    <w:p>
      <w:pPr>
        <w:ind w:left="544" w:right="240" w:firstLine="408"/>
        <w:spacing w:after="0" w:line="259" w:lineRule="auto"/>
        <w:tabs>
          <w:tab w:leader="none" w:pos="1159" w:val="left"/>
        </w:tabs>
        <w:numPr>
          <w:ilvl w:val="3"/>
          <w:numId w:val="163"/>
        </w:numPr>
        <w:rPr>
          <w:rFonts w:ascii="Arial" w:cs="Arial" w:eastAsia="Arial" w:hAnsi="Arial"/>
          <w:sz w:val="18"/>
          <w:szCs w:val="18"/>
          <w:color w:val="auto"/>
        </w:rPr>
      </w:pPr>
      <w:r>
        <w:rPr>
          <w:rFonts w:ascii="Arial" w:cs="Arial" w:eastAsia="Arial" w:hAnsi="Arial"/>
          <w:sz w:val="18"/>
          <w:szCs w:val="18"/>
          <w:color w:val="auto"/>
        </w:rPr>
        <w:t>if such Conduct Rules shall so require, engaging a “qualified independent underwriter” (as defined in such Conduct Rules) to participate in the preparation of the Registration Statement, to exercise usual standards of due diligence with respect thereto and, if any portion of the offering contemplated by such Registration Statement is an underwritten offering or is made through a placement or sales agent, to recommend the yield of such Securities or Exchange Securities;</w:t>
      </w:r>
    </w:p>
    <w:p>
      <w:pPr>
        <w:spacing w:after="0" w:line="78" w:lineRule="exact"/>
        <w:rPr>
          <w:rFonts w:ascii="Arial" w:cs="Arial" w:eastAsia="Arial" w:hAnsi="Arial"/>
          <w:sz w:val="18"/>
          <w:szCs w:val="18"/>
          <w:color w:val="auto"/>
        </w:rPr>
      </w:pPr>
    </w:p>
    <w:p>
      <w:pPr>
        <w:ind w:left="544" w:right="600" w:firstLine="408"/>
        <w:spacing w:after="0" w:line="277" w:lineRule="auto"/>
        <w:tabs>
          <w:tab w:leader="none" w:pos="1209" w:val="left"/>
        </w:tabs>
        <w:numPr>
          <w:ilvl w:val="3"/>
          <w:numId w:val="163"/>
        </w:numPr>
        <w:rPr>
          <w:rFonts w:ascii="Arial" w:cs="Arial" w:eastAsia="Arial" w:hAnsi="Arial"/>
          <w:sz w:val="18"/>
          <w:szCs w:val="18"/>
          <w:color w:val="auto"/>
        </w:rPr>
      </w:pPr>
      <w:r>
        <w:rPr>
          <w:rFonts w:ascii="Arial" w:cs="Arial" w:eastAsia="Arial" w:hAnsi="Arial"/>
          <w:sz w:val="18"/>
          <w:szCs w:val="18"/>
          <w:color w:val="auto"/>
        </w:rPr>
        <w:t>indemnifying any such qualified independent underwriter to the extent of the indemnification of underwriters provided in Section 6 hereof; and</w:t>
      </w:r>
    </w:p>
    <w:p>
      <w:pPr>
        <w:spacing w:after="0" w:line="62" w:lineRule="exact"/>
        <w:rPr>
          <w:rFonts w:ascii="Arial" w:cs="Arial" w:eastAsia="Arial" w:hAnsi="Arial"/>
          <w:sz w:val="18"/>
          <w:szCs w:val="18"/>
          <w:color w:val="auto"/>
        </w:rPr>
      </w:pPr>
    </w:p>
    <w:p>
      <w:pPr>
        <w:ind w:left="544" w:right="560" w:firstLine="408"/>
        <w:spacing w:after="0" w:line="277" w:lineRule="auto"/>
        <w:tabs>
          <w:tab w:leader="none" w:pos="1259" w:val="left"/>
        </w:tabs>
        <w:numPr>
          <w:ilvl w:val="3"/>
          <w:numId w:val="163"/>
        </w:numPr>
        <w:rPr>
          <w:rFonts w:ascii="Arial" w:cs="Arial" w:eastAsia="Arial" w:hAnsi="Arial"/>
          <w:sz w:val="18"/>
          <w:szCs w:val="18"/>
          <w:color w:val="auto"/>
        </w:rPr>
      </w:pPr>
      <w:r>
        <w:rPr>
          <w:rFonts w:ascii="Arial" w:cs="Arial" w:eastAsia="Arial" w:hAnsi="Arial"/>
          <w:sz w:val="18"/>
          <w:szCs w:val="18"/>
          <w:color w:val="auto"/>
        </w:rPr>
        <w:t>providing such information to such Broker-Dealer as may be required in order for such Broker-Dealer to comply with the requirements of such Conduct Rules.</w:t>
      </w:r>
    </w:p>
    <w:p>
      <w:pPr>
        <w:spacing w:after="0" w:line="62" w:lineRule="exact"/>
        <w:rPr>
          <w:rFonts w:ascii="Arial" w:cs="Arial" w:eastAsia="Arial" w:hAnsi="Arial"/>
          <w:sz w:val="18"/>
          <w:szCs w:val="18"/>
          <w:color w:val="auto"/>
        </w:rPr>
      </w:pPr>
    </w:p>
    <w:p>
      <w:pPr>
        <w:ind w:left="4" w:right="600" w:firstLine="419"/>
        <w:spacing w:after="0" w:line="277" w:lineRule="auto"/>
        <w:tabs>
          <w:tab w:leader="none" w:pos="68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Issuers shall use their reasonable best efforts to take all other steps necessary to effect the registration of the Securities or the Exchange Securities, as the case may be, covered by a Registration Statement.</w:t>
      </w:r>
    </w:p>
    <w:p>
      <w:pPr>
        <w:spacing w:after="0" w:line="170" w:lineRule="exact"/>
        <w:rPr>
          <w:rFonts w:ascii="Arial" w:cs="Arial" w:eastAsia="Arial" w:hAnsi="Arial"/>
          <w:sz w:val="18"/>
          <w:szCs w:val="18"/>
          <w:color w:val="auto"/>
        </w:rPr>
      </w:pPr>
    </w:p>
    <w:p>
      <w:pPr>
        <w:ind w:left="-436" w:right="20" w:firstLine="987"/>
        <w:spacing w:after="0" w:line="301" w:lineRule="auto"/>
        <w:tabs>
          <w:tab w:leader="none" w:pos="735" w:val="left"/>
        </w:tabs>
        <w:numPr>
          <w:ilvl w:val="2"/>
          <w:numId w:val="163"/>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Issuers shall bear all expenses incurred in connection with the performance of their obligations under Sections 2, 3 and 4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Registration Statement, will reimburse the Initial Purchasers for the reasonable fees and disbursements of counsel acting in connection therewith.</w:t>
      </w:r>
    </w:p>
    <w:p>
      <w:pPr>
        <w:spacing w:after="0" w:line="157" w:lineRule="exact"/>
        <w:rPr>
          <w:rFonts w:ascii="Arial" w:cs="Arial" w:eastAsia="Arial" w:hAnsi="Arial"/>
          <w:sz w:val="16"/>
          <w:szCs w:val="16"/>
          <w:color w:val="auto"/>
        </w:rPr>
      </w:pPr>
    </w:p>
    <w:p>
      <w:pPr>
        <w:ind w:left="724" w:hanging="173"/>
        <w:spacing w:after="0"/>
        <w:tabs>
          <w:tab w:leader="none" w:pos="724" w:val="left"/>
        </w:tabs>
        <w:numPr>
          <w:ilvl w:val="2"/>
          <w:numId w:val="16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436" w:firstLine="987"/>
        <w:spacing w:after="0" w:line="255" w:lineRule="auto"/>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Issuers, jointly and severally, agree to indemnify and hold harmless each Holder of Securities or Exchange Securities, as the case may be, covered by any Registration Statement (including each Initial Purchaser and each Affiliate thereof and, with respect to any Prospectus delivery as contemplated in Section 4(h) hereof, each Exchanging Dealer), the directors, officers, employees and agents of each such Holder and each person who controls any such Holder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w:t>
      </w:r>
    </w:p>
    <w:p>
      <w:pPr>
        <w:sectPr>
          <w:pgSz w:w="11900" w:h="16838" w:orient="portrait"/>
          <w:cols w:equalWidth="0" w:num="1">
            <w:col w:w="10564"/>
          </w:cols>
          <w:pgMar w:left="876" w:top="274" w:right="459" w:bottom="1440" w:gutter="0" w:footer="0" w:header="0"/>
        </w:sectPr>
      </w:pPr>
    </w:p>
    <w:bookmarkStart w:id="157" w:name="page158"/>
    <w:bookmarkEnd w:id="157"/>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 omission to state therein a material fact required to be stated therein or necessary to make the statements therein not misleading, and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Issuers will not be liable in any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such Holder specifically for inclusion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any untrue statement or omission of material fact made in any preliminary Prospectus, the indemnity agreement contained in this Section 6 shall not inure to the benefit of any Holder from whom the Person asserting any such loss, claim, damage or liability purchased such Securities or Exchange Securities, as the case may be, to the extent that any such loss, claim, damage or liability of such Holder occurs under the circumstance where it shall have been determined by a court of competent jurisdiction by final and nonappealable judgment that (w) the Company had previously furnished copies of the Prospectus to such Holder, (x) delivery of the Prospectus was required by the Act to be made to such Person, (y) the untrue statement or omission of a material fact contained in the preliminary Prospectus was corrected in the Prospectus and (z) there was not sent or given to such Person, at or prior to the written confirmation of the sale of such securities to such Person, a copy of the Prospectus. This indemnity agreement will be in addition to any liability which the Issuers may otherwise have.</w:t>
      </w:r>
    </w:p>
    <w:p>
      <w:pPr>
        <w:spacing w:after="0" w:line="17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Issuers also, jointly and severally, agree to indemnify or contribute as provided in Section 6(d) to Losses of each underwriter of Securities or Exchange Securities, as the case may be, registered under a Shelf Registration Statement, their directors, officers, employees or agents and each person who controls such underwriter on substantially the same basis as that of the indemnification of the Initial Purchasers and the selling Holders provided in this Section 6(a) and shall, if requested by any Holder, enter into an underwriting agreement reflecting such agreement, as provided in Section 4(p) hereof.</w:t>
      </w:r>
    </w:p>
    <w:p>
      <w:pPr>
        <w:spacing w:after="0" w:line="188" w:lineRule="exact"/>
        <w:rPr>
          <w:sz w:val="20"/>
          <w:szCs w:val="20"/>
          <w:color w:val="auto"/>
        </w:rPr>
      </w:pPr>
    </w:p>
    <w:p>
      <w:pPr>
        <w:ind w:right="220" w:firstLine="987"/>
        <w:spacing w:after="0" w:line="254" w:lineRule="auto"/>
        <w:tabs>
          <w:tab w:leader="none" w:pos="12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Holder of securities covered by a Registration Statement (including each Initial Purchaser and each Affiliate thereof and, with respect to any Prospectus delivery as contemplated in Section 4(h) hereof, each Exchanging Dealer) severally and not jointly agrees to indemnify and hold harmless the Issuers, each of their respective directors, each of their respective officers who signs such Registration Statement, and each person who controls any Issuer within the meaning of either the Act or the Exchange Act, to the same extent as the foregoing indemnity from the Issuers to each such Holder, but only with reference to written information relating to such Holder furnished to the Issuers by or on behalf of such Holder specifically for inclusion in the documents referred to in the foregoing indemnity. This indemnity agreement will be in addition to any liability which any such Holder may otherwise have.</w:t>
      </w:r>
    </w:p>
    <w:p>
      <w:pPr>
        <w:spacing w:after="0" w:line="194" w:lineRule="exact"/>
        <w:rPr>
          <w:rFonts w:ascii="Arial" w:cs="Arial" w:eastAsia="Arial" w:hAnsi="Arial"/>
          <w:sz w:val="18"/>
          <w:szCs w:val="18"/>
          <w:color w:val="auto"/>
        </w:rPr>
      </w:pPr>
    </w:p>
    <w:p>
      <w:pPr>
        <w:ind w:firstLine="987"/>
        <w:spacing w:after="0" w:line="271" w:lineRule="auto"/>
        <w:tabs>
          <w:tab w:leader="none" w:pos="123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6 of notice of the commencement of any action, such indemnified party will, if a claim in respect thereof is to be made against the indemnifying party under this Section 6,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w:t>
      </w:r>
    </w:p>
    <w:p>
      <w:pPr>
        <w:sectPr>
          <w:pgSz w:w="11900" w:h="16838" w:orient="portrait"/>
          <w:cols w:equalWidth="0" w:num="1">
            <w:col w:w="10980"/>
          </w:cols>
          <w:pgMar w:left="440" w:top="274" w:right="479" w:bottom="1440" w:gutter="0" w:footer="0" w:header="0"/>
        </w:sectPr>
      </w:pPr>
    </w:p>
    <w:bookmarkStart w:id="158" w:name="page159"/>
    <w:bookmarkEnd w:id="158"/>
    <w:p>
      <w:pPr>
        <w:ind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 indemnifying party shall not be liable under this Section 6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74" w:lineRule="exact"/>
        <w:rPr>
          <w:sz w:val="20"/>
          <w:szCs w:val="20"/>
          <w:color w:val="auto"/>
        </w:rPr>
      </w:pPr>
    </w:p>
    <w:p>
      <w:pPr>
        <w:ind w:firstLine="987"/>
        <w:spacing w:after="0" w:line="284" w:lineRule="auto"/>
        <w:tabs>
          <w:tab w:leader="none" w:pos="124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6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Initial Purchaser or any subsequent Holder of any Security or Exchange Security be responsible, in the aggregate, for any amount in excess of the purchase discount or commission applicable to such Security, or in the case of an Exchange Security, applicable to the Security that was exchangeable into such Exchange Security, as set forth on the cover page of the Final Memorandum, nor shall any underwriter be responsible for any amount in excess of the underwriting discount or commission 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Issuers shall be deemed to be equal to the sum of (x) the total net proceeds from the Initial Placement (before deducting expenses or original issue discount) as set forth on the cover page of the Final Memorandum and (y) the total amount of additional interest which the Issuers were not required to pay as a result of registering the securities covered by the Registration Statement which resulted in such Losses. Benefits received by the Initial Purchasers shall be deemed to be equal to the total purchase discounts and commissions as set forth on the cover page of the Final Memorandum, and benefits received by any other Holders shall be deemed to be equal to the value of receiving Securities or Exchange Securities,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w:t>
      </w:r>
    </w:p>
    <w:p>
      <w:pPr>
        <w:sectPr>
          <w:pgSz w:w="11900" w:h="16838" w:orient="portrait"/>
          <w:cols w:equalWidth="0" w:num="1">
            <w:col w:w="11000"/>
          </w:cols>
          <w:pgMar w:left="440" w:top="274" w:right="459" w:bottom="1440" w:gutter="0" w:footer="0" w:header="0"/>
        </w:sectPr>
      </w:pPr>
    </w:p>
    <w:bookmarkStart w:id="159" w:name="page160"/>
    <w:bookmarkEnd w:id="15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determined by reference to, among other things, whether any untrue or alleged untrue statement of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6, each person who controls a Holder within the meaning of either the Act or the Exchange Act and each director, officer, employee and agent of such Holder shall have the same rights to contribution as such Holder, and each person who controls any Issuer within the meaning of either the Act or the Exchange Act, each officer of any Issuer who shall have signed the Registration Statement and each director of any Issuer shall have the same rights to contribution as the Issuers, subject in each case to the applicable terms and conditions of this paragraph (d).</w:t>
      </w:r>
    </w:p>
    <w:p>
      <w:pPr>
        <w:spacing w:after="0" w:line="182" w:lineRule="exact"/>
        <w:rPr>
          <w:sz w:val="20"/>
          <w:szCs w:val="20"/>
          <w:color w:val="auto"/>
        </w:rPr>
      </w:pPr>
    </w:p>
    <w:p>
      <w:pPr>
        <w:ind w:firstLine="987"/>
        <w:spacing w:after="0" w:line="263" w:lineRule="auto"/>
        <w:tabs>
          <w:tab w:leader="none" w:pos="12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provisions of this Section 6 will remain in full force and effect, regardless of any investigation made by or on behalf of any Holder or the Issuers or any of the officers, directors or controlling Persons referred to in this Section 6 hereof, and will survive the sale by a Holder of securities covered by a Registration Statement.</w:t>
      </w:r>
    </w:p>
    <w:p>
      <w:pPr>
        <w:spacing w:after="0" w:line="184" w:lineRule="exact"/>
        <w:rPr>
          <w:sz w:val="20"/>
          <w:szCs w:val="20"/>
          <w:color w:val="auto"/>
        </w:rPr>
      </w:pPr>
    </w:p>
    <w:p>
      <w:pPr>
        <w:ind w:left="1160" w:hanging="173"/>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Underwritten Registrations</w:t>
      </w:r>
      <w:r>
        <w:rPr>
          <w:rFonts w:ascii="Arial" w:cs="Arial" w:eastAsia="Arial" w:hAnsi="Arial"/>
          <w:sz w:val="18"/>
          <w:szCs w:val="18"/>
          <w:color w:val="auto"/>
        </w:rPr>
        <w:t>.</w:t>
      </w:r>
    </w:p>
    <w:p>
      <w:pPr>
        <w:spacing w:after="0" w:line="225" w:lineRule="exact"/>
        <w:rPr>
          <w:sz w:val="20"/>
          <w:szCs w:val="20"/>
          <w:color w:val="auto"/>
        </w:rPr>
      </w:pPr>
    </w:p>
    <w:p>
      <w:pPr>
        <w:ind w:right="240" w:firstLine="987"/>
        <w:spacing w:after="0" w:line="277" w:lineRule="auto"/>
        <w:tabs>
          <w:tab w:leader="none" w:pos="123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any of the Securities or Exchange Securities, as the case may be, covered by any Shelf Registration Statement are to be sold in an underwritten offering, the Managing Underwriters shall be selected by the Majority Holders.</w:t>
      </w:r>
    </w:p>
    <w:p>
      <w:pPr>
        <w:spacing w:after="0" w:line="170" w:lineRule="exact"/>
        <w:rPr>
          <w:rFonts w:ascii="Arial" w:cs="Arial" w:eastAsia="Arial" w:hAnsi="Arial"/>
          <w:sz w:val="18"/>
          <w:szCs w:val="18"/>
          <w:color w:val="auto"/>
        </w:rPr>
      </w:pPr>
    </w:p>
    <w:p>
      <w:pPr>
        <w:jc w:val="both"/>
        <w:ind w:right="100" w:firstLine="987"/>
        <w:spacing w:after="0" w:line="301" w:lineRule="auto"/>
        <w:tabs>
          <w:tab w:leader="none" w:pos="124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No Person may participate in any underwritten offering pursuant to any Shelf Registration Statement, unless such Person (i) agrees to sell such Person’s Securities or Exchange Securities, as the case may be,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57" w:lineRule="exact"/>
        <w:rPr>
          <w:sz w:val="20"/>
          <w:szCs w:val="20"/>
          <w:color w:val="auto"/>
        </w:rPr>
      </w:pPr>
    </w:p>
    <w:p>
      <w:pPr>
        <w:ind w:firstLine="987"/>
        <w:spacing w:after="0" w:line="259" w:lineRule="auto"/>
        <w:tabs>
          <w:tab w:leader="none" w:pos="117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Registration Defaults. The Issuers and the Initial Purchasers agree that the Holders will suffer damages if the Issuers fail to fulfill their obligations under Section 2 or Section 3 hereof and that it would not be feasible to ascertain the extent of such damages with precision. Accordingly, the Issuers agree to pay, jointly and severally, as liquidated damages, additional interest on the Notes (“Additional Interest”) under the circumstances and to the extent set forth below (each of which shall be given independent effect):</w:t>
      </w:r>
    </w:p>
    <w:p>
      <w:pPr>
        <w:spacing w:after="0" w:line="78" w:lineRule="exact"/>
        <w:rPr>
          <w:rFonts w:ascii="Arial" w:cs="Arial" w:eastAsia="Arial" w:hAnsi="Arial"/>
          <w:sz w:val="18"/>
          <w:szCs w:val="18"/>
          <w:color w:val="auto"/>
        </w:rPr>
      </w:pPr>
    </w:p>
    <w:p>
      <w:pPr>
        <w:ind w:left="440" w:right="20" w:firstLine="419"/>
        <w:spacing w:after="0" w:line="259" w:lineRule="auto"/>
        <w:tabs>
          <w:tab w:leader="none" w:pos="110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Registered Exchange Offer is not completed on or prior to the 360th day after the Issue Date, then commencing on the day after such date, Additional Interest shall accrue on the principal amount of the Securities at a rate of 0.25% per annum for the first 90 days immediately following each date, such Additional Interest rate increasing by an additional 0.25% per annum at the beginning of each subsequent 90-day period; or</w:t>
      </w:r>
    </w:p>
    <w:p>
      <w:pPr>
        <w:spacing w:after="0" w:line="78"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Issuers are required by Section 3(a) hereof to file a Shelf Registration Statement and (i) such Shelf Registration Statement is not filed with the Commission by the date required by Section 3(b) hereof or (ii) such Shelf Registration Statement is not declared effective by the Commission on or prior to the 60th day following the date such Shelf Registration Statement was filed,</w:t>
      </w:r>
    </w:p>
    <w:p>
      <w:pPr>
        <w:sectPr>
          <w:pgSz w:w="11900" w:h="16838" w:orient="portrait"/>
          <w:cols w:equalWidth="0" w:num="1">
            <w:col w:w="10960"/>
          </w:cols>
          <w:pgMar w:left="440" w:top="274" w:right="499" w:bottom="1440" w:gutter="0" w:footer="0" w:header="0"/>
        </w:sectPr>
      </w:pPr>
    </w:p>
    <w:bookmarkStart w:id="160" w:name="page161"/>
    <w:bookmarkEnd w:id="160"/>
    <w:p>
      <w:pPr>
        <w:ind w:left="44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commencing on the day after either such required date, Additional Interest shall accrue on the principal amount of the Securities at a rate of 0.25% per annum for the first 90 days immediately following such date, such Additional Interest rate increasing by an additional 0.25% per annum at the beginning of each subsequent 90-day period; or</w:t>
      </w:r>
    </w:p>
    <w:p>
      <w:pPr>
        <w:spacing w:after="0" w:line="76" w:lineRule="exact"/>
        <w:rPr>
          <w:sz w:val="20"/>
          <w:szCs w:val="20"/>
          <w:color w:val="auto"/>
        </w:rPr>
      </w:pPr>
    </w:p>
    <w:p>
      <w:pPr>
        <w:ind w:left="444" w:right="60" w:firstLine="419"/>
        <w:spacing w:after="0" w:line="257" w:lineRule="auto"/>
        <w:tabs>
          <w:tab w:leader="none" w:pos="111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applicable, the Shelf Registration Statement has been declared effective and such Shelf Registration Statement ceases to be effective at any time prior to the one year anniversary of its effective date prior to all Securities covered by the Shelf Registration Statement having been sold, then Additional Interest shall accrue on the principal amount of the Securities at a rate of 0.25% per annum for the first 90 days commencing on the day such Shelf Registration Statement ceases to be effective, such Additional Interest rate increasing by an additional 0.25% per annum at the beginning of each subsequent 90-day period;</w:t>
      </w:r>
    </w:p>
    <w:p>
      <w:pPr>
        <w:spacing w:after="0" w:line="188"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 xml:space="preserve">(each such event referred to in (a), (b) and (c), a “Registration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Additional Interest rate on the Securities shall not accrue under more than one Registration Default at any one time and at no time shall the aggregate amount of Additional Interest accruing exceed in the aggregate 1.0%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upon the completion of the Registered Exchange Offer (in the case of clause (a) above),</w:t>
      </w:r>
    </w:p>
    <w:p>
      <w:pPr>
        <w:spacing w:after="0" w:line="2" w:lineRule="exact"/>
        <w:rPr>
          <w:sz w:val="20"/>
          <w:szCs w:val="20"/>
          <w:color w:val="auto"/>
        </w:rPr>
      </w:pPr>
    </w:p>
    <w:p>
      <w:pPr>
        <w:ind w:left="4" w:right="20" w:hanging="4"/>
        <w:spacing w:after="0" w:line="253" w:lineRule="auto"/>
        <w:tabs>
          <w:tab w:leader="none" w:pos="25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upon the filing of the Shelf Registration Statement (in the case of clause (b)(i) above) or upon the effectiveness of the Shelf Registration Statement (in the case of clause (b)(ii) above), or (3) upon the effectiveness of the Shelf Registration Statement which had ceased to remain effective (in the case of clause (c)above), Additional Interest on the Securities as a result of such clause (or the relevant subclause thereof), as the case may be, shall cease to accrue. Any amounts of Additional Interest due as a result of a Registration Default shall be payable in cash on the same original interest payment dates as the Securities.</w:t>
      </w:r>
    </w:p>
    <w:p>
      <w:pPr>
        <w:spacing w:after="0" w:line="190" w:lineRule="exact"/>
        <w:rPr>
          <w:rFonts w:ascii="Arial" w:cs="Arial" w:eastAsia="Arial" w:hAnsi="Arial"/>
          <w:sz w:val="18"/>
          <w:szCs w:val="18"/>
          <w:color w:val="auto"/>
        </w:rPr>
      </w:pPr>
    </w:p>
    <w:p>
      <w:pPr>
        <w:ind w:left="4" w:right="40" w:firstLine="987"/>
        <w:spacing w:after="0" w:line="342" w:lineRule="auto"/>
        <w:tabs>
          <w:tab w:leader="none" w:pos="1175"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No Issuer has, as of the date hereof, entered into, nor shall it, on or after the date hereof, enter into, any agreement with respect to its securities that is inconsistent with the rights granted to the Holders herein or otherwise conflicts with the provisions hereof.</w:t>
      </w:r>
    </w:p>
    <w:p>
      <w:pPr>
        <w:spacing w:after="0" w:line="123" w:lineRule="exact"/>
        <w:rPr>
          <w:rFonts w:ascii="Arial" w:cs="Arial" w:eastAsia="Arial" w:hAnsi="Arial"/>
          <w:sz w:val="16"/>
          <w:szCs w:val="16"/>
          <w:color w:val="auto"/>
        </w:rPr>
      </w:pPr>
    </w:p>
    <w:p>
      <w:pPr>
        <w:ind w:left="4" w:firstLine="987"/>
        <w:spacing w:after="0" w:line="284" w:lineRule="auto"/>
        <w:tabs>
          <w:tab w:leader="none" w:pos="1265"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qualified, modified or supplemented, and waivers or consents to departures from the provisions hereof may not be given, unless the Issuers have obtained the written consent of the Majority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matter that directly or indirectly affects the rights of any Initial Purchaser hereunder, the Issuers shall obtain the written consent of each Initial Purchaser against which such amendment, qualification, supplement, waiver or consent is to be effective provided, further, that no amendment, qualification, supplement, waiver or consent with respect to Section 8 hereof shall be effective as against any Holder of Securities unless consented to in writing by such Holder; and provided, further, that the provisions of this Article</w:t>
      </w:r>
    </w:p>
    <w:p>
      <w:pPr>
        <w:spacing w:after="0" w:line="4" w:lineRule="exact"/>
        <w:rPr>
          <w:rFonts w:ascii="Arial" w:cs="Arial" w:eastAsia="Arial" w:hAnsi="Arial"/>
          <w:sz w:val="16"/>
          <w:szCs w:val="16"/>
          <w:color w:val="auto"/>
        </w:rPr>
      </w:pP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10 may not be amended, qualified, modified or supplemented, and waivers or consents to departures from the provisions hereof may not be given, unless the Issuers have obtained the written consent of the Initial Purchasers and each Holder. Notwithstanding the foregoing (except the foregoing proviso), a waiver or consent to departure from the provisions hereof with respect to a matter that relates exclusively to the rights of Holders whose Securities or Exchange Securities, as the case may be, are being sold pursuant to a Registration Statement and that does not directly or indirectly affect the rights of other Holders may be given by the Majority Holders, determined on the basis of Securities or Exchange Securities, as the case may be, being sold rather than registered under such Registration Statement.</w:t>
      </w:r>
    </w:p>
    <w:p>
      <w:pPr>
        <w:sectPr>
          <w:pgSz w:w="11900" w:h="16838" w:orient="portrait"/>
          <w:cols w:equalWidth="0" w:num="1">
            <w:col w:w="11024"/>
          </w:cols>
          <w:pgMar w:left="436" w:top="274" w:right="439" w:bottom="1440" w:gutter="0" w:footer="0" w:header="0"/>
        </w:sectPr>
      </w:pPr>
    </w:p>
    <w:bookmarkStart w:id="161" w:name="page162"/>
    <w:bookmarkEnd w:id="161"/>
    <w:p>
      <w:pPr>
        <w:ind w:right="240" w:firstLine="987"/>
        <w:spacing w:after="0" w:line="277" w:lineRule="auto"/>
        <w:tabs>
          <w:tab w:leader="none" w:pos="1254"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8"/>
          <w:szCs w:val="18"/>
          <w:color w:val="auto"/>
        </w:rPr>
        <w:t>. All notices and other communications provided for or permitted hereunder shall be made in writing by hand-delivery, first-class mail, telex, telecopier or air courier guaranteeing overnight delivery:</w:t>
      </w:r>
    </w:p>
    <w:p>
      <w:pPr>
        <w:spacing w:after="0" w:line="62" w:lineRule="exact"/>
        <w:rPr>
          <w:rFonts w:ascii="Arial" w:cs="Arial" w:eastAsia="Arial" w:hAnsi="Arial"/>
          <w:sz w:val="18"/>
          <w:szCs w:val="18"/>
          <w:color w:val="auto"/>
        </w:rPr>
      </w:pPr>
    </w:p>
    <w:p>
      <w:pPr>
        <w:ind w:left="440" w:right="60" w:firstLine="419"/>
        <w:spacing w:after="0" w:line="286" w:lineRule="auto"/>
        <w:tabs>
          <w:tab w:leader="none" w:pos="110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if to a Holder, at the most current address given by such holder to the Issuers in accordance with the provisions of this Section 11, which address initially is, with respect to each Holder, the address of such Holder maintained by the Registrar under the Indenture, with a copy in like manner to BNP Paribas Securities Corp., Citigroup Global Markets Inc. and Mizuho Securities USA LLC;</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to you, initially at the respective addresses set forth in the Purchase Agreement;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to the Issuers, initially at their address set forth in the Purchase Agreement.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All such notices and communications shall be deemed to have been duly given when received.</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Initial Purchasers or the Issuers by notice to the other parties may designate additional or different addresses for subsequent notices or communications.</w:t>
      </w:r>
    </w:p>
    <w:p>
      <w:pPr>
        <w:spacing w:after="0" w:line="170" w:lineRule="exact"/>
        <w:rPr>
          <w:sz w:val="20"/>
          <w:szCs w:val="20"/>
          <w:color w:val="auto"/>
        </w:rPr>
      </w:pPr>
    </w:p>
    <w:p>
      <w:pPr>
        <w:ind w:right="140" w:firstLine="987"/>
        <w:spacing w:after="0" w:line="259" w:lineRule="auto"/>
        <w:tabs>
          <w:tab w:leader="none" w:pos="126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inure to the benefit of and be binding upon the successors and assigns of each of the parties hereto, including, without the need for an express assignment or any consent by the Issuers thereto, subsequent Holders of Securities and the Exchange Securities. The Issuers hereby agree to extend the benefits of this Agreement to any Holder of Securities or the Exchange Securities, and any such Holder may specifically enforce the provisions of this Agreement as if an original party hereto.</w:t>
      </w:r>
    </w:p>
    <w:p>
      <w:pPr>
        <w:spacing w:after="0" w:line="186" w:lineRule="exact"/>
        <w:rPr>
          <w:rFonts w:ascii="Arial" w:cs="Arial" w:eastAsia="Arial" w:hAnsi="Arial"/>
          <w:sz w:val="18"/>
          <w:szCs w:val="18"/>
          <w:color w:val="auto"/>
        </w:rPr>
      </w:pPr>
    </w:p>
    <w:p>
      <w:pPr>
        <w:ind w:right="60" w:firstLine="987"/>
        <w:spacing w:after="0" w:line="257" w:lineRule="auto"/>
        <w:tabs>
          <w:tab w:leader="none" w:pos="126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in signed counterparts, each of which shall an original and all of which together shall constitute one and the same agreement. Delivery of an executed counterpart of a signature page to this Agreement by telecopier, facsimile or other electronic transmission (i.e., a “pdf” or “tif”) complying with the U.S. federal ESIGN Act of 2000 or the New York Electronic Signature and Records Act shall be deemed to have been duly and validly delivered and be valid and effective for all purposes to the fullest extent permitted by applicable law and shall be effective as delivery of a manually executed counterpart to this Agreement.</w:t>
      </w:r>
    </w:p>
    <w:p>
      <w:pPr>
        <w:spacing w:after="0" w:line="187" w:lineRule="exact"/>
        <w:rPr>
          <w:rFonts w:ascii="Arial" w:cs="Arial" w:eastAsia="Arial" w:hAnsi="Arial"/>
          <w:sz w:val="18"/>
          <w:szCs w:val="18"/>
          <w:color w:val="auto"/>
        </w:rPr>
      </w:pPr>
    </w:p>
    <w:p>
      <w:pPr>
        <w:ind w:left="1260" w:hanging="273"/>
        <w:spacing w:after="0"/>
        <w:tabs>
          <w:tab w:leader="none" w:pos="12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herein are for convenience only and shall not affect the construction hereof.</w:t>
      </w:r>
    </w:p>
    <w:p>
      <w:pPr>
        <w:spacing w:after="0" w:line="225" w:lineRule="exact"/>
        <w:rPr>
          <w:rFonts w:ascii="Arial" w:cs="Arial" w:eastAsia="Arial" w:hAnsi="Arial"/>
          <w:sz w:val="18"/>
          <w:szCs w:val="18"/>
          <w:color w:val="auto"/>
        </w:rPr>
      </w:pPr>
    </w:p>
    <w:p>
      <w:pPr>
        <w:ind w:right="60" w:firstLine="987"/>
        <w:spacing w:after="0" w:line="277" w:lineRule="auto"/>
        <w:tabs>
          <w:tab w:leader="none" w:pos="126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New York applicable to contracts made and to be performed in the State of New York.</w:t>
      </w:r>
    </w:p>
    <w:p>
      <w:pPr>
        <w:spacing w:after="0" w:line="170" w:lineRule="exact"/>
        <w:rPr>
          <w:rFonts w:ascii="Arial" w:cs="Arial" w:eastAsia="Arial" w:hAnsi="Arial"/>
          <w:sz w:val="18"/>
          <w:szCs w:val="18"/>
          <w:color w:val="auto"/>
        </w:rPr>
      </w:pPr>
    </w:p>
    <w:p>
      <w:pPr>
        <w:ind w:right="140" w:firstLine="987"/>
        <w:spacing w:after="0" w:line="259" w:lineRule="auto"/>
        <w:tabs>
          <w:tab w:leader="none" w:pos="126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86" w:lineRule="exact"/>
        <w:rPr>
          <w:rFonts w:ascii="Arial" w:cs="Arial" w:eastAsia="Arial" w:hAnsi="Arial"/>
          <w:sz w:val="18"/>
          <w:szCs w:val="18"/>
          <w:color w:val="auto"/>
        </w:rPr>
      </w:pPr>
    </w:p>
    <w:p>
      <w:pPr>
        <w:ind w:firstLine="987"/>
        <w:spacing w:after="0" w:line="257" w:lineRule="auto"/>
        <w:tabs>
          <w:tab w:leader="none" w:pos="126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Securities Held by the Issuers, etc</w:t>
      </w:r>
      <w:r>
        <w:rPr>
          <w:rFonts w:ascii="Arial" w:cs="Arial" w:eastAsia="Arial" w:hAnsi="Arial"/>
          <w:sz w:val="18"/>
          <w:szCs w:val="18"/>
          <w:color w:val="auto"/>
        </w:rPr>
        <w:t>. Whenever the consent or approval of Holders of a specified percentage of principal amount of Securities or Exchange Securities is required hereunder, Securities or Exchange Securities, as applicable, held by any Issuer or its Affiliates (other than subsequent Holders of Securities or Exchange Securities if such subsequent Holders are deemed to be Affiliates solely by reason of their holdings of such Securities or Exchange Securities) shall not be counted in determining whether such consent or approval was given by the Holders of such required percentage.</w:t>
      </w:r>
    </w:p>
    <w:p>
      <w:pPr>
        <w:sectPr>
          <w:pgSz w:w="11900" w:h="16838" w:orient="portrait"/>
          <w:cols w:equalWidth="0" w:num="1">
            <w:col w:w="10980"/>
          </w:cols>
          <w:pgMar w:left="440" w:top="274" w:right="479" w:bottom="1440" w:gutter="0" w:footer="0" w:header="0"/>
        </w:sectPr>
      </w:pPr>
    </w:p>
    <w:bookmarkStart w:id="162" w:name="page163"/>
    <w:bookmarkEnd w:id="162"/>
    <w:p>
      <w:pPr>
        <w:ind w:right="3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us the enclosed duplicate hereof, whereupon this Agreement and your acceptance shall represent a binding agreement among the Issuers and the several Initial Purchasers.</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and Chief Financial Officer</w:t>
      </w:r>
    </w:p>
    <w:p>
      <w:pPr>
        <w:sectPr>
          <w:pgSz w:w="11900" w:h="16838" w:orient="portrait"/>
          <w:cols w:equalWidth="0" w:num="1">
            <w:col w:w="10940"/>
          </w:cols>
          <w:pgMar w:left="440" w:top="274" w:right="519" w:bottom="1440" w:gutter="0" w:footer="0" w:header="0"/>
        </w:sectPr>
      </w:pPr>
    </w:p>
    <w:bookmarkStart w:id="163" w:name="page164"/>
    <w:bookmarkEnd w:id="163"/>
    <w:p>
      <w:pPr>
        <w:ind w:left="56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 USA,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CROWN Beverage Packaging Puerto Rico, Inc.</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USA,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Djalma Novaes,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Holdings,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Financial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(DE),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60"/>
          </w:cols>
          <w:pgMar w:left="1440" w:top="274" w:right="1399" w:bottom="1440" w:gutter="0" w:footer="0" w:header="0"/>
        </w:sectPr>
      </w:pPr>
    </w:p>
    <w:bookmarkStart w:id="164" w:name="page165"/>
    <w:bookmarkEnd w:id="16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Manufacturers Finance Corporation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Ronald S. Cenderelli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Packaging,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Packaging Technology,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ectPr>
          <w:pgSz w:w="11900" w:h="16838" w:orient="portrait"/>
          <w:cols w:equalWidth="0" w:num="1">
            <w:col w:w="9019"/>
          </w:cols>
          <w:pgMar w:left="1440" w:top="274" w:right="1440" w:bottom="1440" w:gutter="0" w:footer="0" w:header="0"/>
        </w:sectPr>
      </w:pPr>
    </w:p>
    <w:bookmarkStart w:id="165" w:name="page166"/>
    <w:bookmarkEnd w:id="16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Signode Industrial Group Holdings US Inc.</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International IP Holdings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Keith Heaverlo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Keith Heaverlo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Senior Vice President &amp; CFO</w:t>
      </w:r>
    </w:p>
    <w:p>
      <w:pPr>
        <w:sectPr>
          <w:pgSz w:w="11900" w:h="16838" w:orient="portrait"/>
          <w:cols w:equalWidth="0" w:num="1">
            <w:col w:w="9019"/>
          </w:cols>
          <w:pgMar w:left="1440" w:top="274" w:right="1440" w:bottom="1440" w:gutter="0" w:footer="0" w:header="0"/>
        </w:sectPr>
      </w:pPr>
    </w:p>
    <w:bookmarkStart w:id="166" w:name="page167"/>
    <w:bookmarkEnd w:id="16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US Inc.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4" w:right="1440"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Agreement is hereby confirmed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accepted as of the date first above written.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Roger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Roger Kim</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 Initial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Purchasers named in Schedule I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ectPr>
          <w:pgSz w:w="11900" w:h="16838" w:orient="portrait"/>
          <w:cols w:equalWidth="0" w:num="1">
            <w:col w:w="10019"/>
          </w:cols>
          <w:pgMar w:left="440" w:top="274" w:right="1440"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CITIGROUP GLOBAL MARKETS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Justin Tichauer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Justin Tichauer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 Initial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Purchasers named in Schedule I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ectPr>
          <w:pgSz w:w="11900" w:h="16838" w:orient="portrait"/>
          <w:cols w:equalWidth="0" w:num="1">
            <w:col w:w="10019"/>
          </w:cols>
          <w:pgMar w:left="440" w:top="274" w:right="1440"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Andrew 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Andrew Rothstein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itself and the other several Initial</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Purchasers named in Schedule I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ectPr>
          <w:pgSz w:w="11900" w:h="16838" w:orient="portrait"/>
          <w:cols w:equalWidth="0" w:num="1">
            <w:col w:w="10019"/>
          </w:cols>
          <w:pgMar w:left="440" w:top="274"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Initial Purchasers: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Santander Investment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Rabo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UniCredit Capital Markets LLC</w:t>
      </w:r>
    </w:p>
    <w:p>
      <w:pPr>
        <w:sectPr>
          <w:pgSz w:w="11900" w:h="16838" w:orient="portrait"/>
          <w:cols w:equalWidth="0" w:num="1">
            <w:col w:w="11020"/>
          </w:cols>
          <w:pgMar w:left="440" w:top="274" w:right="439" w:bottom="1440" w:gutter="0" w:footer="0" w:header="0"/>
        </w:sectPr>
      </w:pPr>
    </w:p>
    <w:bookmarkStart w:id="171" w:name="page172"/>
    <w:bookmarkEnd w:id="171"/>
    <w:p>
      <w:pPr>
        <w:ind w:left="10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Each Broker-Dealer that receives Exchange Securities for its own account pursuant to the Exchange Offer must acknowledge that it will deliver a prospectus in connection with any resale of such Exchange Securities.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Exchange Securities received in exchange for Securities where such Securities were acquired by such Broker-Dealer as a result of market-making activities or other trading activities. The Issuers have agreed that, starting on the Expiration Date (as defined herein) and ending on the close of business one year after the Expiration Date, they will make this Prospectus available to any Broker-Dealer for use in connection with any such resale. See “Plan of Distribution.”</w:t>
      </w:r>
    </w:p>
    <w:p>
      <w:pPr>
        <w:sectPr>
          <w:pgSz w:w="11900" w:h="16838" w:orient="portrait"/>
          <w:cols w:equalWidth="0" w:num="1">
            <w:col w:w="11020"/>
          </w:cols>
          <w:pgMar w:left="440" w:top="274" w:right="439" w:bottom="1440" w:gutter="0" w:footer="0" w:header="0"/>
        </w:sectPr>
      </w:pPr>
    </w:p>
    <w:bookmarkStart w:id="172" w:name="page173"/>
    <w:bookmarkEnd w:id="172"/>
    <w:p>
      <w:pPr>
        <w:ind w:left="10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Each Broker-Dealer that receives Exchange Securities for its own account in exchange for Securities, where such Securities were acquired by such Broker-Dealer as a result of market-making activities or other trading activities, must acknowledge that it will deliver a prospectus in connection with any resale of such Exchange Securities. See “Plan of Distribution.”</w:t>
      </w:r>
    </w:p>
    <w:p>
      <w:pPr>
        <w:sectPr>
          <w:pgSz w:w="11900" w:h="16838" w:orient="portrait"/>
          <w:cols w:equalWidth="0" w:num="1">
            <w:col w:w="11020"/>
          </w:cols>
          <w:pgMar w:left="440" w:top="274" w:right="4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of Distribution</w:t>
      </w:r>
    </w:p>
    <w:p>
      <w:pPr>
        <w:spacing w:after="0" w:line="225"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Each Broker-Dealer that receives Exchange Securities for its own account pursuant to the Exchange Offer must acknowledge that it will deliver a prospectus in connection with any resale of such Exchange Securities. This Prospectus, as it may be amended or supplemented from time to time, may be used by a Broker-Dealer in connection with resales of Exchange Securities received in exchange for Securities where such Securities were acquired as a result of market-making activities or other trading activities. The Issuers have agreed that, starting on the Expiration Date and ending on the close of business one year after the Expiration Date, they will make this Prospectus, as amended or supplemented, available to any Broker-Dealer for</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use in connection with any such resale. In addition, until , 202_, all dealers effecting transactions in the Exchange Securities may be required to deliver a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-172720</wp:posOffset>
            </wp:positionV>
            <wp:extent cx="4857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5" w:lineRule="exact"/>
        <w:rPr>
          <w:sz w:val="20"/>
          <w:szCs w:val="20"/>
          <w:color w:val="auto"/>
        </w:rPr>
      </w:pPr>
    </w:p>
    <w:p>
      <w:pPr>
        <w:ind w:right="120" w:firstLine="991"/>
        <w:spacing w:after="0" w:line="288" w:lineRule="auto"/>
        <w:rPr>
          <w:sz w:val="20"/>
          <w:szCs w:val="20"/>
          <w:color w:val="auto"/>
        </w:rPr>
      </w:pPr>
      <w:r>
        <w:rPr>
          <w:rFonts w:ascii="Arial" w:cs="Arial" w:eastAsia="Arial" w:hAnsi="Arial"/>
          <w:sz w:val="16"/>
          <w:szCs w:val="16"/>
          <w:color w:val="auto"/>
        </w:rPr>
        <w:t>The Issuers will not receive any proceeds from any sale of Exchange Securities by Brokers-Dealers. Exchange Securities received by Broker-Dealers for their own account pursuant to the Exchange Offer may be sold from time to time in one or more transactions in the over-the-counter market, in negotiated transactions, through the writing of options on the Exchange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Securities. Any Broker-Dealer that resells Exchange Securities that were received by it for its own account pursuant to the Exchange Offer and any broker or dealer that participates in a distribution of such Exchange Securities may be deemed to be an “underwriter” within the meaning of the Act and any profit of any such resale of Exchange Securities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w:t>
      </w:r>
    </w:p>
    <w:p>
      <w:pPr>
        <w:spacing w:after="0" w:line="168"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For a period of one year after the Expiration Date, the Issuers will promptly send additional copies of this Prospectus and any amendment or supplement to this Prospectus to any Broker-Dealer that requests such documents in the Letter of Transmittal. The Issuers have agreed to pay all expenses incident to the Exchange Offer (including the expenses of one counsel for the holder of the Securities) other than commissions or concessions of any brokers or dealers and will indemnify the holders of the Securities (including any Broker-Dealers) against certain liabilities, including liabilities under the Act.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applicable, add information required by Regulation S-K Items 507 and/or 508.</w:t>
      </w:r>
    </w:p>
    <w:p>
      <w:pPr>
        <w:sectPr>
          <w:pgSz w:w="11900" w:h="16838" w:orient="portrait"/>
          <w:cols w:equalWidth="0" w:num="1">
            <w:col w:w="11020"/>
          </w:cols>
          <w:pgMar w:left="440" w:top="274" w:right="4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5780" w:type="dxa"/>
            <w:vAlign w:val="bottom"/>
            <w:gridSpan w:val="3"/>
          </w:tcPr>
          <w:p>
            <w:pPr>
              <w:ind w:left="360"/>
              <w:spacing w:after="0"/>
              <w:rPr>
                <w:sz w:val="20"/>
                <w:szCs w:val="20"/>
                <w:color w:val="auto"/>
              </w:rPr>
            </w:pPr>
            <w:r>
              <w:rPr>
                <w:rFonts w:ascii="Arial" w:cs="Arial" w:eastAsia="Arial" w:hAnsi="Arial"/>
                <w:sz w:val="18"/>
                <w:szCs w:val="18"/>
                <w:color w:val="auto"/>
              </w:rPr>
              <w:t>CHECK HERE IF YOU ARE A BROKER-DEALER AND</w:t>
            </w:r>
          </w:p>
        </w:tc>
      </w:tr>
      <w:tr>
        <w:trPr>
          <w:trHeight w:val="216"/>
        </w:trPr>
        <w:tc>
          <w:tcPr>
            <w:tcW w:w="640" w:type="dxa"/>
            <w:vAlign w:val="bottom"/>
          </w:tcPr>
          <w:p>
            <w:pPr>
              <w:spacing w:after="0"/>
              <w:rPr>
                <w:sz w:val="18"/>
                <w:szCs w:val="18"/>
                <w:color w:val="auto"/>
              </w:rPr>
            </w:pPr>
          </w:p>
        </w:tc>
        <w:tc>
          <w:tcPr>
            <w:tcW w:w="5780" w:type="dxa"/>
            <w:vAlign w:val="bottom"/>
            <w:gridSpan w:val="3"/>
          </w:tcPr>
          <w:p>
            <w:pPr>
              <w:ind w:left="360"/>
              <w:spacing w:after="0"/>
              <w:rPr>
                <w:sz w:val="20"/>
                <w:szCs w:val="20"/>
                <w:color w:val="auto"/>
              </w:rPr>
            </w:pPr>
            <w:r>
              <w:rPr>
                <w:rFonts w:ascii="Arial" w:cs="Arial" w:eastAsia="Arial" w:hAnsi="Arial"/>
                <w:sz w:val="18"/>
                <w:szCs w:val="18"/>
                <w:color w:val="auto"/>
                <w:w w:val="94"/>
              </w:rPr>
              <w:t>WISH TO RECEIVE 10 ADDITIONAL COPIES OF THE PROSPECTUS</w:t>
            </w:r>
          </w:p>
        </w:tc>
      </w:tr>
      <w:tr>
        <w:trPr>
          <w:trHeight w:val="216"/>
        </w:trPr>
        <w:tc>
          <w:tcPr>
            <w:tcW w:w="640" w:type="dxa"/>
            <w:vAlign w:val="bottom"/>
          </w:tcPr>
          <w:p>
            <w:pPr>
              <w:spacing w:after="0"/>
              <w:rPr>
                <w:sz w:val="18"/>
                <w:szCs w:val="18"/>
                <w:color w:val="auto"/>
              </w:rPr>
            </w:pPr>
          </w:p>
        </w:tc>
        <w:tc>
          <w:tcPr>
            <w:tcW w:w="5780" w:type="dxa"/>
            <w:vAlign w:val="bottom"/>
            <w:gridSpan w:val="3"/>
          </w:tcPr>
          <w:p>
            <w:pPr>
              <w:ind w:left="360"/>
              <w:spacing w:after="0"/>
              <w:rPr>
                <w:sz w:val="20"/>
                <w:szCs w:val="20"/>
                <w:color w:val="auto"/>
              </w:rPr>
            </w:pPr>
            <w:r>
              <w:rPr>
                <w:rFonts w:ascii="Arial" w:cs="Arial" w:eastAsia="Arial" w:hAnsi="Arial"/>
                <w:sz w:val="18"/>
                <w:szCs w:val="18"/>
                <w:color w:val="auto"/>
              </w:rPr>
              <w:t>AND 10 COPIES OF ANY AMENDMENTS</w:t>
            </w:r>
          </w:p>
        </w:tc>
      </w:tr>
      <w:tr>
        <w:trPr>
          <w:trHeight w:val="230"/>
        </w:trPr>
        <w:tc>
          <w:tcPr>
            <w:tcW w:w="640" w:type="dxa"/>
            <w:vAlign w:val="bottom"/>
          </w:tcPr>
          <w:p>
            <w:pPr>
              <w:spacing w:after="0"/>
              <w:rPr>
                <w:sz w:val="20"/>
                <w:szCs w:val="20"/>
                <w:color w:val="auto"/>
              </w:rPr>
            </w:pPr>
          </w:p>
        </w:tc>
        <w:tc>
          <w:tcPr>
            <w:tcW w:w="5780" w:type="dxa"/>
            <w:vAlign w:val="bottom"/>
            <w:gridSpan w:val="3"/>
          </w:tcPr>
          <w:p>
            <w:pPr>
              <w:ind w:left="360"/>
              <w:spacing w:after="0"/>
              <w:rPr>
                <w:sz w:val="20"/>
                <w:szCs w:val="20"/>
                <w:color w:val="auto"/>
              </w:rPr>
            </w:pPr>
            <w:r>
              <w:rPr>
                <w:rFonts w:ascii="Arial" w:cs="Arial" w:eastAsia="Arial" w:hAnsi="Arial"/>
                <w:sz w:val="18"/>
                <w:szCs w:val="18"/>
                <w:color w:val="auto"/>
              </w:rPr>
              <w:t>OR SUPPLEMENTS THERETO.</w:t>
            </w:r>
          </w:p>
        </w:tc>
      </w:tr>
      <w:tr>
        <w:trPr>
          <w:trHeight w:val="405"/>
        </w:trPr>
        <w:tc>
          <w:tcPr>
            <w:tcW w:w="64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Name:</w:t>
            </w:r>
          </w:p>
        </w:tc>
        <w:tc>
          <w:tcPr>
            <w:tcW w:w="368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578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Address:</w:t>
            </w:r>
          </w:p>
        </w:tc>
      </w:tr>
      <w:tr>
        <w:trPr>
          <w:trHeight w:val="196"/>
        </w:trPr>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80" w:type="dxa"/>
            <w:vAlign w:val="bottom"/>
            <w:tcBorders>
              <w:top w:val="single" w:sz="8" w:color="auto"/>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r>
    </w:tbl>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undersigned is not a Broker-Dealer, the undersigned represents that it acquired the Exchange Securities in the ordinary course of its business, it is not engaged in, and does not intend to engage in, a distribution of Exchange Securities and it has no arrangements or understandings with any Person to participate in a distribution of the Exchange Securities. If the undersigned is a Broker-Dealer that will receive Exchange Securities for its own account in exchange for Securities, it represents that the Securities to be exchanged for Exchange Securities were acquired by it as a result of market-making activities or other trading activities and acknowledges that it will deliver a prospectus in connection with any resale of such Exchange Securities; however, by so acknowledging and by delivering a prospectus, the undersigned will not be deemed to admit that it is an “underwriter” within the meaning of the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1)"/>
      <w:numFmt w:val="lowerLetter"/>
      <w:start w:val="4"/>
    </w:lvl>
  </w:abstractNum>
  <w:abstractNum w:abstractNumId="2">
    <w:nsid w:val="74DE0EE3"/>
    <w:multiLevelType w:val="hybridMultilevel"/>
    <w:lvl w:ilvl="0">
      <w:lvlJc w:val="left"/>
      <w:lvlText w:val="(%1)"/>
      <w:numFmt w:val="decimal"/>
      <w:start w:val="1"/>
    </w:lvl>
  </w:abstractNum>
  <w:abstractNum w:abstractNumId="3">
    <w:nsid w:val="68EBC550"/>
    <w:multiLevelType w:val="hybridMultilevel"/>
    <w:lvl w:ilvl="0">
      <w:lvlJc w:val="left"/>
      <w:lvlText w:val="(%1)"/>
      <w:numFmt w:val="decimal"/>
      <w:start w:val="1"/>
    </w:lvl>
  </w:abstractNum>
  <w:abstractNum w:abstractNumId="4">
    <w:nsid w:val="2DF6D648"/>
    <w:multiLevelType w:val="hybridMultilevel"/>
    <w:lvl w:ilvl="0">
      <w:lvlJc w:val="left"/>
      <w:lvlText w:val="(%1)"/>
      <w:numFmt w:val="decimal"/>
      <w:start w:val="4"/>
    </w:lvl>
  </w:abstractNum>
  <w:abstractNum w:abstractNumId="5">
    <w:nsid w:val="46B7D447"/>
    <w:multiLevelType w:val="hybridMultilevel"/>
    <w:lvl w:ilvl="0">
      <w:lvlJc w:val="left"/>
      <w:lvlText w:val="(%1)"/>
      <w:numFmt w:val="decimal"/>
      <w:start w:val="1"/>
    </w:lvl>
  </w:abstractNum>
  <w:abstractNum w:abstractNumId="6">
    <w:nsid w:val="4A2AC315"/>
    <w:multiLevelType w:val="hybridMultilevel"/>
    <w:lvl w:ilvl="0">
      <w:lvlJc w:val="left"/>
      <w:lvlText w:val="(%1)"/>
      <w:numFmt w:val="decimal"/>
      <w:start w:val="1"/>
    </w:lvl>
  </w:abstractNum>
  <w:abstractNum w:abstractNumId="7">
    <w:nsid w:val="39EE015C"/>
    <w:multiLevelType w:val="hybridMultilevel"/>
    <w:lvl w:ilvl="0">
      <w:lvlJc w:val="left"/>
      <w:lvlText w:val="(%1)"/>
      <w:numFmt w:val="decimal"/>
      <w:start w:val="8"/>
    </w:lvl>
  </w:abstractNum>
  <w:abstractNum w:abstractNumId="8">
    <w:nsid w:val="57FC4FBB"/>
    <w:multiLevelType w:val="hybridMultilevel"/>
    <w:lvl w:ilvl="0">
      <w:lvlJc w:val="left"/>
      <w:lvlText w:val="(%1)"/>
      <w:numFmt w:val="decimal"/>
      <w:start w:val="1"/>
    </w:lvl>
  </w:abstractNum>
  <w:abstractNum w:abstractNumId="9">
    <w:nsid w:val="CC1016F"/>
    <w:multiLevelType w:val="hybridMultilevel"/>
    <w:lvl w:ilvl="0">
      <w:lvlJc w:val="left"/>
      <w:lvlText w:val="(%1)"/>
      <w:numFmt w:val="decimal"/>
      <w:start w:val="1"/>
    </w:lvl>
  </w:abstractNum>
  <w:abstractNum w:abstractNumId="10">
    <w:nsid w:val="43F18422"/>
    <w:multiLevelType w:val="hybridMultilevel"/>
    <w:lvl w:ilvl="0">
      <w:lvlJc w:val="left"/>
      <w:lvlText w:val="(%1)"/>
      <w:numFmt w:val="decimal"/>
      <w:start w:val="1"/>
    </w:lvl>
  </w:abstractNum>
  <w:abstractNum w:abstractNumId="11">
    <w:nsid w:val="60EF0119"/>
    <w:multiLevelType w:val="hybridMultilevel"/>
    <w:lvl w:ilvl="0">
      <w:lvlJc w:val="left"/>
      <w:lvlText w:val="(%1)"/>
      <w:numFmt w:val="decimal"/>
      <w:start w:val="1"/>
    </w:lvl>
  </w:abstractNum>
  <w:abstractNum w:abstractNumId="12">
    <w:nsid w:val="26F324BA"/>
    <w:multiLevelType w:val="hybridMultilevel"/>
    <w:lvl w:ilvl="0">
      <w:lvlJc w:val="left"/>
      <w:lvlText w:val="(%1)"/>
      <w:numFmt w:val="decimal"/>
      <w:start w:val="1"/>
    </w:lvl>
    <w:lvl w:ilvl="1">
      <w:lvlJc w:val="left"/>
      <w:lvlText w:val="(%2)"/>
      <w:numFmt w:val="lowerLetter"/>
      <w:start w:val="1"/>
    </w:lvl>
  </w:abstractNum>
  <w:abstractNum w:abstractNumId="13">
    <w:nsid w:val="7F01579B"/>
    <w:multiLevelType w:val="hybridMultilevel"/>
    <w:lvl w:ilvl="0">
      <w:lvlJc w:val="left"/>
      <w:lvlText w:val="%1"/>
      <w:numFmt w:val="lowerLetter"/>
      <w:start w:val="1"/>
    </w:lvl>
    <w:lvl w:ilvl="1">
      <w:lvlJc w:val="left"/>
      <w:lvlText w:val="(%2)"/>
      <w:numFmt w:val="decimal"/>
      <w:start w:val="1"/>
    </w:lvl>
  </w:abstractNum>
  <w:abstractNum w:abstractNumId="14">
    <w:nsid w:val="49DA307D"/>
    <w:multiLevelType w:val="hybridMultilevel"/>
    <w:lvl w:ilvl="0">
      <w:lvlJc w:val="left"/>
      <w:lvlText w:val="(%1)"/>
      <w:numFmt w:val="lowerLetter"/>
      <w:start w:val="2"/>
    </w:lvl>
    <w:lvl w:ilvl="1">
      <w:lvlJc w:val="left"/>
      <w:lvlText w:val="(%2)"/>
      <w:numFmt w:val="decimal"/>
      <w:start w:val="3"/>
    </w:lvl>
  </w:abstractNum>
  <w:abstractNum w:abstractNumId="15">
    <w:nsid w:val="7055A5F5"/>
    <w:multiLevelType w:val="hybridMultilevel"/>
    <w:lvl w:ilvl="0">
      <w:lvlJc w:val="left"/>
      <w:lvlText w:val="%1"/>
      <w:numFmt w:val="decimal"/>
      <w:start w:val="1"/>
    </w:lvl>
    <w:lvl w:ilvl="1">
      <w:lvlJc w:val="left"/>
      <w:lvlText w:val="(%2)"/>
      <w:numFmt w:val="decimal"/>
      <w:start w:val="7"/>
    </w:lvl>
  </w:abstractNum>
  <w:abstractNum w:abstractNumId="16">
    <w:nsid w:val="5FB8370B"/>
    <w:multiLevelType w:val="hybridMultilevel"/>
    <w:lvl w:ilvl="0">
      <w:lvlJc w:val="left"/>
      <w:lvlText w:val="(%1)"/>
      <w:numFmt w:val="decimal"/>
      <w:start w:val="10"/>
    </w:lvl>
    <w:lvl w:ilvl="1">
      <w:lvlJc w:val="left"/>
      <w:lvlText w:val="(%2)"/>
      <w:numFmt w:val="decimal"/>
      <w:start w:val="8"/>
    </w:lvl>
  </w:abstractNum>
  <w:abstractNum w:abstractNumId="17">
    <w:nsid w:val="50801EE1"/>
    <w:multiLevelType w:val="hybridMultilevel"/>
    <w:lvl w:ilvl="0">
      <w:lvlJc w:val="left"/>
      <w:lvlText w:val="(%1)"/>
      <w:numFmt w:val="decimal"/>
      <w:start w:val="13"/>
    </w:lvl>
  </w:abstractNum>
  <w:abstractNum w:abstractNumId="18">
    <w:nsid w:val="488AC1A"/>
    <w:multiLevelType w:val="hybridMultilevel"/>
    <w:lvl w:ilvl="0">
      <w:lvlJc w:val="left"/>
      <w:lvlText w:val="(%1)"/>
      <w:numFmt w:val="decimal"/>
      <w:start w:val="1"/>
    </w:lvl>
  </w:abstractNum>
  <w:abstractNum w:abstractNumId="19">
    <w:nsid w:val="5FB8011C"/>
    <w:multiLevelType w:val="hybridMultilevel"/>
    <w:lvl w:ilvl="0">
      <w:lvlJc w:val="left"/>
      <w:lvlText w:val="%1"/>
      <w:numFmt w:val="lowerLetter"/>
      <w:start w:val="1"/>
    </w:lvl>
    <w:lvl w:ilvl="1">
      <w:lvlJc w:val="left"/>
      <w:lvlText w:val="(%2)"/>
      <w:numFmt w:val="decimal"/>
      <w:start w:val="1"/>
    </w:lvl>
  </w:abstractNum>
  <w:abstractNum w:abstractNumId="20">
    <w:nsid w:val="6AA78F7F"/>
    <w:multiLevelType w:val="hybridMultilevel"/>
    <w:lvl w:ilvl="0">
      <w:lvlJc w:val="left"/>
      <w:lvlText w:val="(%1)"/>
      <w:numFmt w:val="lowerLetter"/>
      <w:start w:val="2"/>
    </w:lvl>
    <w:lvl w:ilvl="1">
      <w:lvlJc w:val="left"/>
      <w:lvlText w:val="%2"/>
      <w:numFmt w:val="decimal"/>
      <w:start w:val="1"/>
    </w:lvl>
  </w:abstractNum>
  <w:abstractNum w:abstractNumId="21">
    <w:nsid w:val="7672BD23"/>
    <w:multiLevelType w:val="hybridMultilevel"/>
    <w:lvl w:ilvl="0">
      <w:lvlJc w:val="left"/>
      <w:lvlText w:val="(%1)"/>
      <w:numFmt w:val="decimal"/>
      <w:start w:val="1"/>
    </w:lvl>
  </w:abstractNum>
  <w:abstractNum w:abstractNumId="22">
    <w:nsid w:val="6FC75AF8"/>
    <w:multiLevelType w:val="hybridMultilevel"/>
    <w:lvl w:ilvl="0">
      <w:lvlJc w:val="left"/>
      <w:lvlText w:val="%1"/>
      <w:numFmt w:val="lowerLetter"/>
      <w:start w:val="1"/>
    </w:lvl>
    <w:lvl w:ilvl="1">
      <w:lvlJc w:val="left"/>
      <w:lvlText w:val="(%2)"/>
      <w:numFmt w:val="lowerLetter"/>
      <w:start w:val="1"/>
    </w:lvl>
  </w:abstractNum>
  <w:abstractNum w:abstractNumId="23">
    <w:nsid w:val="6A5F7029"/>
    <w:multiLevelType w:val="hybridMultilevel"/>
    <w:lvl w:ilvl="0">
      <w:lvlJc w:val="left"/>
      <w:lvlText w:val="(%1)"/>
      <w:numFmt w:val="lowerLetter"/>
      <w:start w:val="61"/>
    </w:lvl>
    <w:lvl w:ilvl="1">
      <w:lvlJc w:val="left"/>
      <w:lvlText w:val="%2"/>
      <w:numFmt w:val="lowerLetter"/>
      <w:start w:val="1"/>
    </w:lvl>
  </w:abstractNum>
  <w:abstractNum w:abstractNumId="24">
    <w:nsid w:val="7D5E18F8"/>
    <w:multiLevelType w:val="hybridMultilevel"/>
    <w:lvl w:ilvl="0">
      <w:lvlJc w:val="left"/>
      <w:lvlText w:val="%1"/>
      <w:numFmt w:val="lowerLetter"/>
      <w:start w:val="1"/>
    </w:lvl>
    <w:lvl w:ilvl="1">
      <w:lvlJc w:val="left"/>
      <w:lvlText w:val="(%2)"/>
      <w:numFmt w:val="lowerLetter"/>
      <w:start w:val="2"/>
    </w:lvl>
  </w:abstractNum>
  <w:abstractNum w:abstractNumId="25">
    <w:nsid w:val="5F3534A4"/>
    <w:multiLevelType w:val="hybridMultilevel"/>
    <w:lvl w:ilvl="0">
      <w:lvlJc w:val="left"/>
      <w:lvlText w:val="(%1)"/>
      <w:numFmt w:val="lowerLetter"/>
      <w:start w:val="61"/>
    </w:lvl>
    <w:lvl w:ilvl="1">
      <w:lvlJc w:val="left"/>
      <w:lvlText w:val="(%2)"/>
      <w:numFmt w:val="lowerLetter"/>
      <w:start w:val="3"/>
    </w:lvl>
  </w:abstractNum>
  <w:abstractNum w:abstractNumId="26">
    <w:nsid w:val="73A1821B"/>
    <w:multiLevelType w:val="hybridMultilevel"/>
    <w:lvl w:ilvl="0">
      <w:lvlJc w:val="left"/>
      <w:lvlText w:val="(%1)"/>
      <w:numFmt w:val="lowerLetter"/>
      <w:start w:val="1"/>
    </w:lvl>
  </w:abstractNum>
  <w:abstractNum w:abstractNumId="27">
    <w:nsid w:val="7DE67713"/>
    <w:multiLevelType w:val="hybridMultilevel"/>
    <w:lvl w:ilvl="0">
      <w:lvlJc w:val="left"/>
      <w:lvlText w:val="%1"/>
      <w:numFmt w:val="lowerRoman"/>
      <w:start w:val="1"/>
    </w:lvl>
    <w:lvl w:ilvl="1">
      <w:lvlJc w:val="left"/>
      <w:lvlText w:val="(%2)"/>
      <w:numFmt w:val="lowerLetter"/>
      <w:start w:val="2"/>
    </w:lvl>
  </w:abstractNum>
  <w:abstractNum w:abstractNumId="28">
    <w:nsid w:val="555C55B5"/>
    <w:multiLevelType w:val="hybridMultilevel"/>
    <w:lvl w:ilvl="0">
      <w:lvlJc w:val="left"/>
      <w:lvlText w:val="(%1)"/>
      <w:numFmt w:val="lowerRoman"/>
      <w:start w:val="1"/>
    </w:lvl>
    <w:lvl w:ilvl="1">
      <w:lvlJc w:val="left"/>
      <w:lvlText w:val="%2"/>
      <w:numFmt w:val="lowerLetter"/>
      <w:start w:val="1"/>
    </w:lvl>
  </w:abstractNum>
  <w:abstractNum w:abstractNumId="29">
    <w:nsid w:val="3FA62ACA"/>
    <w:multiLevelType w:val="hybridMultilevel"/>
    <w:lvl w:ilvl="0">
      <w:lvlJc w:val="left"/>
      <w:lvlText w:val="%1"/>
      <w:numFmt w:val="lowerRoman"/>
      <w:start w:val="1"/>
    </w:lvl>
    <w:lvl w:ilvl="1">
      <w:lvlJc w:val="left"/>
      <w:lvlText w:val="(%2)"/>
      <w:numFmt w:val="upperLetter"/>
      <w:start w:val="1"/>
    </w:lvl>
  </w:abstractNum>
  <w:abstractNum w:abstractNumId="30">
    <w:nsid w:val="14FCE74E"/>
    <w:multiLevelType w:val="hybridMultilevel"/>
    <w:lvl w:ilvl="0">
      <w:lvlJc w:val="left"/>
      <w:lvlText w:val="(%1)"/>
      <w:numFmt w:val="lowerRoman"/>
      <w:start w:val="4"/>
    </w:lvl>
    <w:lvl w:ilvl="1">
      <w:lvlJc w:val="left"/>
      <w:lvlText w:val="(%2)"/>
      <w:numFmt w:val="upperLetter"/>
      <w:start w:val="1"/>
    </w:lvl>
  </w:abstractNum>
  <w:abstractNum w:abstractNumId="31">
    <w:nsid w:val="6A3DD3E8"/>
    <w:multiLevelType w:val="hybridMultilevel"/>
    <w:lvl w:ilvl="0">
      <w:lvlJc w:val="left"/>
      <w:lvlText w:val="(%1)"/>
      <w:numFmt w:val="lowerLetter"/>
      <w:start w:val="22"/>
    </w:lvl>
    <w:lvl w:ilvl="1">
      <w:lvlJc w:val="left"/>
      <w:lvlText w:val="(%2)"/>
      <w:numFmt w:val="lowerLetter"/>
      <w:start w:val="3"/>
    </w:lvl>
  </w:abstractNum>
  <w:abstractNum w:abstractNumId="32">
    <w:nsid w:val="71C91298"/>
    <w:multiLevelType w:val="hybridMultilevel"/>
    <w:lvl w:ilvl="0">
      <w:lvlJc w:val="left"/>
      <w:lvlText w:val="(%1)"/>
      <w:numFmt w:val="lowerRoman"/>
      <w:start w:val="1"/>
    </w:lvl>
    <w:lvl w:ilvl="1">
      <w:lvlJc w:val="left"/>
      <w:lvlText w:val="(%2)"/>
      <w:numFmt w:val="upperLetter"/>
      <w:start w:val="1"/>
    </w:lvl>
  </w:abstractNum>
  <w:abstractNum w:abstractNumId="33">
    <w:nsid w:val="9DAF632"/>
    <w:multiLevelType w:val="hybridMultilevel"/>
    <w:lvl w:ilvl="0">
      <w:lvlJc w:val="left"/>
      <w:lvlText w:val="(%1)"/>
      <w:numFmt w:val="upperLetter"/>
      <w:start w:val="5"/>
    </w:lvl>
  </w:abstractNum>
  <w:abstractNum w:abstractNumId="34">
    <w:nsid w:val="53299938"/>
    <w:multiLevelType w:val="hybridMultilevel"/>
    <w:lvl w:ilvl="0">
      <w:lvlJc w:val="left"/>
      <w:lvlText w:val="(%1)"/>
      <w:numFmt w:val="lowerRoman"/>
      <w:start w:val="2"/>
    </w:lvl>
    <w:lvl w:ilvl="1">
      <w:lvlJc w:val="left"/>
      <w:lvlText w:val="(%2)"/>
      <w:numFmt w:val="upperLetter"/>
      <w:start w:val="1"/>
    </w:lvl>
  </w:abstractNum>
  <w:abstractNum w:abstractNumId="35">
    <w:nsid w:val="1FBFE8E0"/>
    <w:multiLevelType w:val="hybridMultilevel"/>
    <w:lvl w:ilvl="0">
      <w:lvlJc w:val="left"/>
      <w:lvlText w:val="(%1)"/>
      <w:numFmt w:val="lowerRoman"/>
      <w:start w:val="3"/>
    </w:lvl>
    <w:lvl w:ilvl="1">
      <w:lvlJc w:val="left"/>
      <w:lvlText w:val="(%2)"/>
      <w:numFmt w:val="lowerLetter"/>
      <w:start w:val="5"/>
    </w:lvl>
  </w:abstractNum>
  <w:abstractNum w:abstractNumId="36">
    <w:nsid w:val="5092CA79"/>
    <w:multiLevelType w:val="hybridMultilevel"/>
    <w:lvl w:ilvl="0">
      <w:lvlJc w:val="left"/>
      <w:lvlText w:val="(%1)"/>
      <w:numFmt w:val="lowerRoman"/>
      <w:start w:val="1"/>
    </w:lvl>
    <w:lvl w:ilvl="1">
      <w:lvlJc w:val="left"/>
      <w:lvlText w:val="(%2)"/>
      <w:numFmt w:val="upperLetter"/>
      <w:start w:val="1"/>
    </w:lvl>
  </w:abstractNum>
  <w:abstractNum w:abstractNumId="37">
    <w:nsid w:val="1D545C4D"/>
    <w:multiLevelType w:val="hybridMultilevel"/>
    <w:lvl w:ilvl="0">
      <w:lvlJc w:val="left"/>
      <w:lvlText w:val="%1"/>
      <w:numFmt w:val="lowerRoman"/>
      <w:start w:val="1"/>
    </w:lvl>
    <w:lvl w:ilvl="1">
      <w:lvlJc w:val="left"/>
      <w:lvlText w:val="(%2)"/>
      <w:numFmt w:val="upperLetter"/>
      <w:start w:val="2"/>
    </w:lvl>
  </w:abstractNum>
  <w:abstractNum w:abstractNumId="38">
    <w:nsid w:val="59ADEA3D"/>
    <w:multiLevelType w:val="hybridMultilevel"/>
    <w:lvl w:ilvl="0">
      <w:lvlJc w:val="left"/>
      <w:lvlText w:val="(%1)"/>
      <w:numFmt w:val="lowerRoman"/>
      <w:start w:val="2"/>
    </w:lvl>
    <w:lvl w:ilvl="1">
      <w:lvlJc w:val="left"/>
      <w:lvlText w:val="%2"/>
      <w:numFmt w:val="upperLetter"/>
      <w:start w:val="1"/>
    </w:lvl>
  </w:abstractNum>
  <w:abstractNum w:abstractNumId="39">
    <w:nsid w:val="288F1A34"/>
    <w:multiLevelType w:val="hybridMultilevel"/>
    <w:lvl w:ilvl="0">
      <w:lvlJc w:val="left"/>
      <w:lvlText w:val="%1"/>
      <w:numFmt w:val="decimal"/>
      <w:start w:val="1"/>
    </w:lvl>
    <w:lvl w:ilvl="1">
      <w:lvlJc w:val="left"/>
      <w:lvlText w:val="(%2)"/>
      <w:numFmt w:val="decimal"/>
      <w:start w:val="1"/>
    </w:lvl>
  </w:abstractNum>
  <w:abstractNum w:abstractNumId="40">
    <w:nsid w:val="2A155DBC"/>
    <w:multiLevelType w:val="hybridMultilevel"/>
    <w:lvl w:ilvl="0">
      <w:lvlJc w:val="left"/>
      <w:lvlText w:val="(%1)"/>
      <w:numFmt w:val="decimal"/>
      <w:start w:val="4"/>
    </w:lvl>
    <w:lvl w:ilvl="1">
      <w:lvlJc w:val="left"/>
      <w:lvlText w:val="%2"/>
      <w:numFmt w:val="decimal"/>
      <w:start w:val="1"/>
    </w:lvl>
  </w:abstractNum>
  <w:abstractNum w:abstractNumId="41">
    <w:nsid w:val="1D9F6E5F"/>
    <w:multiLevelType w:val="hybridMultilevel"/>
    <w:lvl w:ilvl="0">
      <w:lvlJc w:val="left"/>
      <w:lvlText w:val="(%1)"/>
      <w:numFmt w:val="lowerRoman"/>
      <w:start w:val="3"/>
    </w:lvl>
  </w:abstractNum>
  <w:abstractNum w:abstractNumId="42">
    <w:nsid w:val="97E1B4E"/>
    <w:multiLevelType w:val="hybridMultilevel"/>
    <w:lvl w:ilvl="0">
      <w:lvlJc w:val="left"/>
      <w:lvlText w:val="(%1)"/>
      <w:numFmt w:val="lowerRoman"/>
      <w:start w:val="4"/>
    </w:lvl>
    <w:lvl w:ilvl="1">
      <w:lvlJc w:val="left"/>
      <w:lvlText w:val="(%2)"/>
      <w:numFmt w:val="lowerLetter"/>
      <w:start w:val="6"/>
    </w:lvl>
  </w:abstractNum>
  <w:abstractNum w:abstractNumId="43">
    <w:nsid w:val="51088277"/>
    <w:multiLevelType w:val="hybridMultilevel"/>
    <w:lvl w:ilvl="0">
      <w:lvlJc w:val="left"/>
      <w:lvlText w:val="(%1)"/>
      <w:numFmt w:val="decimal"/>
      <w:start w:val="1"/>
    </w:lvl>
  </w:abstractNum>
  <w:abstractNum w:abstractNumId="44">
    <w:nsid w:val="1CA0C5FA"/>
    <w:multiLevelType w:val="hybridMultilevel"/>
    <w:lvl w:ilvl="0">
      <w:lvlJc w:val="left"/>
      <w:lvlText w:val="(%1)"/>
      <w:numFmt w:val="lowerLetter"/>
      <w:start w:val="1"/>
    </w:lvl>
  </w:abstractNum>
  <w:abstractNum w:abstractNumId="45">
    <w:nsid w:val="53584BCB"/>
    <w:multiLevelType w:val="hybridMultilevel"/>
    <w:lvl w:ilvl="0">
      <w:lvlJc w:val="left"/>
      <w:lvlText w:val="(%1)"/>
      <w:numFmt w:val="lowerLetter"/>
      <w:start w:val="2"/>
    </w:lvl>
  </w:abstractNum>
  <w:abstractNum w:abstractNumId="46">
    <w:nsid w:val="415E286C"/>
    <w:multiLevelType w:val="hybridMultilevel"/>
    <w:lvl w:ilvl="0">
      <w:lvlJc w:val="left"/>
      <w:lvlText w:val="(%1)"/>
      <w:numFmt w:val="lowerRoman"/>
      <w:start w:val="1"/>
    </w:lvl>
  </w:abstractNum>
  <w:abstractNum w:abstractNumId="47">
    <w:nsid w:val="7C58FD05"/>
    <w:multiLevelType w:val="hybridMultilevel"/>
    <w:lvl w:ilvl="0">
      <w:lvlJc w:val="left"/>
      <w:lvlText w:val="(%1)"/>
      <w:numFmt w:val="lowerLetter"/>
      <w:start w:val="1"/>
    </w:lvl>
  </w:abstractNum>
  <w:abstractNum w:abstractNumId="48">
    <w:nsid w:val="23D86AAC"/>
    <w:multiLevelType w:val="hybridMultilevel"/>
    <w:lvl w:ilvl="0">
      <w:lvlJc w:val="left"/>
      <w:lvlText w:val="%1"/>
      <w:numFmt w:val="decimal"/>
      <w:start w:val="1"/>
    </w:lvl>
    <w:lvl w:ilvl="1">
      <w:lvlJc w:val="left"/>
      <w:lvlText w:val="(%2)"/>
      <w:numFmt w:val="lowerLetter"/>
      <w:start w:val="1"/>
    </w:lvl>
  </w:abstractNum>
  <w:abstractNum w:abstractNumId="49">
    <w:nsid w:val="45E6D486"/>
    <w:multiLevelType w:val="hybridMultilevel"/>
    <w:lvl w:ilvl="0">
      <w:lvlJc w:val="left"/>
      <w:lvlText w:val="(%1)"/>
      <w:numFmt w:val="decimal"/>
      <w:start w:val="1"/>
    </w:lvl>
    <w:lvl w:ilvl="1">
      <w:lvlJc w:val="left"/>
      <w:lvlText w:val="%2"/>
      <w:numFmt w:val="lowerLetter"/>
      <w:start w:val="1"/>
    </w:lvl>
  </w:abstractNum>
  <w:abstractNum w:abstractNumId="50">
    <w:nsid w:val="5C10FE21"/>
    <w:multiLevelType w:val="hybridMultilevel"/>
    <w:lvl w:ilvl="0">
      <w:lvlJc w:val="left"/>
      <w:lvlText w:val="(%1)"/>
      <w:numFmt w:val="decimal"/>
      <w:start w:val="6"/>
    </w:lvl>
    <w:lvl w:ilvl="1">
      <w:lvlJc w:val="left"/>
      <w:lvlText w:val="(%2)"/>
      <w:numFmt w:val="lowerLetter"/>
      <w:start w:val="3"/>
    </w:lvl>
  </w:abstractNum>
  <w:abstractNum w:abstractNumId="51">
    <w:nsid w:val="E7FFA2B"/>
    <w:multiLevelType w:val="hybridMultilevel"/>
    <w:lvl w:ilvl="0">
      <w:lvlJc w:val="left"/>
      <w:lvlText w:val="(%1)"/>
      <w:numFmt w:val="decimal"/>
      <w:start w:val="1"/>
    </w:lvl>
  </w:abstractNum>
  <w:abstractNum w:abstractNumId="52">
    <w:nsid w:val="3C5991AA"/>
    <w:multiLevelType w:val="hybridMultilevel"/>
    <w:lvl w:ilvl="0">
      <w:lvlJc w:val="left"/>
      <w:lvlText w:val="(%1)"/>
      <w:numFmt w:val="lowerLetter"/>
      <w:start w:val="4"/>
    </w:lvl>
  </w:abstractNum>
  <w:abstractNum w:abstractNumId="53">
    <w:nsid w:val="4BD8591A"/>
    <w:multiLevelType w:val="hybridMultilevel"/>
    <w:lvl w:ilvl="0">
      <w:lvlJc w:val="left"/>
      <w:lvlText w:val="(%1)"/>
      <w:numFmt w:val="lowerLetter"/>
      <w:start w:val="1"/>
    </w:lvl>
  </w:abstractNum>
  <w:abstractNum w:abstractNumId="54">
    <w:nsid w:val="78DF6A55"/>
    <w:multiLevelType w:val="hybridMultilevel"/>
    <w:lvl w:ilvl="0">
      <w:lvlJc w:val="left"/>
      <w:lvlText w:val="(%1)"/>
      <w:numFmt w:val="decimal"/>
      <w:start w:val="1"/>
    </w:lvl>
  </w:abstractNum>
  <w:abstractNum w:abstractNumId="55">
    <w:nsid w:val="39B7AAA2"/>
    <w:multiLevelType w:val="hybridMultilevel"/>
    <w:lvl w:ilvl="0">
      <w:lvlJc w:val="left"/>
      <w:lvlText w:val="%1"/>
      <w:numFmt w:val="decimal"/>
      <w:start w:val="1"/>
    </w:lvl>
    <w:lvl w:ilvl="1">
      <w:lvlJc w:val="left"/>
      <w:lvlText w:val="(%2)"/>
      <w:numFmt w:val="lowerLetter"/>
      <w:start w:val="1"/>
    </w:lvl>
  </w:abstractNum>
  <w:abstractNum w:abstractNumId="56">
    <w:nsid w:val="2B0D8DBE"/>
    <w:multiLevelType w:val="hybridMultilevel"/>
    <w:lvl w:ilvl="0">
      <w:lvlJc w:val="left"/>
      <w:lvlText w:val="(%1)"/>
      <w:numFmt w:val="decimal"/>
      <w:start w:val="1"/>
    </w:lvl>
    <w:lvl w:ilvl="1">
      <w:lvlJc w:val="left"/>
      <w:lvlText w:val="%2"/>
      <w:numFmt w:val="lowerLetter"/>
      <w:start w:val="1"/>
    </w:lvl>
  </w:abstractNum>
  <w:abstractNum w:abstractNumId="57">
    <w:nsid w:val="6C80EC70"/>
    <w:multiLevelType w:val="hybridMultilevel"/>
    <w:lvl w:ilvl="0">
      <w:lvlJc w:val="left"/>
      <w:lvlText w:val="(%1)"/>
      <w:numFmt w:val="lowerLetter"/>
      <w:start w:val="2"/>
    </w:lvl>
  </w:abstractNum>
  <w:abstractNum w:abstractNumId="58">
    <w:nsid w:val="379E21B5"/>
    <w:multiLevelType w:val="hybridMultilevel"/>
    <w:lvl w:ilvl="0">
      <w:lvlJc w:val="left"/>
      <w:lvlText w:val="%1"/>
      <w:numFmt w:val="decimal"/>
      <w:start w:val="1"/>
    </w:lvl>
    <w:lvl w:ilvl="1">
      <w:lvlJc w:val="left"/>
      <w:lvlText w:val="(%2)"/>
      <w:numFmt w:val="lowerLetter"/>
      <w:start w:val="1"/>
    </w:lvl>
  </w:abstractNum>
  <w:abstractNum w:abstractNumId="59">
    <w:nsid w:val="69E373"/>
    <w:multiLevelType w:val="hybridMultilevel"/>
    <w:lvl w:ilvl="0">
      <w:lvlJc w:val="left"/>
      <w:lvlText w:val="(%1)"/>
      <w:numFmt w:val="decimal"/>
      <w:start w:val="1"/>
    </w:lvl>
    <w:lvl w:ilvl="1">
      <w:lvlJc w:val="left"/>
      <w:lvlText w:val="%2"/>
      <w:numFmt w:val="lowerLetter"/>
      <w:start w:val="1"/>
    </w:lvl>
  </w:abstractNum>
  <w:abstractNum w:abstractNumId="60">
    <w:nsid w:val="2C27173B"/>
    <w:multiLevelType w:val="hybridMultilevel"/>
    <w:lvl w:ilvl="0">
      <w:lvlJc w:val="left"/>
      <w:lvlText w:val="(%1)"/>
      <w:numFmt w:val="upperLetter"/>
      <w:start w:val="2"/>
    </w:lvl>
  </w:abstractNum>
  <w:abstractNum w:abstractNumId="61">
    <w:nsid w:val="4C9B0904"/>
    <w:multiLevelType w:val="hybridMultilevel"/>
    <w:lvl w:ilvl="0">
      <w:lvlJc w:val="left"/>
      <w:lvlText w:val="(%1)"/>
      <w:numFmt w:val="decimal"/>
      <w:start w:val="2"/>
    </w:lvl>
  </w:abstractNum>
  <w:abstractNum w:abstractNumId="62">
    <w:nsid w:val="6AA7B75C"/>
    <w:multiLevelType w:val="hybridMultilevel"/>
    <w:lvl w:ilvl="0">
      <w:lvlJc w:val="left"/>
      <w:lvlText w:val="%1"/>
      <w:numFmt w:val="decimal"/>
      <w:start w:val="1"/>
    </w:lvl>
    <w:lvl w:ilvl="1">
      <w:lvlJc w:val="left"/>
      <w:lvlText w:val="(%2)"/>
      <w:numFmt w:val="lowerLetter"/>
      <w:start w:val="2"/>
    </w:lvl>
  </w:abstractNum>
  <w:abstractNum w:abstractNumId="63">
    <w:nsid w:val="1DF029D3"/>
    <w:multiLevelType w:val="hybridMultilevel"/>
    <w:lvl w:ilvl="0">
      <w:lvlJc w:val="left"/>
      <w:lvlText w:val="(%1)"/>
      <w:numFmt w:val="decimal"/>
      <w:start w:val="1"/>
    </w:lvl>
    <w:lvl w:ilvl="1">
      <w:lvlJc w:val="left"/>
      <w:lvlText w:val="(%2)"/>
      <w:numFmt w:val="lowerLetter"/>
      <w:start w:val="3"/>
    </w:lvl>
  </w:abstractNum>
  <w:abstractNum w:abstractNumId="64">
    <w:nsid w:val="5675FF36"/>
    <w:multiLevelType w:val="hybridMultilevel"/>
    <w:lvl w:ilvl="0">
      <w:lvlJc w:val="left"/>
      <w:lvlText w:val="(%1)"/>
      <w:numFmt w:val="decimal"/>
      <w:start w:val="1"/>
    </w:lvl>
  </w:abstractNum>
  <w:abstractNum w:abstractNumId="65">
    <w:nsid w:val="3DD15094"/>
    <w:multiLevelType w:val="hybridMultilevel"/>
    <w:lvl w:ilvl="0">
      <w:lvlJc w:val="left"/>
      <w:lvlText w:val="(%1)"/>
      <w:numFmt w:val="decimal"/>
      <w:start w:val="1"/>
    </w:lvl>
  </w:abstractNum>
  <w:abstractNum w:abstractNumId="66">
    <w:nsid w:val="3DB012B3"/>
    <w:multiLevelType w:val="hybridMultilevel"/>
    <w:lvl w:ilvl="0">
      <w:lvlJc w:val="left"/>
      <w:lvlText w:val="(%1)"/>
      <w:numFmt w:val="decimal"/>
      <w:start w:val="5"/>
    </w:lvl>
  </w:abstractNum>
  <w:abstractNum w:abstractNumId="67">
    <w:nsid w:val="2708C9AF"/>
    <w:multiLevelType w:val="hybridMultilevel"/>
    <w:lvl w:ilvl="0">
      <w:lvlJc w:val="left"/>
      <w:lvlText w:val="(%1)"/>
      <w:numFmt w:val="decimal"/>
      <w:start w:val="8"/>
    </w:lvl>
  </w:abstractNum>
  <w:abstractNum w:abstractNumId="68">
    <w:nsid w:val="5B25ACE2"/>
    <w:multiLevelType w:val="hybridMultilevel"/>
    <w:lvl w:ilvl="0">
      <w:lvlJc w:val="left"/>
      <w:lvlText w:val="(%1)"/>
      <w:numFmt w:val="decimal"/>
      <w:start w:val="1"/>
    </w:lvl>
  </w:abstractNum>
  <w:abstractNum w:abstractNumId="69">
    <w:nsid w:val="175DFCF0"/>
    <w:multiLevelType w:val="hybridMultilevel"/>
    <w:lvl w:ilvl="0">
      <w:lvlJc w:val="left"/>
      <w:lvlText w:val="(%1)"/>
      <w:numFmt w:val="decimal"/>
      <w:start w:val="4"/>
    </w:lvl>
  </w:abstractNum>
  <w:abstractNum w:abstractNumId="70">
    <w:nsid w:val="4F97E3E4"/>
    <w:multiLevelType w:val="hybridMultilevel"/>
    <w:lvl w:ilvl="0">
      <w:lvlJc w:val="left"/>
      <w:lvlText w:val="(%1)"/>
      <w:numFmt w:val="lowerLetter"/>
      <w:start w:val="1"/>
    </w:lvl>
  </w:abstractNum>
  <w:abstractNum w:abstractNumId="71">
    <w:nsid w:val="53B0A9E"/>
    <w:multiLevelType w:val="hybridMultilevel"/>
    <w:lvl w:ilvl="0">
      <w:lvlJc w:val="left"/>
      <w:lvlText w:val="(%1)"/>
      <w:numFmt w:val="decimal"/>
      <w:start w:val="1"/>
    </w:lvl>
  </w:abstractNum>
  <w:abstractNum w:abstractNumId="72">
    <w:nsid w:val="34FD6B4F"/>
    <w:multiLevelType w:val="hybridMultilevel"/>
    <w:lvl w:ilvl="0">
      <w:lvlJc w:val="left"/>
      <w:lvlText w:val="(%1)"/>
      <w:numFmt w:val="lowerLetter"/>
      <w:start w:val="1"/>
    </w:lvl>
  </w:abstractNum>
  <w:abstractNum w:abstractNumId="73">
    <w:nsid w:val="5915FF32"/>
    <w:multiLevelType w:val="hybridMultilevel"/>
    <w:lvl w:ilvl="0">
      <w:lvlJc w:val="left"/>
      <w:lvlText w:val="%1"/>
      <w:numFmt w:val="decimal"/>
      <w:start w:val="1"/>
    </w:lvl>
    <w:lvl w:ilvl="1">
      <w:lvlJc w:val="left"/>
      <w:lvlText w:val="(%2)"/>
      <w:numFmt w:val="lowerLetter"/>
      <w:start w:val="2"/>
    </w:lvl>
  </w:abstractNum>
  <w:abstractNum w:abstractNumId="74">
    <w:nsid w:val="56438D15"/>
    <w:multiLevelType w:val="hybridMultilevel"/>
    <w:lvl w:ilvl="0">
      <w:lvlJc w:val="left"/>
      <w:lvlText w:val="(%1)"/>
      <w:numFmt w:val="decimal"/>
      <w:start w:val="1"/>
    </w:lvl>
    <w:lvl w:ilvl="1">
      <w:lvlJc w:val="left"/>
      <w:lvlText w:val="(%2)"/>
      <w:numFmt w:val="lowerLetter"/>
      <w:start w:val="3"/>
    </w:lvl>
  </w:abstractNum>
  <w:abstractNum w:abstractNumId="75">
    <w:nsid w:val="519E3149"/>
    <w:multiLevelType w:val="hybridMultilevel"/>
    <w:lvl w:ilvl="0">
      <w:lvlJc w:val="left"/>
      <w:lvlText w:val="(%1)"/>
      <w:numFmt w:val="decimal"/>
      <w:start w:val="1"/>
    </w:lvl>
  </w:abstractNum>
  <w:abstractNum w:abstractNumId="76">
    <w:nsid w:val="2C6E4AFD"/>
    <w:multiLevelType w:val="hybridMultilevel"/>
    <w:lvl w:ilvl="0">
      <w:lvlJc w:val="left"/>
      <w:lvlText w:val="(%1)"/>
      <w:numFmt w:val="decimal"/>
      <w:start w:val="2"/>
    </w:lvl>
    <w:lvl w:ilvl="1">
      <w:lvlJc w:val="left"/>
      <w:lvlText w:val="(%2)"/>
      <w:numFmt w:val="lowerLetter"/>
      <w:start w:val="4"/>
    </w:lvl>
  </w:abstractNum>
  <w:abstractNum w:abstractNumId="77">
    <w:nsid w:val="17A1B582"/>
    <w:multiLevelType w:val="hybridMultilevel"/>
    <w:lvl w:ilvl="0">
      <w:lvlJc w:val="left"/>
      <w:lvlText w:val="(%1)"/>
      <w:numFmt w:val="lowerLetter"/>
      <w:start w:val="1"/>
    </w:lvl>
  </w:abstractNum>
  <w:abstractNum w:abstractNumId="78">
    <w:nsid w:val="4DF72E4E"/>
    <w:multiLevelType w:val="hybridMultilevel"/>
    <w:lvl w:ilvl="0">
      <w:lvlJc w:val="left"/>
      <w:lvlText w:val="(%1)"/>
      <w:numFmt w:val="lowerLetter"/>
      <w:start w:val="2"/>
    </w:lvl>
  </w:abstractNum>
  <w:abstractNum w:abstractNumId="79">
    <w:nsid w:val="5046B5A9"/>
    <w:multiLevelType w:val="hybridMultilevel"/>
    <w:lvl w:ilvl="0">
      <w:lvlJc w:val="left"/>
      <w:lvlText w:val="(%1)"/>
      <w:numFmt w:val="lowerLetter"/>
      <w:start w:val="10"/>
    </w:lvl>
  </w:abstractNum>
  <w:abstractNum w:abstractNumId="80">
    <w:nsid w:val="5D888A08"/>
    <w:multiLevelType w:val="hybridMultilevel"/>
    <w:lvl w:ilvl="0">
      <w:lvlJc w:val="left"/>
      <w:lvlText w:val="(%1)"/>
      <w:numFmt w:val="decimal"/>
      <w:start w:val="1"/>
    </w:lvl>
  </w:abstractNum>
  <w:abstractNum w:abstractNumId="81">
    <w:nsid w:val="2A082C70"/>
    <w:multiLevelType w:val="hybridMultilevel"/>
    <w:lvl w:ilvl="0">
      <w:lvlJc w:val="left"/>
      <w:lvlText w:val="(%1)"/>
      <w:numFmt w:val="decimal"/>
      <w:start w:val="1"/>
    </w:lvl>
  </w:abstractNum>
  <w:abstractNum w:abstractNumId="82">
    <w:nsid w:val="5EC6AFD4"/>
    <w:multiLevelType w:val="hybridMultilevel"/>
    <w:lvl w:ilvl="0">
      <w:lvlJc w:val="left"/>
      <w:lvlText w:val="(%1)"/>
      <w:numFmt w:val="upperLetter"/>
      <w:start w:val="1"/>
    </w:lvl>
  </w:abstractNum>
  <w:abstractNum w:abstractNumId="83">
    <w:nsid w:val="19E21BB2"/>
    <w:multiLevelType w:val="hybridMultilevel"/>
    <w:lvl w:ilvl="0">
      <w:lvlJc w:val="left"/>
      <w:lvlText w:val="(%1)"/>
      <w:numFmt w:val="decimal"/>
      <w:start w:val="1"/>
    </w:lvl>
  </w:abstractNum>
  <w:abstractNum w:abstractNumId="84">
    <w:nsid w:val="75E0858A"/>
    <w:multiLevelType w:val="hybridMultilevel"/>
    <w:lvl w:ilvl="0">
      <w:lvlJc w:val="left"/>
      <w:lvlText w:val="%1"/>
      <w:numFmt w:val="decimal"/>
      <w:start w:val="1"/>
    </w:lvl>
    <w:lvl w:ilvl="1">
      <w:lvlJc w:val="left"/>
      <w:lvlText w:val="(%2)"/>
      <w:numFmt w:val="lowerLetter"/>
      <w:start w:val="1"/>
    </w:lvl>
  </w:abstractNum>
  <w:abstractNum w:abstractNumId="85">
    <w:nsid w:val="57A61A29"/>
    <w:multiLevelType w:val="hybridMultilevel"/>
    <w:lvl w:ilvl="0">
      <w:lvlJc w:val="left"/>
      <w:lvlText w:val="(%1)"/>
      <w:numFmt w:val="decimal"/>
      <w:start w:val="1"/>
    </w:lvl>
    <w:lvl w:ilvl="1">
      <w:lvlJc w:val="left"/>
      <w:lvlText w:val="%2"/>
      <w:numFmt w:val="lowerLetter"/>
      <w:start w:val="1"/>
    </w:lvl>
  </w:abstractNum>
  <w:abstractNum w:abstractNumId="86">
    <w:nsid w:val="5399C654"/>
    <w:multiLevelType w:val="hybridMultilevel"/>
    <w:lvl w:ilvl="0">
      <w:lvlJc w:val="left"/>
      <w:lvlText w:val="(%1)"/>
      <w:numFmt w:val="decimal"/>
      <w:start w:val="7"/>
    </w:lvl>
    <w:lvl w:ilvl="1">
      <w:lvlJc w:val="left"/>
      <w:lvlText w:val="(%2)"/>
      <w:numFmt w:val="lowerLetter"/>
      <w:start w:val="3"/>
    </w:lvl>
  </w:abstractNum>
  <w:abstractNum w:abstractNumId="87">
    <w:nsid w:val="20EE1348"/>
    <w:multiLevelType w:val="hybridMultilevel"/>
    <w:lvl w:ilvl="0">
      <w:lvlJc w:val="left"/>
      <w:lvlText w:val="(%1)"/>
      <w:numFmt w:val="lowerLetter"/>
      <w:start w:val="1"/>
    </w:lvl>
  </w:abstractNum>
  <w:abstractNum w:abstractNumId="88">
    <w:nsid w:val="4427069A"/>
    <w:multiLevelType w:val="hybridMultilevel"/>
    <w:lvl w:ilvl="0">
      <w:lvlJc w:val="left"/>
      <w:lvlText w:val="(%1)"/>
      <w:numFmt w:val="lowerLetter"/>
      <w:start w:val="3"/>
    </w:lvl>
  </w:abstractNum>
  <w:abstractNum w:abstractNumId="89">
    <w:nsid w:val="B37E80A"/>
    <w:multiLevelType w:val="hybridMultilevel"/>
    <w:lvl w:ilvl="0">
      <w:lvlJc w:val="left"/>
      <w:lvlText w:val="%1"/>
      <w:numFmt w:val="lowerLetter"/>
      <w:start w:val="1"/>
    </w:lvl>
    <w:lvl w:ilvl="1">
      <w:lvlJc w:val="left"/>
      <w:lvlText w:val="(%2)"/>
      <w:numFmt w:val="decimal"/>
      <w:start w:val="1"/>
    </w:lvl>
  </w:abstractNum>
  <w:abstractNum w:abstractNumId="90">
    <w:nsid w:val="2157F6BC"/>
    <w:multiLevelType w:val="hybridMultilevel"/>
    <w:lvl w:ilvl="0">
      <w:lvlJc w:val="left"/>
      <w:lvlText w:val="(%1)"/>
      <w:numFmt w:val="lowerLetter"/>
      <w:start w:val="3"/>
    </w:lvl>
    <w:lvl w:ilvl="1">
      <w:lvlJc w:val="left"/>
      <w:lvlText w:val="%2"/>
      <w:numFmt w:val="decimal"/>
      <w:start w:val="1"/>
    </w:lvl>
  </w:abstractNum>
  <w:abstractNum w:abstractNumId="91">
    <w:nsid w:val="704E1DD5"/>
    <w:multiLevelType w:val="hybridMultilevel"/>
    <w:lvl w:ilvl="0">
      <w:lvlJc w:val="left"/>
      <w:lvlText w:val="(%1)"/>
      <w:numFmt w:val="decimal"/>
      <w:start w:val="1"/>
    </w:lvl>
  </w:abstractNum>
  <w:abstractNum w:abstractNumId="92">
    <w:nsid w:val="57D2F10E"/>
    <w:multiLevelType w:val="hybridMultilevel"/>
    <w:lvl w:ilvl="0">
      <w:lvlJc w:val="left"/>
      <w:lvlText w:val="(%1)"/>
      <w:numFmt w:val="decimal"/>
      <w:start w:val="3"/>
    </w:lvl>
  </w:abstractNum>
  <w:abstractNum w:abstractNumId="93">
    <w:nsid w:val="BFFAE18"/>
    <w:multiLevelType w:val="hybridMultilevel"/>
    <w:lvl w:ilvl="0">
      <w:lvlJc w:val="left"/>
      <w:lvlText w:val="(%1)"/>
      <w:numFmt w:val="lowerRoman"/>
      <w:start w:val="2"/>
    </w:lvl>
  </w:abstractNum>
  <w:abstractNum w:abstractNumId="94">
    <w:nsid w:val="E3E47A8"/>
    <w:multiLevelType w:val="hybridMultilevel"/>
    <w:lvl w:ilvl="0">
      <w:lvlJc w:val="left"/>
      <w:lvlText w:val="%1"/>
      <w:numFmt w:val="decimal"/>
      <w:start w:val="1"/>
    </w:lvl>
    <w:lvl w:ilvl="1">
      <w:lvlJc w:val="left"/>
      <w:lvlText w:val="(%2)"/>
      <w:numFmt w:val="lowerLetter"/>
      <w:start w:val="1"/>
    </w:lvl>
  </w:abstractNum>
  <w:abstractNum w:abstractNumId="95">
    <w:nsid w:val="2E48F044"/>
    <w:multiLevelType w:val="hybridMultilevel"/>
    <w:lvl w:ilvl="0">
      <w:lvlJc w:val="left"/>
      <w:lvlText w:val="(%1)"/>
      <w:numFmt w:val="decimal"/>
      <w:start w:val="1"/>
    </w:lvl>
    <w:lvl w:ilvl="1">
      <w:lvlJc w:val="left"/>
      <w:lvlText w:val="%2"/>
      <w:numFmt w:val="lowerLetter"/>
      <w:start w:val="1"/>
    </w:lvl>
  </w:abstractNum>
  <w:abstractNum w:abstractNumId="96">
    <w:nsid w:val="49D0FEAC"/>
    <w:multiLevelType w:val="hybridMultilevel"/>
    <w:lvl w:ilvl="0">
      <w:lvlJc w:val="left"/>
      <w:lvlText w:val="(%1)"/>
      <w:numFmt w:val="lowerLetter"/>
      <w:start w:val="2"/>
    </w:lvl>
  </w:abstractNum>
  <w:abstractNum w:abstractNumId="97">
    <w:nsid w:val="4BEE5A5B"/>
    <w:multiLevelType w:val="hybridMultilevel"/>
    <w:lvl w:ilvl="0">
      <w:lvlJc w:val="left"/>
      <w:lvlText w:val="(%1)"/>
      <w:numFmt w:val="decimal"/>
      <w:start w:val="1"/>
    </w:lvl>
  </w:abstractNum>
  <w:abstractNum w:abstractNumId="98">
    <w:nsid w:val="5551B9F3"/>
    <w:multiLevelType w:val="hybridMultilevel"/>
    <w:lvl w:ilvl="0">
      <w:lvlJc w:val="left"/>
      <w:lvlText w:val="(%1)"/>
      <w:numFmt w:val="decimal"/>
      <w:start w:val="1"/>
    </w:lvl>
  </w:abstractNum>
  <w:abstractNum w:abstractNumId="99">
    <w:nsid w:val="24F6AB8E"/>
    <w:multiLevelType w:val="hybridMultilevel"/>
    <w:lvl w:ilvl="0">
      <w:lvlJc w:val="left"/>
      <w:lvlText w:val="%1."/>
      <w:numFmt w:val="decimal"/>
      <w:start w:val="1"/>
    </w:lvl>
  </w:abstractNum>
  <w:abstractNum w:abstractNumId="100">
    <w:nsid w:val="634C574C"/>
    <w:multiLevelType w:val="hybridMultilevel"/>
    <w:lvl w:ilvl="0">
      <w:lvlJc w:val="left"/>
      <w:lvlText w:val="1"/>
      <w:numFmt w:val="bullet"/>
      <w:start w:val="1"/>
    </w:lvl>
  </w:abstractNum>
  <w:abstractNum w:abstractNumId="101">
    <w:nsid w:val="24E99DD7"/>
    <w:multiLevelType w:val="hybridMultilevel"/>
    <w:lvl w:ilvl="0">
      <w:lvlJc w:val="left"/>
      <w:lvlText w:val="2"/>
      <w:numFmt w:val="bullet"/>
      <w:start w:val="1"/>
    </w:lvl>
  </w:abstractNum>
  <w:abstractNum w:abstractNumId="102">
    <w:nsid w:val="2A31B62D"/>
    <w:multiLevelType w:val="hybridMultilevel"/>
    <w:lvl w:ilvl="0">
      <w:lvlJc w:val="left"/>
      <w:lvlText w:val="%1."/>
      <w:numFmt w:val="decimal"/>
      <w:start w:val="5"/>
    </w:lvl>
  </w:abstractNum>
  <w:abstractNum w:abstractNumId="103">
    <w:nsid w:val="1849C29B"/>
    <w:multiLevelType w:val="hybridMultilevel"/>
    <w:lvl w:ilvl="0">
      <w:lvlJc w:val="left"/>
      <w:lvlText w:val="(%1)"/>
      <w:numFmt w:val="lowerLetter"/>
      <w:start w:val="1"/>
    </w:lvl>
  </w:abstractNum>
  <w:abstractNum w:abstractNumId="104">
    <w:nsid w:val="7DFF9D09"/>
    <w:multiLevelType w:val="hybridMultilevel"/>
    <w:lvl w:ilvl="0">
      <w:lvlJc w:val="left"/>
      <w:lvlText w:val="%1."/>
      <w:numFmt w:val="decimal"/>
      <w:start w:val="6"/>
    </w:lvl>
  </w:abstractNum>
  <w:abstractNum w:abstractNumId="105">
    <w:nsid w:val="754342"/>
    <w:multiLevelType w:val="hybridMultilevel"/>
    <w:lvl w:ilvl="0">
      <w:lvlJc w:val="left"/>
      <w:lvlText w:val="%1."/>
      <w:numFmt w:val="decimal"/>
      <w:start w:val="10"/>
    </w:lvl>
  </w:abstractNum>
  <w:abstractNum w:abstractNumId="106">
    <w:nsid w:val="69E7F3E5"/>
    <w:multiLevelType w:val="hybridMultilevel"/>
    <w:lvl w:ilvl="0">
      <w:lvlJc w:val="left"/>
      <w:lvlText w:val="(%1)"/>
      <w:numFmt w:val="decimal"/>
      <w:start w:val="1"/>
    </w:lvl>
  </w:abstractNum>
  <w:abstractNum w:abstractNumId="107">
    <w:nsid w:val="2A6DE806"/>
    <w:multiLevelType w:val="hybridMultilevel"/>
    <w:lvl w:ilvl="0">
      <w:lvlJc w:val="left"/>
      <w:lvlText w:val="%1."/>
      <w:numFmt w:val="decimal"/>
      <w:start w:val="17"/>
    </w:lvl>
  </w:abstractNum>
  <w:abstractNum w:abstractNumId="108">
    <w:nsid w:val="1816F8C4"/>
    <w:multiLevelType w:val="hybridMultilevel"/>
    <w:lvl w:ilvl="0">
      <w:lvlJc w:val="left"/>
      <w:lvlText w:val="%1."/>
      <w:numFmt w:val="decimal"/>
      <w:start w:val="19"/>
    </w:lvl>
  </w:abstractNum>
  <w:abstractNum w:abstractNumId="109">
    <w:nsid w:val="37DF2233"/>
    <w:multiLevelType w:val="hybridMultilevel"/>
    <w:lvl w:ilvl="0">
      <w:lvlJc w:val="left"/>
      <w:lvlText w:val="%1."/>
      <w:numFmt w:val="decimal"/>
      <w:start w:val="1"/>
    </w:lvl>
  </w:abstractNum>
  <w:abstractNum w:abstractNumId="110">
    <w:nsid w:val="7AB49DAF"/>
    <w:multiLevelType w:val="hybridMultilevel"/>
    <w:lvl w:ilvl="0">
      <w:lvlJc w:val="left"/>
      <w:lvlText w:val="(%1)"/>
      <w:numFmt w:val="lowerLetter"/>
      <w:start w:val="1"/>
    </w:lvl>
  </w:abstractNum>
  <w:abstractNum w:abstractNumId="111">
    <w:nsid w:val="759F82CD"/>
    <w:multiLevelType w:val="hybridMultilevel"/>
    <w:lvl w:ilvl="0">
      <w:lvlJc w:val="left"/>
      <w:lvlText w:val="(%1)"/>
      <w:numFmt w:val="lowerLetter"/>
      <w:start w:val="2"/>
    </w:lvl>
  </w:abstractNum>
  <w:abstractNum w:abstractNumId="112">
    <w:nsid w:val="61E74EA3"/>
    <w:multiLevelType w:val="hybridMultilevel"/>
    <w:lvl w:ilvl="0">
      <w:lvlJc w:val="left"/>
      <w:lvlText w:val="%1."/>
      <w:numFmt w:val="decimal"/>
      <w:start w:val="6"/>
    </w:lvl>
  </w:abstractNum>
  <w:abstractNum w:abstractNumId="113">
    <w:nsid w:val="597B4D84"/>
    <w:multiLevelType w:val="hybridMultilevel"/>
    <w:lvl w:ilvl="0">
      <w:lvlJc w:val="left"/>
      <w:lvlText w:val="%1."/>
      <w:numFmt w:val="decimal"/>
      <w:start w:val="12"/>
    </w:lvl>
  </w:abstractNum>
  <w:abstractNum w:abstractNumId="114">
    <w:nsid w:val="F819E7F"/>
    <w:multiLevelType w:val="hybridMultilevel"/>
    <w:lvl w:ilvl="0">
      <w:lvlJc w:val="left"/>
      <w:lvlText w:val="(%1)"/>
      <w:numFmt w:val="decimal"/>
      <w:start w:val="1"/>
    </w:lvl>
  </w:abstractNum>
  <w:abstractNum w:abstractNumId="115">
    <w:nsid w:val="57C7D42D"/>
    <w:multiLevelType w:val="hybridMultilevel"/>
    <w:lvl w:ilvl="0">
      <w:lvlJc w:val="left"/>
      <w:lvlText w:val="%1."/>
      <w:numFmt w:val="decimal"/>
      <w:start w:val="16"/>
    </w:lvl>
  </w:abstractNum>
  <w:abstractNum w:abstractNumId="116">
    <w:nsid w:val="312167AD"/>
    <w:multiLevelType w:val="hybridMultilevel"/>
    <w:lvl w:ilvl="0">
      <w:lvlJc w:val="left"/>
      <w:lvlText w:val="%1."/>
      <w:numFmt w:val="decimal"/>
      <w:start w:val="20"/>
    </w:lvl>
  </w:abstractNum>
  <w:abstractNum w:abstractNumId="117">
    <w:nsid w:val="631B64D4"/>
    <w:multiLevelType w:val="hybridMultilevel"/>
    <w:lvl w:ilvl="0">
      <w:lvlJc w:val="left"/>
      <w:lvlText w:val="(%1)"/>
      <w:numFmt w:val="upperLetter"/>
      <w:start w:val="4"/>
    </w:lvl>
  </w:abstractNum>
  <w:abstractNum w:abstractNumId="118">
    <w:nsid w:val="78B5E776"/>
    <w:multiLevelType w:val="hybridMultilevel"/>
    <w:lvl w:ilvl="0">
      <w:lvlJc w:val="left"/>
      <w:lvlText w:val="(%1)"/>
      <w:numFmt w:val="upperLetter"/>
      <w:start w:val="7"/>
    </w:lvl>
  </w:abstractNum>
  <w:abstractNum w:abstractNumId="119">
    <w:nsid w:val="75486E47"/>
    <w:multiLevelType w:val="hybridMultilevel"/>
    <w:lvl w:ilvl="0">
      <w:lvlJc w:val="left"/>
      <w:lvlText w:val="%1."/>
      <w:numFmt w:val="decimal"/>
      <w:start w:val="1"/>
    </w:lvl>
  </w:abstractNum>
  <w:abstractNum w:abstractNumId="120">
    <w:nsid w:val="6E534CDE"/>
    <w:multiLevelType w:val="hybridMultilevel"/>
    <w:lvl w:ilvl="0">
      <w:lvlJc w:val="left"/>
      <w:lvlText w:val="%1."/>
      <w:numFmt w:val="decimal"/>
      <w:start w:val="2"/>
    </w:lvl>
    <w:lvl w:ilvl="1">
      <w:lvlJc w:val="left"/>
      <w:lvlText w:val="(%2)"/>
      <w:numFmt w:val="lowerLetter"/>
      <w:start w:val="1"/>
    </w:lvl>
  </w:abstractNum>
  <w:abstractNum w:abstractNumId="121">
    <w:nsid w:val="1A0DDE32"/>
    <w:multiLevelType w:val="hybridMultilevel"/>
    <w:lvl w:ilvl="0">
      <w:lvlJc w:val="left"/>
      <w:lvlText w:val="(%1)"/>
      <w:numFmt w:val="lowerLetter"/>
      <w:start w:val="2"/>
    </w:lvl>
  </w:abstractNum>
  <w:abstractNum w:abstractNumId="122">
    <w:nsid w:val="65968C1C"/>
    <w:multiLevelType w:val="hybridMultilevel"/>
    <w:lvl w:ilvl="0">
      <w:lvlJc w:val="left"/>
      <w:lvlText w:val="(%1)"/>
      <w:numFmt w:val="lowerLetter"/>
      <w:start w:val="3"/>
    </w:lvl>
  </w:abstractNum>
  <w:abstractNum w:abstractNumId="123">
    <w:nsid w:val="46263DE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4">
    <w:nsid w:val="260D8C4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5">
    <w:nsid w:val="73D4D3C4"/>
    <w:multiLevelType w:val="hybridMultilevel"/>
    <w:lvl w:ilvl="0">
      <w:lvlJc w:val="left"/>
      <w:lvlText w:val="(%1)"/>
      <w:numFmt w:val="lowerLetter"/>
      <w:start w:val="3"/>
    </w:lvl>
  </w:abstractNum>
  <w:abstractNum w:abstractNumId="126">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7">
    <w:nsid w:val="6FDE8AF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8">
    <w:nsid w:val="3FC32E20"/>
    <w:multiLevelType w:val="hybridMultilevel"/>
    <w:lvl w:ilvl="0">
      <w:lvlJc w:val="left"/>
      <w:lvlText w:val="(%1)"/>
      <w:numFmt w:val="lowerLetter"/>
      <w:start w:val="1"/>
    </w:lvl>
    <w:lvl w:ilvl="1">
      <w:lvlJc w:val="left"/>
      <w:lvlText w:val="(%2)"/>
      <w:numFmt w:val="lowerRoman"/>
      <w:start w:val="1"/>
    </w:lvl>
  </w:abstractNum>
  <w:abstractNum w:abstractNumId="129">
    <w:nsid w:val="49C0E823"/>
    <w:multiLevelType w:val="hybridMultilevel"/>
    <w:lvl w:ilvl="0">
      <w:lvlJc w:val="left"/>
      <w:lvlText w:val="%1."/>
      <w:numFmt w:val="decimal"/>
      <w:start w:val="1"/>
    </w:lvl>
    <w:lvl w:ilvl="1">
      <w:lvlJc w:val="left"/>
      <w:lvlText w:val="(%2)"/>
      <w:numFmt w:val="lowerLetter"/>
      <w:start w:val="1"/>
    </w:lvl>
  </w:abstractNum>
  <w:abstractNum w:abstractNumId="130">
    <w:nsid w:val="14D53685"/>
    <w:multiLevelType w:val="hybridMultilevel"/>
    <w:lvl w:ilvl="0">
      <w:lvlJc w:val="left"/>
      <w:lvlText w:val="%1"/>
      <w:numFmt w:val="decimal"/>
      <w:start w:val="1"/>
    </w:lvl>
    <w:lvl w:ilvl="1">
      <w:lvlJc w:val="left"/>
      <w:lvlText w:val="(%2)"/>
      <w:numFmt w:val="lowerLetter"/>
      <w:start w:val="2"/>
    </w:lvl>
  </w:abstractNum>
  <w:abstractNum w:abstractNumId="131">
    <w:nsid w:val="230F856C"/>
    <w:multiLevelType w:val="hybridMultilevel"/>
    <w:lvl w:ilvl="0">
      <w:lvlJc w:val="left"/>
      <w:lvlText w:val="%1."/>
      <w:numFmt w:val="decimal"/>
      <w:start w:val="2"/>
    </w:lvl>
    <w:lvl w:ilvl="1">
      <w:lvlJc w:val="left"/>
      <w:lvlText w:val="(%2)"/>
      <w:numFmt w:val="lowerLetter"/>
      <w:start w:val="1"/>
    </w:lvl>
  </w:abstractNum>
  <w:abstractNum w:abstractNumId="132">
    <w:nsid w:val="6EAA85FB"/>
    <w:multiLevelType w:val="hybridMultilevel"/>
    <w:lvl w:ilvl="0">
      <w:lvlJc w:val="left"/>
      <w:lvlText w:val="(%1)"/>
      <w:numFmt w:val="lowerLetter"/>
      <w:start w:val="1"/>
    </w:lvl>
  </w:abstractNum>
  <w:abstractNum w:abstractNumId="133">
    <w:nsid w:val="3F06ECB2"/>
    <w:multiLevelType w:val="hybridMultilevel"/>
    <w:lvl w:ilvl="0">
      <w:lvlJc w:val="left"/>
      <w:lvlText w:val="%1."/>
      <w:numFmt w:val="decimal"/>
      <w:start w:val="1"/>
    </w:lvl>
  </w:abstractNum>
  <w:abstractNum w:abstractNumId="134">
    <w:nsid w:val="3B594807"/>
    <w:multiLevelType w:val="hybridMultilevel"/>
    <w:lvl w:ilvl="0">
      <w:lvlJc w:val="left"/>
      <w:lvlText w:val="%1"/>
      <w:numFmt w:val="upperLetter"/>
      <w:start w:val="1"/>
    </w:lvl>
    <w:lvl w:ilvl="1">
      <w:lvlJc w:val="left"/>
      <w:lvlText w:val="%2."/>
      <w:numFmt w:val="decimal"/>
      <w:start w:val="2"/>
    </w:lvl>
  </w:abstractNum>
  <w:abstractNum w:abstractNumId="135">
    <w:nsid w:val="6CAA2304"/>
    <w:multiLevelType w:val="hybridMultilevel"/>
    <w:lvl w:ilvl="0">
      <w:lvlJc w:val="left"/>
      <w:lvlText w:val="(%1)"/>
      <w:numFmt w:val="upperLetter"/>
      <w:start w:val="2"/>
    </w:lvl>
    <w:lvl w:ilvl="1">
      <w:lvlJc w:val="left"/>
      <w:lvlText w:val="%2"/>
      <w:numFmt w:val="decimal"/>
      <w:start w:val="1"/>
    </w:lvl>
  </w:abstractNum>
  <w:abstractNum w:abstractNumId="136">
    <w:nsid w:val="3F7C2FF4"/>
    <w:multiLevelType w:val="hybridMultilevel"/>
    <w:lvl w:ilvl="0">
      <w:lvlJc w:val="left"/>
      <w:lvlText w:val="(%1)"/>
      <w:numFmt w:val="upperLetter"/>
      <w:start w:val="4"/>
    </w:lvl>
    <w:lvl w:ilvl="1">
      <w:lvlJc w:val="left"/>
      <w:lvlText w:val="%2."/>
      <w:numFmt w:val="decimal"/>
      <w:start w:val="3"/>
    </w:lvl>
  </w:abstractNum>
  <w:abstractNum w:abstractNumId="137">
    <w:nsid w:val="25413BEC"/>
    <w:multiLevelType w:val="hybridMultilevel"/>
    <w:lvl w:ilvl="0">
      <w:lvlJc w:val="left"/>
      <w:lvlText w:val="%1."/>
      <w:numFmt w:val="decimal"/>
      <w:start w:val="1"/>
    </w:lvl>
  </w:abstractNum>
  <w:abstractNum w:abstractNumId="138">
    <w:nsid w:val="17180B0B"/>
    <w:multiLevelType w:val="hybridMultilevel"/>
    <w:lvl w:ilvl="0">
      <w:lvlJc w:val="left"/>
      <w:lvlText w:val="%1."/>
      <w:numFmt w:val="decimal"/>
      <w:start w:val="2"/>
    </w:lvl>
  </w:abstractNum>
  <w:abstractNum w:abstractNumId="139">
    <w:nsid w:val="579328B9"/>
    <w:multiLevelType w:val="hybridMultilevel"/>
    <w:lvl w:ilvl="0">
      <w:lvlJc w:val="left"/>
      <w:lvlText w:val="%1"/>
      <w:numFmt w:val="lowerRoman"/>
      <w:start w:val="1"/>
    </w:lvl>
    <w:lvl w:ilvl="1">
      <w:lvlJc w:val="left"/>
      <w:lvlText w:val="(%2)"/>
      <w:numFmt w:val="lowerLetter"/>
      <w:start w:val="1"/>
    </w:lvl>
  </w:abstractNum>
  <w:abstractNum w:abstractNumId="140">
    <w:nsid w:val="5D205E20"/>
    <w:multiLevelType w:val="hybridMultilevel"/>
    <w:lvl w:ilvl="0">
      <w:lvlJc w:val="left"/>
      <w:lvlText w:val="(%1)"/>
      <w:numFmt w:val="lowerRoman"/>
      <w:start w:val="1"/>
    </w:lvl>
    <w:lvl w:ilvl="1">
      <w:lvlJc w:val="left"/>
      <w:lvlText w:val="%2"/>
      <w:numFmt w:val="lowerLetter"/>
      <w:start w:val="1"/>
    </w:lvl>
  </w:abstractNum>
  <w:abstractNum w:abstractNumId="141">
    <w:nsid w:val="11CCA8BA"/>
    <w:multiLevelType w:val="hybridMultilevel"/>
    <w:lvl w:ilvl="0">
      <w:lvlJc w:val="left"/>
      <w:lvlText w:val="(%1)"/>
      <w:numFmt w:val="lowerRoman"/>
      <w:start w:val="3"/>
    </w:lvl>
  </w:abstractNum>
  <w:abstractNum w:abstractNumId="142">
    <w:nsid w:val="4D32AB86"/>
    <w:multiLevelType w:val="hybridMultilevel"/>
    <w:lvl w:ilvl="0">
      <w:lvlJc w:val="left"/>
      <w:lvlText w:val="%1"/>
      <w:numFmt w:val="lowerRoman"/>
      <w:start w:val="1"/>
    </w:lvl>
    <w:lvl w:ilvl="1">
      <w:lvlJc w:val="left"/>
      <w:lvlText w:val="(%2)"/>
      <w:numFmt w:val="lowerLetter"/>
      <w:start w:val="4"/>
    </w:lvl>
  </w:abstractNum>
  <w:abstractNum w:abstractNumId="143">
    <w:nsid w:val="3F07ACC3"/>
    <w:multiLevelType w:val="hybridMultilevel"/>
    <w:lvl w:ilvl="0">
      <w:lvlJc w:val="left"/>
      <w:lvlText w:val="(%1)"/>
      <w:numFmt w:val="lowerRoman"/>
      <w:start w:val="1"/>
    </w:lvl>
    <w:lvl w:ilvl="1">
      <w:lvlJc w:val="left"/>
      <w:lvlText w:val="(%2)"/>
      <w:numFmt w:val="lowerLetter"/>
      <w:start w:val="5"/>
    </w:lvl>
  </w:abstractNum>
  <w:abstractNum w:abstractNumId="144">
    <w:nsid w:val="6B47F63E"/>
    <w:multiLevelType w:val="hybridMultilevel"/>
    <w:lvl w:ilvl="0">
      <w:lvlJc w:val="left"/>
      <w:lvlText w:val="(%1)"/>
      <w:numFmt w:val="lowerRoman"/>
      <w:start w:val="1"/>
    </w:lvl>
    <w:lvl w:ilvl="1">
      <w:lvlJc w:val="left"/>
      <w:lvlText w:val="(%2)"/>
      <w:numFmt w:val="lowerLetter"/>
      <w:start w:val="6"/>
    </w:lvl>
  </w:abstractNum>
  <w:abstractNum w:abstractNumId="145">
    <w:nsid w:val="5CB44A05"/>
    <w:multiLevelType w:val="hybridMultilevel"/>
    <w:lvl w:ilvl="0">
      <w:lvlJc w:val="left"/>
      <w:lvlText w:val="%1."/>
      <w:numFmt w:val="decimal"/>
      <w:start w:val="3"/>
    </w:lvl>
  </w:abstractNum>
  <w:abstractNum w:abstractNumId="146">
    <w:nsid w:val="16CF80F1"/>
    <w:multiLevelType w:val="hybridMultilevel"/>
    <w:lvl w:ilvl="0">
      <w:lvlJc w:val="left"/>
      <w:lvlText w:val="%1"/>
      <w:numFmt w:val="lowerLetter"/>
      <w:start w:val="1"/>
    </w:lvl>
    <w:lvl w:ilvl="1">
      <w:lvlJc w:val="left"/>
      <w:lvlText w:val="(%2)"/>
      <w:numFmt w:val="lowerLetter"/>
      <w:start w:val="1"/>
    </w:lvl>
  </w:abstractNum>
  <w:abstractNum w:abstractNumId="147">
    <w:nsid w:val="1C695DEC"/>
    <w:multiLevelType w:val="hybridMultilevel"/>
    <w:lvl w:ilvl="0">
      <w:lvlJc w:val="left"/>
      <w:lvlText w:val="(%1)"/>
      <w:numFmt w:val="lowerLetter"/>
      <w:start w:val="25"/>
    </w:lvl>
    <w:lvl w:ilvl="1">
      <w:lvlJc w:val="left"/>
      <w:lvlText w:val="%2"/>
      <w:numFmt w:val="lowerLetter"/>
      <w:start w:val="1"/>
    </w:lvl>
  </w:abstractNum>
  <w:abstractNum w:abstractNumId="148">
    <w:nsid w:val="3FCFAED9"/>
    <w:multiLevelType w:val="hybridMultilevel"/>
    <w:lvl w:ilvl="0">
      <w:lvlJc w:val="left"/>
      <w:lvlText w:val="%1"/>
      <w:numFmt w:val="lowerRoman"/>
      <w:start w:val="1"/>
    </w:lvl>
    <w:lvl w:ilvl="1">
      <w:lvlJc w:val="left"/>
      <w:lvlText w:val="(%2)"/>
      <w:numFmt w:val="lowerLetter"/>
      <w:start w:val="2"/>
    </w:lvl>
  </w:abstractNum>
  <w:abstractNum w:abstractNumId="149">
    <w:nsid w:val="F856867"/>
    <w:multiLevelType w:val="hybridMultilevel"/>
    <w:lvl w:ilvl="0">
      <w:lvlJc w:val="left"/>
      <w:lvlText w:val="(%1)"/>
      <w:numFmt w:val="lowerRoman"/>
      <w:start w:val="1"/>
    </w:lvl>
    <w:lvl w:ilvl="1">
      <w:lvlJc w:val="left"/>
      <w:lvlText w:val="%2"/>
      <w:numFmt w:val="lowerLetter"/>
      <w:start w:val="1"/>
    </w:lvl>
  </w:abstractNum>
  <w:abstractNum w:abstractNumId="150">
    <w:nsid w:val="11B1CC3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51">
    <w:nsid w:val="2E22FB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52">
    <w:nsid w:val="29934699"/>
    <w:multiLevelType w:val="hybridMultilevel"/>
    <w:lvl w:ilvl="0">
      <w:lvlJc w:val="left"/>
      <w:lvlText w:val="(%1)"/>
      <w:numFmt w:val="lowerRoman"/>
      <w:start w:val="2"/>
    </w:lvl>
  </w:abstractNum>
  <w:abstractNum w:abstractNumId="153">
    <w:nsid w:val="77485850"/>
    <w:multiLevelType w:val="hybridMultilevel"/>
    <w:lvl w:ilvl="0">
      <w:lvlJc w:val="left"/>
      <w:lvlText w:val="%1"/>
      <w:numFmt w:val="lowerLetter"/>
      <w:start w:val="1"/>
    </w:lvl>
    <w:lvl w:ilvl="1">
      <w:lvlJc w:val="left"/>
      <w:lvlText w:val="(%2)"/>
      <w:numFmt w:val="lowerRoman"/>
      <w:start w:val="1"/>
    </w:lvl>
  </w:abstractNum>
  <w:abstractNum w:abstractNumId="154">
    <w:nsid w:val="744939A3"/>
    <w:multiLevelType w:val="hybridMultilevel"/>
    <w:lvl w:ilvl="0">
      <w:lvlJc w:val="left"/>
      <w:lvlText w:val="(%1)"/>
      <w:numFmt w:val="lowerLetter"/>
      <w:start w:val="3"/>
    </w:lvl>
    <w:lvl w:ilvl="1">
      <w:lvlJc w:val="left"/>
      <w:lvlText w:val="(%2)"/>
      <w:numFmt w:val="lowerRoman"/>
      <w:start w:val="1"/>
    </w:lvl>
  </w:abstractNum>
  <w:abstractNum w:abstractNumId="155">
    <w:nsid w:val="4FA0D2E3"/>
    <w:multiLevelType w:val="hybridMultilevel"/>
    <w:lvl w:ilvl="0">
      <w:lvlJc w:val="left"/>
      <w:lvlText w:val="%1"/>
      <w:numFmt w:val="lowerLetter"/>
      <w:start w:val="1"/>
    </w:lvl>
    <w:lvl w:ilvl="1">
      <w:lvlJc w:val="left"/>
      <w:lvlText w:val="(%2)"/>
      <w:numFmt w:val="lowerRoman"/>
      <w:start w:val="4"/>
    </w:lvl>
  </w:abstractNum>
  <w:abstractNum w:abstractNumId="156">
    <w:nsid w:val="6B1D2C14"/>
    <w:multiLevelType w:val="hybridMultilevel"/>
    <w:lvl w:ilvl="0">
      <w:lvlJc w:val="left"/>
      <w:lvlText w:val="(%1)"/>
      <w:numFmt w:val="lowerLetter"/>
      <w:start w:val="4"/>
    </w:lvl>
    <w:lvl w:ilvl="1">
      <w:lvlJc w:val="left"/>
      <w:lvlText w:val="%2"/>
      <w:numFmt w:val="lowerRoman"/>
      <w:start w:val="1"/>
    </w:lvl>
  </w:abstractNum>
  <w:abstractNum w:abstractNumId="157">
    <w:nsid w:val="68B867D3"/>
    <w:multiLevelType w:val="hybridMultilevel"/>
    <w:lvl w:ilvl="0">
      <w:lvlJc w:val="left"/>
      <w:lvlText w:val="(%1)"/>
      <w:numFmt w:val="lowerLetter"/>
      <w:start w:val="10"/>
    </w:lvl>
  </w:abstractNum>
  <w:abstractNum w:abstractNumId="158">
    <w:nsid w:val="3F7F5DD9"/>
    <w:multiLevelType w:val="hybridMultilevel"/>
    <w:lvl w:ilvl="0">
      <w:lvlJc w:val="left"/>
      <w:lvlText w:val="(%1)"/>
      <w:numFmt w:val="lowerLetter"/>
      <w:start w:val="17"/>
    </w:lvl>
    <w:lvl w:ilvl="1">
      <w:lvlJc w:val="left"/>
      <w:lvlText w:val="(%2)"/>
      <w:numFmt w:val="lowerRoman"/>
      <w:start w:val="1"/>
    </w:lvl>
  </w:abstractNum>
  <w:abstractNum w:abstractNumId="159">
    <w:nsid w:val="2AE05A34"/>
    <w:multiLevelType w:val="hybridMultilevel"/>
    <w:lvl w:ilvl="0">
      <w:lvlJc w:val="left"/>
      <w:lvlText w:val="(%1)"/>
      <w:numFmt w:val="lowerLetter"/>
      <w:start w:val="18"/>
    </w:lvl>
    <w:lvl w:ilvl="1">
      <w:lvlJc w:val="left"/>
      <w:lvlText w:val="(%2)"/>
      <w:numFmt w:val="lowerRoman"/>
      <w:start w:val="1"/>
    </w:lvl>
  </w:abstractNum>
  <w:abstractNum w:abstractNumId="160">
    <w:nsid w:val="32794FF7"/>
    <w:multiLevelType w:val="hybridMultilevel"/>
    <w:lvl w:ilvl="0">
      <w:lvlJc w:val="left"/>
      <w:lvlText w:val="(%1)"/>
      <w:numFmt w:val="lowerLetter"/>
      <w:start w:val="19"/>
    </w:lvl>
  </w:abstractNum>
  <w:abstractNum w:abstractNumId="161">
    <w:nsid w:val="5454945E"/>
    <w:multiLevelType w:val="hybridMultilevel"/>
    <w:lvl w:ilvl="0">
      <w:lvlJc w:val="left"/>
      <w:lvlText w:val="%1"/>
      <w:numFmt w:val="lowerLetter"/>
      <w:start w:val="1"/>
    </w:lvl>
    <w:lvl w:ilvl="1">
      <w:lvlJc w:val="left"/>
      <w:lvlText w:val="(%2)"/>
      <w:numFmt w:val="lowerLetter"/>
      <w:start w:val="20"/>
    </w:lvl>
    <w:lvl w:ilvl="2">
      <w:lvlJc w:val="left"/>
      <w:lvlText w:val="%3"/>
      <w:numFmt w:val="decimal"/>
      <w:start w:val="1"/>
    </w:lvl>
    <w:lvl w:ilvl="3">
      <w:lvlJc w:val="left"/>
      <w:lvlText w:val="%4"/>
      <w:numFmt w:val="lowerRoman"/>
      <w:start w:val="1"/>
    </w:lvl>
  </w:abstractNum>
  <w:abstractNum w:abstractNumId="162">
    <w:nsid w:val="4DEFDFA0"/>
    <w:multiLevelType w:val="hybridMultilevel"/>
    <w:lvl w:ilvl="0">
      <w:lvlJc w:val="left"/>
      <w:lvlText w:val="(%1)"/>
      <w:numFmt w:val="lowerLetter"/>
      <w:start w:val="35"/>
    </w:lvl>
    <w:lvl w:ilvl="1">
      <w:lvlJc w:val="left"/>
      <w:lvlText w:val="(%2)"/>
      <w:numFmt w:val="lowerLetter"/>
      <w:start w:val="21"/>
    </w:lvl>
    <w:lvl w:ilvl="2">
      <w:lvlJc w:val="left"/>
      <w:lvlText w:val="%3."/>
      <w:numFmt w:val="decimal"/>
      <w:start w:val="5"/>
    </w:lvl>
    <w:lvl w:ilvl="3">
      <w:lvlJc w:val="left"/>
      <w:lvlText w:val="(%4)"/>
      <w:numFmt w:val="lowerRoman"/>
      <w:start w:val="1"/>
    </w:lvl>
  </w:abstractNum>
  <w:abstractNum w:abstractNumId="163">
    <w:nsid w:val="2123D5F2"/>
    <w:multiLevelType w:val="hybridMultilevel"/>
    <w:lvl w:ilvl="0">
      <w:lvlJc w:val="left"/>
      <w:lvlText w:val="(%1)"/>
      <w:numFmt w:val="lowerLetter"/>
      <w:start w:val="1"/>
    </w:lvl>
  </w:abstractNum>
  <w:abstractNum w:abstractNumId="164">
    <w:nsid w:val="135B8110"/>
    <w:multiLevelType w:val="hybridMultilevel"/>
    <w:lvl w:ilvl="0">
      <w:lvlJc w:val="left"/>
      <w:lvlText w:val="(%1)"/>
      <w:numFmt w:val="lowerLetter"/>
      <w:start w:val="2"/>
    </w:lvl>
  </w:abstractNum>
  <w:abstractNum w:abstractNumId="165">
    <w:nsid w:val="94927A8"/>
    <w:multiLevelType w:val="hybridMultilevel"/>
    <w:lvl w:ilvl="0">
      <w:lvlJc w:val="left"/>
      <w:lvlText w:val="(%1)"/>
      <w:numFmt w:val="lowerLetter"/>
      <w:start w:val="4"/>
    </w:lvl>
  </w:abstractNum>
  <w:abstractNum w:abstractNumId="166">
    <w:nsid w:val="DCDF8F6"/>
    <w:multiLevelType w:val="hybridMultilevel"/>
    <w:lvl w:ilvl="0">
      <w:lvlJc w:val="left"/>
      <w:lvlText w:val="(%1)"/>
      <w:numFmt w:val="lowerLetter"/>
      <w:start w:val="5"/>
    </w:lvl>
  </w:abstractNum>
  <w:abstractNum w:abstractNumId="167">
    <w:nsid w:val="52D7B105"/>
    <w:multiLevelType w:val="hybridMultilevel"/>
    <w:lvl w:ilvl="0">
      <w:lvlJc w:val="left"/>
      <w:lvlText w:val="%1."/>
      <w:numFmt w:val="decimal"/>
      <w:start w:val="7"/>
    </w:lvl>
  </w:abstractNum>
  <w:abstractNum w:abstractNumId="168">
    <w:nsid w:val="2E8A6394"/>
    <w:multiLevelType w:val="hybridMultilevel"/>
    <w:lvl w:ilvl="0">
      <w:lvlJc w:val="left"/>
      <w:lvlText w:val="(%1)"/>
      <w:numFmt w:val="lowerLetter"/>
      <w:start w:val="1"/>
    </w:lvl>
  </w:abstractNum>
  <w:abstractNum w:abstractNumId="169">
    <w:nsid w:val="24E60401"/>
    <w:multiLevelType w:val="hybridMultilevel"/>
    <w:lvl w:ilvl="0">
      <w:lvlJc w:val="left"/>
      <w:lvlText w:val="%1"/>
      <w:numFmt w:val="lowerLetter"/>
      <w:start w:val="1"/>
    </w:lvl>
    <w:lvl w:ilvl="1">
      <w:lvlJc w:val="left"/>
      <w:lvlText w:val="%2."/>
      <w:numFmt w:val="decimal"/>
      <w:start w:val="8"/>
    </w:lvl>
  </w:abstractNum>
  <w:abstractNum w:abstractNumId="170">
    <w:nsid w:val="2A6AD9BE"/>
    <w:multiLevelType w:val="hybridMultilevel"/>
    <w:lvl w:ilvl="0">
      <w:lvlJc w:val="left"/>
      <w:lvlText w:val="(%1)"/>
      <w:numFmt w:val="lowerLetter"/>
      <w:start w:val="1"/>
    </w:lvl>
    <w:lvl w:ilvl="1">
      <w:lvlJc w:val="left"/>
      <w:lvlText w:val="%2"/>
      <w:numFmt w:val="decimal"/>
      <w:start w:val="1"/>
    </w:lvl>
  </w:abstractNum>
  <w:abstractNum w:abstractNumId="171">
    <w:nsid w:val="BAAC1B4"/>
    <w:multiLevelType w:val="hybridMultilevel"/>
    <w:lvl w:ilvl="0">
      <w:lvlJc w:val="left"/>
      <w:lvlText w:val="(%1)"/>
      <w:numFmt w:val="lowerLetter"/>
      <w:start w:val="3"/>
    </w:lvl>
  </w:abstractNum>
  <w:abstractNum w:abstractNumId="172">
    <w:nsid w:val="36B2ACBC"/>
    <w:multiLevelType w:val="hybridMultilevel"/>
    <w:lvl w:ilvl="0">
      <w:lvlJc w:val="left"/>
      <w:lvlText w:val="(%1)"/>
      <w:numFmt w:val="decimal"/>
      <w:start w:val="2"/>
    </w:lvl>
    <w:lvl w:ilvl="1">
      <w:lvlJc w:val="left"/>
      <w:lvlText w:val="%2."/>
      <w:numFmt w:val="decimal"/>
      <w:start w:val="9"/>
    </w:lvl>
  </w:abstractNum>
  <w:abstractNum w:abstractNumId="173">
    <w:nsid w:val="779D8544"/>
    <w:multiLevelType w:val="hybridMultilevel"/>
    <w:lvl w:ilvl="0">
      <w:lvlJc w:val="left"/>
      <w:lvlText w:val="%1"/>
      <w:numFmt w:val="lowerLetter"/>
      <w:start w:val="1"/>
    </w:lvl>
    <w:lvl w:ilvl="1">
      <w:lvlJc w:val="left"/>
      <w:lvlText w:val="%2."/>
      <w:numFmt w:val="decimal"/>
      <w:start w:val="11"/>
    </w:lvl>
  </w:abstractNum>
  <w:abstractNum w:abstractNumId="174">
    <w:nsid w:val="4AB26E78"/>
    <w:multiLevelType w:val="hybridMultilevel"/>
    <w:lvl w:ilvl="0">
      <w:lvlJc w:val="left"/>
      <w:lvlText w:val="(%1)"/>
      <w:numFmt w:val="lowerLetter"/>
      <w:start w:val="1"/>
    </w:lvl>
    <w:lvl w:ilvl="1">
      <w:lvlJc w:val="left"/>
      <w:lvlText w:val="%2"/>
      <w:numFmt w:val="decimal"/>
      <w:start w:val="1"/>
    </w:lvl>
  </w:abstractNum>
  <w:abstractNum w:abstractNumId="175">
    <w:nsid w:val="21FAA2F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2022-03-21T15:57:48Z</dcterms:created>
  <dcterms:modified xsi:type="dcterms:W3CDTF">2022-03-21T15:57:48Z</dcterms:modified>
</cp:coreProperties>
</file>