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Gifford Gerard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EVP &amp; COO</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02/24/2022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4,150</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116,984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02/24/2022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7,077</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117.99</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109,907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5,426</w:t>
            </w:r>
          </w:p>
        </w:tc>
        <w:tc>
          <w:tcPr>
            <w:tcW w:w="300" w:type="dxa"/>
            <w:vAlign w:val="bottom"/>
          </w:tcPr>
          <w:p>
            <w:pPr>
              <w:spacing w:after="0"/>
              <w:rPr>
                <w:sz w:val="22"/>
                <w:szCs w:val="22"/>
                <w:color w:val="auto"/>
              </w:rPr>
            </w:pPr>
          </w:p>
        </w:tc>
        <w:tc>
          <w:tcPr>
            <w:tcW w:w="560" w:type="dxa"/>
            <w:vAlign w:val="bottom"/>
            <w:vMerge w:val="restart"/>
          </w:tcPr>
          <w:p>
            <w:pPr>
              <w:jc w:val="center"/>
              <w:ind w:right="311"/>
              <w:spacing w:after="0"/>
              <w:rPr>
                <w:sz w:val="20"/>
                <w:szCs w:val="20"/>
                <w:color w:val="auto"/>
              </w:rPr>
            </w:pPr>
            <w:r>
              <w:rPr>
                <w:rFonts w:ascii="Arial" w:cs="Arial" w:eastAsia="Arial" w:hAnsi="Arial"/>
                <w:sz w:val="17"/>
                <w:szCs w:val="17"/>
                <w:color w:val="0000FF"/>
              </w:rPr>
              <w:t>I</w:t>
            </w:r>
          </w:p>
        </w:tc>
        <w:tc>
          <w:tcPr>
            <w:tcW w:w="28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additional performance-based shares of Restricted Common Stock that vested on February 24, 2022 whose grant was originally reported on a Form 4 filed with the Securities and Exchange Commission on January 9, 2019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13,834.</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transferred to the Company for tax withholding in connection with vesting of restricted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02/28/2022</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2022-02-28T18:25:05Z</dcterms:created>
  <dcterms:modified xsi:type="dcterms:W3CDTF">2022-02-28T18:25:05Z</dcterms:modified>
</cp:coreProperties>
</file>