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20, 2020</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4480" w:type="dxa"/>
            <w:vAlign w:val="bottom"/>
          </w:tcPr>
          <w:p>
            <w:pPr>
              <w:ind w:left="260"/>
              <w:spacing w:after="0"/>
              <w:rPr>
                <w:sz w:val="20"/>
                <w:szCs w:val="20"/>
                <w:color w:val="auto"/>
              </w:rPr>
            </w:pPr>
            <w:r>
              <w:rPr>
                <w:rFonts w:ascii="Arial" w:cs="Arial" w:eastAsia="Arial" w:hAnsi="Arial"/>
                <w:sz w:val="18"/>
                <w:szCs w:val="18"/>
                <w:color w:val="auto"/>
              </w:rPr>
              <w:t>(Exact name of Registrant as specified in its charter)</w:t>
            </w:r>
          </w:p>
        </w:tc>
        <w:tc>
          <w:tcPr>
            <w:tcW w:w="1800" w:type="dxa"/>
            <w:vAlign w:val="bottom"/>
          </w:tcPr>
          <w:p>
            <w:pPr>
              <w:spacing w:after="0"/>
              <w:rPr>
                <w:sz w:val="20"/>
                <w:szCs w:val="20"/>
                <w:color w:val="auto"/>
              </w:rPr>
            </w:pPr>
          </w:p>
        </w:tc>
      </w:tr>
      <w:tr>
        <w:trPr>
          <w:trHeight w:val="348"/>
        </w:trPr>
        <w:tc>
          <w:tcPr>
            <w:tcW w:w="24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Pennsylvania</w:t>
            </w:r>
          </w:p>
        </w:tc>
        <w:tc>
          <w:tcPr>
            <w:tcW w:w="44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000-50189</w:t>
            </w:r>
          </w:p>
        </w:tc>
        <w:tc>
          <w:tcPr>
            <w:tcW w:w="1800" w:type="dxa"/>
            <w:vAlign w:val="bottom"/>
          </w:tcPr>
          <w:p>
            <w:pPr>
              <w:jc w:val="center"/>
              <w:ind w:left="370"/>
              <w:spacing w:after="0"/>
              <w:rPr>
                <w:sz w:val="20"/>
                <w:szCs w:val="20"/>
                <w:color w:val="auto"/>
              </w:rPr>
            </w:pPr>
            <w:r>
              <w:rPr>
                <w:rFonts w:ascii="Arial" w:cs="Arial" w:eastAsia="Arial" w:hAnsi="Arial"/>
                <w:sz w:val="18"/>
                <w:szCs w:val="18"/>
                <w:b w:val="1"/>
                <w:bCs w:val="1"/>
                <w:color w:val="auto"/>
                <w:w w:val="89"/>
              </w:rPr>
              <w:t>75-3099507</w:t>
            </w:r>
          </w:p>
        </w:tc>
      </w:tr>
      <w:tr>
        <w:trPr>
          <w:trHeight w:val="256"/>
        </w:trPr>
        <w:tc>
          <w:tcPr>
            <w:tcW w:w="248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 of</w:t>
            </w:r>
          </w:p>
        </w:tc>
        <w:tc>
          <w:tcPr>
            <w:tcW w:w="4480" w:type="dxa"/>
            <w:vAlign w:val="bottom"/>
          </w:tcPr>
          <w:p>
            <w:pPr>
              <w:jc w:val="center"/>
              <w:ind w:right="150"/>
              <w:spacing w:after="0"/>
              <w:rPr>
                <w:sz w:val="20"/>
                <w:szCs w:val="20"/>
                <w:color w:val="auto"/>
              </w:rPr>
            </w:pPr>
            <w:r>
              <w:rPr>
                <w:rFonts w:ascii="Arial" w:cs="Arial" w:eastAsia="Arial" w:hAnsi="Arial"/>
                <w:sz w:val="18"/>
                <w:szCs w:val="18"/>
                <w:color w:val="auto"/>
                <w:w w:val="91"/>
              </w:rPr>
              <w:t>(Commission</w:t>
            </w:r>
          </w:p>
        </w:tc>
        <w:tc>
          <w:tcPr>
            <w:tcW w:w="1800" w:type="dxa"/>
            <w:vAlign w:val="bottom"/>
          </w:tcPr>
          <w:p>
            <w:pPr>
              <w:jc w:val="center"/>
              <w:ind w:left="370"/>
              <w:spacing w:after="0"/>
              <w:rPr>
                <w:sz w:val="20"/>
                <w:szCs w:val="20"/>
                <w:color w:val="auto"/>
              </w:rPr>
            </w:pPr>
            <w:r>
              <w:rPr>
                <w:rFonts w:ascii="Arial" w:cs="Arial" w:eastAsia="Arial" w:hAnsi="Arial"/>
                <w:sz w:val="18"/>
                <w:szCs w:val="18"/>
                <w:color w:val="auto"/>
                <w:w w:val="92"/>
              </w:rPr>
              <w:t>(I.R.S. Employer</w:t>
            </w:r>
          </w:p>
        </w:tc>
      </w:tr>
      <w:tr>
        <w:trPr>
          <w:trHeight w:val="230"/>
        </w:trPr>
        <w:tc>
          <w:tcPr>
            <w:tcW w:w="2480" w:type="dxa"/>
            <w:vAlign w:val="bottom"/>
          </w:tcPr>
          <w:p>
            <w:pPr>
              <w:jc w:val="center"/>
              <w:ind w:right="170"/>
              <w:spacing w:after="0"/>
              <w:rPr>
                <w:sz w:val="20"/>
                <w:szCs w:val="20"/>
                <w:color w:val="auto"/>
              </w:rPr>
            </w:pPr>
            <w:r>
              <w:rPr>
                <w:rFonts w:ascii="Arial" w:cs="Arial" w:eastAsia="Arial" w:hAnsi="Arial"/>
                <w:sz w:val="18"/>
                <w:szCs w:val="18"/>
                <w:color w:val="auto"/>
                <w:w w:val="92"/>
              </w:rPr>
              <w:t>Incorporation or Organization)</w:t>
            </w:r>
          </w:p>
        </w:tc>
        <w:tc>
          <w:tcPr>
            <w:tcW w:w="4480" w:type="dxa"/>
            <w:vAlign w:val="bottom"/>
          </w:tcPr>
          <w:p>
            <w:pPr>
              <w:jc w:val="center"/>
              <w:ind w:right="150"/>
              <w:spacing w:after="0"/>
              <w:rPr>
                <w:sz w:val="20"/>
                <w:szCs w:val="20"/>
                <w:color w:val="auto"/>
              </w:rPr>
            </w:pPr>
            <w:r>
              <w:rPr>
                <w:rFonts w:ascii="Arial" w:cs="Arial" w:eastAsia="Arial" w:hAnsi="Arial"/>
                <w:sz w:val="18"/>
                <w:szCs w:val="18"/>
                <w:color w:val="auto"/>
                <w:w w:val="92"/>
              </w:rPr>
              <w:t>File Number)</w:t>
            </w:r>
          </w:p>
        </w:tc>
        <w:tc>
          <w:tcPr>
            <w:tcW w:w="1800" w:type="dxa"/>
            <w:vAlign w:val="bottom"/>
          </w:tcPr>
          <w:p>
            <w:pPr>
              <w:jc w:val="center"/>
              <w:ind w:left="370"/>
              <w:spacing w:after="0"/>
              <w:rPr>
                <w:sz w:val="20"/>
                <w:szCs w:val="20"/>
                <w:color w:val="auto"/>
              </w:rPr>
            </w:pPr>
            <w:r>
              <w:rPr>
                <w:rFonts w:ascii="Arial" w:cs="Arial" w:eastAsia="Arial" w:hAnsi="Arial"/>
                <w:sz w:val="18"/>
                <w:szCs w:val="18"/>
                <w:color w:val="auto"/>
                <w:w w:val="95"/>
              </w:rPr>
              <w:t>Identification No.)</w:t>
            </w:r>
          </w:p>
        </w:tc>
      </w:tr>
    </w:tbl>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3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Title of each class</w:t>
            </w:r>
          </w:p>
        </w:tc>
        <w:tc>
          <w:tcPr>
            <w:tcW w:w="1800" w:type="dxa"/>
            <w:vAlign w:val="bottom"/>
          </w:tcPr>
          <w:p>
            <w:pPr>
              <w:ind w:left="500"/>
              <w:spacing w:after="0"/>
              <w:rPr>
                <w:sz w:val="20"/>
                <w:szCs w:val="20"/>
                <w:color w:val="auto"/>
              </w:rPr>
            </w:pPr>
            <w:r>
              <w:rPr>
                <w:rFonts w:ascii="Arial" w:cs="Arial" w:eastAsia="Arial" w:hAnsi="Arial"/>
                <w:sz w:val="16"/>
                <w:szCs w:val="16"/>
                <w:color w:val="auto"/>
              </w:rPr>
              <w:t>Trading Symbols</w:t>
            </w:r>
          </w:p>
        </w:tc>
        <w:tc>
          <w:tcPr>
            <w:tcW w:w="5440" w:type="dxa"/>
            <w:vAlign w:val="bottom"/>
          </w:tcPr>
          <w:p>
            <w:pPr>
              <w:ind w:left="180"/>
              <w:spacing w:after="0"/>
              <w:rPr>
                <w:sz w:val="20"/>
                <w:szCs w:val="20"/>
                <w:color w:val="auto"/>
              </w:rPr>
            </w:pPr>
            <w:r>
              <w:rPr>
                <w:rFonts w:ascii="Arial" w:cs="Arial" w:eastAsia="Arial" w:hAnsi="Arial"/>
                <w:sz w:val="16"/>
                <w:szCs w:val="16"/>
                <w:color w:val="auto"/>
              </w:rPr>
              <w:t>Name of each exchange on which registered</w:t>
            </w:r>
          </w:p>
        </w:tc>
        <w:tc>
          <w:tcPr>
            <w:tcW w:w="1400" w:type="dxa"/>
            <w:vAlign w:val="bottom"/>
          </w:tcPr>
          <w:p>
            <w:pPr>
              <w:spacing w:after="0"/>
              <w:rPr>
                <w:sz w:val="17"/>
                <w:szCs w:val="17"/>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217"/>
        </w:trPr>
        <w:tc>
          <w:tcPr>
            <w:tcW w:w="260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800" w:type="dxa"/>
            <w:vAlign w:val="bottom"/>
          </w:tcPr>
          <w:p>
            <w:pPr>
              <w:ind w:left="500"/>
              <w:spacing w:after="0"/>
              <w:rPr>
                <w:sz w:val="20"/>
                <w:szCs w:val="20"/>
                <w:color w:val="auto"/>
              </w:rPr>
            </w:pPr>
            <w:r>
              <w:rPr>
                <w:rFonts w:ascii="Arial" w:cs="Arial" w:eastAsia="Arial" w:hAnsi="Arial"/>
                <w:sz w:val="16"/>
                <w:szCs w:val="16"/>
                <w:color w:val="auto"/>
              </w:rPr>
              <w:t>CCK</w:t>
            </w:r>
          </w:p>
        </w:tc>
        <w:tc>
          <w:tcPr>
            <w:tcW w:w="5440" w:type="dxa"/>
            <w:vAlign w:val="bottom"/>
          </w:tcPr>
          <w:p>
            <w:pPr>
              <w:ind w:left="180"/>
              <w:spacing w:after="0"/>
              <w:rPr>
                <w:sz w:val="20"/>
                <w:szCs w:val="20"/>
                <w:color w:val="auto"/>
              </w:rPr>
            </w:pPr>
            <w:r>
              <w:rPr>
                <w:rFonts w:ascii="Arial" w:cs="Arial" w:eastAsia="Arial" w:hAnsi="Arial"/>
                <w:sz w:val="16"/>
                <w:szCs w:val="16"/>
                <w:color w:val="auto"/>
              </w:rPr>
              <w:t>New York Stock Exchange</w:t>
            </w:r>
          </w:p>
        </w:tc>
        <w:tc>
          <w:tcPr>
            <w:tcW w:w="1400" w:type="dxa"/>
            <w:vAlign w:val="bottom"/>
          </w:tcPr>
          <w:p>
            <w:pPr>
              <w:spacing w:after="0"/>
              <w:rPr>
                <w:sz w:val="18"/>
                <w:szCs w:val="18"/>
                <w:color w:val="auto"/>
              </w:rPr>
            </w:pPr>
          </w:p>
        </w:tc>
      </w:tr>
      <w:tr>
        <w:trPr>
          <w:trHeight w:val="256"/>
        </w:trPr>
        <w:tc>
          <w:tcPr>
            <w:tcW w:w="260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800" w:type="dxa"/>
            <w:vAlign w:val="bottom"/>
          </w:tcPr>
          <w:p>
            <w:pPr>
              <w:ind w:left="500"/>
              <w:spacing w:after="0"/>
              <w:rPr>
                <w:sz w:val="20"/>
                <w:szCs w:val="20"/>
                <w:color w:val="auto"/>
              </w:rPr>
            </w:pPr>
            <w:r>
              <w:rPr>
                <w:rFonts w:ascii="Arial" w:cs="Arial" w:eastAsia="Arial" w:hAnsi="Arial"/>
                <w:sz w:val="16"/>
                <w:szCs w:val="16"/>
                <w:color w:val="auto"/>
              </w:rPr>
              <w:t>CCK26</w:t>
            </w:r>
          </w:p>
        </w:tc>
        <w:tc>
          <w:tcPr>
            <w:tcW w:w="5440" w:type="dxa"/>
            <w:vAlign w:val="bottom"/>
          </w:tcPr>
          <w:p>
            <w:pPr>
              <w:ind w:left="180"/>
              <w:spacing w:after="0"/>
              <w:rPr>
                <w:sz w:val="20"/>
                <w:szCs w:val="20"/>
                <w:color w:val="auto"/>
              </w:rPr>
            </w:pPr>
            <w:r>
              <w:rPr>
                <w:rFonts w:ascii="Arial" w:cs="Arial" w:eastAsia="Arial" w:hAnsi="Arial"/>
                <w:sz w:val="16"/>
                <w:szCs w:val="16"/>
                <w:color w:val="auto"/>
              </w:rPr>
              <w:t>New York Stock Exchange</w:t>
            </w:r>
          </w:p>
        </w:tc>
        <w:tc>
          <w:tcPr>
            <w:tcW w:w="1400" w:type="dxa"/>
            <w:vAlign w:val="bottom"/>
          </w:tcPr>
          <w:p>
            <w:pPr>
              <w:spacing w:after="0"/>
              <w:rPr>
                <w:sz w:val="22"/>
                <w:szCs w:val="22"/>
                <w:color w:val="auto"/>
              </w:rPr>
            </w:pPr>
          </w:p>
        </w:tc>
      </w:tr>
      <w:tr>
        <w:trPr>
          <w:trHeight w:val="257"/>
        </w:trPr>
        <w:tc>
          <w:tcPr>
            <w:tcW w:w="260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800" w:type="dxa"/>
            <w:vAlign w:val="bottom"/>
          </w:tcPr>
          <w:p>
            <w:pPr>
              <w:ind w:left="500"/>
              <w:spacing w:after="0"/>
              <w:rPr>
                <w:sz w:val="20"/>
                <w:szCs w:val="20"/>
                <w:color w:val="auto"/>
              </w:rPr>
            </w:pPr>
            <w:r>
              <w:rPr>
                <w:rFonts w:ascii="Arial" w:cs="Arial" w:eastAsia="Arial" w:hAnsi="Arial"/>
                <w:sz w:val="16"/>
                <w:szCs w:val="16"/>
                <w:color w:val="auto"/>
              </w:rPr>
              <w:t>CCK96</w:t>
            </w:r>
          </w:p>
        </w:tc>
        <w:tc>
          <w:tcPr>
            <w:tcW w:w="5440" w:type="dxa"/>
            <w:vAlign w:val="bottom"/>
          </w:tcPr>
          <w:p>
            <w:pPr>
              <w:ind w:left="180"/>
              <w:spacing w:after="0"/>
              <w:rPr>
                <w:sz w:val="20"/>
                <w:szCs w:val="20"/>
                <w:color w:val="auto"/>
              </w:rPr>
            </w:pPr>
            <w:r>
              <w:rPr>
                <w:rFonts w:ascii="Arial" w:cs="Arial" w:eastAsia="Arial" w:hAnsi="Arial"/>
                <w:sz w:val="16"/>
                <w:szCs w:val="16"/>
                <w:color w:val="auto"/>
              </w:rPr>
              <w:t>New York Stock Exchange</w:t>
            </w:r>
          </w:p>
        </w:tc>
        <w:tc>
          <w:tcPr>
            <w:tcW w:w="1400" w:type="dxa"/>
            <w:vAlign w:val="bottom"/>
          </w:tcPr>
          <w:p>
            <w:pPr>
              <w:spacing w:after="0"/>
              <w:rPr>
                <w:sz w:val="22"/>
                <w:szCs w:val="22"/>
                <w:color w:val="auto"/>
              </w:rPr>
            </w:pPr>
          </w:p>
        </w:tc>
      </w:tr>
      <w:tr>
        <w:trPr>
          <w:trHeight w:val="242"/>
        </w:trPr>
        <w:tc>
          <w:tcPr>
            <w:tcW w:w="26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5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965"/>
        </w:trPr>
        <w:tc>
          <w:tcPr>
            <w:tcW w:w="26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528" w:gutter="0" w:footer="0" w:header="0"/>
        </w:sectPr>
      </w:pPr>
    </w:p>
    <w:bookmarkStart w:id="1" w:name="page2"/>
    <w:bookmarkEnd w:id="1"/>
    <w:p>
      <w:pPr>
        <w:spacing w:after="0" w:line="42" w:lineRule="exact"/>
        <w:rPr>
          <w:sz w:val="20"/>
          <w:szCs w:val="20"/>
          <w:color w:val="auto"/>
        </w:rPr>
      </w:pPr>
    </w:p>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On July 20, 2020 Crown Holdings, Inc. issued a press release announcing its earnings for the second quarter ended June 30, 2020. A copy of the press release is attached hereto as Exhibit 99 and incorporated herein by reference.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9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2"/>
          <w:szCs w:val="22"/>
          <w:u w:val="single" w:color="auto"/>
          <w:color w:val="0000FF"/>
        </w:rPr>
      </w:pPr>
      <w:hyperlink w:anchor="page5">
        <w:r>
          <w:rPr>
            <w:rFonts w:ascii="Arial" w:cs="Arial" w:eastAsia="Arial" w:hAnsi="Arial"/>
            <w:sz w:val="22"/>
            <w:szCs w:val="22"/>
            <w:u w:val="single" w:color="auto"/>
            <w:color w:val="0000FF"/>
          </w:rPr>
          <w:t>Press release, dated July 20, 2020, issued by Crown Holdings, Inc.</w:t>
        </w:r>
      </w:hyperlink>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104 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9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24130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Dated: July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20"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-153670</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332105</wp:posOffset>
            </wp:positionV>
            <wp:extent cx="675513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513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CROWN HOLDINGS, INC. REPORTS SECOND QUARTER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96520</wp:posOffset>
            </wp:positionV>
            <wp:extent cx="675513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5130" cy="342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Yardley, PA - July 20, 2020. </w:t>
      </w:r>
      <w:r>
        <w:rPr>
          <w:rFonts w:ascii="Arial" w:cs="Arial" w:eastAsia="Arial" w:hAnsi="Arial"/>
          <w:sz w:val="17"/>
          <w:szCs w:val="17"/>
          <w:color w:val="auto"/>
        </w:rPr>
        <w:t>Crown Holdings, Inc. (NYSE: CCK) today announced its financial results for the second quarter ended June 30, 2020.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Results</w:t>
      </w:r>
    </w:p>
    <w:p>
      <w:pPr>
        <w:spacing w:after="0" w:line="2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Earnings per share $0.94; adjusted earnings per share $1.33</w:t>
      </w:r>
    </w:p>
    <w:p>
      <w:pPr>
        <w:spacing w:after="0" w:line="15"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Beverage can projects on schedule</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Additional North American capacity announced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Solid food can demand</w:t>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Net sales in the second quarter were $2,689 million compared to $3,035 million in the second quarter of 2019, primarily reflecting the impact of the coronavirus pandemic on sales unit volumes, the pass through of lower material costs and $73 million of unfavorable currency translation.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Income from operations was $275 million in the quarter compared to $383 million in the second quarter of 2019. Segment income was $322 million in the second quarter compared to $386 million in the prior year second quarter primarily due to lower sales unit volumes, pandemic-related inefficiencies and $11 million of unfavorable currency translation.</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Commenting on the quarter, Timothy J. Donahue, President and Chief Executive Officer, stated, “The Company’s overall performance during the second quarter was solid in the face of the ongoing global coronavirus pandemic. Our global food can businesses recorded strong shipments in both Europe and North America. Although global beverage can shipments decreased 5% during the quarter, North America was propelled by double-digit gains. Disappointing results in European Beverage stemmed from soft volumes, particularly in southern Europe, where a steep drop in tourism due to the pandemic significantly curtailed on-premise consumption. The global slowdown in manufacturing activity in several end markets adversely impacted results in Transit Packaging.</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 would like to thank all of our employees and partners, whose dedication and commitment continue to be instrumental as we navigate through this unprecedented situation. Crown has taken a number of specific actions, including increased safety measures at our manufacturing locations to ensure that they can continue to meet evolving requirements in a safe and timely manner. The health and safety of our employees, customers and partners is our highest priority. To that end, in early March, we established a cross-functional COVID-19 response team which meets daily to address the dynamic issues related to the pandemic.</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“Beverage cans continue to gain preference among both brand owners and consumers, as reflected by increasing offerings of new beverage products – both non-alcoholic and alcoholic – being introduced in cans versus alternative packaging formats. In addition, beverage cans are the world’s most sustainable and recycled beverage packaging and are increasingly being viewed as its most responsible format. To meet this rising demand, the Company continues to implement a number of beverage can capacity expansion projects. Crown is unique in that we maintain a separate, dedicated project management and engineering team to complete these projects. I would like to thank the team for their considerable efforts, particularly in the face of the challenges posed by the pandemic, to move these initiatives forward. It should be noted that all new beverage can capacity has the ability to produce multiple sizes, often termed specialty cans.</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“Early this year, we commenced production on the third production line at the Toronto, Ontario beverage can facility to meet the increasing requirements of customers. During the second quarter, we completed the conversion of two lines in Seville, Spain from steel to aluminum and in June we began commercial production on the third line at our Nichols, New York facility. Earlier this month, we commenced operations at a new one-line plant in Nong Khae, Thailand. We previously announced our intention to construct a greenfield facility in Bowling Green, Kentucky, an attractive location to effectively serve a number of diverse customers in the region. The plant is targeted to start up during the second quarter of 2021. Subsequent to our previous announcement, due to rising demand expectations, the Company announces that it will add a second line to that facility with a late third quarter 2021 planned start-up. To meet the expanding requirements of specialty cans in the Pacific Northwest, we will construct a third line in our Olympia, Washington plant which is scheduled to begin production during the third quarter of 2021.”</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11</w:t>
      </w:r>
    </w:p>
    <w:p>
      <w:pPr>
        <w:sectPr>
          <w:pgSz w:w="11900" w:h="16838" w:orient="portrait"/>
          <w:cols w:equalWidth="0" w:num="1">
            <w:col w:w="11240"/>
          </w:cols>
          <w:pgMar w:left="320" w:top="487" w:right="339" w:bottom="1440" w:gutter="0" w:footer="0" w:header="0"/>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-153670</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was $76 million in the second quarter of 2020 compared to $97 million in 2019 primarily due to a combination of lower outstanding debt and lower interest rates.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 income attributable to Crown Holdings in the second quarter was $126 million compared to $137 million in the second quarter of 2019. Reported diluted earnings per share were $0.94 in the second quarter of 2020 compared to $1.02 in 2019. Adjusted diluted earnings per share were $1.33 compared to $1.46 in 2019.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from net income and diluted earnings per share to adjusted net income and adjusted diluted earnings per share is provided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Results</w:t>
      </w:r>
    </w:p>
    <w:p>
      <w:pPr>
        <w:spacing w:after="0" w:line="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for the first six months of 2020 were $5,446 million compared to $5,790 million in the first six months of 2019, primarily due to the impact of the coronavirus pandemic on sales unit volumes, the pass through of lower material costs and $113 million of unfavorable currency translation.</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Income from operations was $521 million in the first half of 2020 compared to $645 million in the first half of 2019. Segment income in the first half of 2020 was $620 million versus $701 million in the prior year period. In addition to the impact of the coronavirus pandemic on the Company’s operations, the results for the European Food and the nonreportable segments included unfavorable impacts of $18 million and $16 million, respectively, in the first quarter of 2020 versus 2019 arising from the carryover of tinplate costs from the prior year end inventory.</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was $156 million for the first six months of 2020 compared to $195 million in 2019 primarily due to lower outstanding debt and lower interest rates.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Crown Holdings in the first six months of 2020 was $214 million compared to $240 million in the first six months of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Reported diluted earnings per share were $1.59 compared to $1.78 in 2019. Adjusted diluted earnings per share were $2.46 compared to $2.51 in 2019.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addition to $366 million in cash balances as of June 30, 2020, the Company had $1.46 billion of available borrowing capacity under its $1.65 billion revolving credit facility. The Company’s net total leverage ratio, as defined in its credit agreement, of 4.69 to 1.0 as of June 30 was in compliance with the covenant requiring a ratio of no greater than 5.75 to 1.0. The ratio is calculated at the end of each quarter using debt and cash balances as of the end of the quarter and Consolidated EBITDA, as defined in the agreement, for the most recent four quarters. The required net total leverage ratio under the agreement reduces to 5.0 to 1.0 at December 31, 2020 and to 4.50 to 1.0 at December 31, 2022. The revolving credit facility matures in December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currently expects third quarter and full year 2020 adjusted diluted earnings to be in the ranges of $1.50 to $1.60 and $5.10 to $5.25 per share,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adjusted effective income tax rate for the full year of 2020 is expected to be approximately 26%.</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free cash flow, as defined below, is currently expected to be approximately $475 million for 2020. The Company currently expects full year capital spending of approximately $600 million.</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projections above represent management’s best estimates at this time. The uncertainty of the impact and duration of the coronavirus pandemic makes it inherently difficult for the Company to estimate the projected performance of its business, particularly over the near term. Please see “Cautionary Note Regarding Forward-Looking Statements” below for further information.</w:t>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direct response to the pandemic, the Company has taken specific actions to ensure the safety of its employees. Following the implementation of travel and visitor restrictions in February, Crown continues to update its policies as new information becomes available. The Company has taken increased safety measures in its manufacturing facilities to ensure the safety of its employees and the products they produce. In addition, as many Crown employees as possible are working remotely.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11</w:t>
      </w:r>
    </w:p>
    <w:p>
      <w:pPr>
        <w:sectPr>
          <w:pgSz w:w="11900" w:h="16838" w:orient="portrait"/>
          <w:cols w:equalWidth="0" w:num="1">
            <w:col w:w="11240"/>
          </w:cols>
          <w:pgMar w:left="320" w:top="595" w:right="339" w:bottom="1440" w:gutter="0" w:footer="0" w:header="0"/>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-153670</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products are a vital part of the support system to its customers and consumers. In addition to manufacturing containers that provide protection for food and beverages, Crown also produces closures for baby food, aerosol containers for cleaning and sanitizing products and numerous products that provide for the safe and secure transportation of goods in transit.</w:t>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is working to ensure that its 239 manufacturing facilities around the world remain operational and are equipped with the resources required to meet continually evolving customer demand by delivering high quality products in a safe and timely manner. Crown is actively monitoring and managing supply chain challenges, including coordinating with the Company’s suppliers to identify and mitigate potential areas of risk and manage inventories.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previously announced Board-led strategic review is ongoing and a further update will be provided in due course.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Segment income, adjusted free cash flow, net leverage ratio, adjusted net income, the adjusted effective tax rate, adjusted diluted earnings per share and adjusted EBITDA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views segment income as the principal measure of the performance of its operations and adjusted free cash flow and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Reconciliations of estimated adjusted diluted earnings per share for the third quarter and full year of 2020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The Company believes that adjusted net income, the adjusted effective tax rate and adjusted diluted earnings per share are useful in evaluating the Company’s operations as these measures are adjusted for items that affect comparability between periods. The Company believes that adjusted free cash flow and net leverage ratio provide meaningful measures of liquidity and a useful basis for assessing the Company’s ability to fund its activities, including the financing of acquisitions, debt repayments, share repurchases or possible future dividends. Segment income, adjusted free cash flow,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Company will hold a conference call tomorrow, July 21, 2020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Arial" w:cs="Arial" w:eastAsia="Arial" w:hAnsi="Arial"/>
          <w:sz w:val="18"/>
          <w:szCs w:val="18"/>
          <w:color w:val="0000FF"/>
        </w:rPr>
        <w:t>www.crowncork.com</w:t>
      </w:r>
      <w:r>
        <w:rPr>
          <w:rFonts w:ascii="Arial" w:cs="Arial" w:eastAsia="Arial" w:hAnsi="Arial"/>
          <w:sz w:val="18"/>
          <w:szCs w:val="18"/>
          <w:color w:val="000000"/>
        </w:rPr>
        <w:t>. A replay of the conference call will be available for a one-week period ending at midnight on July 28. The telephone numbers for the</w:t>
      </w:r>
      <w:r>
        <w:rPr>
          <w:rFonts w:ascii="Arial" w:cs="Arial" w:eastAsia="Arial" w:hAnsi="Arial"/>
          <w:sz w:val="18"/>
          <w:szCs w:val="18"/>
          <w:color w:val="0000FF"/>
        </w:rPr>
        <w:t xml:space="preserve"> </w:t>
      </w:r>
      <w:r>
        <w:rPr>
          <w:rFonts w:ascii="Arial" w:cs="Arial" w:eastAsia="Arial" w:hAnsi="Arial"/>
          <w:sz w:val="18"/>
          <w:szCs w:val="18"/>
          <w:color w:val="000000"/>
        </w:rPr>
        <w:t>replay are 203-369-3603 or toll free 888-293-8914.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11</w:t>
      </w:r>
    </w:p>
    <w:p>
      <w:pPr>
        <w:sectPr>
          <w:pgSz w:w="11900" w:h="16838" w:orient="portrait"/>
          <w:cols w:equalWidth="0" w:num="1">
            <w:col w:w="11240"/>
          </w:cols>
          <w:pgMar w:left="320" w:top="595" w:right="339" w:bottom="1440" w:gutter="0" w:footer="0" w:header="0"/>
        </w:sectPr>
      </w:pPr>
    </w:p>
    <w:bookmarkStart w:id="7" w:name="page8"/>
    <w:bookmarkEnd w:id="7"/>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-153670</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Except for historical information, all other information in this press release consists of forward-looking statements. These forward-looking statements involve a number of risks, uncertainties and other factors, including the future impact of the coronavirus pandemic on the Company’s operations, the Company’s ability to continue to operate its plants, distribute its products, and maintain its supply chain; the impact of the coronavirus pandemic on demand for the Company’s products; the future impact of currency translation; the continuation of performance and market trends in 2020, including consumer preference for beverage cans and increasing global beverage can demand; future demand for food cans; the Company’s ability to successfully complete its previously announced capacity expansion projects and begin production within expected timelines, including any delays related to the pandemic; and the Company’s ability to generate expected earnings and cash flow in 2020,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2019 and in subsequent filings made prior to or after the date hereof. The Company does not intend to review or revise any particular forward-looking statement in light of future events.</w:t>
      </w:r>
    </w:p>
    <w:p>
      <w:pPr>
        <w:spacing w:after="0" w:line="215"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12" w:lineRule="exact"/>
        <w:rPr>
          <w:sz w:val="20"/>
          <w:szCs w:val="20"/>
          <w:color w:val="auto"/>
        </w:rPr>
      </w:pPr>
    </w:p>
    <w:p>
      <w:pPr>
        <w:ind w:right="4520"/>
        <w:spacing w:after="0" w:line="303" w:lineRule="auto"/>
        <w:rPr>
          <w:sz w:val="20"/>
          <w:szCs w:val="20"/>
          <w:color w:val="auto"/>
        </w:rPr>
      </w:pPr>
      <w:r>
        <w:rPr>
          <w:rFonts w:ascii="Arial" w:cs="Arial" w:eastAsia="Arial" w:hAnsi="Arial"/>
          <w:sz w:val="16"/>
          <w:szCs w:val="16"/>
          <w:color w:val="auto"/>
        </w:rPr>
        <w:t>Thomas A. Kelly, Senior Vice President and Chief Financial Officer, (215) 698-5341 Thomas T. Fischer, Vice President, Investor Relations and Corporate Affairs, (215) 552-3720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11</w:t>
      </w:r>
    </w:p>
    <w:p>
      <w:pPr>
        <w:sectPr>
          <w:pgSz w:w="11900" w:h="16838" w:orient="portrait"/>
          <w:cols w:equalWidth="0" w:num="1">
            <w:col w:w="11240"/>
          </w:cols>
          <w:pgMar w:left="320" w:top="595"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-153670</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6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2,689</w:t>
            </w:r>
          </w:p>
        </w:tc>
        <w:tc>
          <w:tcPr>
            <w:tcW w:w="4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3,035</w:t>
            </w:r>
          </w:p>
        </w:tc>
        <w:tc>
          <w:tcPr>
            <w:tcW w:w="4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5,446</w:t>
            </w:r>
          </w:p>
        </w:tc>
        <w:tc>
          <w:tcPr>
            <w:tcW w:w="4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5,790</w:t>
            </w: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2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2,155</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2,417</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4,375</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4,627</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157</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301</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314</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r>
      <w:tr>
        <w:trPr>
          <w:trHeight w:val="26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3"/>
                <w:szCs w:val="23"/>
                <w:b w:val="1"/>
                <w:bCs w:val="1"/>
                <w:color w:val="auto"/>
                <w:vertAlign w:val="superscript"/>
              </w:rPr>
              <w:t>(1)</w:t>
            </w: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275</w:t>
            </w:r>
          </w:p>
        </w:tc>
        <w:tc>
          <w:tcPr>
            <w:tcW w:w="4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383</w:t>
            </w:r>
          </w:p>
        </w:tc>
        <w:tc>
          <w:tcPr>
            <w:tcW w:w="4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521</w:t>
            </w:r>
          </w:p>
        </w:tc>
        <w:tc>
          <w:tcPr>
            <w:tcW w:w="4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645</w:t>
            </w:r>
          </w:p>
        </w:tc>
      </w:tr>
      <w:tr>
        <w:trPr>
          <w:trHeight w:val="162"/>
        </w:trPr>
        <w:tc>
          <w:tcPr>
            <w:tcW w:w="4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Pension settlements and curtailments</w:t>
            </w:r>
          </w:p>
        </w:tc>
        <w:tc>
          <w:tcPr>
            <w:tcW w:w="2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w:t>
            </w: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267</w:t>
            </w: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353</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494</w:t>
            </w: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632</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97</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156</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195</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Loss from early extinguishment of debt</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192</w:t>
            </w: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260</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343</w:t>
            </w: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438</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136</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141</w:t>
            </w:r>
          </w:p>
        </w:tc>
        <w:tc>
          <w:tcPr>
            <w:tcW w:w="4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174</w:t>
            </w:r>
          </w:p>
        </w:tc>
        <w:tc>
          <w:tcPr>
            <w:tcW w:w="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255</w:t>
            </w:r>
          </w:p>
        </w:tc>
        <w:tc>
          <w:tcPr>
            <w:tcW w:w="4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305</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r>
      <w:tr>
        <w:trPr>
          <w:trHeight w:val="26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126</w:t>
            </w:r>
          </w:p>
        </w:tc>
        <w:tc>
          <w:tcPr>
            <w:tcW w:w="4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137</w:t>
            </w:r>
          </w:p>
        </w:tc>
        <w:tc>
          <w:tcPr>
            <w:tcW w:w="4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214</w:t>
            </w:r>
          </w:p>
        </w:tc>
        <w:tc>
          <w:tcPr>
            <w:tcW w:w="4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240</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4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Earnings per share attributable to Crown</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Holdings common shareholders: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5"/>
        </w:trPr>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0.95</w:t>
            </w:r>
          </w:p>
        </w:tc>
        <w:tc>
          <w:tcPr>
            <w:tcW w:w="4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c>
          <w:tcPr>
            <w:tcW w:w="4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1.60</w:t>
            </w:r>
          </w:p>
        </w:tc>
        <w:tc>
          <w:tcPr>
            <w:tcW w:w="4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48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0.94</w:t>
            </w:r>
          </w:p>
        </w:tc>
        <w:tc>
          <w:tcPr>
            <w:tcW w:w="4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1.78</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4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bl>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Weighted average common shares outstanding: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133,268,852</w:t>
            </w:r>
          </w:p>
        </w:tc>
        <w:tc>
          <w:tcPr>
            <w:tcW w:w="1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133,865,669</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133,670,652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133,827,567</w:t>
            </w:r>
          </w:p>
        </w:tc>
      </w:tr>
      <w:tr>
        <w:trPr>
          <w:trHeight w:val="243"/>
        </w:trPr>
        <w:tc>
          <w:tcPr>
            <w:tcW w:w="43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120" w:type="dxa"/>
            <w:vAlign w:val="bottom"/>
          </w:tcPr>
          <w:p>
            <w:pPr>
              <w:jc w:val="right"/>
              <w:ind w:right="370"/>
              <w:spacing w:after="0"/>
              <w:rPr>
                <w:sz w:val="20"/>
                <w:szCs w:val="20"/>
                <w:color w:val="auto"/>
              </w:rPr>
            </w:pPr>
            <w:r>
              <w:rPr>
                <w:rFonts w:ascii="Arial" w:cs="Arial" w:eastAsia="Arial" w:hAnsi="Arial"/>
                <w:sz w:val="18"/>
                <w:szCs w:val="18"/>
                <w:color w:val="auto"/>
              </w:rPr>
              <w:t>134,002,315</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134,777,236</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134,501,406</w:t>
            </w:r>
          </w:p>
        </w:tc>
        <w:tc>
          <w:tcPr>
            <w:tcW w:w="1300" w:type="dxa"/>
            <w:vAlign w:val="bottom"/>
          </w:tcPr>
          <w:p>
            <w:pPr>
              <w:jc w:val="right"/>
              <w:spacing w:after="0"/>
              <w:rPr>
                <w:sz w:val="20"/>
                <w:szCs w:val="20"/>
                <w:color w:val="auto"/>
              </w:rPr>
            </w:pPr>
            <w:r>
              <w:rPr>
                <w:rFonts w:ascii="Arial" w:cs="Arial" w:eastAsia="Arial" w:hAnsi="Arial"/>
                <w:sz w:val="18"/>
                <w:szCs w:val="18"/>
                <w:color w:val="auto"/>
              </w:rPr>
              <w:t>134,636,935</w:t>
            </w:r>
          </w:p>
        </w:tc>
      </w:tr>
      <w:tr>
        <w:trPr>
          <w:trHeight w:val="27"/>
        </w:trPr>
        <w:tc>
          <w:tcPr>
            <w:tcW w:w="4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common shares outstanding at quarter end</w:t>
            </w:r>
          </w:p>
        </w:tc>
        <w:tc>
          <w:tcPr>
            <w:tcW w:w="2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134,770,527</w:t>
            </w:r>
          </w:p>
        </w:tc>
        <w:tc>
          <w:tcPr>
            <w:tcW w:w="17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135,434,877</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134,770,527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135,434,877</w:t>
            </w:r>
          </w:p>
        </w:tc>
      </w:tr>
      <w:tr>
        <w:trPr>
          <w:trHeight w:val="20"/>
        </w:trPr>
        <w:tc>
          <w:tcPr>
            <w:tcW w:w="436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Reconciliation from income from operations to segment income follows.</w:t>
      </w: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 of 11</w:t>
      </w:r>
    </w:p>
    <w:p>
      <w:pPr>
        <w:sectPr>
          <w:pgSz w:w="11900" w:h="16838" w:orient="portrait"/>
          <w:cols w:equalWidth="0" w:num="1">
            <w:col w:w="11240"/>
          </w:cols>
          <w:pgMar w:left="320" w:top="595" w:right="339" w:bottom="1440" w:gutter="0" w:footer="0" w:header="0"/>
          <w:type w:val="continuous"/>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-153670</wp:posOffset>
            </wp:positionV>
            <wp:extent cx="155130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Supplemental Financial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asbestos and restructuring and other.</w:t>
      </w:r>
    </w:p>
    <w:p>
      <w:pPr>
        <w:spacing w:after="0" w:line="118"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8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7"/>
        </w:trPr>
        <w:tc>
          <w:tcPr>
            <w:tcW w:w="2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2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275</w:t>
            </w:r>
          </w:p>
        </w:tc>
        <w:tc>
          <w:tcPr>
            <w:tcW w:w="4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383</w:t>
            </w:r>
          </w:p>
        </w:tc>
        <w:tc>
          <w:tcPr>
            <w:tcW w:w="5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521</w:t>
            </w:r>
          </w:p>
        </w:tc>
        <w:tc>
          <w:tcPr>
            <w:tcW w:w="5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645</w:t>
            </w:r>
          </w:p>
        </w:tc>
      </w:tr>
      <w:tr>
        <w:trPr>
          <w:trHeight w:val="27"/>
        </w:trPr>
        <w:tc>
          <w:tcPr>
            <w:tcW w:w="2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Intangibles amortization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5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5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w w:val="95"/>
              </w:rPr>
              <w:t>Provision for restructuring and other</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2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322</w:t>
            </w:r>
          </w:p>
        </w:tc>
        <w:tc>
          <w:tcPr>
            <w:tcW w:w="4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386</w:t>
            </w:r>
          </w:p>
        </w:tc>
        <w:tc>
          <w:tcPr>
            <w:tcW w:w="5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620</w:t>
            </w:r>
          </w:p>
        </w:tc>
        <w:tc>
          <w:tcPr>
            <w:tcW w:w="5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701</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60" w:right="160" w:hanging="252"/>
        <w:spacing w:after="0" w:line="261" w:lineRule="auto"/>
        <w:tabs>
          <w:tab w:leader="none" w:pos="221" w:val="left"/>
        </w:tabs>
        <w:numPr>
          <w:ilvl w:val="0"/>
          <w:numId w:val="4"/>
        </w:numPr>
        <w:rPr>
          <w:rFonts w:ascii="Arial" w:cs="Arial" w:eastAsia="Arial" w:hAnsi="Arial"/>
          <w:sz w:val="14"/>
          <w:szCs w:val="14"/>
          <w:color w:val="auto"/>
        </w:rPr>
      </w:pPr>
      <w:r>
        <w:rPr>
          <w:rFonts w:ascii="Arial" w:cs="Arial" w:eastAsia="Arial" w:hAnsi="Arial"/>
          <w:sz w:val="18"/>
          <w:szCs w:val="18"/>
          <w:color w:val="auto"/>
        </w:rPr>
        <w:t>In addition to intangibles amortization charges, the amounts for 2019 also include $1 and $3 of accelerated depreciation related to the closure of a steel beverage can operation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Segment Information</w:t>
      </w:r>
    </w:p>
    <w:p>
      <w:pPr>
        <w:spacing w:after="0" w:line="139"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2720" w:type="dxa"/>
            <w:vAlign w:val="bottom"/>
            <w:gridSpan w:val="4"/>
          </w:tcPr>
          <w:p>
            <w:pPr>
              <w:ind w:left="20"/>
              <w:spacing w:after="0"/>
              <w:rPr>
                <w:sz w:val="20"/>
                <w:szCs w:val="20"/>
                <w:color w:val="auto"/>
              </w:rPr>
            </w:pPr>
            <w:r>
              <w:rPr>
                <w:rFonts w:ascii="Arial" w:cs="Arial" w:eastAsia="Arial" w:hAnsi="Arial"/>
                <w:sz w:val="18"/>
                <w:szCs w:val="18"/>
                <w:b w:val="1"/>
                <w:bCs w:val="1"/>
                <w:color w:val="auto"/>
              </w:rPr>
              <w:t>Net Sales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18"/>
                <w:szCs w:val="18"/>
                <w:color w:val="auto"/>
              </w:rPr>
            </w:pPr>
          </w:p>
        </w:tc>
        <w:tc>
          <w:tcPr>
            <w:tcW w:w="282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w:t>
            </w: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w:t>
            </w: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1,648</w:t>
            </w: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43"/>
        </w:trPr>
        <w:tc>
          <w:tcPr>
            <w:tcW w:w="2720" w:type="dxa"/>
            <w:vAlign w:val="bottom"/>
            <w:gridSpan w:val="4"/>
          </w:tcPr>
          <w:p>
            <w:pPr>
              <w:ind w:left="20"/>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676</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w:t>
            </w: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901</w:t>
            </w: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43"/>
        </w:trPr>
        <w:tc>
          <w:tcPr>
            <w:tcW w:w="2720" w:type="dxa"/>
            <w:vAlign w:val="bottom"/>
            <w:gridSpan w:val="4"/>
          </w:tcPr>
          <w:p>
            <w:pPr>
              <w:ind w:left="2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571</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984</w:t>
            </w:r>
          </w:p>
        </w:tc>
        <w:tc>
          <w:tcPr>
            <w:tcW w:w="4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2,338</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2,694</w:t>
            </w:r>
          </w:p>
        </w:tc>
        <w:tc>
          <w:tcPr>
            <w:tcW w:w="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4,780</w:t>
            </w:r>
          </w:p>
        </w:tc>
        <w:tc>
          <w:tcPr>
            <w:tcW w:w="4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3"/>
                <w:szCs w:val="23"/>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5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666</w:t>
            </w:r>
          </w:p>
        </w:tc>
        <w:tc>
          <w:tcPr>
            <w:tcW w:w="4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0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net sales</w:t>
            </w: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2,689</w:t>
            </w: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3,035</w:t>
            </w:r>
          </w:p>
        </w:tc>
        <w:tc>
          <w:tcPr>
            <w:tcW w:w="58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5,446</w:t>
            </w:r>
          </w:p>
        </w:tc>
        <w:tc>
          <w:tcPr>
            <w:tcW w:w="480" w:type="dxa"/>
            <w:vAlign w:val="bottom"/>
          </w:tcPr>
          <w:p>
            <w:pPr>
              <w:spacing w:after="0"/>
              <w:rPr>
                <w:sz w:val="22"/>
                <w:szCs w:val="22"/>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5,790</w:t>
            </w:r>
          </w:p>
        </w:tc>
        <w:tc>
          <w:tcPr>
            <w:tcW w:w="0" w:type="dxa"/>
            <w:vAlign w:val="bottom"/>
          </w:tcPr>
          <w:p>
            <w:pPr>
              <w:spacing w:after="0"/>
              <w:rPr>
                <w:sz w:val="1"/>
                <w:szCs w:val="1"/>
                <w:color w:val="auto"/>
              </w:rPr>
            </w:pPr>
          </w:p>
        </w:tc>
      </w:tr>
      <w:tr>
        <w:trPr>
          <w:trHeight w:val="20"/>
        </w:trPr>
        <w:tc>
          <w:tcPr>
            <w:tcW w:w="27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Segment Income</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7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263</w:t>
            </w: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2720" w:type="dxa"/>
            <w:vAlign w:val="bottom"/>
            <w:gridSpan w:val="4"/>
          </w:tcPr>
          <w:p>
            <w:pPr>
              <w:ind w:left="20"/>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130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w:t>
            </w: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2720" w:type="dxa"/>
            <w:vAlign w:val="bottom"/>
            <w:gridSpan w:val="4"/>
          </w:tcPr>
          <w:p>
            <w:pPr>
              <w:ind w:left="2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130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c>
          <w:tcPr>
            <w:tcW w:w="4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324</w:t>
            </w:r>
          </w:p>
        </w:tc>
        <w:tc>
          <w:tcPr>
            <w:tcW w:w="2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392</w:t>
            </w:r>
          </w:p>
        </w:tc>
        <w:tc>
          <w:tcPr>
            <w:tcW w:w="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641</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130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5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2720" w:type="dxa"/>
            <w:vAlign w:val="bottom"/>
            <w:gridSpan w:val="4"/>
          </w:tcPr>
          <w:p>
            <w:pPr>
              <w:ind w:left="20"/>
              <w:spacing w:after="0"/>
              <w:rPr>
                <w:sz w:val="20"/>
                <w:szCs w:val="20"/>
                <w:color w:val="auto"/>
              </w:rPr>
            </w:pPr>
            <w:r>
              <w:rPr>
                <w:rFonts w:ascii="Arial" w:cs="Arial" w:eastAsia="Arial" w:hAnsi="Arial"/>
                <w:sz w:val="18"/>
                <w:szCs w:val="18"/>
                <w:color w:val="auto"/>
              </w:rPr>
              <w:t>Corporate and other unallocated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4"/>
          </w:tcPr>
          <w:p>
            <w:pPr>
              <w:ind w:left="20"/>
              <w:spacing w:after="0"/>
              <w:rPr>
                <w:sz w:val="20"/>
                <w:szCs w:val="20"/>
                <w:color w:val="auto"/>
              </w:rPr>
            </w:pPr>
            <w:r>
              <w:rPr>
                <w:rFonts w:ascii="Arial" w:cs="Arial" w:eastAsia="Arial" w:hAnsi="Arial"/>
                <w:sz w:val="18"/>
                <w:szCs w:val="18"/>
                <w:color w:val="auto"/>
              </w:rPr>
              <w:t>items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gridSpan w:val="2"/>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 segment income</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322</w:t>
            </w: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386</w:t>
            </w:r>
          </w:p>
        </w:tc>
        <w:tc>
          <w:tcPr>
            <w:tcW w:w="5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620</w:t>
            </w:r>
          </w:p>
        </w:tc>
        <w:tc>
          <w:tcPr>
            <w:tcW w:w="4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60" w:hanging="252"/>
        <w:spacing w:after="0" w:line="277"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8"/>
          <w:szCs w:val="18"/>
          <w:color w:val="auto"/>
        </w:rPr>
        <w:t>Includes the Company's food can and closures businesses in North America, aerosol can businesses in North America and Europe, the promotional packaging business in Europe, and tooling and equipment operations in the U.S. and United Kingdom.</w:t>
      </w:r>
    </w:p>
    <w:p>
      <w:pPr>
        <w:sectPr>
          <w:pgSz w:w="11900" w:h="16838" w:orient="portrait"/>
          <w:cols w:equalWidth="0" w:num="1">
            <w:col w:w="11240"/>
          </w:cols>
          <w:pgMar w:left="320" w:top="59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 of 11</w:t>
      </w:r>
    </w:p>
    <w:p>
      <w:pPr>
        <w:sectPr>
          <w:pgSz w:w="11900" w:h="16838" w:orient="portrait"/>
          <w:cols w:equalWidth="0" w:num="1">
            <w:col w:w="11240"/>
          </w:cols>
          <w:pgMar w:left="320" w:top="595" w:right="339" w:bottom="0"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-154305</wp:posOffset>
            </wp:positionV>
            <wp:extent cx="155130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and Diluted Earnings Per Share to Adjusted Net Income and Adjusted Diluted Earnings Per Share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reported net income and diluted earnings per share attributable to the Company to adjusted net income and adjusted diluted earnings per share, as used elsewhere in this release.</w:t>
      </w: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Net income/diluted earnings</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per share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attributable to Crown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Holdings, as reported</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Intangibles amortization </w:t>
      </w:r>
      <w:r>
        <w:rPr>
          <w:rFonts w:ascii="Arial" w:cs="Arial" w:eastAsia="Arial" w:hAnsi="Arial"/>
          <w:sz w:val="20"/>
          <w:szCs w:val="20"/>
          <w:color w:val="auto"/>
          <w:vertAlign w:val="superscript"/>
        </w:rPr>
        <w:t>(1)</w:t>
      </w:r>
    </w:p>
    <w:p>
      <w:pPr>
        <w:spacing w:after="0" w:line="5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Restructuring and other </w:t>
      </w:r>
      <w:r>
        <w:rPr>
          <w:rFonts w:ascii="Arial" w:cs="Arial" w:eastAsia="Arial" w:hAnsi="Arial"/>
          <w:sz w:val="20"/>
          <w:szCs w:val="20"/>
          <w:color w:val="auto"/>
          <w:vertAlign w:val="superscript"/>
        </w:rPr>
        <w:t>(2)</w:t>
      </w:r>
    </w:p>
    <w:p>
      <w:pPr>
        <w:ind w:left="1100" w:right="220"/>
        <w:spacing w:after="0" w:line="206" w:lineRule="auto"/>
        <w:rPr>
          <w:sz w:val="20"/>
          <w:szCs w:val="20"/>
          <w:color w:val="auto"/>
        </w:rPr>
      </w:pPr>
      <w:r>
        <w:rPr>
          <w:rFonts w:ascii="Arial" w:cs="Arial" w:eastAsia="Arial" w:hAnsi="Arial"/>
          <w:sz w:val="18"/>
          <w:szCs w:val="18"/>
          <w:color w:val="auto"/>
        </w:rPr>
        <w:t xml:space="preserve">Pension settlements and curtailments </w:t>
      </w:r>
      <w:r>
        <w:rPr>
          <w:rFonts w:ascii="Arial" w:cs="Arial" w:eastAsia="Arial" w:hAnsi="Arial"/>
          <w:sz w:val="23"/>
          <w:szCs w:val="23"/>
          <w:color w:val="auto"/>
          <w:vertAlign w:val="superscript"/>
        </w:rPr>
        <w:t>(3)</w:t>
      </w:r>
    </w:p>
    <w:p>
      <w:pPr>
        <w:ind w:left="900" w:right="320" w:firstLine="225"/>
        <w:spacing w:after="0" w:line="258" w:lineRule="auto"/>
        <w:rPr>
          <w:sz w:val="20"/>
          <w:szCs w:val="20"/>
          <w:color w:val="auto"/>
        </w:rPr>
      </w:pPr>
      <w:r>
        <w:rPr>
          <w:rFonts w:ascii="Arial" w:cs="Arial" w:eastAsia="Arial" w:hAnsi="Arial"/>
          <w:sz w:val="16"/>
          <w:szCs w:val="16"/>
          <w:color w:val="auto"/>
        </w:rPr>
        <w:t xml:space="preserve">Loss from early extinguishment of debt </w:t>
      </w:r>
      <w:r>
        <w:rPr>
          <w:rFonts w:ascii="Arial" w:cs="Arial" w:eastAsia="Arial" w:hAnsi="Arial"/>
          <w:sz w:val="20"/>
          <w:szCs w:val="20"/>
          <w:color w:val="auto"/>
          <w:vertAlign w:val="superscript"/>
        </w:rPr>
        <w:t>(4)</w:t>
      </w:r>
    </w:p>
    <w:p>
      <w:pPr>
        <w:ind w:left="112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23"/>
          <w:szCs w:val="23"/>
          <w:color w:val="auto"/>
          <w:vertAlign w:val="superscript"/>
        </w:rPr>
        <w:t>(5)</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Noncontrolling interests </w:t>
      </w:r>
      <w:r>
        <w:rPr>
          <w:rFonts w:ascii="Arial" w:cs="Arial" w:eastAsia="Arial" w:hAnsi="Arial"/>
          <w:sz w:val="20"/>
          <w:szCs w:val="20"/>
          <w:color w:val="auto"/>
          <w:vertAlign w:val="superscript"/>
        </w:rPr>
        <w:t>(6)</w:t>
      </w:r>
    </w:p>
    <w:p>
      <w:pPr>
        <w:spacing w:after="0" w:line="16" w:lineRule="exact"/>
        <w:rPr>
          <w:sz w:val="20"/>
          <w:szCs w:val="20"/>
          <w:color w:val="auto"/>
        </w:rPr>
      </w:pPr>
    </w:p>
    <w:p>
      <w:pPr>
        <w:ind w:left="900" w:right="40"/>
        <w:spacing w:after="0" w:line="351" w:lineRule="auto"/>
        <w:rPr>
          <w:sz w:val="20"/>
          <w:szCs w:val="20"/>
          <w:color w:val="auto"/>
        </w:rPr>
      </w:pPr>
      <w:r>
        <w:rPr>
          <w:rFonts w:ascii="Arial" w:cs="Arial" w:eastAsia="Arial" w:hAnsi="Arial"/>
          <w:sz w:val="15"/>
          <w:szCs w:val="15"/>
          <w:b w:val="1"/>
          <w:bCs w:val="1"/>
          <w:color w:val="auto"/>
        </w:rPr>
        <w:t>Adjusted net income/diluted earnings per share</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Effective tax rate as reported</w:t>
      </w:r>
    </w:p>
    <w:p>
      <w:pPr>
        <w:spacing w:after="0" w:line="22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Adjusted effective tax rate </w:t>
      </w:r>
      <w:r>
        <w:rPr>
          <w:rFonts w:ascii="Arial" w:cs="Arial" w:eastAsia="Arial" w:hAnsi="Arial"/>
          <w:sz w:val="20"/>
          <w:szCs w:val="20"/>
          <w:color w:val="auto"/>
          <w:vertAlign w:val="superscript"/>
        </w:rPr>
        <w:t>(7)</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740" w:type="dxa"/>
            <w:vAlign w:val="bottom"/>
            <w:gridSpan w:val="9"/>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gridSpan w:val="9"/>
          </w:tcPr>
          <w:p>
            <w:pPr>
              <w:jc w:val="right"/>
              <w:ind w:right="35"/>
              <w:spacing w:after="0"/>
              <w:rPr>
                <w:sz w:val="20"/>
                <w:szCs w:val="20"/>
                <w:color w:val="auto"/>
              </w:rPr>
            </w:pPr>
            <w:r>
              <w:rPr>
                <w:rFonts w:ascii="Arial" w:cs="Arial" w:eastAsia="Arial" w:hAnsi="Arial"/>
                <w:sz w:val="17"/>
                <w:szCs w:val="17"/>
                <w:b w:val="1"/>
                <w:bCs w:val="1"/>
                <w:color w:val="auto"/>
                <w:w w:val="92"/>
              </w:rPr>
              <w:t>Six Months Ended June 30,</w:t>
            </w:r>
          </w:p>
        </w:tc>
        <w:tc>
          <w:tcPr>
            <w:tcW w:w="540" w:type="dxa"/>
            <w:vAlign w:val="bottom"/>
          </w:tcPr>
          <w:p>
            <w:pPr>
              <w:spacing w:after="0"/>
              <w:rPr>
                <w:sz w:val="20"/>
                <w:szCs w:val="20"/>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spacing w:after="0"/>
              <w:rPr>
                <w:sz w:val="20"/>
                <w:szCs w:val="20"/>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w w:val="89"/>
              </w:rPr>
              <w:t>2020</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2019</w:t>
            </w:r>
          </w:p>
        </w:tc>
        <w:tc>
          <w:tcPr>
            <w:tcW w:w="540" w:type="dxa"/>
            <w:vAlign w:val="bottom"/>
          </w:tcPr>
          <w:p>
            <w:pPr>
              <w:spacing w:after="0"/>
              <w:rPr>
                <w:sz w:val="20"/>
                <w:szCs w:val="20"/>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871"/>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rPr>
              <w:t>126</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1"/>
              </w:rPr>
              <w:t>0.94</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rPr>
              <w:t>137</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91"/>
              </w:rPr>
              <w:t>1.02</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rPr>
              <w:t>214</w:t>
            </w:r>
          </w:p>
        </w:tc>
        <w:tc>
          <w:tcPr>
            <w:tcW w:w="4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w:t>
            </w: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w w:val="90"/>
              </w:rPr>
              <w:t>1.59</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jc w:val="right"/>
              <w:ind w:right="135"/>
              <w:spacing w:after="0"/>
              <w:rPr>
                <w:sz w:val="20"/>
                <w:szCs w:val="20"/>
                <w:color w:val="auto"/>
              </w:rPr>
            </w:pPr>
            <w:r>
              <w:rPr>
                <w:rFonts w:ascii="Arial" w:cs="Arial" w:eastAsia="Arial" w:hAnsi="Arial"/>
                <w:sz w:val="17"/>
                <w:szCs w:val="17"/>
                <w:b w:val="1"/>
                <w:bCs w:val="1"/>
                <w:color w:val="auto"/>
              </w:rPr>
              <w:t>240</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w w:val="90"/>
              </w:rPr>
              <w:t>1.78</w:t>
            </w:r>
          </w:p>
        </w:tc>
      </w:tr>
      <w:tr>
        <w:trPr>
          <w:trHeight w:val="270"/>
        </w:trPr>
        <w:tc>
          <w:tcPr>
            <w:tcW w:w="200" w:type="dxa"/>
            <w:vAlign w:val="bottom"/>
          </w:tcPr>
          <w:p>
            <w:pPr>
              <w:spacing w:after="0"/>
              <w:rPr>
                <w:sz w:val="23"/>
                <w:szCs w:val="23"/>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0.33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0.36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89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0"/>
              </w:rPr>
              <w:t>0.66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0"/>
              </w:rPr>
              <w:t>0.72</w:t>
            </w:r>
          </w:p>
        </w:tc>
      </w:tr>
      <w:tr>
        <w:trPr>
          <w:trHeight w:val="270"/>
        </w:trPr>
        <w:tc>
          <w:tcPr>
            <w:tcW w:w="200" w:type="dxa"/>
            <w:vAlign w:val="bottom"/>
          </w:tcPr>
          <w:p>
            <w:pPr>
              <w:spacing w:after="0"/>
              <w:rPr>
                <w:sz w:val="23"/>
                <w:szCs w:val="23"/>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0.02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(0.33)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0"/>
              </w:rPr>
              <w:t>0.07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75"/>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4"/>
              </w:rPr>
              <w:t>(0.30)</w:t>
            </w:r>
          </w:p>
        </w:tc>
      </w:tr>
      <w:tr>
        <w:trPr>
          <w:trHeight w:val="405"/>
        </w:trPr>
        <w:tc>
          <w:tcPr>
            <w:tcW w:w="20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0.14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0.23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0"/>
              </w:rPr>
              <w:t>0.42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0"/>
              </w:rPr>
              <w:t>0.13</w:t>
            </w:r>
          </w:p>
        </w:tc>
      </w:tr>
      <w:tr>
        <w:trPr>
          <w:trHeight w:val="401"/>
        </w:trPr>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0"/>
              </w:rPr>
              <w:t>0.04</w:t>
            </w:r>
          </w:p>
        </w:tc>
      </w:tr>
      <w:tr>
        <w:trPr>
          <w:trHeight w:val="274"/>
        </w:trPr>
        <w:tc>
          <w:tcPr>
            <w:tcW w:w="200" w:type="dxa"/>
            <w:vAlign w:val="bottom"/>
          </w:tcPr>
          <w:p>
            <w:pPr>
              <w:spacing w:after="0"/>
              <w:rPr>
                <w:sz w:val="23"/>
                <w:szCs w:val="23"/>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(0.10)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0.08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4"/>
              </w:rPr>
              <w:t>(0.28)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0"/>
              </w:rPr>
              <w:t>0.01</w:t>
            </w:r>
          </w:p>
        </w:tc>
      </w:tr>
      <w:tr>
        <w:trPr>
          <w:trHeight w:val="270"/>
        </w:trPr>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0.10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0"/>
              </w:rPr>
              <w:t>0.13</w:t>
            </w:r>
          </w:p>
        </w:tc>
      </w:tr>
      <w:tr>
        <w:trPr>
          <w:trHeight w:val="27"/>
        </w:trPr>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412"/>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rPr>
              <w:t>178</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1"/>
              </w:rPr>
              <w:t>1.33</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rPr>
              <w:t>197</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91"/>
              </w:rPr>
              <w:t>1.46</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rPr>
              <w:t>331</w:t>
            </w:r>
          </w:p>
        </w:tc>
        <w:tc>
          <w:tcPr>
            <w:tcW w:w="4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w:t>
            </w: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w w:val="90"/>
              </w:rPr>
              <w:t>2.46</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jc w:val="right"/>
              <w:ind w:right="135"/>
              <w:spacing w:after="0"/>
              <w:rPr>
                <w:sz w:val="20"/>
                <w:szCs w:val="20"/>
                <w:color w:val="auto"/>
              </w:rPr>
            </w:pPr>
            <w:r>
              <w:rPr>
                <w:rFonts w:ascii="Arial" w:cs="Arial" w:eastAsia="Arial" w:hAnsi="Arial"/>
                <w:sz w:val="17"/>
                <w:szCs w:val="17"/>
                <w:b w:val="1"/>
                <w:bCs w:val="1"/>
                <w:color w:val="auto"/>
              </w:rPr>
              <w:t>338</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w w:val="90"/>
              </w:rPr>
              <w:t>2.51</w:t>
            </w:r>
          </w:p>
        </w:tc>
      </w:tr>
      <w:tr>
        <w:trPr>
          <w:trHeight w:val="27"/>
        </w:trPr>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18"/>
        </w:trPr>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26.5 %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31.1 %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78"/>
        </w:trPr>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25.9 %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25.9 %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-2553970</wp:posOffset>
            </wp:positionV>
            <wp:extent cx="6017895" cy="582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17895" cy="582930"/>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-1799590</wp:posOffset>
            </wp:positionV>
            <wp:extent cx="60178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17895" cy="171450"/>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-1370965</wp:posOffset>
            </wp:positionV>
            <wp:extent cx="6017895"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17895" cy="257175"/>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-942340</wp:posOffset>
            </wp:positionV>
            <wp:extent cx="60178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17895" cy="171450"/>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-462280</wp:posOffset>
            </wp:positionV>
            <wp:extent cx="601789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17895" cy="68580"/>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-222250</wp:posOffset>
            </wp:positionV>
            <wp:extent cx="601789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17895" cy="6858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3060" w:space="320"/>
            <w:col w:w="7860"/>
          </w:cols>
          <w:pgMar w:left="320" w:top="595" w:right="339" w:bottom="1440" w:gutter="0" w:footer="0" w:header="0"/>
          <w:type w:val="continuous"/>
        </w:sectPr>
      </w:pP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14" w:lineRule="exact"/>
        <w:rPr>
          <w:sz w:val="20"/>
          <w:szCs w:val="20"/>
          <w:color w:val="auto"/>
        </w:rPr>
      </w:pPr>
    </w:p>
    <w:p>
      <w:pPr>
        <w:jc w:val="both"/>
        <w:ind w:left="340" w:hanging="332"/>
        <w:spacing w:after="0" w:line="241" w:lineRule="auto"/>
        <w:tabs>
          <w:tab w:leader="none" w:pos="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second quarter and first six months of 2020, the Company recorded charges of $44 million ($34 million net of tax) and $89 million ($68 million net of tax) for intangibles amortization arising from prior acquisitions. In the second quarter and first six months of 2019, the Company recorded charges of $47 million ($35 million net of tax) and $94 million ($70 million net of tax) for intangibles amortization. Also in the second quarter and first six months of 2019, the Company recorded charges of $1 million ($1 million net of tax) and $3 million ($3 million net of tax) for accelerated depreciation related to the planned shutdown of a steel beverage can operation in Spain.</w:t>
      </w:r>
    </w:p>
    <w:p>
      <w:pPr>
        <w:spacing w:after="0" w:line="216" w:lineRule="exact"/>
        <w:rPr>
          <w:rFonts w:ascii="Arial" w:cs="Arial" w:eastAsia="Arial" w:hAnsi="Arial"/>
          <w:sz w:val="18"/>
          <w:szCs w:val="18"/>
          <w:color w:val="auto"/>
        </w:rPr>
      </w:pPr>
    </w:p>
    <w:p>
      <w:pPr>
        <w:ind w:left="340" w:right="140" w:hanging="332"/>
        <w:spacing w:after="0" w:line="255" w:lineRule="auto"/>
        <w:tabs>
          <w:tab w:leader="none" w:pos="33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second quarter and first six months of 2020, the Company recorded net restructuring and other charges of $3 million ($3 million net of tax) and $10 million ($8 million net of tax) primarily related to business reorganization activities. In the second quarter and first six months of 2019, the Company recorded net restructuring and other gains of $45 million ($31 million net of tax) and $41 million ($26 million net of tax). The second quarter of 2019 included a gain of $41 million arising from a favorable court ruling in a lawsuit brought by one of the Company's Brazilian subsidiaries claiming it was overcharged by the local tax authorities for indirect taxes paid in prior years, and other net gains of $4 million primarily related to asset sales. The first six months of 2019 included gains of $50 million related to the favorable court rulings in Brazil, offset by other net charges of $9 million primarily related to restructuring actions and asset sales.</w:t>
      </w:r>
    </w:p>
    <w:p>
      <w:pPr>
        <w:spacing w:after="0" w:line="206" w:lineRule="exact"/>
        <w:rPr>
          <w:rFonts w:ascii="Arial" w:cs="Arial" w:eastAsia="Arial" w:hAnsi="Arial"/>
          <w:sz w:val="17"/>
          <w:szCs w:val="17"/>
          <w:color w:val="auto"/>
        </w:rPr>
      </w:pPr>
    </w:p>
    <w:p>
      <w:pPr>
        <w:jc w:val="both"/>
        <w:ind w:left="340" w:right="40" w:hanging="332"/>
        <w:spacing w:after="0" w:line="243" w:lineRule="auto"/>
        <w:tabs>
          <w:tab w:leader="none" w:pos="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second quarter and first six months of 2020, the Company recorded charges of $19 million ($15 million net of tax) and $56 million ($45 million net of tax) arising from pension plan settlements. In the second quarter of 2019, the Company recorded a charge of $31 million ($26 million net of tax) arising from a pension plan settlement. In the first quarter of 2019, the Company recorded a curtailment gain of $14 million ($12 million net of tax) in connection with the closure of a defined pension plan to future accrual for active members.</w:t>
      </w:r>
    </w:p>
    <w:p>
      <w:pPr>
        <w:sectPr>
          <w:pgSz w:w="11900" w:h="16838" w:orient="portrait"/>
          <w:cols w:equalWidth="0" w:num="1">
            <w:col w:w="11240"/>
          </w:cols>
          <w:pgMar w:left="320" w:top="5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 of 11</w:t>
      </w:r>
    </w:p>
    <w:p>
      <w:pPr>
        <w:sectPr>
          <w:pgSz w:w="11900" w:h="16838" w:orient="portrait"/>
          <w:cols w:equalWidth="0" w:num="1">
            <w:col w:w="11240"/>
          </w:cols>
          <w:pgMar w:left="320" w:top="595" w:right="339" w:bottom="1440" w:gutter="0" w:footer="0" w:header="0"/>
          <w:type w:val="continuous"/>
        </w:sectPr>
      </w:pPr>
    </w:p>
    <w:bookmarkStart w:id="11" w:name="page12"/>
    <w:bookmarkEnd w:id="11"/>
    <w:p>
      <w:pPr>
        <w:ind w:left="7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-153670</wp:posOffset>
            </wp:positionV>
            <wp:extent cx="1551305" cy="497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72"/>
        <w:spacing w:after="0"/>
        <w:rPr>
          <w:sz w:val="20"/>
          <w:szCs w:val="20"/>
          <w:color w:val="auto"/>
        </w:rPr>
      </w:pPr>
      <w:r>
        <w:rPr>
          <w:rFonts w:ascii="Arial" w:cs="Arial" w:eastAsia="Arial" w:hAnsi="Arial"/>
          <w:sz w:val="14"/>
          <w:szCs w:val="14"/>
          <w:color w:val="auto"/>
        </w:rPr>
        <w:t>Corporate Headquarters</w:t>
      </w:r>
    </w:p>
    <w:p>
      <w:pPr>
        <w:ind w:left="72"/>
        <w:spacing w:after="0" w:line="201" w:lineRule="auto"/>
        <w:rPr>
          <w:sz w:val="20"/>
          <w:szCs w:val="20"/>
          <w:color w:val="auto"/>
        </w:rPr>
      </w:pPr>
      <w:r>
        <w:rPr>
          <w:rFonts w:ascii="Arial" w:cs="Arial" w:eastAsia="Arial" w:hAnsi="Arial"/>
          <w:sz w:val="14"/>
          <w:szCs w:val="14"/>
          <w:color w:val="auto"/>
        </w:rPr>
        <w:t>770 Township Line Road</w:t>
      </w:r>
    </w:p>
    <w:p>
      <w:pPr>
        <w:ind w:left="72"/>
        <w:spacing w:after="0"/>
        <w:rPr>
          <w:sz w:val="20"/>
          <w:szCs w:val="20"/>
          <w:color w:val="auto"/>
        </w:rPr>
      </w:pPr>
      <w:r>
        <w:rPr>
          <w:rFonts w:ascii="Arial" w:cs="Arial" w:eastAsia="Arial" w:hAnsi="Arial"/>
          <w:sz w:val="14"/>
          <w:szCs w:val="14"/>
          <w:color w:val="auto"/>
        </w:rPr>
        <w:t>Yardley, PA 19067</w:t>
      </w:r>
    </w:p>
    <w:p>
      <w:pPr>
        <w:spacing w:after="0" w:line="319" w:lineRule="exact"/>
        <w:rPr>
          <w:sz w:val="20"/>
          <w:szCs w:val="20"/>
          <w:color w:val="auto"/>
        </w:rPr>
      </w:pPr>
    </w:p>
    <w:p>
      <w:pPr>
        <w:ind w:left="332" w:right="680" w:hanging="332"/>
        <w:spacing w:after="0" w:line="277" w:lineRule="auto"/>
        <w:tabs>
          <w:tab w:leader="none" w:pos="32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first quarter of 2019, the Company recorded a charge of $6 million ($5 million net of tax) for the write off of deferred financing fees in connection with the repayment of a portion of its term loan.</w:t>
      </w:r>
    </w:p>
    <w:p>
      <w:pPr>
        <w:spacing w:after="0" w:line="197" w:lineRule="exact"/>
        <w:rPr>
          <w:rFonts w:ascii="Arial" w:cs="Arial" w:eastAsia="Arial" w:hAnsi="Arial"/>
          <w:sz w:val="18"/>
          <w:szCs w:val="18"/>
          <w:color w:val="auto"/>
        </w:rPr>
      </w:pPr>
    </w:p>
    <w:p>
      <w:pPr>
        <w:ind w:left="332" w:right="60" w:hanging="332"/>
        <w:spacing w:after="0" w:line="241" w:lineRule="auto"/>
        <w:tabs>
          <w:tab w:leader="none" w:pos="32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second quarter and first six months of 2020, the Company recorded income tax benefits of $14 million and $34 million related to the items described above. Also in the first quarter of 2020, the Company recorded a tax benefit of $4 million related to a tax law change in India. In the second quarter and first six months of 2019, the Company recorded income tax benefits of $3 million and $13 million related to the items described above. Also in the second quarter of 2019, the Company recorded a charge of $15 million to settle a tax contingency arising from a transaction that occurred prior to its acquisition of Signode.</w:t>
      </w:r>
    </w:p>
    <w:p>
      <w:pPr>
        <w:spacing w:after="0" w:line="216" w:lineRule="exact"/>
        <w:rPr>
          <w:rFonts w:ascii="Arial" w:cs="Arial" w:eastAsia="Arial" w:hAnsi="Arial"/>
          <w:sz w:val="18"/>
          <w:szCs w:val="18"/>
          <w:color w:val="auto"/>
        </w:rPr>
      </w:pPr>
    </w:p>
    <w:p>
      <w:pPr>
        <w:ind w:left="332" w:hanging="332"/>
        <w:spacing w:after="0" w:line="261" w:lineRule="auto"/>
        <w:tabs>
          <w:tab w:leader="none" w:pos="32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second quarter and first six months of 2019, the Company recorded noncontrolling interest expense of $14 million and $17 million related to the items described above.</w:t>
      </w:r>
    </w:p>
    <w:p>
      <w:pPr>
        <w:spacing w:after="0" w:line="197" w:lineRule="exact"/>
        <w:rPr>
          <w:rFonts w:ascii="Arial" w:cs="Arial" w:eastAsia="Arial" w:hAnsi="Arial"/>
          <w:sz w:val="18"/>
          <w:szCs w:val="18"/>
          <w:color w:val="auto"/>
        </w:rPr>
      </w:pPr>
    </w:p>
    <w:p>
      <w:pPr>
        <w:ind w:left="312" w:hanging="312"/>
        <w:spacing w:after="0"/>
        <w:tabs>
          <w:tab w:leader="none" w:pos="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Income tax effects on adjusted net income were calculated using the applicable tax rates of the underlying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 of 11</w:t>
      </w:r>
    </w:p>
    <w:p>
      <w:pPr>
        <w:sectPr>
          <w:pgSz w:w="11900" w:h="16838" w:orient="portrait"/>
          <w:cols w:equalWidth="0" w:num="1">
            <w:col w:w="11172"/>
          </w:cols>
          <w:pgMar w:left="328" w:top="595" w:right="399" w:bottom="1440" w:gutter="0" w:footer="0" w:header="0"/>
        </w:sectPr>
      </w:pPr>
    </w:p>
    <w:bookmarkStart w:id="12" w:name="page13"/>
    <w:bookmarkEnd w:id="12"/>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-153670</wp:posOffset>
            </wp:positionV>
            <wp:extent cx="1551305" cy="497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(Condensed &amp; 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480" w:type="dxa"/>
            <w:vAlign w:val="bottom"/>
          </w:tcPr>
          <w:p>
            <w:pPr>
              <w:spacing w:after="0"/>
              <w:rPr>
                <w:sz w:val="20"/>
                <w:szCs w:val="20"/>
                <w:color w:val="auto"/>
              </w:rPr>
            </w:pPr>
          </w:p>
        </w:tc>
      </w:tr>
      <w:tr>
        <w:trPr>
          <w:trHeight w:val="27"/>
        </w:trPr>
        <w:tc>
          <w:tcPr>
            <w:tcW w:w="150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150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366</w:t>
            </w: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342</w:t>
            </w: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1,604</w:t>
            </w: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1,830</w:t>
            </w: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1,747</w:t>
            </w: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1,837</w:t>
            </w: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256</w:t>
            </w: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205</w:t>
            </w: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r>
      <w:tr>
        <w:trPr>
          <w:trHeight w:val="264"/>
        </w:trPr>
        <w:tc>
          <w:tcPr>
            <w:tcW w:w="150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3,973</w:t>
            </w:r>
          </w:p>
        </w:tc>
        <w:tc>
          <w:tcPr>
            <w:tcW w:w="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4,214</w:t>
            </w:r>
          </w:p>
        </w:tc>
        <w:tc>
          <w:tcPr>
            <w:tcW w:w="1480" w:type="dxa"/>
            <w:vAlign w:val="bottom"/>
          </w:tcPr>
          <w:p>
            <w:pPr>
              <w:spacing w:after="0"/>
              <w:rPr>
                <w:sz w:val="22"/>
                <w:szCs w:val="22"/>
                <w:color w:val="auto"/>
              </w:rPr>
            </w:pPr>
          </w:p>
        </w:tc>
      </w:tr>
      <w:tr>
        <w:trPr>
          <w:trHeight w:val="250"/>
        </w:trPr>
        <w:tc>
          <w:tcPr>
            <w:tcW w:w="150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6,174</w:t>
            </w: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6,554</w:t>
            </w: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3,817</w:t>
            </w: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3,761</w:t>
            </w: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50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1,301</w:t>
            </w:r>
          </w:p>
        </w:tc>
        <w:tc>
          <w:tcPr>
            <w:tcW w:w="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1,036</w:t>
            </w:r>
          </w:p>
        </w:tc>
        <w:tc>
          <w:tcPr>
            <w:tcW w:w="1480" w:type="dxa"/>
            <w:vAlign w:val="bottom"/>
          </w:tcPr>
          <w:p>
            <w:pPr>
              <w:spacing w:after="0"/>
              <w:rPr>
                <w:sz w:val="23"/>
                <w:szCs w:val="23"/>
                <w:color w:val="auto"/>
              </w:rPr>
            </w:pPr>
          </w:p>
        </w:tc>
      </w:tr>
      <w:tr>
        <w:trPr>
          <w:trHeight w:val="264"/>
        </w:trPr>
        <w:tc>
          <w:tcPr>
            <w:tcW w:w="1500" w:type="dxa"/>
            <w:vAlign w:val="bottom"/>
          </w:tcPr>
          <w:p>
            <w:pPr>
              <w:spacing w:after="0"/>
              <w:rPr>
                <w:sz w:val="22"/>
                <w:szCs w:val="22"/>
                <w:color w:val="auto"/>
              </w:rPr>
            </w:pPr>
          </w:p>
        </w:tc>
        <w:tc>
          <w:tcPr>
            <w:tcW w:w="47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15,265</w:t>
            </w:r>
          </w:p>
        </w:tc>
        <w:tc>
          <w:tcPr>
            <w:tcW w:w="7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15,565</w:t>
            </w:r>
          </w:p>
        </w:tc>
        <w:tc>
          <w:tcPr>
            <w:tcW w:w="1480" w:type="dxa"/>
            <w:vAlign w:val="bottom"/>
          </w:tcPr>
          <w:p>
            <w:pPr>
              <w:spacing w:after="0"/>
              <w:rPr>
                <w:sz w:val="22"/>
                <w:szCs w:val="22"/>
                <w:color w:val="auto"/>
              </w:rPr>
            </w:pPr>
          </w:p>
        </w:tc>
      </w:tr>
      <w:tr>
        <w:trPr>
          <w:trHeight w:val="20"/>
        </w:trPr>
        <w:tc>
          <w:tcPr>
            <w:tcW w:w="1500" w:type="dxa"/>
            <w:vAlign w:val="bottom"/>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p>
        </w:tc>
        <w:tc>
          <w:tcPr>
            <w:tcW w:w="4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150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Short-term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w:t>
            </w: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w:t>
            </w: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50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3,244</w:t>
            </w:r>
          </w:p>
        </w:tc>
        <w:tc>
          <w:tcPr>
            <w:tcW w:w="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3,385</w:t>
            </w:r>
          </w:p>
        </w:tc>
        <w:tc>
          <w:tcPr>
            <w:tcW w:w="1480" w:type="dxa"/>
            <w:vAlign w:val="bottom"/>
          </w:tcPr>
          <w:p>
            <w:pPr>
              <w:spacing w:after="0"/>
              <w:rPr>
                <w:sz w:val="23"/>
                <w:szCs w:val="23"/>
                <w:color w:val="auto"/>
              </w:rPr>
            </w:pPr>
          </w:p>
        </w:tc>
      </w:tr>
      <w:tr>
        <w:trPr>
          <w:trHeight w:val="263"/>
        </w:trPr>
        <w:tc>
          <w:tcPr>
            <w:tcW w:w="1500" w:type="dxa"/>
            <w:vAlign w:val="bottom"/>
          </w:tcPr>
          <w:p>
            <w:pPr>
              <w:spacing w:after="0"/>
              <w:rPr>
                <w:sz w:val="22"/>
                <w:szCs w:val="22"/>
                <w:color w:val="auto"/>
              </w:rPr>
            </w:pPr>
          </w:p>
        </w:tc>
        <w:tc>
          <w:tcPr>
            <w:tcW w:w="4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3,447</w:t>
            </w:r>
          </w:p>
        </w:tc>
        <w:tc>
          <w:tcPr>
            <w:tcW w:w="7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3,608</w:t>
            </w:r>
          </w:p>
        </w:tc>
        <w:tc>
          <w:tcPr>
            <w:tcW w:w="1480" w:type="dxa"/>
            <w:vAlign w:val="bottom"/>
          </w:tcPr>
          <w:p>
            <w:pPr>
              <w:spacing w:after="0"/>
              <w:rPr>
                <w:sz w:val="22"/>
                <w:szCs w:val="22"/>
                <w:color w:val="auto"/>
              </w:rPr>
            </w:pPr>
          </w:p>
        </w:tc>
      </w:tr>
      <w:tr>
        <w:trPr>
          <w:trHeight w:val="250"/>
        </w:trPr>
        <w:tc>
          <w:tcPr>
            <w:tcW w:w="1500" w:type="dxa"/>
            <w:vAlign w:val="bottom"/>
          </w:tcPr>
          <w:p>
            <w:pPr>
              <w:spacing w:after="0"/>
              <w:rPr>
                <w:sz w:val="21"/>
                <w:szCs w:val="21"/>
                <w:color w:val="auto"/>
              </w:rPr>
            </w:pPr>
          </w:p>
        </w:tc>
        <w:tc>
          <w:tcPr>
            <w:tcW w:w="4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7,999</w:t>
            </w: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8,549</w:t>
            </w: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1,598</w:t>
            </w: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1,708</w:t>
            </w: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406</w:t>
            </w: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406</w:t>
            </w:r>
          </w:p>
        </w:tc>
        <w:tc>
          <w:tcPr>
            <w:tcW w:w="148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Crown Holdings shareholders' equity</w:t>
            </w: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1,815</w:t>
            </w: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1,294</w:t>
            </w:r>
          </w:p>
        </w:tc>
        <w:tc>
          <w:tcPr>
            <w:tcW w:w="148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150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2,221</w:t>
            </w:r>
          </w:p>
        </w:tc>
        <w:tc>
          <w:tcPr>
            <w:tcW w:w="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1,700</w:t>
            </w:r>
          </w:p>
        </w:tc>
        <w:tc>
          <w:tcPr>
            <w:tcW w:w="1480" w:type="dxa"/>
            <w:vAlign w:val="bottom"/>
          </w:tcPr>
          <w:p>
            <w:pPr>
              <w:spacing w:after="0"/>
              <w:rPr>
                <w:sz w:val="22"/>
                <w:szCs w:val="22"/>
                <w:color w:val="auto"/>
              </w:rPr>
            </w:pPr>
          </w:p>
        </w:tc>
      </w:tr>
      <w:tr>
        <w:trPr>
          <w:trHeight w:val="263"/>
        </w:trPr>
        <w:tc>
          <w:tcPr>
            <w:tcW w:w="1500" w:type="dxa"/>
            <w:vAlign w:val="bottom"/>
          </w:tcPr>
          <w:p>
            <w:pPr>
              <w:spacing w:after="0"/>
              <w:rPr>
                <w:sz w:val="22"/>
                <w:szCs w:val="22"/>
                <w:color w:val="auto"/>
              </w:rPr>
            </w:pPr>
          </w:p>
        </w:tc>
        <w:tc>
          <w:tcPr>
            <w:tcW w:w="47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15,265</w:t>
            </w:r>
          </w:p>
        </w:tc>
        <w:tc>
          <w:tcPr>
            <w:tcW w:w="7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15,565</w:t>
            </w:r>
          </w:p>
        </w:tc>
        <w:tc>
          <w:tcPr>
            <w:tcW w:w="1480" w:type="dxa"/>
            <w:vAlign w:val="bottom"/>
          </w:tcPr>
          <w:p>
            <w:pPr>
              <w:spacing w:after="0"/>
              <w:rPr>
                <w:sz w:val="22"/>
                <w:szCs w:val="22"/>
                <w:color w:val="auto"/>
              </w:rPr>
            </w:pPr>
          </w:p>
        </w:tc>
      </w:tr>
      <w:tr>
        <w:trPr>
          <w:trHeight w:val="21"/>
        </w:trPr>
        <w:tc>
          <w:tcPr>
            <w:tcW w:w="15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27"/>
        </w:trPr>
        <w:tc>
          <w:tcPr>
            <w:tcW w:w="1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11</w:t>
      </w:r>
    </w:p>
    <w:p>
      <w:pPr>
        <w:sectPr>
          <w:pgSz w:w="11900" w:h="16838" w:orient="portrait"/>
          <w:cols w:equalWidth="0" w:num="1">
            <w:col w:w="11240"/>
          </w:cols>
          <w:pgMar w:left="320" w:top="595" w:right="339" w:bottom="1440" w:gutter="0" w:footer="0" w:header="0"/>
        </w:sectPr>
      </w:pPr>
    </w:p>
    <w:bookmarkStart w:id="13" w:name="page14"/>
    <w:bookmarkEnd w:id="1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-153670</wp:posOffset>
            </wp:positionV>
            <wp:extent cx="1551305" cy="497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Six months ended June 30,</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92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88"/>
        </w:trPr>
        <w:tc>
          <w:tcPr>
            <w:tcW w:w="1940" w:type="dxa"/>
            <w:vAlign w:val="bottom"/>
          </w:tcPr>
          <w:p>
            <w:pPr>
              <w:spacing w:after="0"/>
              <w:rPr>
                <w:sz w:val="7"/>
                <w:szCs w:val="7"/>
                <w:color w:val="auto"/>
              </w:rPr>
            </w:pPr>
          </w:p>
        </w:tc>
        <w:tc>
          <w:tcPr>
            <w:tcW w:w="4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0"/>
        </w:trPr>
        <w:tc>
          <w:tcPr>
            <w:tcW w:w="194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4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Restructuring and other</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Pension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Pension contributions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Working capital changes and other</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(815)</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(783)</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263"/>
        </w:trPr>
        <w:tc>
          <w:tcPr>
            <w:tcW w:w="1940" w:type="dxa"/>
            <w:vAlign w:val="bottom"/>
          </w:tcPr>
          <w:p>
            <w:pPr>
              <w:spacing w:after="0"/>
              <w:rPr>
                <w:sz w:val="22"/>
                <w:szCs w:val="22"/>
                <w:color w:val="auto"/>
              </w:rPr>
            </w:pPr>
          </w:p>
        </w:tc>
        <w:tc>
          <w:tcPr>
            <w:tcW w:w="45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 xml:space="preserve">Net cash used for operating activities </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4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0"/>
        </w:trPr>
        <w:tc>
          <w:tcPr>
            <w:tcW w:w="194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sale of assets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263"/>
        </w:trPr>
        <w:tc>
          <w:tcPr>
            <w:tcW w:w="1940" w:type="dxa"/>
            <w:vAlign w:val="bottom"/>
          </w:tcPr>
          <w:p>
            <w:pPr>
              <w:spacing w:after="0"/>
              <w:rPr>
                <w:sz w:val="22"/>
                <w:szCs w:val="22"/>
                <w:color w:val="auto"/>
              </w:rPr>
            </w:pPr>
          </w:p>
        </w:tc>
        <w:tc>
          <w:tcPr>
            <w:tcW w:w="45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Net cash used for investing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4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0"/>
        </w:trPr>
        <w:tc>
          <w:tcPr>
            <w:tcW w:w="194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Net change in debt</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92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1940" w:type="dxa"/>
            <w:vAlign w:val="bottom"/>
          </w:tcPr>
          <w:p>
            <w:pPr>
              <w:spacing w:after="0"/>
              <w:rPr>
                <w:sz w:val="23"/>
                <w:szCs w:val="23"/>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920" w:type="dxa"/>
            <w:vAlign w:val="bottom"/>
          </w:tcPr>
          <w:p>
            <w:pPr>
              <w:spacing w:after="0"/>
              <w:rPr>
                <w:sz w:val="23"/>
                <w:szCs w:val="23"/>
                <w:color w:val="auto"/>
              </w:rPr>
            </w:pPr>
          </w:p>
        </w:tc>
      </w:tr>
      <w:tr>
        <w:trPr>
          <w:trHeight w:val="263"/>
        </w:trPr>
        <w:tc>
          <w:tcPr>
            <w:tcW w:w="1940" w:type="dxa"/>
            <w:vAlign w:val="bottom"/>
          </w:tcPr>
          <w:p>
            <w:pPr>
              <w:spacing w:after="0"/>
              <w:rPr>
                <w:sz w:val="22"/>
                <w:szCs w:val="22"/>
                <w:color w:val="auto"/>
              </w:rPr>
            </w:pPr>
          </w:p>
        </w:tc>
        <w:tc>
          <w:tcPr>
            <w:tcW w:w="4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196</w:t>
            </w:r>
          </w:p>
        </w:tc>
        <w:tc>
          <w:tcPr>
            <w:tcW w:w="4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99</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5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920" w:type="dxa"/>
            <w:vAlign w:val="bottom"/>
          </w:tcPr>
          <w:p>
            <w:pPr>
              <w:spacing w:after="0"/>
              <w:rPr>
                <w:sz w:val="7"/>
                <w:szCs w:val="7"/>
                <w:color w:val="auto"/>
              </w:rPr>
            </w:pPr>
          </w:p>
        </w:tc>
      </w:tr>
      <w:tr>
        <w:trPr>
          <w:trHeight w:val="243"/>
        </w:trPr>
        <w:tc>
          <w:tcPr>
            <w:tcW w:w="194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0"/>
              </w:rPr>
              <w:t>Effect of exchange rate changes on cash and cash equivalents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88"/>
        </w:trPr>
        <w:tc>
          <w:tcPr>
            <w:tcW w:w="1940" w:type="dxa"/>
            <w:vAlign w:val="bottom"/>
          </w:tcPr>
          <w:p>
            <w:pPr>
              <w:spacing w:after="0"/>
              <w:rPr>
                <w:sz w:val="7"/>
                <w:szCs w:val="7"/>
                <w:color w:val="auto"/>
              </w:rPr>
            </w:pPr>
          </w:p>
        </w:tc>
        <w:tc>
          <w:tcPr>
            <w:tcW w:w="45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920" w:type="dxa"/>
            <w:vAlign w:val="bottom"/>
          </w:tcPr>
          <w:p>
            <w:pPr>
              <w:spacing w:after="0"/>
              <w:rPr>
                <w:sz w:val="7"/>
                <w:szCs w:val="7"/>
                <w:color w:val="auto"/>
              </w:rPr>
            </w:pPr>
          </w:p>
        </w:tc>
      </w:tr>
      <w:tr>
        <w:trPr>
          <w:trHeight w:val="243"/>
        </w:trPr>
        <w:tc>
          <w:tcPr>
            <w:tcW w:w="194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c>
          <w:tcPr>
            <w:tcW w:w="192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1940" w:type="dxa"/>
            <w:vAlign w:val="bottom"/>
          </w:tcPr>
          <w:p>
            <w:pPr>
              <w:spacing w:after="0"/>
              <w:rPr>
                <w:sz w:val="23"/>
                <w:szCs w:val="23"/>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w:t>
            </w:r>
          </w:p>
        </w:tc>
        <w:tc>
          <w:tcPr>
            <w:tcW w:w="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w:t>
            </w:r>
          </w:p>
        </w:tc>
        <w:tc>
          <w:tcPr>
            <w:tcW w:w="1920" w:type="dxa"/>
            <w:vAlign w:val="bottom"/>
          </w:tcPr>
          <w:p>
            <w:pPr>
              <w:spacing w:after="0"/>
              <w:rPr>
                <w:sz w:val="23"/>
                <w:szCs w:val="23"/>
                <w:color w:val="auto"/>
              </w:rPr>
            </w:pPr>
          </w:p>
        </w:tc>
      </w:tr>
      <w:tr>
        <w:trPr>
          <w:trHeight w:val="88"/>
        </w:trPr>
        <w:tc>
          <w:tcPr>
            <w:tcW w:w="1940" w:type="dxa"/>
            <w:vAlign w:val="bottom"/>
          </w:tcPr>
          <w:p>
            <w:pPr>
              <w:spacing w:after="0"/>
              <w:rPr>
                <w:sz w:val="7"/>
                <w:szCs w:val="7"/>
                <w:color w:val="auto"/>
              </w:rPr>
            </w:pPr>
          </w:p>
        </w:tc>
        <w:tc>
          <w:tcPr>
            <w:tcW w:w="456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920" w:type="dxa"/>
            <w:vAlign w:val="bottom"/>
          </w:tcPr>
          <w:p>
            <w:pPr>
              <w:spacing w:after="0"/>
              <w:rPr>
                <w:sz w:val="7"/>
                <w:szCs w:val="7"/>
                <w:color w:val="auto"/>
              </w:rPr>
            </w:pPr>
          </w:p>
        </w:tc>
      </w:tr>
      <w:tr>
        <w:trPr>
          <w:trHeight w:val="295"/>
        </w:trPr>
        <w:tc>
          <w:tcPr>
            <w:tcW w:w="1940" w:type="dxa"/>
            <w:vAlign w:val="bottom"/>
          </w:tcPr>
          <w:p>
            <w:pPr>
              <w:spacing w:after="0"/>
              <w:rPr>
                <w:sz w:val="24"/>
                <w:szCs w:val="24"/>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Cash and cash equivalents at June 30 </w:t>
            </w:r>
            <w:r>
              <w:rPr>
                <w:rFonts w:ascii="Arial" w:cs="Arial" w:eastAsia="Arial" w:hAnsi="Arial"/>
                <w:sz w:val="23"/>
                <w:szCs w:val="23"/>
                <w:b w:val="1"/>
                <w:bCs w:val="1"/>
                <w:color w:val="auto"/>
                <w:vertAlign w:val="superscript"/>
              </w:rPr>
              <w:t>(2)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427</w:t>
            </w:r>
          </w:p>
        </w:tc>
        <w:tc>
          <w:tcPr>
            <w:tcW w:w="4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397</w:t>
            </w:r>
          </w:p>
        </w:tc>
        <w:tc>
          <w:tcPr>
            <w:tcW w:w="192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0"/>
        </w:trPr>
        <w:tc>
          <w:tcPr>
            <w:tcW w:w="1940" w:type="dxa"/>
            <w:vAlign w:val="bottom"/>
            <w:tcBorders>
              <w:bottom w:val="single" w:sz="8" w:color="auto"/>
            </w:tcBorders>
          </w:tcPr>
          <w:p>
            <w:pPr>
              <w:spacing w:after="0"/>
              <w:rPr>
                <w:sz w:val="14"/>
                <w:szCs w:val="14"/>
                <w:color w:val="auto"/>
              </w:rPr>
            </w:pPr>
          </w:p>
        </w:tc>
        <w:tc>
          <w:tcPr>
            <w:tcW w:w="4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r>
    </w:tbl>
    <w:p>
      <w:pPr>
        <w:spacing w:after="0" w:line="80" w:lineRule="exact"/>
        <w:rPr>
          <w:sz w:val="20"/>
          <w:szCs w:val="20"/>
          <w:color w:val="auto"/>
        </w:rPr>
      </w:pPr>
    </w:p>
    <w:p>
      <w:pPr>
        <w:jc w:val="both"/>
        <w:ind w:left="420" w:right="560" w:hanging="331"/>
        <w:spacing w:after="0" w:line="263" w:lineRule="auto"/>
        <w:tabs>
          <w:tab w:leader="none" w:pos="414"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free cash flow is defined by the Company as net cash used for operating activities less capital expenditures and certain other items. A reconciliation from net cash used for operating activities to adjusted free cash flow for the three and six months ended June 30, 2020 and 2019 follows.</w:t>
      </w:r>
    </w:p>
    <w:p>
      <w:pPr>
        <w:spacing w:after="0" w:line="210" w:lineRule="exact"/>
        <w:rPr>
          <w:rFonts w:ascii="Arial" w:cs="Arial" w:eastAsia="Arial" w:hAnsi="Arial"/>
          <w:sz w:val="18"/>
          <w:szCs w:val="18"/>
          <w:color w:val="auto"/>
        </w:rPr>
      </w:pPr>
    </w:p>
    <w:p>
      <w:pPr>
        <w:ind w:left="400" w:hanging="311"/>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includes $61 and $55 of restricted cash at June 30, 2020 and 2019.</w:t>
      </w: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Net cash used for operating activities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Interest included in investing activities </w:t>
      </w:r>
      <w:r>
        <w:rPr>
          <w:rFonts w:ascii="Arial" w:cs="Arial" w:eastAsia="Arial" w:hAnsi="Arial"/>
          <w:sz w:val="20"/>
          <w:szCs w:val="20"/>
          <w:color w:val="auto"/>
          <w:vertAlign w:val="superscript"/>
        </w:rPr>
        <w:t>(3)</w:t>
      </w:r>
    </w:p>
    <w:p>
      <w:pPr>
        <w:spacing w:after="0" w:line="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Capital expenditures</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Adjusted free cash flow</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2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June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gridSpan w:val="5"/>
          </w:tcPr>
          <w:p>
            <w:pPr>
              <w:ind w:left="4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0"/>
        </w:trPr>
        <w:tc>
          <w:tcPr>
            <w:tcW w:w="180" w:type="dxa"/>
            <w:vAlign w:val="bottom"/>
          </w:tcPr>
          <w:p>
            <w:pPr>
              <w:spacing w:after="0"/>
              <w:rPr>
                <w:sz w:val="23"/>
                <w:szCs w:val="23"/>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r>
      <w:tr>
        <w:trPr>
          <w:trHeight w:val="27"/>
        </w:trPr>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6"/>
        </w:trPr>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369</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300"/>
              <w:spacing w:after="0"/>
              <w:rPr>
                <w:sz w:val="20"/>
                <w:szCs w:val="20"/>
                <w:color w:val="auto"/>
              </w:rPr>
            </w:pPr>
            <w:r>
              <w:rPr>
                <w:rFonts w:ascii="Arial" w:cs="Arial" w:eastAsia="Arial" w:hAnsi="Arial"/>
                <w:sz w:val="18"/>
                <w:szCs w:val="18"/>
                <w:b w:val="1"/>
                <w:bCs w:val="1"/>
                <w:color w:val="auto"/>
              </w:rPr>
              <w:t>439</w:t>
            </w:r>
          </w:p>
        </w:tc>
        <w:tc>
          <w:tcPr>
            <w:tcW w:w="3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(227)</w:t>
            </w:r>
          </w:p>
        </w:tc>
      </w:tr>
      <w:tr>
        <w:trPr>
          <w:trHeight w:val="270"/>
        </w:trPr>
        <w:tc>
          <w:tcPr>
            <w:tcW w:w="18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0"/>
        </w:trPr>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6"/>
        </w:trPr>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281</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300"/>
              <w:spacing w:after="0"/>
              <w:rPr>
                <w:sz w:val="20"/>
                <w:szCs w:val="20"/>
                <w:color w:val="auto"/>
              </w:rPr>
            </w:pPr>
            <w:r>
              <w:rPr>
                <w:rFonts w:ascii="Arial" w:cs="Arial" w:eastAsia="Arial" w:hAnsi="Arial"/>
                <w:sz w:val="18"/>
                <w:szCs w:val="18"/>
                <w:b w:val="1"/>
                <w:bCs w:val="1"/>
                <w:color w:val="auto"/>
              </w:rPr>
              <w:t>360</w:t>
            </w:r>
          </w:p>
        </w:tc>
        <w:tc>
          <w:tcPr>
            <w:tcW w:w="3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(422)</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(375)</w:t>
            </w:r>
          </w:p>
        </w:tc>
      </w:tr>
      <w:tr>
        <w:trPr>
          <w:trHeight w:val="27"/>
        </w:trPr>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-736600</wp:posOffset>
            </wp:positionV>
            <wp:extent cx="516064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60645" cy="179705"/>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-385445</wp:posOffset>
            </wp:positionV>
            <wp:extent cx="516064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064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600"/>
            <w:col w:w="6180"/>
          </w:cols>
          <w:pgMar w:left="320" w:top="595" w:right="339" w:bottom="1440" w:gutter="0" w:footer="0" w:header="0"/>
          <w:type w:val="continuous"/>
        </w:sectPr>
      </w:pPr>
    </w:p>
    <w:p>
      <w:pPr>
        <w:spacing w:after="0" w:line="110" w:lineRule="exact"/>
        <w:rPr>
          <w:sz w:val="20"/>
          <w:szCs w:val="20"/>
          <w:color w:val="auto"/>
        </w:rPr>
      </w:pPr>
    </w:p>
    <w:p>
      <w:pPr>
        <w:ind w:left="700" w:hanging="571"/>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Interest benefit of cross currency swap included in investing activities.</w:t>
      </w:r>
    </w:p>
    <w:p>
      <w:pPr>
        <w:sectPr>
          <w:pgSz w:w="11900" w:h="16838" w:orient="portrait"/>
          <w:cols w:equalWidth="0" w:num="1">
            <w:col w:w="11240"/>
          </w:cols>
          <w:pgMar w:left="320" w:top="5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 of 11</w:t>
      </w:r>
    </w:p>
    <w:p>
      <w:pPr>
        <w:sectPr>
          <w:pgSz w:w="11900" w:h="16838" w:orient="portrait"/>
          <w:cols w:equalWidth="0" w:num="1">
            <w:col w:w="11240"/>
          </w:cols>
          <w:pgMar w:left="320" w:top="595" w:right="339" w:bottom="1440" w:gutter="0" w:footer="0" w:header="0"/>
          <w:type w:val="continuous"/>
        </w:sectPr>
      </w:pPr>
    </w:p>
    <w:bookmarkStart w:id="14" w:name="page15"/>
    <w:bookmarkEnd w:id="1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-153670</wp:posOffset>
            </wp:positionV>
            <wp:extent cx="1551305" cy="497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Impact of Foreign Currency Translation by Segment - Favorable/(Unfavorable)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41744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7449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Three Months Ended</w:t>
            </w:r>
          </w:p>
        </w:tc>
        <w:tc>
          <w:tcPr>
            <w:tcW w:w="2020" w:type="dxa"/>
            <w:vAlign w:val="bottom"/>
            <w:gridSpan w:val="5"/>
          </w:tcPr>
          <w:p>
            <w:pPr>
              <w:ind w:left="100"/>
              <w:spacing w:after="0"/>
              <w:rPr>
                <w:sz w:val="20"/>
                <w:szCs w:val="20"/>
                <w:color w:val="auto"/>
              </w:rPr>
            </w:pPr>
            <w:r>
              <w:rPr>
                <w:rFonts w:ascii="Arial" w:cs="Arial" w:eastAsia="Arial" w:hAnsi="Arial"/>
                <w:sz w:val="18"/>
                <w:szCs w:val="18"/>
                <w:b w:val="1"/>
                <w:bCs w:val="1"/>
                <w:color w:val="auto"/>
                <w:w w:val="93"/>
              </w:rPr>
              <w:t>Six Months Ended June</w:t>
            </w:r>
          </w:p>
        </w:tc>
      </w:tr>
      <w:tr>
        <w:trPr>
          <w:trHeight w:val="234"/>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ind w:left="340"/>
              <w:spacing w:after="0"/>
              <w:rPr>
                <w:sz w:val="20"/>
                <w:szCs w:val="20"/>
                <w:color w:val="auto"/>
              </w:rPr>
            </w:pPr>
            <w:r>
              <w:rPr>
                <w:rFonts w:ascii="Arial" w:cs="Arial" w:eastAsia="Arial" w:hAnsi="Arial"/>
                <w:sz w:val="18"/>
                <w:szCs w:val="18"/>
                <w:b w:val="1"/>
                <w:bCs w:val="1"/>
                <w:color w:val="auto"/>
              </w:rPr>
              <w:t>June 30, 2020</w:t>
            </w:r>
          </w:p>
        </w:tc>
        <w:tc>
          <w:tcPr>
            <w:tcW w:w="260" w:type="dxa"/>
            <w:vAlign w:val="bottom"/>
          </w:tcPr>
          <w:p>
            <w:pPr>
              <w:spacing w:after="0"/>
              <w:rPr>
                <w:sz w:val="20"/>
                <w:szCs w:val="20"/>
                <w:color w:val="auto"/>
              </w:rPr>
            </w:pPr>
          </w:p>
        </w:tc>
        <w:tc>
          <w:tcPr>
            <w:tcW w:w="17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30, 2020</w:t>
            </w:r>
          </w:p>
        </w:tc>
      </w:tr>
      <w:tr>
        <w:trPr>
          <w:trHeight w:val="27"/>
        </w:trPr>
        <w:tc>
          <w:tcPr>
            <w:tcW w:w="2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w w:val="86"/>
              </w:rPr>
              <w:t>Segment</w:t>
            </w:r>
          </w:p>
        </w:tc>
      </w:tr>
      <w:tr>
        <w:trPr>
          <w:trHeight w:val="234"/>
        </w:trPr>
        <w:tc>
          <w:tcPr>
            <w:tcW w:w="2340" w:type="dxa"/>
            <w:vAlign w:val="bottom"/>
          </w:tcPr>
          <w:p>
            <w:pPr>
              <w:spacing w:after="0"/>
              <w:rPr>
                <w:sz w:val="20"/>
                <w:szCs w:val="20"/>
                <w:color w:val="auto"/>
              </w:rPr>
            </w:pP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Income</w:t>
            </w:r>
          </w:p>
        </w:tc>
        <w:tc>
          <w:tcPr>
            <w:tcW w:w="1100" w:type="dxa"/>
            <w:vAlign w:val="bottom"/>
            <w:gridSpan w:val="3"/>
          </w:tcPr>
          <w:p>
            <w:pPr>
              <w:ind w:left="10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Income</w:t>
            </w:r>
          </w:p>
        </w:tc>
      </w:tr>
      <w:tr>
        <w:trPr>
          <w:trHeight w:val="27"/>
        </w:trPr>
        <w:tc>
          <w:tcPr>
            <w:tcW w:w="2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ind w:left="20"/>
              <w:spacing w:after="0"/>
              <w:rPr>
                <w:sz w:val="20"/>
                <w:szCs w:val="20"/>
                <w:color w:val="auto"/>
              </w:rPr>
            </w:pPr>
            <w:r>
              <w:rPr>
                <w:rFonts w:ascii="Arial" w:cs="Arial" w:eastAsia="Arial" w:hAnsi="Arial"/>
                <w:sz w:val="18"/>
                <w:szCs w:val="18"/>
                <w:color w:val="auto"/>
              </w:rPr>
              <w:t>Americas Beverage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Beverage</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European Food</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Non-</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Reportable</w:t>
            </w: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37"/>
        </w:trPr>
        <w:tc>
          <w:tcPr>
            <w:tcW w:w="2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r>
      <w:tr>
        <w:trPr>
          <w:trHeight w:val="27"/>
        </w:trPr>
        <w:tc>
          <w:tcPr>
            <w:tcW w:w="2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740" w:right="120" w:hanging="408"/>
        <w:spacing w:after="0" w:line="241" w:lineRule="auto"/>
        <w:tabs>
          <w:tab w:leader="none" w:pos="7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multiplying or dividing, as appropriate, the current U.S. dollar results by current year average foreign exchange rates and then multiplying or dividing, as appropriate, those amounts by the applicable prior year average foreign exchange rates.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Reconciliation of Adjusted EBITDA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Twelve Months Ended June</w:t>
            </w:r>
          </w:p>
        </w:tc>
      </w:tr>
      <w:tr>
        <w:trPr>
          <w:trHeight w:val="234"/>
        </w:trPr>
        <w:tc>
          <w:tcPr>
            <w:tcW w:w="3660" w:type="dxa"/>
            <w:vAlign w:val="bottom"/>
          </w:tcPr>
          <w:p>
            <w:pPr>
              <w:spacing w:after="0"/>
              <w:rPr>
                <w:sz w:val="20"/>
                <w:szCs w:val="20"/>
                <w:color w:val="auto"/>
              </w:rPr>
            </w:pPr>
          </w:p>
        </w:tc>
        <w:tc>
          <w:tcPr>
            <w:tcW w:w="166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YTD 2020</w:t>
            </w:r>
          </w:p>
        </w:tc>
        <w:tc>
          <w:tcPr>
            <w:tcW w:w="166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YTD 2019</w:t>
            </w: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Full Year 2019</w:t>
            </w:r>
          </w:p>
        </w:tc>
        <w:tc>
          <w:tcPr>
            <w:tcW w:w="480" w:type="dxa"/>
            <w:vAlign w:val="bottom"/>
          </w:tcPr>
          <w:p>
            <w:pPr>
              <w:spacing w:after="0"/>
              <w:rPr>
                <w:sz w:val="20"/>
                <w:szCs w:val="20"/>
                <w:color w:val="auto"/>
              </w:rPr>
            </w:pPr>
          </w:p>
        </w:tc>
        <w:tc>
          <w:tcPr>
            <w:tcW w:w="1840" w:type="dxa"/>
            <w:vAlign w:val="bottom"/>
          </w:tcPr>
          <w:p>
            <w:pPr>
              <w:jc w:val="right"/>
              <w:ind w:right="750"/>
              <w:spacing w:after="0"/>
              <w:rPr>
                <w:sz w:val="20"/>
                <w:szCs w:val="20"/>
                <w:color w:val="auto"/>
              </w:rPr>
            </w:pPr>
            <w:r>
              <w:rPr>
                <w:rFonts w:ascii="Arial" w:cs="Arial" w:eastAsia="Arial" w:hAnsi="Arial"/>
                <w:sz w:val="18"/>
                <w:szCs w:val="18"/>
                <w:b w:val="1"/>
                <w:bCs w:val="1"/>
                <w:color w:val="auto"/>
              </w:rPr>
              <w:t>30, 2020</w:t>
            </w:r>
          </w:p>
        </w:tc>
      </w:tr>
      <w:tr>
        <w:trPr>
          <w:trHeight w:val="27"/>
        </w:trPr>
        <w:tc>
          <w:tcPr>
            <w:tcW w:w="36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521</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645</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1,196</w:t>
            </w: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1,072</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Add:</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Intangibles amortization</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w:t>
            </w: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r>
      <w:tr>
        <w:trPr>
          <w:trHeight w:val="243"/>
        </w:trPr>
        <w:tc>
          <w:tcPr>
            <w:tcW w:w="3660" w:type="dxa"/>
            <w:vAlign w:val="bottom"/>
          </w:tcPr>
          <w:p>
            <w:pPr>
              <w:ind w:left="220"/>
              <w:spacing w:after="0"/>
              <w:rPr>
                <w:sz w:val="20"/>
                <w:szCs w:val="20"/>
                <w:color w:val="auto"/>
              </w:rPr>
            </w:pPr>
            <w:r>
              <w:rPr>
                <w:rFonts w:ascii="Arial" w:cs="Arial" w:eastAsia="Arial" w:hAnsi="Arial"/>
                <w:sz w:val="18"/>
                <w:szCs w:val="18"/>
                <w:color w:val="auto"/>
              </w:rPr>
              <w:t>Provision for restructuring and other</w:t>
            </w:r>
          </w:p>
        </w:tc>
        <w:tc>
          <w:tcPr>
            <w:tcW w:w="5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50</w:t>
            </w:r>
          </w:p>
        </w:tc>
      </w:tr>
      <w:tr>
        <w:trPr>
          <w:trHeight w:val="27"/>
        </w:trPr>
        <w:tc>
          <w:tcPr>
            <w:tcW w:w="36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Segment income</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620</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701</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1,381</w:t>
            </w: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1,300</w:t>
            </w:r>
          </w:p>
        </w:tc>
      </w:tr>
      <w:tr>
        <w:trPr>
          <w:trHeight w:val="243"/>
        </w:trPr>
        <w:tc>
          <w:tcPr>
            <w:tcW w:w="3660" w:type="dxa"/>
            <w:vAlign w:val="bottom"/>
          </w:tcPr>
          <w:p>
            <w:pPr>
              <w:ind w:left="120"/>
              <w:spacing w:after="0"/>
              <w:rPr>
                <w:sz w:val="20"/>
                <w:szCs w:val="20"/>
                <w:color w:val="auto"/>
              </w:rPr>
            </w:pPr>
            <w:r>
              <w:rPr>
                <w:rFonts w:ascii="Arial" w:cs="Arial" w:eastAsia="Arial" w:hAnsi="Arial"/>
                <w:sz w:val="18"/>
                <w:szCs w:val="18"/>
                <w:color w:val="auto"/>
              </w:rPr>
              <w:t>Other pension and postretirement</w:t>
            </w:r>
          </w:p>
        </w:tc>
        <w:tc>
          <w:tcPr>
            <w:tcW w:w="5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7"/>
        </w:trPr>
        <w:tc>
          <w:tcPr>
            <w:tcW w:w="3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304</w:t>
            </w:r>
          </w:p>
        </w:tc>
        <w:tc>
          <w:tcPr>
            <w:tcW w:w="3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306</w:t>
            </w:r>
          </w:p>
        </w:tc>
      </w:tr>
      <w:tr>
        <w:trPr>
          <w:trHeight w:val="263"/>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782</w:t>
            </w:r>
          </w:p>
        </w:tc>
        <w:tc>
          <w:tcPr>
            <w:tcW w:w="300" w:type="dxa"/>
            <w:vAlign w:val="bottom"/>
          </w:tcPr>
          <w:p>
            <w:pPr>
              <w:spacing w:after="0"/>
              <w:rPr>
                <w:sz w:val="22"/>
                <w:szCs w:val="22"/>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855</w:t>
            </w:r>
          </w:p>
        </w:tc>
        <w:tc>
          <w:tcPr>
            <w:tcW w:w="3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1,702</w:t>
            </w:r>
          </w:p>
        </w:tc>
        <w:tc>
          <w:tcPr>
            <w:tcW w:w="3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1,629</w:t>
            </w:r>
          </w:p>
        </w:tc>
      </w:tr>
      <w:tr>
        <w:trPr>
          <w:trHeight w:val="21"/>
        </w:trPr>
        <w:tc>
          <w:tcPr>
            <w:tcW w:w="3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884"/>
        </w:trPr>
        <w:tc>
          <w:tcPr>
            <w:tcW w:w="3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11 of 11</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60"/>
      </w:cols>
      <w:pgMar w:left="320" w:top="59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9"/>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2020-07-20T16:10:19Z</dcterms:created>
  <dcterms:modified xsi:type="dcterms:W3CDTF">2020-07-20T16:10:19Z</dcterms:modified>
</cp:coreProperties>
</file>