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18"/>
          <w:szCs w:val="18"/>
          <w:b w:val="1"/>
          <w:bCs w:val="1"/>
          <w:color w:val="auto"/>
        </w:rPr>
        <w:t>CROWN AMERICAS LLC</w:t>
      </w:r>
    </w:p>
    <w:p>
      <w:pPr>
        <w:spacing w:after="0" w:line="27" w:lineRule="exact"/>
        <w:rPr>
          <w:sz w:val="24"/>
          <w:szCs w:val="24"/>
          <w:color w:val="auto"/>
        </w:rPr>
      </w:pPr>
    </w:p>
    <w:p>
      <w:pPr>
        <w:ind w:left="4600"/>
        <w:spacing w:after="0"/>
        <w:rPr>
          <w:sz w:val="20"/>
          <w:szCs w:val="20"/>
          <w:color w:val="auto"/>
        </w:rPr>
      </w:pPr>
      <w:r>
        <w:rPr>
          <w:rFonts w:ascii="Arial" w:cs="Arial" w:eastAsia="Arial" w:hAnsi="Arial"/>
          <w:sz w:val="18"/>
          <w:szCs w:val="18"/>
          <w:color w:val="auto"/>
        </w:rPr>
        <w:t>c/o Crown Holdings, Inc.</w:t>
      </w:r>
    </w:p>
    <w:p>
      <w:pPr>
        <w:spacing w:after="0" w:line="9" w:lineRule="exact"/>
        <w:rPr>
          <w:sz w:val="24"/>
          <w:szCs w:val="24"/>
          <w:color w:val="auto"/>
        </w:rPr>
      </w:pPr>
    </w:p>
    <w:p>
      <w:pPr>
        <w:ind w:left="4600"/>
        <w:spacing w:after="0"/>
        <w:rPr>
          <w:sz w:val="20"/>
          <w:szCs w:val="20"/>
          <w:color w:val="auto"/>
        </w:rPr>
      </w:pPr>
      <w:r>
        <w:rPr>
          <w:rFonts w:ascii="Arial" w:cs="Arial" w:eastAsia="Arial" w:hAnsi="Arial"/>
          <w:sz w:val="18"/>
          <w:szCs w:val="18"/>
          <w:color w:val="auto"/>
        </w:rPr>
        <w:t>770 Township Line Road</w:t>
      </w:r>
    </w:p>
    <w:p>
      <w:pPr>
        <w:spacing w:after="0" w:line="9" w:lineRule="exact"/>
        <w:rPr>
          <w:sz w:val="24"/>
          <w:szCs w:val="24"/>
          <w:color w:val="auto"/>
        </w:rPr>
      </w:pPr>
    </w:p>
    <w:p>
      <w:pPr>
        <w:ind w:left="4620"/>
        <w:spacing w:after="0"/>
        <w:rPr>
          <w:sz w:val="20"/>
          <w:szCs w:val="20"/>
          <w:color w:val="auto"/>
        </w:rPr>
      </w:pPr>
      <w:r>
        <w:rPr>
          <w:rFonts w:ascii="Arial" w:cs="Arial" w:eastAsia="Arial" w:hAnsi="Arial"/>
          <w:sz w:val="18"/>
          <w:szCs w:val="18"/>
          <w:color w:val="auto"/>
        </w:rPr>
        <w:t>Yardley, PA 19067 USA</w:t>
      </w:r>
    </w:p>
    <w:p>
      <w:pPr>
        <w:spacing w:after="0" w:line="9" w:lineRule="exact"/>
        <w:rPr>
          <w:sz w:val="24"/>
          <w:szCs w:val="24"/>
          <w:color w:val="auto"/>
        </w:rPr>
      </w:pPr>
    </w:p>
    <w:p>
      <w:pPr>
        <w:ind w:left="4520"/>
        <w:spacing w:after="0"/>
        <w:rPr>
          <w:sz w:val="20"/>
          <w:szCs w:val="20"/>
          <w:color w:val="auto"/>
        </w:rPr>
      </w:pPr>
      <w:r>
        <w:rPr>
          <w:rFonts w:ascii="Arial" w:cs="Arial" w:eastAsia="Arial" w:hAnsi="Arial"/>
          <w:sz w:val="18"/>
          <w:szCs w:val="18"/>
          <w:color w:val="auto"/>
        </w:rPr>
        <w:t>Telephone: (215) 698-5100</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November 15, 2022</w:t>
      </w:r>
    </w:p>
    <w:p>
      <w:pPr>
        <w:spacing w:after="0" w:line="113"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Filing Desk</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CROWN Americas LLC</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Registration Statement on Form S-4</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(File No. 333-268350)</w:t>
      </w:r>
    </w:p>
    <w:p>
      <w:pPr>
        <w:spacing w:after="0" w:line="319"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4"/>
          <w:szCs w:val="24"/>
          <w:color w:val="auto"/>
        </w:rPr>
      </w:pPr>
    </w:p>
    <w:p>
      <w:pPr>
        <w:ind w:right="20" w:firstLine="991"/>
        <w:spacing w:after="0" w:line="272" w:lineRule="auto"/>
        <w:rPr>
          <w:sz w:val="20"/>
          <w:szCs w:val="20"/>
          <w:color w:val="auto"/>
        </w:rPr>
      </w:pPr>
      <w:r>
        <w:rPr>
          <w:rFonts w:ascii="Arial" w:cs="Arial" w:eastAsia="Arial" w:hAnsi="Arial"/>
          <w:sz w:val="17"/>
          <w:szCs w:val="17"/>
          <w:color w:val="auto"/>
        </w:rPr>
        <w:t>This letter is provided in connection with the Registration Statement on Form S-4, File No. 333-268350 (the “</w:t>
      </w:r>
      <w:r>
        <w:rPr>
          <w:rFonts w:ascii="Arial" w:cs="Arial" w:eastAsia="Arial" w:hAnsi="Arial"/>
          <w:sz w:val="17"/>
          <w:szCs w:val="17"/>
          <w:u w:val="single" w:color="auto"/>
          <w:color w:val="auto"/>
        </w:rPr>
        <w:t>Registration Statement</w:t>
      </w:r>
      <w:r>
        <w:rPr>
          <w:rFonts w:ascii="Arial" w:cs="Arial" w:eastAsia="Arial" w:hAnsi="Arial"/>
          <w:sz w:val="17"/>
          <w:szCs w:val="17"/>
          <w:color w:val="auto"/>
        </w:rPr>
        <w:t>”), of CROWN Americas LLC, a Pennsylvania limited liability company (the “</w:t>
      </w:r>
      <w:r>
        <w:rPr>
          <w:rFonts w:ascii="Arial" w:cs="Arial" w:eastAsia="Arial" w:hAnsi="Arial"/>
          <w:sz w:val="17"/>
          <w:szCs w:val="17"/>
          <w:u w:val="single" w:color="auto"/>
          <w:color w:val="auto"/>
        </w:rPr>
        <w:t>Issuer</w:t>
      </w:r>
      <w:r>
        <w:rPr>
          <w:rFonts w:ascii="Arial" w:cs="Arial" w:eastAsia="Arial" w:hAnsi="Arial"/>
          <w:sz w:val="17"/>
          <w:szCs w:val="17"/>
          <w:color w:val="auto"/>
        </w:rPr>
        <w:t>”), Crown Holdings, Inc., a Pennsylvania corporation (“</w:t>
      </w:r>
      <w:r>
        <w:rPr>
          <w:rFonts w:ascii="Arial" w:cs="Arial" w:eastAsia="Arial" w:hAnsi="Arial"/>
          <w:sz w:val="17"/>
          <w:szCs w:val="17"/>
          <w:u w:val="single" w:color="auto"/>
          <w:color w:val="auto"/>
        </w:rPr>
        <w:t>Crown</w:t>
      </w:r>
      <w:r>
        <w:rPr>
          <w:rFonts w:ascii="Arial" w:cs="Arial" w:eastAsia="Arial" w:hAnsi="Arial"/>
          <w:sz w:val="17"/>
          <w:szCs w:val="17"/>
          <w:color w:val="auto"/>
        </w:rPr>
        <w:t xml:space="preserve"> </w:t>
      </w:r>
      <w:r>
        <w:rPr>
          <w:rFonts w:ascii="Arial" w:cs="Arial" w:eastAsia="Arial" w:hAnsi="Arial"/>
          <w:sz w:val="17"/>
          <w:szCs w:val="17"/>
          <w:u w:val="single" w:color="auto"/>
          <w:color w:val="auto"/>
        </w:rPr>
        <w:t>Holdings</w:t>
      </w:r>
      <w:r>
        <w:rPr>
          <w:rFonts w:ascii="Arial" w:cs="Arial" w:eastAsia="Arial" w:hAnsi="Arial"/>
          <w:sz w:val="17"/>
          <w:szCs w:val="17"/>
          <w:color w:val="auto"/>
        </w:rPr>
        <w:t xml:space="preserve">”), and the guarantors listed on </w:t>
      </w:r>
      <w:r>
        <w:rPr>
          <w:rFonts w:ascii="Arial" w:cs="Arial" w:eastAsia="Arial" w:hAnsi="Arial"/>
          <w:sz w:val="17"/>
          <w:szCs w:val="17"/>
          <w:u w:val="single" w:color="auto"/>
          <w:color w:val="auto"/>
        </w:rPr>
        <w:t>Schedule A</w:t>
      </w:r>
      <w:r>
        <w:rPr>
          <w:rFonts w:ascii="Arial" w:cs="Arial" w:eastAsia="Arial" w:hAnsi="Arial"/>
          <w:sz w:val="17"/>
          <w:szCs w:val="17"/>
          <w:color w:val="auto"/>
        </w:rPr>
        <w:t xml:space="preserve"> hereto (together with Crown Holdings, the “</w:t>
      </w:r>
      <w:r>
        <w:rPr>
          <w:rFonts w:ascii="Arial" w:cs="Arial" w:eastAsia="Arial" w:hAnsi="Arial"/>
          <w:sz w:val="17"/>
          <w:szCs w:val="17"/>
          <w:u w:val="single" w:color="auto"/>
          <w:color w:val="auto"/>
        </w:rPr>
        <w:t>Guarantors</w:t>
      </w:r>
      <w:r>
        <w:rPr>
          <w:rFonts w:ascii="Arial" w:cs="Arial" w:eastAsia="Arial" w:hAnsi="Arial"/>
          <w:sz w:val="17"/>
          <w:szCs w:val="17"/>
          <w:color w:val="auto"/>
        </w:rPr>
        <w:t>”). Upon the effectiveness of the Registration Statement, the Issuer and the Guarantors propose to offer to exchange an aggregate principal amount of up to $500,000,000 of the Issuer’s 5.250% Senior Notes due 2030 (the “</w:t>
      </w:r>
      <w:r>
        <w:rPr>
          <w:rFonts w:ascii="Arial" w:cs="Arial" w:eastAsia="Arial" w:hAnsi="Arial"/>
          <w:sz w:val="17"/>
          <w:szCs w:val="17"/>
          <w:u w:val="single" w:color="auto"/>
          <w:color w:val="auto"/>
        </w:rPr>
        <w:t>Exchange Notes</w:t>
      </w:r>
      <w:r>
        <w:rPr>
          <w:rFonts w:ascii="Arial" w:cs="Arial" w:eastAsia="Arial" w:hAnsi="Arial"/>
          <w:sz w:val="17"/>
          <w:szCs w:val="17"/>
          <w:color w:val="auto"/>
        </w:rPr>
        <w:t>”) and the guarantees thereof by the Guarantors, for a like aggregate principal amount of the Issuer’s outstanding 5.250% Senior Notes due 2030 (the “</w:t>
      </w:r>
      <w:r>
        <w:rPr>
          <w:rFonts w:ascii="Arial" w:cs="Arial" w:eastAsia="Arial" w:hAnsi="Arial"/>
          <w:sz w:val="17"/>
          <w:szCs w:val="17"/>
          <w:u w:val="single" w:color="auto"/>
          <w:color w:val="auto"/>
        </w:rPr>
        <w:t>Initial Notes</w:t>
      </w:r>
      <w:r>
        <w:rPr>
          <w:rFonts w:ascii="Arial" w:cs="Arial" w:eastAsia="Arial" w:hAnsi="Arial"/>
          <w:sz w:val="17"/>
          <w:szCs w:val="17"/>
          <w:color w:val="auto"/>
        </w:rPr>
        <w:t>”) and the guarantees thereof by the Guarantors, upon the terms and subject to the conditions set forth in the exchange offer prospectus contained in the Registration Statement.</w:t>
      </w:r>
    </w:p>
    <w:p>
      <w:pPr>
        <w:spacing w:after="0" w:line="177" w:lineRule="exact"/>
        <w:rPr>
          <w:sz w:val="24"/>
          <w:szCs w:val="24"/>
          <w:color w:val="auto"/>
        </w:rPr>
      </w:pPr>
    </w:p>
    <w:p>
      <w:pPr>
        <w:ind w:left="980"/>
        <w:spacing w:after="0"/>
        <w:rPr>
          <w:sz w:val="20"/>
          <w:szCs w:val="20"/>
          <w:color w:val="auto"/>
        </w:rPr>
      </w:pPr>
      <w:r>
        <w:rPr>
          <w:rFonts w:ascii="Arial" w:cs="Arial" w:eastAsia="Arial" w:hAnsi="Arial"/>
          <w:sz w:val="17"/>
          <w:szCs w:val="17"/>
          <w:color w:val="auto"/>
        </w:rPr>
        <w:t xml:space="preserve">The Issuers are registering the exchange offer in reliance on the staff’s position enunciated in </w:t>
      </w:r>
      <w:r>
        <w:rPr>
          <w:rFonts w:ascii="Arial" w:cs="Arial" w:eastAsia="Arial" w:hAnsi="Arial"/>
          <w:sz w:val="17"/>
          <w:szCs w:val="17"/>
          <w:i w:val="1"/>
          <w:iCs w:val="1"/>
          <w:color w:val="auto"/>
        </w:rPr>
        <w:t>Exxon Capital Holdings Corp.</w:t>
      </w:r>
      <w:r>
        <w:rPr>
          <w:rFonts w:ascii="Arial" w:cs="Arial" w:eastAsia="Arial" w:hAnsi="Arial"/>
          <w:sz w:val="17"/>
          <w:szCs w:val="17"/>
          <w:color w:val="auto"/>
        </w:rPr>
        <w:t xml:space="preserve"> (avail.</w:t>
      </w:r>
    </w:p>
    <w:p>
      <w:pPr>
        <w:spacing w:after="0" w:line="35" w:lineRule="exact"/>
        <w:rPr>
          <w:sz w:val="24"/>
          <w:szCs w:val="24"/>
          <w:color w:val="auto"/>
        </w:rPr>
      </w:pPr>
    </w:p>
    <w:p>
      <w:pPr>
        <w:spacing w:after="0" w:line="271" w:lineRule="auto"/>
        <w:rPr>
          <w:sz w:val="20"/>
          <w:szCs w:val="20"/>
          <w:color w:val="auto"/>
        </w:rPr>
      </w:pPr>
      <w:r>
        <w:rPr>
          <w:rFonts w:ascii="Arial" w:cs="Arial" w:eastAsia="Arial" w:hAnsi="Arial"/>
          <w:sz w:val="17"/>
          <w:szCs w:val="17"/>
          <w:color w:val="auto"/>
        </w:rPr>
        <w:t>May 13, 1988) (the “</w:t>
      </w:r>
      <w:r>
        <w:rPr>
          <w:rFonts w:ascii="Arial" w:cs="Arial" w:eastAsia="Arial" w:hAnsi="Arial"/>
          <w:sz w:val="17"/>
          <w:szCs w:val="17"/>
          <w:u w:val="single" w:color="auto"/>
          <w:color w:val="auto"/>
        </w:rPr>
        <w:t>Exxon Capital Letter</w:t>
      </w:r>
      <w:r>
        <w:rPr>
          <w:rFonts w:ascii="Arial" w:cs="Arial" w:eastAsia="Arial" w:hAnsi="Arial"/>
          <w:sz w:val="17"/>
          <w:szCs w:val="17"/>
          <w:color w:val="auto"/>
        </w:rPr>
        <w:t>”). Please be advised that the Issuer has not entered into any arrangement or understanding with any person to distribute the Exchange Notes to be received in the exchange offer and, to the best of the Issuer’s information and belief, each person participating in the exchange offer is acquiring the Exchange Notes in its ordinary course of business and is not engaged in, does not intend to engage in and has no arrangement or understanding with any person to participate in the distribution of the Exchange Notes. In this regard, the Issuer will make each person participating in the exchange offer aware that if such person is participating in the exchange offer for the</w:t>
      </w:r>
    </w:p>
    <w:p>
      <w:pPr>
        <w:sectPr>
          <w:pgSz w:w="11900" w:h="16838" w:orient="portrait"/>
          <w:cols w:equalWidth="0" w:num="1">
            <w:col w:w="10980"/>
          </w:cols>
          <w:pgMar w:left="440" w:top="229" w:right="479" w:bottom="1440" w:gutter="0" w:footer="0" w:header="0"/>
        </w:sectPr>
      </w:pPr>
    </w:p>
    <w:bookmarkStart w:id="1" w:name="page2"/>
    <w:bookmarkEnd w:id="1"/>
    <w:p>
      <w:pPr>
        <w:ind w:right="2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purpose of distributing the Exchange Notes, such person (i) could not rely on the staff position enunciated in the Exxon Capital Letter or interpretive letters to similar effect and (ii) must comply with registration and prospectus delivery requirements of the Securities Act of 1933, as amended (the “</w:t>
      </w:r>
      <w:r>
        <w:rPr>
          <w:rFonts w:ascii="Arial" w:cs="Arial" w:eastAsia="Arial" w:hAnsi="Arial"/>
          <w:sz w:val="18"/>
          <w:szCs w:val="18"/>
          <w:u w:val="single" w:color="auto"/>
          <w:color w:val="auto"/>
        </w:rPr>
        <w:t>Securities Act</w:t>
      </w:r>
      <w:r>
        <w:rPr>
          <w:rFonts w:ascii="Arial" w:cs="Arial" w:eastAsia="Arial" w:hAnsi="Arial"/>
          <w:sz w:val="18"/>
          <w:szCs w:val="18"/>
          <w:color w:val="auto"/>
        </w:rPr>
        <w:t>”), in connection with a secondary resale transaction, and must be identified as an underwriter in the prospectus. The Issuer acknowledges that such a secondary resale transaction by such person participating in the exchange offer for the purpose of distributing the Exchange Notes should be covered by an effective registration statement containing the selling security holder information required by Item 507 of Regulation S-K.</w:t>
      </w:r>
    </w:p>
    <w:p>
      <w:pPr>
        <w:spacing w:after="0" w:line="192" w:lineRule="exact"/>
        <w:rPr>
          <w:sz w:val="20"/>
          <w:szCs w:val="20"/>
          <w:color w:val="auto"/>
        </w:rPr>
      </w:pPr>
    </w:p>
    <w:p>
      <w:pPr>
        <w:ind w:firstLine="991"/>
        <w:spacing w:after="0" w:line="275" w:lineRule="auto"/>
        <w:rPr>
          <w:sz w:val="20"/>
          <w:szCs w:val="20"/>
          <w:color w:val="auto"/>
        </w:rPr>
      </w:pPr>
      <w:r>
        <w:rPr>
          <w:rFonts w:ascii="Arial" w:cs="Arial" w:eastAsia="Arial" w:hAnsi="Arial"/>
          <w:sz w:val="17"/>
          <w:szCs w:val="17"/>
          <w:color w:val="auto"/>
        </w:rPr>
        <w:t>In addition, the Issuer will (i) make each person participating in the exchange offer aware (through the exchange offer prospectus) that any broker-dealer who holds Initial Notes acquired for its own account as a result of market-making activities or other trading activities, and who receives Exchange Notes in exchange for such Initial Notes pursuant to the exchange offer, may be a statutory underwriter and must deliver a prospectus meeting the requirements of the Securities Act in connection with any resale of such Exchange Notes and (ii) include in the transmittal letter to be executed by an exchange offeree in order to participate in the exchange offer provisions to the following effect:</w:t>
      </w:r>
    </w:p>
    <w:p>
      <w:pPr>
        <w:spacing w:after="0" w:line="68" w:lineRule="exact"/>
        <w:rPr>
          <w:sz w:val="20"/>
          <w:szCs w:val="20"/>
          <w:color w:val="auto"/>
        </w:rPr>
      </w:pPr>
    </w:p>
    <w:p>
      <w:pPr>
        <w:ind w:left="440" w:right="200"/>
        <w:spacing w:after="0" w:line="275" w:lineRule="auto"/>
        <w:rPr>
          <w:sz w:val="20"/>
          <w:szCs w:val="20"/>
          <w:color w:val="auto"/>
        </w:rPr>
      </w:pPr>
      <w:r>
        <w:rPr>
          <w:rFonts w:ascii="Arial" w:cs="Arial" w:eastAsia="Arial" w:hAnsi="Arial"/>
          <w:sz w:val="17"/>
          <w:szCs w:val="17"/>
          <w:color w:val="auto"/>
        </w:rPr>
        <w:t>If the undersigned is a broker-dealer that will receive Exchange Notes for its own account in exchange for Initial Notes that were acquired as a result of market-making activities or other trading activities, it acknowledges that (1) it has not entered into any arrangement or understanding with the Issuer or an affiliate of the Issuer to distribute the Exchange Notes and (2) it will deliver a prospectus meeting the requirements of the Securities Act in connection with any resale or transfer of such Exchange Notes; however, by so acknowledging and by delivering a prospectus, the undersigned will not be deemed to admit that it is an “underwriter” within the meaning of the Securities Act.</w:t>
      </w:r>
    </w:p>
    <w:p>
      <w:pPr>
        <w:sectPr>
          <w:pgSz w:w="11900" w:h="16838" w:orient="portrait"/>
          <w:cols w:equalWidth="0" w:num="1">
            <w:col w:w="11000"/>
          </w:cols>
          <w:pgMar w:left="440" w:top="274" w:right="459" w:bottom="1440" w:gutter="0" w:footer="0" w:header="0"/>
        </w:sectPr>
      </w:pPr>
    </w:p>
    <w:bookmarkStart w:id="2" w:name="page3"/>
    <w:bookmarkEnd w:id="2"/>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Very truly yours,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CROWN AMERICAS LLC</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David A. Beaver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14605</wp:posOffset>
            </wp:positionV>
            <wp:extent cx="25971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David A. Beaver</w:t>
      </w:r>
    </w:p>
    <w:p>
      <w:pPr>
        <w:spacing w:after="0" w:line="23" w:lineRule="exact"/>
        <w:rPr>
          <w:sz w:val="20"/>
          <w:szCs w:val="20"/>
          <w:color w:val="auto"/>
        </w:rPr>
      </w:pPr>
    </w:p>
    <w:p>
      <w:pPr>
        <w:jc w:val="right"/>
        <w:ind w:right="539"/>
        <w:spacing w:after="0"/>
        <w:rPr>
          <w:sz w:val="20"/>
          <w:szCs w:val="20"/>
          <w:color w:val="auto"/>
        </w:rPr>
      </w:pPr>
      <w:r>
        <w:rPr>
          <w:rFonts w:ascii="Arial" w:cs="Arial" w:eastAsia="Arial" w:hAnsi="Arial"/>
          <w:sz w:val="18"/>
          <w:szCs w:val="18"/>
          <w:color w:val="auto"/>
        </w:rPr>
        <w:t>Title: Vice President and Treasurer</w:t>
      </w:r>
    </w:p>
    <w:p>
      <w:pPr>
        <w:sectPr>
          <w:pgSz w:w="11900" w:h="16838" w:orient="portrait"/>
          <w:cols w:equalWidth="0" w:num="1">
            <w:col w:w="9019"/>
          </w:cols>
          <w:pgMar w:left="1440" w:top="274" w:right="1440" w:bottom="1440" w:gutter="0" w:footer="0" w:header="0"/>
        </w:sectPr>
      </w:pPr>
    </w:p>
    <w:bookmarkStart w:id="3" w:name="page4"/>
    <w:bookmarkEnd w:id="3"/>
    <w:p>
      <w:pPr>
        <w:jc w:val="right"/>
        <w:ind w:right="4019"/>
        <w:spacing w:after="0"/>
        <w:rPr>
          <w:sz w:val="20"/>
          <w:szCs w:val="20"/>
          <w:color w:val="auto"/>
        </w:rPr>
      </w:pPr>
      <w:r>
        <w:rPr>
          <w:rFonts w:ascii="Arial" w:cs="Arial" w:eastAsia="Arial" w:hAnsi="Arial"/>
          <w:sz w:val="22"/>
          <w:szCs w:val="22"/>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A</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Guarantors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Crown Holdings,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CROWN Beverage Packaging Puerto Rico,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Crown Consultants,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Crown Cork &amp; Seal Company (DE),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Crown Cork &amp; Seal Company,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Crown Financial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Crown International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CROWN Packaging Technology,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Foreign Manufacturers Finance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CROWN Cork &amp; Seal USA,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 USA,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Crown Beverage Packaging,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Crown Beverage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Signode Industrial Group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Signode Pickling Holding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Signode US IP Holdings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Signode Industrial Group US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Signode Industrial Group Holdings US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Signode International IP Holdings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Simplimatic Engineering Holdings,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Simplimatic Automation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SEH Real Estate Holdings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 International Holdings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 International Holdings II LLC</w:t>
      </w:r>
    </w:p>
    <w:sectPr>
      <w:pgSz w:w="11900" w:h="16838" w:orient="portrait"/>
      <w:cols w:equalWidth="0" w:num="1">
        <w:col w:w="10019"/>
      </w:cols>
      <w:pgMar w:left="440" w:top="26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2023-01-09T00:14:26Z</dcterms:created>
  <dcterms:modified xsi:type="dcterms:W3CDTF">2023-01-09T00:14:26Z</dcterms:modified>
</cp:coreProperties>
</file>