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Crown Holdings,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$5.00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228368106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Jesse A. Lynn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Capital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16690 Collins Avenue, PH-1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Sunny Isles Beach, FL 33160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(305) 422-4100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12, 2022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240.13d-7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972185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Security and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statement on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3, 2022, by (i) Matsumura Fishworks LLC, an Ohio limited liability company (“</w:t>
      </w:r>
      <w:r>
        <w:rPr>
          <w:rFonts w:ascii="Times New Roman" w:cs="Times New Roman" w:eastAsia="Times New Roman" w:hAnsi="Times New Roman"/>
          <w:sz w:val="18"/>
          <w:szCs w:val="18"/>
          <w:u w:val="single" w:color="auto"/>
          <w:color w:val="auto"/>
        </w:rPr>
        <w:t>Matsumura</w:t>
      </w:r>
      <w:r>
        <w:rPr>
          <w:rFonts w:ascii="Times New Roman" w:cs="Times New Roman" w:eastAsia="Times New Roman" w:hAnsi="Times New Roman"/>
          <w:sz w:val="18"/>
          <w:szCs w:val="18"/>
          <w:color w:val="auto"/>
        </w:rPr>
        <w:t>”); (ii) Icahn Partners Master Fund LP, a Delaware limited partnership (“</w:t>
      </w:r>
      <w:r>
        <w:rPr>
          <w:rFonts w:ascii="Times New Roman" w:cs="Times New Roman" w:eastAsia="Times New Roman" w:hAnsi="Times New Roman"/>
          <w:sz w:val="18"/>
          <w:szCs w:val="18"/>
          <w:u w:val="single" w:color="auto"/>
          <w:color w:val="auto"/>
        </w:rPr>
        <w:t>Icahn Master</w:t>
      </w:r>
      <w:r>
        <w:rPr>
          <w:rFonts w:ascii="Times New Roman" w:cs="Times New Roman" w:eastAsia="Times New Roman" w:hAnsi="Times New Roman"/>
          <w:sz w:val="18"/>
          <w:szCs w:val="18"/>
          <w:color w:val="auto"/>
        </w:rPr>
        <w:t>”); (iii) Icahn Partners LP, a Delaware limited partnership (“</w:t>
      </w:r>
      <w:r>
        <w:rPr>
          <w:rFonts w:ascii="Times New Roman" w:cs="Times New Roman" w:eastAsia="Times New Roman" w:hAnsi="Times New Roman"/>
          <w:sz w:val="18"/>
          <w:szCs w:val="18"/>
          <w:u w:val="single" w:color="auto"/>
          <w:color w:val="auto"/>
        </w:rPr>
        <w:t>Icahn Partners</w:t>
      </w:r>
      <w:r>
        <w:rPr>
          <w:rFonts w:ascii="Times New Roman" w:cs="Times New Roman" w:eastAsia="Times New Roman" w:hAnsi="Times New Roman"/>
          <w:sz w:val="18"/>
          <w:szCs w:val="18"/>
          <w:color w:val="auto"/>
        </w:rPr>
        <w:t>”); (iv) Icahn Offshore LP, a Delaware limited partnership (“</w:t>
      </w:r>
      <w:r>
        <w:rPr>
          <w:rFonts w:ascii="Times New Roman" w:cs="Times New Roman" w:eastAsia="Times New Roman" w:hAnsi="Times New Roman"/>
          <w:sz w:val="18"/>
          <w:szCs w:val="18"/>
          <w:u w:val="single" w:color="auto"/>
          <w:color w:val="auto"/>
        </w:rPr>
        <w:t>Icahn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Offshore</w:t>
      </w:r>
      <w:r>
        <w:rPr>
          <w:rFonts w:ascii="Times New Roman" w:cs="Times New Roman" w:eastAsia="Times New Roman" w:hAnsi="Times New Roman"/>
          <w:sz w:val="18"/>
          <w:szCs w:val="18"/>
          <w:color w:val="auto"/>
        </w:rPr>
        <w:t>”); (v) Icahn Onshore LP, a Delaware limited partnership (“</w:t>
      </w:r>
      <w:r>
        <w:rPr>
          <w:rFonts w:ascii="Times New Roman" w:cs="Times New Roman" w:eastAsia="Times New Roman" w:hAnsi="Times New Roman"/>
          <w:sz w:val="18"/>
          <w:szCs w:val="18"/>
          <w:u w:val="single" w:color="auto"/>
          <w:color w:val="auto"/>
        </w:rPr>
        <w:t>Icahn Onshore</w:t>
      </w:r>
      <w:r>
        <w:rPr>
          <w:rFonts w:ascii="Times New Roman" w:cs="Times New Roman" w:eastAsia="Times New Roman" w:hAnsi="Times New Roman"/>
          <w:sz w:val="18"/>
          <w:szCs w:val="18"/>
          <w:color w:val="auto"/>
        </w:rPr>
        <w:t>”); (vi) Icahn Capital LP, a Delaware limited partnership (“</w:t>
      </w:r>
      <w:r>
        <w:rPr>
          <w:rFonts w:ascii="Times New Roman" w:cs="Times New Roman" w:eastAsia="Times New Roman" w:hAnsi="Times New Roman"/>
          <w:sz w:val="18"/>
          <w:szCs w:val="18"/>
          <w:u w:val="single" w:color="auto"/>
          <w:color w:val="auto"/>
        </w:rPr>
        <w:t>Icahn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(vii) IPH GP LLC, a Delaware limited liability company (“</w:t>
      </w:r>
      <w:r>
        <w:rPr>
          <w:rFonts w:ascii="Times New Roman" w:cs="Times New Roman" w:eastAsia="Times New Roman" w:hAnsi="Times New Roman"/>
          <w:sz w:val="18"/>
          <w:szCs w:val="18"/>
          <w:u w:val="single" w:color="auto"/>
          <w:color w:val="auto"/>
        </w:rPr>
        <w:t>IPH</w:t>
      </w:r>
      <w:r>
        <w:rPr>
          <w:rFonts w:ascii="Times New Roman" w:cs="Times New Roman" w:eastAsia="Times New Roman" w:hAnsi="Times New Roman"/>
          <w:sz w:val="18"/>
          <w:szCs w:val="18"/>
          <w:color w:val="auto"/>
        </w:rPr>
        <w:t>”); (viii) Icahn Enterprises Holdings L.P., a Delaware limited partnership (“</w:t>
      </w:r>
      <w:r>
        <w:rPr>
          <w:rFonts w:ascii="Times New Roman" w:cs="Times New Roman" w:eastAsia="Times New Roman" w:hAnsi="Times New Roman"/>
          <w:sz w:val="18"/>
          <w:szCs w:val="18"/>
          <w:u w:val="single" w:color="auto"/>
          <w:color w:val="auto"/>
        </w:rPr>
        <w:t>Icahn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Enterprises Holdings</w:t>
      </w:r>
      <w:r>
        <w:rPr>
          <w:rFonts w:ascii="Times New Roman" w:cs="Times New Roman" w:eastAsia="Times New Roman" w:hAnsi="Times New Roman"/>
          <w:sz w:val="18"/>
          <w:szCs w:val="18"/>
          <w:color w:val="auto"/>
        </w:rPr>
        <w:t>”); (ix) Icahn Enterprises G.P. Inc., a Delaware corporation (“</w:t>
      </w:r>
      <w:r>
        <w:rPr>
          <w:rFonts w:ascii="Times New Roman" w:cs="Times New Roman" w:eastAsia="Times New Roman" w:hAnsi="Times New Roman"/>
          <w:sz w:val="18"/>
          <w:szCs w:val="18"/>
          <w:u w:val="single" w:color="auto"/>
          <w:color w:val="auto"/>
        </w:rPr>
        <w:t>Icahn Enterprises GP</w:t>
      </w:r>
      <w:r>
        <w:rPr>
          <w:rFonts w:ascii="Times New Roman" w:cs="Times New Roman" w:eastAsia="Times New Roman" w:hAnsi="Times New Roman"/>
          <w:sz w:val="18"/>
          <w:szCs w:val="18"/>
          <w:color w:val="auto"/>
        </w:rPr>
        <w:t>”); (x) Beckton Corp., a Delaware corporation (“</w:t>
      </w:r>
      <w:r>
        <w:rPr>
          <w:rFonts w:ascii="Times New Roman" w:cs="Times New Roman" w:eastAsia="Times New Roman" w:hAnsi="Times New Roman"/>
          <w:sz w:val="18"/>
          <w:szCs w:val="18"/>
          <w:u w:val="single" w:color="auto"/>
          <w:color w:val="auto"/>
        </w:rPr>
        <w:t>Beckton</w:t>
      </w:r>
      <w:r>
        <w:rPr>
          <w:rFonts w:ascii="Times New Roman" w:cs="Times New Roman" w:eastAsia="Times New Roman" w:hAnsi="Times New Roman"/>
          <w:sz w:val="18"/>
          <w:szCs w:val="18"/>
          <w:color w:val="auto"/>
        </w:rPr>
        <w:t>”); and (xi) Carl C. Icahn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shares of the common stock, par value $5.00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Crown Holdings, Inc., a Pennsylvania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is hereby amended to furnish the additional information set forth herein. All capitalized terms contained herein but not otherwise defined shall have the meanings ascribed to such terms in Schedule 13D.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Purpose of Transaction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to add the following at the end thereof: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12, 2022, the Reporting Persons and Messrs. Jesse Lynn and Andrew Teno entered into a Director Appointment and Nomination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the Issuer pursuant to which, among other things, (x) the Issuer has agreed to include Messrs. Lynn and Teno, as designees of the Reporting Persons, on the Issuer’s slate of director nominees for election at the 2023 annual meeting of the Issuer’s shareholders and (y) the Reporting Persons have agreed not to take certain actions with respect to the Issuer during the periods described in the Agreement. The foregoing description of the Agreement does not purport to be complete and is qualified in its entirety by reference to the full text of the Agreement, a copy of which is filed herewith as an exhibit and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Contracts, Arrangements, Understandings or Relationships with Respect to Securities of the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to add the following at the end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above in Item 4 is hereby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Material to Be Filed as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Appointment and Nomination Agreement, dated December 12, 2022, by and among the Reporting Persons, Jesse Lynn, Andrew Teno, and Crown Holdings, Inc. (incorporated by reference to Exhibit 10.1 to Crown Holdings Inc.’s Form 8-K filed on December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undersigned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ONSHORE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CAPITAL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IPH GP LLC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680" w:type="dxa"/>
            <w:vAlign w:val="bottom"/>
          </w:tcPr>
          <w:p>
            <w:pPr>
              <w:spacing w:after="0"/>
              <w:rPr>
                <w:sz w:val="17"/>
                <w:szCs w:val="17"/>
                <w:color w:val="auto"/>
              </w:rPr>
            </w:pPr>
          </w:p>
        </w:tc>
      </w:tr>
      <w:tr>
        <w:trPr>
          <w:trHeight w:val="218"/>
        </w:trPr>
        <w:tc>
          <w:tcPr>
            <w:tcW w:w="460" w:type="dxa"/>
            <w:vAlign w:val="bottom"/>
          </w:tcPr>
          <w:p>
            <w:pPr>
              <w:spacing w:after="0"/>
              <w:rPr>
                <w:sz w:val="18"/>
                <w:szCs w:val="18"/>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 Jesse Lynn</w:t>
            </w:r>
          </w:p>
        </w:tc>
      </w:tr>
      <w:tr>
        <w:trPr>
          <w:trHeight w:val="234"/>
        </w:trPr>
        <w:tc>
          <w:tcPr>
            <w:tcW w:w="460" w:type="dxa"/>
            <w:vAlign w:val="bottom"/>
          </w:tcPr>
          <w:p>
            <w:pPr>
              <w:spacing w:after="0"/>
              <w:rPr>
                <w:sz w:val="20"/>
                <w:szCs w:val="20"/>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7"/>
              </w:rPr>
              <w:t>Title: Chief Operating Officer</w:t>
            </w:r>
          </w:p>
        </w:tc>
      </w:tr>
      <w:tr>
        <w:trPr>
          <w:trHeight w:val="648"/>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BECKTON CORP.</w:t>
            </w:r>
          </w:p>
        </w:tc>
      </w:tr>
      <w:tr>
        <w:trPr>
          <w:trHeight w:val="39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68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 Jesse Lynn</w:t>
            </w:r>
          </w:p>
        </w:tc>
      </w:tr>
      <w:tr>
        <w:trPr>
          <w:trHeight w:val="234"/>
        </w:trPr>
        <w:tc>
          <w:tcPr>
            <w:tcW w:w="460" w:type="dxa"/>
            <w:vAlign w:val="bottom"/>
          </w:tcPr>
          <w:p>
            <w:pPr>
              <w:spacing w:after="0"/>
              <w:rPr>
                <w:sz w:val="20"/>
                <w:szCs w:val="20"/>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Icahn Enterprises G.P. Inc.,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G.P.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8"/>
                <w:szCs w:val="18"/>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Ted Papapostolou</w:t>
            </w:r>
          </w:p>
        </w:tc>
        <w:tc>
          <w:tcPr>
            <w:tcW w:w="340" w:type="dxa"/>
            <w:vAlign w:val="bottom"/>
          </w:tcPr>
          <w:p>
            <w:pPr>
              <w:spacing w:after="0"/>
              <w:rPr>
                <w:sz w:val="18"/>
                <w:szCs w:val="18"/>
                <w:color w:val="auto"/>
              </w:rPr>
            </w:pPr>
          </w:p>
        </w:tc>
      </w:tr>
      <w:tr>
        <w:trPr>
          <w:trHeight w:val="218"/>
        </w:trPr>
        <w:tc>
          <w:tcPr>
            <w:tcW w:w="460" w:type="dxa"/>
            <w:vAlign w:val="bottom"/>
          </w:tcPr>
          <w:p>
            <w:pPr>
              <w:spacing w:after="0"/>
              <w:rPr>
                <w:sz w:val="18"/>
                <w:szCs w:val="18"/>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Name: Ted Papapostolou</w:t>
            </w:r>
          </w:p>
        </w:tc>
      </w:tr>
      <w:tr>
        <w:trPr>
          <w:trHeight w:val="234"/>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8"/>
              </w:rPr>
              <w:t>Title: Chief Accounting Officer</w:t>
            </w:r>
          </w:p>
        </w:tc>
      </w:tr>
      <w:tr>
        <w:trPr>
          <w:trHeight w:val="648"/>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MATSUMURA FISHWORKS LLC</w:t>
            </w:r>
          </w:p>
        </w:tc>
      </w:tr>
      <w:tr>
        <w:trPr>
          <w:trHeight w:val="39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800" w:type="dxa"/>
            <w:vAlign w:val="bottom"/>
            <w:gridSpan w:val="2"/>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Name: Jesse Lyn</w:t>
            </w:r>
          </w:p>
        </w:tc>
      </w:tr>
      <w:tr>
        <w:trPr>
          <w:trHeight w:val="234"/>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Title: Chief Operating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20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C. ICAHN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Schedule 13D - Crown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2022-12-13T15:28:45Z</dcterms:created>
  <dcterms:modified xsi:type="dcterms:W3CDTF">2022-12-13T15:28:45Z</dcterms:modified>
</cp:coreProperties>
</file>