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17, 2018</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CROWN HOLDINGS,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20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000-50189</w:t>
            </w:r>
          </w:p>
        </w:tc>
        <w:tc>
          <w:tcPr>
            <w:tcW w:w="252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75-3099507</w:t>
            </w:r>
          </w:p>
        </w:tc>
      </w:tr>
      <w:tr>
        <w:trPr>
          <w:trHeight w:val="256"/>
        </w:trPr>
        <w:tc>
          <w:tcPr>
            <w:tcW w:w="320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1"/>
              </w:rPr>
              <w:t>(Commission</w:t>
            </w:r>
          </w:p>
        </w:tc>
        <w:tc>
          <w:tcPr>
            <w:tcW w:w="2520" w:type="dxa"/>
            <w:vAlign w:val="bottom"/>
          </w:tcPr>
          <w:p>
            <w:pPr>
              <w:jc w:val="center"/>
              <w:ind w:left="1110"/>
              <w:spacing w:after="0"/>
              <w:rPr>
                <w:sz w:val="20"/>
                <w:szCs w:val="20"/>
                <w:color w:val="auto"/>
              </w:rPr>
            </w:pPr>
            <w:r>
              <w:rPr>
                <w:rFonts w:ascii="Arial" w:cs="Arial" w:eastAsia="Arial" w:hAnsi="Arial"/>
                <w:sz w:val="18"/>
                <w:szCs w:val="18"/>
                <w:color w:val="auto"/>
                <w:w w:val="93"/>
              </w:rPr>
              <w:t>(I.R.S. Employer</w:t>
            </w:r>
          </w:p>
        </w:tc>
      </w:tr>
      <w:tr>
        <w:trPr>
          <w:trHeight w:val="230"/>
        </w:trPr>
        <w:tc>
          <w:tcPr>
            <w:tcW w:w="3200" w:type="dxa"/>
            <w:vAlign w:val="bottom"/>
          </w:tcPr>
          <w:p>
            <w:pPr>
              <w:jc w:val="center"/>
              <w:ind w:right="89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2"/>
              </w:rPr>
              <w:t>File Number)</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0" w:lineRule="exact"/>
        <w:rPr>
          <w:sz w:val="24"/>
          <w:szCs w:val="24"/>
          <w:color w:val="auto"/>
        </w:rPr>
      </w:pPr>
    </w:p>
    <w:p>
      <w:pPr>
        <w:spacing w:after="0" w:line="2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Soliciting material pursuant to Rule 14a-12 under the Exchange Act (17CFR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Arial" w:cs="Arial" w:eastAsia="Arial" w:hAnsi="Arial"/>
          <w:sz w:val="18"/>
          <w:szCs w:val="18"/>
          <w:b w:val="1"/>
          <w:bCs w:val="1"/>
          <w:color w:val="auto"/>
        </w:rPr>
        <w:t>o</w:t>
      </w:r>
    </w:p>
    <w:p>
      <w:pPr>
        <w:spacing w:after="0" w:line="3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68" w:right="259" w:bottom="1440" w:gutter="0" w:footer="0" w:header="0"/>
        </w:sectPr>
      </w:pPr>
    </w:p>
    <w:bookmarkStart w:id="1" w:name="page2"/>
    <w:bookmarkEnd w:id="1"/>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219"/>
          </w:cols>
          <w:pgMar w:left="240" w:top="1104" w:right="1440" w:bottom="4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1104" w:right="1440" w:bottom="415"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91"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On October 17, 2018 Crown Holdings, Inc. issued a press release announcing its earnings for the third quarter ended September 30, 2018. A copy of the press release is attached hereto as Exhibit 99 and incorporated herein by reference.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85" w:lineRule="exact"/>
        <w:rPr>
          <w:sz w:val="20"/>
          <w:szCs w:val="20"/>
          <w:color w:val="auto"/>
        </w:rPr>
      </w:pPr>
    </w:p>
    <w:p>
      <w:pPr>
        <w:spacing w:after="0"/>
        <w:rPr>
          <w:rFonts w:ascii="Arial" w:cs="Arial" w:eastAsia="Arial" w:hAnsi="Arial"/>
          <w:sz w:val="22"/>
          <w:szCs w:val="22"/>
          <w:u w:val="single" w:color="auto"/>
          <w:color w:val="0000FF"/>
        </w:rPr>
      </w:pPr>
      <w:hyperlink w:anchor="page6">
        <w:r>
          <w:rPr>
            <w:rFonts w:ascii="Arial" w:cs="Arial" w:eastAsia="Arial" w:hAnsi="Arial"/>
            <w:sz w:val="22"/>
            <w:szCs w:val="22"/>
            <w:u w:val="single" w:color="auto"/>
            <w:color w:val="0000FF"/>
          </w:rPr>
          <w:t>99. Crown Holdings, Inc. press release dated October 17, 2018.</w:t>
        </w:r>
      </w:hyperlink>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44" w:right="239" w:bottom="1440" w:gutter="0" w:footer="0" w:header="0"/>
          <w:type w:val="continuous"/>
        </w:sectPr>
      </w:pPr>
    </w:p>
    <w:bookmarkStart w:id="3" w:name="page4"/>
    <w:bookmarkEnd w:id="3"/>
    <w:p>
      <w:pPr>
        <w:jc w:val="center"/>
        <w:ind w:right="-19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24765</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Dated: October 17, 2018</w:t>
      </w:r>
    </w:p>
    <w:p>
      <w:pPr>
        <w:sectPr>
          <w:pgSz w:w="11900" w:h="16838" w:orient="portrait"/>
          <w:cols w:equalWidth="0" w:num="1">
            <w:col w:w="11240"/>
          </w:cols>
          <w:pgMar w:left="240" w:top="1090" w:right="419" w:bottom="10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1090" w:right="419" w:bottom="1037" w:gutter="0" w:footer="0" w:header="0"/>
          <w:type w:val="continuous"/>
        </w:sectPr>
      </w:pPr>
    </w:p>
    <w:bookmarkStart w:id="4" w:name="page5"/>
    <w:bookmarkEnd w:id="4"/>
    <w:p>
      <w:pPr>
        <w:ind w:left="4160"/>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color w:val="auto"/>
        </w:rPr>
        <w:t>Exhibit Number</w:t>
      </w:r>
      <w:r>
        <w:rPr>
          <w:sz w:val="20"/>
          <w:szCs w:val="20"/>
          <w:color w:val="auto"/>
        </w:rPr>
        <w:tab/>
      </w:r>
      <w:r>
        <w:rPr>
          <w:rFonts w:ascii="Arial" w:cs="Arial" w:eastAsia="Arial" w:hAnsi="Arial"/>
          <w:sz w:val="19"/>
          <w:szCs w:val="19"/>
          <w:color w:val="auto"/>
        </w:rPr>
        <w:t>Description</w:t>
      </w:r>
    </w:p>
    <w:p>
      <w:pPr>
        <w:spacing w:after="0" w:line="341" w:lineRule="exact"/>
        <w:rPr>
          <w:sz w:val="20"/>
          <w:szCs w:val="20"/>
          <w:color w:val="auto"/>
        </w:rPr>
      </w:pPr>
    </w:p>
    <w:p>
      <w:pPr>
        <w:spacing w:after="0"/>
        <w:tabs>
          <w:tab w:leader="none" w:pos="2080" w:val="left"/>
        </w:tabs>
        <w:rPr>
          <w:sz w:val="20"/>
          <w:szCs w:val="20"/>
          <w:color w:val="auto"/>
        </w:rPr>
      </w:pPr>
      <w:r>
        <w:rPr>
          <w:rFonts w:ascii="Arial" w:cs="Arial" w:eastAsia="Arial" w:hAnsi="Arial"/>
          <w:sz w:val="19"/>
          <w:szCs w:val="19"/>
          <w:color w:val="auto"/>
        </w:rPr>
        <w:t>99</w:t>
      </w:r>
      <w:r>
        <w:rPr>
          <w:sz w:val="20"/>
          <w:szCs w:val="20"/>
          <w:color w:val="auto"/>
        </w:rPr>
        <w:tab/>
      </w:r>
      <w:r>
        <w:rPr>
          <w:rFonts w:ascii="Arial" w:cs="Arial" w:eastAsia="Arial" w:hAnsi="Arial"/>
          <w:sz w:val="19"/>
          <w:szCs w:val="19"/>
          <w:color w:val="auto"/>
        </w:rPr>
        <w:t>Press release, dated October 17, 2018, issued by Crown Holdings, Inc.</w:t>
      </w:r>
    </w:p>
    <w:p>
      <w:pPr>
        <w:sectPr>
          <w:pgSz w:w="11900" w:h="16838" w:orient="portrait"/>
          <w:cols w:equalWidth="0" w:num="1">
            <w:col w:w="9699"/>
          </w:cols>
          <w:pgMar w:left="760" w:top="1050" w:right="1440" w:bottom="7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699"/>
          </w:cols>
          <w:pgMar w:left="760" w:top="1050" w:right="1440" w:bottom="726" w:gutter="0" w:footer="0" w:header="0"/>
          <w:type w:val="continuous"/>
        </w:sectPr>
      </w:pPr>
    </w:p>
    <w:bookmarkStart w:id="5" w:name="page6"/>
    <w:bookmarkEnd w:id="5"/>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461010</wp:posOffset>
            </wp:positionV>
            <wp:extent cx="58572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CROWN HOLDINGS, INC. REPORTS THIRD QUARTER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165735</wp:posOffset>
            </wp:positionV>
            <wp:extent cx="585724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Yardley, PA - October 17, 2018. </w:t>
      </w:r>
      <w:r>
        <w:rPr>
          <w:rFonts w:ascii="Arial" w:cs="Arial" w:eastAsia="Arial" w:hAnsi="Arial"/>
          <w:sz w:val="16"/>
          <w:szCs w:val="16"/>
          <w:color w:val="auto"/>
        </w:rPr>
        <w:t>Crown Holdings, Inc. (NYSE: CCK) today announced its financial results for the third quarter ended September 30,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225" w:lineRule="exact"/>
        <w:rPr>
          <w:sz w:val="20"/>
          <w:szCs w:val="20"/>
          <w:color w:val="auto"/>
        </w:rPr>
      </w:pPr>
    </w:p>
    <w:p>
      <w:pPr>
        <w:ind w:left="560" w:hanging="241"/>
        <w:spacing w:after="0"/>
        <w:tabs>
          <w:tab w:leader="none" w:pos="56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$1.23 versus $1.32 in 2017</w:t>
      </w:r>
    </w:p>
    <w:p>
      <w:pPr>
        <w:spacing w:after="0" w:line="27" w:lineRule="exact"/>
        <w:rPr>
          <w:rFonts w:ascii="Arial" w:cs="Arial" w:eastAsia="Arial" w:hAnsi="Arial"/>
          <w:sz w:val="18"/>
          <w:szCs w:val="18"/>
          <w:b w:val="1"/>
          <w:bCs w:val="1"/>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Adjusted earnings per share $1.71 for the quarter versus $1.46 in 2017; $4.20 YTD versus $3.39 in 2017</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Global beverage can volumes grew 3% in the quarter and 4% year-to-date</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Free cash flow guidance affirmed</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Transit Packaging integration and performance on plan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 the third quarter were $3,174 million compared to $2,468 million in the third quarter of 2017 reflecting the impact of the Signode acquisition, an increase in beverage can volumes and the pass through of higher material costs to customers.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from operations was $365 million in the quarter compared to $328 million in the third quarter of 2017. Segment income increased to $415 million in the third quarter compared to $352 million in the prior year third quarter primarily due to the Signode acquisition.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Commenting on the quarter, Timothy J. Donahue, President and Chief Executive Officer, stated, “The Company’s performance was solid, and we remain on plan for the remainder of the year. Growth in our global beverage can businesses continued to be robust, offsetting soft European food can volumes reflecting the extremely challenging weather conditions which resulted in poor harvest yields. Growth in beverage cans is underpinned by the can’s increasing popularity among customers and consumers due to its many inherent benefits, including being the world’s most sustainable form of beverage packaging.</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“Equally important, our global growth projects remain on schedule. We commenced production in July at a new one-line beverage can plant in Yangon, Myanmar. The first line of the beverage can plant in Valencia, Spain began operations in October, with the second line to begin in December. We will also start up a third beverage can line at the Company’s existing plant in Phnom Penh, Cambodia in November.</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continue to expect the combined results of our business portfolio will generate significant cash this year and next which will be used, as planned, to reduce the floating rate portion of our debt.”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$105 million in the third quarter of 2018 compared to $64 million in 2017 primarily due to higher outstanding debt from borrowings incurred to finance the Signode acquisition.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attributable to Crown Holdings in the third quarter was $164 million compared to $177 million in the third quarter of 2017. Reported diluted earnings per share were $1.23 in the third quarter of 2018 compared to $1.32 in 2017. Adjusted diluted earnings per share increased to $1.71 over the $1.46 in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from net income and diluted earnings per share to adjusted net income and adjusted diluted earnings per share is provided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Results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for the first nine months of 2018 increased to $8,417 million compared to $6,530 million in the first nine months of 2017 primarily due to the impact of the Signode acquisition, increased beverage can volumes, the pass through of higher material costs to customers and $187 million of favorable currency translation.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420"/>
          </w:cols>
          <w:pgMar w:left="240" w:top="852" w:right="239" w:bottom="1440" w:gutter="0" w:footer="0" w:header="0"/>
        </w:sectPr>
      </w:pPr>
    </w:p>
    <w:bookmarkStart w:id="6" w:name="page7"/>
    <w:bookmarkEnd w:id="6"/>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from operations was $878 million in the first nine months of 2018 compared to $812 million in the prior year period. Segment income for the nine months increased to $1,049 million over the $873 million in 2017 reflecting the Signode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$282 million for the first nine months of 2018 compared to $187 million in 2017 primarily due to higher outstanding debt from borrowings incurred to finance the Signode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Crown Holdings in the first nine months of 2018 was $386 million compared to $412 million in the first nine months of 2017.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Reported diluted earnings per share were $2.88 compared to $3.02 in 2017. Adjusted diluted earnings per share increased to $4.20 over the $3.39 in 2017.</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fourth quarter adjusted diluted earnings to be in the range of $0.97 to $1.02 per share.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adjusted effective income tax rate for the full year of 2018 is expected to be between 25% and 26%. Adjusted free cash flow, as defined below, is currently expected to be approximately $625 million for 2018 and $775 million for 2019, unchanged from prior guidance.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Segment income, adjusted free cash flow, adjusted net income, the adjusted effective tax rate and adjusted diluted earnings per share are not defined terms under U.S. generally accepted accounting principles (non-GAAP measures). Non-GAAP measures should not be considered in isolation or as a substitute for income from operations, net income, diluted earnings per share or cash flow data prepared in accordance with U.S. GAAP and may not be comparable to calculations of similarly titled measures by other companies.</w:t>
      </w:r>
    </w:p>
    <w:p>
      <w:pPr>
        <w:spacing w:after="0" w:line="1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views segment income as the principal measure of the performance of its operations and adjusted free cash flow as the principal measure of its liquidity. The Company considers both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net income, the adjusted effective tax rate and adjusted diluted earnings per share are useful in evaluating the Company’s operations as these measures are adjusted for items that affect comparability between periods. Reconciliations of estimated adjusted diluted earnings per share for the fourth quarter and full year of 2018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costs, asset impairment charges, acquisition related costs including fair value adjustments to inventory, asbestos-related charges, losses from early extinguishment of debt, the tax impact of the items above, and the impact of tax law changes or other tax matters. The Company believes that adjusted free cash flow provides a meaningful measure of liquidity and a useful basis for assessing the Company’s ability to fund its activities, including the financing of acquisitions, debt repayments, share repurchases or possible future dividends. Segment income, adjusted free cash flow, the adjusted effective tax rate, adjusted net income and adjusted diluted earnings per share are derived from the Company’s Consolidated Statements of Operations and Cash Flows and Consolidated Balance Sheets, as applicable, and reconciliations to segment income, adjusted free cash flow, the adjusted effective tax rate, adjusted net income and adjusted diluted earnings per share can be found within this release.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will hold a conference call tomorrow, October 18, 2018 at 9:00 a.m. (EDT) to discuss this news release. Forward-looking and other material information may be discussed on the conference call. The dial-in numbers for the conference call are (630) 395-0194 or toll-free (888) 324-8108 and the access password is “packaging.” A live webcast of the call will be made available to the public on the internet at the Company’s website, </w:t>
      </w:r>
      <w:r>
        <w:rPr>
          <w:rFonts w:ascii="Arial" w:cs="Arial" w:eastAsia="Arial" w:hAnsi="Arial"/>
          <w:sz w:val="18"/>
          <w:szCs w:val="18"/>
          <w:u w:val="single" w:color="auto"/>
          <w:color w:val="0000FF"/>
        </w:rPr>
        <w:t>www.crowncork.com</w:t>
      </w:r>
      <w:r>
        <w:rPr>
          <w:rFonts w:ascii="Arial" w:cs="Arial" w:eastAsia="Arial" w:hAnsi="Arial"/>
          <w:sz w:val="18"/>
          <w:szCs w:val="18"/>
          <w:color w:val="000000"/>
        </w:rPr>
        <w:t>. A replay of the conference call will be available for a one-week period ending at midnight on October 25. The telephone numbers for</w:t>
      </w:r>
      <w:r>
        <w:rPr>
          <w:rFonts w:ascii="Arial" w:cs="Arial" w:eastAsia="Arial" w:hAnsi="Arial"/>
          <w:sz w:val="18"/>
          <w:szCs w:val="18"/>
          <w:color w:val="0000FF"/>
        </w:rPr>
        <w:t xml:space="preserve"> </w:t>
      </w:r>
      <w:r>
        <w:rPr>
          <w:rFonts w:ascii="Arial" w:cs="Arial" w:eastAsia="Arial" w:hAnsi="Arial"/>
          <w:sz w:val="18"/>
          <w:szCs w:val="18"/>
          <w:color w:val="000000"/>
        </w:rPr>
        <w:t>the replay are (203) 369-1045 or toll free (866) 439-3740.</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10</w:t>
      </w:r>
    </w:p>
    <w:p>
      <w:pPr>
        <w:sectPr>
          <w:pgSz w:w="11900" w:h="16838" w:orient="portrait"/>
          <w:cols w:equalWidth="0" w:num="1">
            <w:col w:w="11420"/>
          </w:cols>
          <w:pgMar w:left="240" w:top="852" w:right="239" w:bottom="1440" w:gutter="0" w:footer="0" w:header="0"/>
        </w:sectPr>
      </w:pPr>
    </w:p>
    <w:bookmarkStart w:id="7" w:name="page8"/>
    <w:bookmarkEnd w:id="7"/>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Except for historical information, all other information in this press release consists of forward-looking statements. These forward-looking statements involve a number of risks, uncertainties and other factors, including the continuation of performance and market trends in 2018, including customer and consumer preference for beverage cans and increasing global beverage can demand; the Company’s ability to successfully complete and begin production at capacity expansion projects within expected timelines and budgets in Cambodia and Spain; the Company’s ability to successfully manage other projects; the Company’s ability to generate expected earnings and cash flow in 2018 and 2019; and the successful integration of Signode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2017 and in subsequent filings made prior to or after the date hereof. The Company does not intend to review or revise any particular forward-looking statement in light of future events.</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3" w:lineRule="exact"/>
        <w:rPr>
          <w:sz w:val="20"/>
          <w:szCs w:val="20"/>
          <w:color w:val="auto"/>
        </w:rPr>
      </w:pPr>
    </w:p>
    <w:p>
      <w:pPr>
        <w:ind w:right="4700"/>
        <w:spacing w:after="0" w:line="255" w:lineRule="auto"/>
        <w:rPr>
          <w:sz w:val="20"/>
          <w:szCs w:val="20"/>
          <w:color w:val="auto"/>
        </w:rPr>
      </w:pPr>
      <w:r>
        <w:rPr>
          <w:rFonts w:ascii="Arial" w:cs="Arial" w:eastAsia="Arial" w:hAnsi="Arial"/>
          <w:sz w:val="18"/>
          <w:szCs w:val="18"/>
          <w:color w:val="auto"/>
        </w:rPr>
        <w:t>Thomas A. Kelly, Senior Vice President and Chief Financial Officer, (215) 698-5341 Thomas T. Fischer, Vice President, Investor Relations and Corporate Affairs, (215) 552-3720 Edward Bisno, Bisno Communications, (212) 717-7578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10</w:t>
      </w:r>
    </w:p>
    <w:p>
      <w:pPr>
        <w:sectPr>
          <w:pgSz w:w="11900" w:h="16838" w:orient="portrait"/>
          <w:cols w:equalWidth="0" w:num="1">
            <w:col w:w="11420"/>
          </w:cols>
          <w:pgMar w:left="240" w:top="852"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-162560</wp:posOffset>
            </wp:positionV>
            <wp:extent cx="155194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Yardley, PA 19067-4219</w:t>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share and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Three Months Ended September 30,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0"/>
              <w:spacing w:after="0" w:line="264" w:lineRule="exact"/>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5"/>
                <w:szCs w:val="25"/>
                <w:b w:val="1"/>
                <w:bCs w:val="1"/>
                <w:color w:val="auto"/>
                <w:vertAlign w:val="superscript"/>
              </w:rPr>
              <w:t>(1)</w:t>
            </w:r>
          </w:p>
        </w:tc>
        <w:tc>
          <w:tcPr>
            <w:tcW w:w="5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0"/>
              <w:spacing w:after="0" w:line="264" w:lineRule="exact"/>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5"/>
                <w:szCs w:val="25"/>
                <w:b w:val="1"/>
                <w:bCs w:val="1"/>
                <w:color w:val="auto"/>
                <w:vertAlign w:val="superscript"/>
              </w:rPr>
              <w:t>(1)</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3,174</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2,468</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8,417</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6,530</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18"/>
        </w:trPr>
        <w:tc>
          <w:tcPr>
            <w:tcW w:w="4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2,530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1,972</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6,804</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5,235</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Selling and administrative expense</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270</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64"/>
        </w:trPr>
        <w:tc>
          <w:tcPr>
            <w:tcW w:w="4900" w:type="dxa"/>
            <w:vAlign w:val="bottom"/>
          </w:tcPr>
          <w:p>
            <w:pPr>
              <w:ind w:left="20"/>
              <w:spacing w:after="0" w:line="264" w:lineRule="exact"/>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5"/>
                <w:szCs w:val="25"/>
                <w:b w:val="1"/>
                <w:bCs w:val="1"/>
                <w:color w:val="auto"/>
                <w:vertAlign w:val="superscript"/>
              </w:rPr>
              <w:t>(2)</w:t>
            </w: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365</w:t>
            </w:r>
          </w:p>
        </w:tc>
        <w:tc>
          <w:tcPr>
            <w:tcW w:w="4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328</w:t>
            </w:r>
          </w:p>
        </w:tc>
        <w:tc>
          <w:tcPr>
            <w:tcW w:w="5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878</w:t>
            </w:r>
          </w:p>
        </w:tc>
        <w:tc>
          <w:tcPr>
            <w:tcW w:w="4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812</w:t>
            </w:r>
          </w:p>
        </w:tc>
      </w:tr>
      <w:tr>
        <w:trPr>
          <w:trHeight w:val="230"/>
        </w:trPr>
        <w:tc>
          <w:tcPr>
            <w:tcW w:w="4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392</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347</w:t>
            </w:r>
          </w:p>
        </w:tc>
        <w:tc>
          <w:tcPr>
            <w:tcW w:w="5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911</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851</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early extinguishment of debt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293</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287</w:t>
            </w:r>
          </w:p>
        </w:tc>
        <w:tc>
          <w:tcPr>
            <w:tcW w:w="5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646</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667</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Equity earnings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453</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489</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attributable to Crown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Holdings common shareholders: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304"/>
        </w:trPr>
        <w:tc>
          <w:tcPr>
            <w:tcW w:w="49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w:t>
            </w:r>
          </w:p>
        </w:tc>
      </w:tr>
      <w:tr>
        <w:trPr>
          <w:trHeight w:val="251"/>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9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133,729,731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134,020,310</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133,608,065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135,906,571</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133,849,368</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134,415,656</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133,816,005</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136,394,239</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Actual common shares outstanding</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135,190,167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134,274,620</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135,190,167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134,274,620</w:t>
            </w:r>
          </w:p>
        </w:tc>
      </w:tr>
      <w:tr>
        <w:trPr>
          <w:trHeight w:val="27"/>
        </w:trPr>
        <w:tc>
          <w:tcPr>
            <w:tcW w:w="4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right="200" w:hanging="330"/>
        <w:spacing w:after="0" w:line="277" w:lineRule="auto"/>
        <w:tabs>
          <w:tab w:leader="none" w:pos="391"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Prior year results have been restated to reflect new accounting guidance on the presentation of pension and postretirement expense in the statement of operations.</w:t>
      </w:r>
    </w:p>
    <w:p>
      <w:pPr>
        <w:spacing w:after="0" w:line="170" w:lineRule="exact"/>
        <w:rPr>
          <w:rFonts w:ascii="Arial" w:cs="Arial" w:eastAsia="Arial" w:hAnsi="Arial"/>
          <w:sz w:val="18"/>
          <w:szCs w:val="18"/>
          <w:color w:val="auto"/>
        </w:rPr>
      </w:pPr>
    </w:p>
    <w:p>
      <w:pPr>
        <w:ind w:left="380" w:hanging="250"/>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reconciliation from income from operations to segment income follows.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4 of 10</w:t>
      </w:r>
    </w:p>
    <w:p>
      <w:pPr>
        <w:sectPr>
          <w:pgSz w:w="11900" w:h="16838" w:orient="portrait"/>
          <w:cols w:equalWidth="0" w:num="1">
            <w:col w:w="11360"/>
          </w:cols>
          <w:pgMar w:left="280" w:top="852" w:right="259" w:bottom="1440" w:gutter="0" w:footer="0" w:header="0"/>
        </w:sectPr>
      </w:pPr>
    </w:p>
    <w:bookmarkStart w:id="9" w:name="page10"/>
    <w:bookmarkEnd w:id="9"/>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Financial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provisions for asbestos and restructuring and other, the impact of fair value adjustments to inventory acquired in an acquisition, and the timing impact of hedge ineffectiveness.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10"/>
          </w:tcPr>
          <w:p>
            <w:pPr>
              <w:jc w:val="right"/>
              <w:ind w:right="420"/>
              <w:spacing w:after="0"/>
              <w:rPr>
                <w:sz w:val="20"/>
                <w:szCs w:val="20"/>
                <w:color w:val="auto"/>
              </w:rPr>
            </w:pPr>
            <w:r>
              <w:rPr>
                <w:rFonts w:ascii="Arial" w:cs="Arial" w:eastAsia="Arial" w:hAnsi="Arial"/>
                <w:sz w:val="18"/>
                <w:szCs w:val="18"/>
                <w:b w:val="1"/>
                <w:bCs w:val="1"/>
                <w:color w:val="auto"/>
                <w:w w:val="92"/>
              </w:rPr>
              <w:t>Three Months Ended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6"/>
          </w:tcPr>
          <w:p>
            <w:pPr>
              <w:ind w:left="260"/>
              <w:spacing w:after="0"/>
              <w:rPr>
                <w:sz w:val="20"/>
                <w:szCs w:val="20"/>
                <w:color w:val="auto"/>
              </w:rPr>
            </w:pPr>
            <w:r>
              <w:rPr>
                <w:rFonts w:ascii="Arial" w:cs="Arial" w:eastAsia="Arial" w:hAnsi="Arial"/>
                <w:sz w:val="18"/>
                <w:szCs w:val="18"/>
                <w:b w:val="1"/>
                <w:bCs w:val="1"/>
                <w:color w:val="auto"/>
              </w:rPr>
              <w:t>Nine Months Ended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7"/>
          </w:tcPr>
          <w:p>
            <w:pPr>
              <w:jc w:val="right"/>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4"/>
              </w:rPr>
              <w:t>2017</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20"/>
                <w:szCs w:val="20"/>
                <w:color w:val="auto"/>
              </w:rPr>
            </w:pPr>
          </w:p>
        </w:tc>
        <w:tc>
          <w:tcPr>
            <w:tcW w:w="82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878</w:t>
            </w:r>
          </w:p>
        </w:tc>
        <w:tc>
          <w:tcPr>
            <w:tcW w:w="2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812</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Intangibles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120" w:type="dxa"/>
            <w:vAlign w:val="bottom"/>
            <w:gridSpan w:val="3"/>
          </w:tcPr>
          <w:p>
            <w:pPr>
              <w:spacing w:after="0" w:line="270" w:lineRule="exact"/>
              <w:rPr>
                <w:sz w:val="20"/>
                <w:szCs w:val="20"/>
                <w:color w:val="auto"/>
              </w:rPr>
            </w:pPr>
            <w:r>
              <w:rPr>
                <w:rFonts w:ascii="Arial" w:cs="Arial" w:eastAsia="Arial" w:hAnsi="Arial"/>
                <w:sz w:val="18"/>
                <w:szCs w:val="18"/>
                <w:color w:val="auto"/>
              </w:rPr>
              <w:t xml:space="preserve">Fair value adjustment to inventory </w:t>
            </w:r>
            <w:r>
              <w:rPr>
                <w:rFonts w:ascii="Arial" w:cs="Arial" w:eastAsia="Arial" w:hAnsi="Arial"/>
                <w:sz w:val="25"/>
                <w:szCs w:val="25"/>
                <w:color w:val="auto"/>
                <w:vertAlign w:val="superscript"/>
              </w:rPr>
              <w:t>(1)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Provision for restructuring and other</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120" w:type="dxa"/>
            <w:vAlign w:val="bottom"/>
            <w:tcBorders>
              <w:bottom w:val="single" w:sz="8" w:color="CCEEFF"/>
            </w:tcBorders>
            <w:gridSpan w:val="3"/>
          </w:tcPr>
          <w:p>
            <w:pPr>
              <w:spacing w:after="0" w:line="270" w:lineRule="exact"/>
              <w:rPr>
                <w:sz w:val="20"/>
                <w:szCs w:val="20"/>
                <w:color w:val="auto"/>
              </w:rPr>
            </w:pPr>
            <w:r>
              <w:rPr>
                <w:rFonts w:ascii="Arial" w:cs="Arial" w:eastAsia="Arial" w:hAnsi="Arial"/>
                <w:sz w:val="18"/>
                <w:szCs w:val="18"/>
                <w:color w:val="auto"/>
              </w:rPr>
              <w:t xml:space="preserve">Impact of hedge ineffectiveness </w:t>
            </w:r>
            <w:r>
              <w:rPr>
                <w:rFonts w:ascii="Arial" w:cs="Arial" w:eastAsia="Arial" w:hAnsi="Arial"/>
                <w:sz w:val="25"/>
                <w:szCs w:val="25"/>
                <w:color w:val="auto"/>
                <w:vertAlign w:val="superscript"/>
              </w:rPr>
              <w:t>(1)</w:t>
            </w:r>
          </w:p>
        </w:tc>
        <w:tc>
          <w:tcPr>
            <w:tcW w:w="2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000" w:type="dxa"/>
            <w:vAlign w:val="bottom"/>
            <w:tcBorders>
              <w:right w:val="single" w:sz="8" w:color="CCEEFF"/>
            </w:tcBorders>
          </w:tcPr>
          <w:p>
            <w:pPr>
              <w:spacing w:after="0"/>
              <w:rPr>
                <w:sz w:val="22"/>
                <w:szCs w:val="22"/>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Segment Income</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352</w:t>
            </w:r>
          </w:p>
        </w:tc>
        <w:tc>
          <w:tcPr>
            <w:tcW w:w="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b w:val="1"/>
                <w:bCs w:val="1"/>
                <w:color w:val="auto"/>
                <w:w w:val="93"/>
              </w:rPr>
              <w:t>1,049</w:t>
            </w:r>
          </w:p>
        </w:tc>
        <w:tc>
          <w:tcPr>
            <w:tcW w:w="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gridSpan w:val="5"/>
            <w:vMerge w:val="restart"/>
          </w:tcPr>
          <w:p>
            <w:pPr>
              <w:spacing w:after="0"/>
              <w:rPr>
                <w:sz w:val="20"/>
                <w:szCs w:val="20"/>
                <w:color w:val="auto"/>
              </w:rPr>
            </w:pPr>
            <w:r>
              <w:rPr>
                <w:rFonts w:ascii="Arial" w:cs="Arial" w:eastAsia="Arial" w:hAnsi="Arial"/>
                <w:sz w:val="14"/>
                <w:szCs w:val="14"/>
                <w:color w:val="auto"/>
              </w:rPr>
              <w:t>(1) Included in cost of products sold</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46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40" w:type="dxa"/>
            <w:vAlign w:val="bottom"/>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gridSpan w:val="2"/>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gridSpan w:val="2"/>
          </w:tcPr>
          <w:p>
            <w:pPr>
              <w:spacing w:after="0"/>
              <w:rPr>
                <w:sz w:val="8"/>
                <w:szCs w:val="8"/>
                <w:color w:val="auto"/>
              </w:rPr>
            </w:pPr>
          </w:p>
        </w:tc>
        <w:tc>
          <w:tcPr>
            <w:tcW w:w="540" w:type="dxa"/>
            <w:vAlign w:val="bottom"/>
            <w:tcBorders>
              <w:bottom w:val="single" w:sz="8" w:color="9A9A9A"/>
            </w:tcBorders>
            <w:gridSpan w:val="2"/>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11"/>
          </w:tcPr>
          <w:p>
            <w:pPr>
              <w:jc w:val="right"/>
              <w:ind w:right="440"/>
              <w:spacing w:after="0"/>
              <w:rPr>
                <w:sz w:val="20"/>
                <w:szCs w:val="20"/>
                <w:color w:val="auto"/>
              </w:rPr>
            </w:pPr>
            <w:r>
              <w:rPr>
                <w:rFonts w:ascii="Arial" w:cs="Arial" w:eastAsia="Arial" w:hAnsi="Arial"/>
                <w:sz w:val="18"/>
                <w:szCs w:val="18"/>
                <w:b w:val="1"/>
                <w:bCs w:val="1"/>
                <w:color w:val="auto"/>
                <w:w w:val="98"/>
              </w:rPr>
              <w:t>Segment Information</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8"/>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10"/>
          </w:tcPr>
          <w:p>
            <w:pPr>
              <w:jc w:val="right"/>
              <w:ind w:right="380"/>
              <w:spacing w:after="0"/>
              <w:rPr>
                <w:sz w:val="20"/>
                <w:szCs w:val="20"/>
                <w:color w:val="auto"/>
              </w:rPr>
            </w:pPr>
            <w:r>
              <w:rPr>
                <w:rFonts w:ascii="Arial" w:cs="Arial" w:eastAsia="Arial" w:hAnsi="Arial"/>
                <w:sz w:val="18"/>
                <w:szCs w:val="18"/>
                <w:b w:val="1"/>
                <w:bCs w:val="1"/>
                <w:color w:val="auto"/>
                <w:w w:val="94"/>
              </w:rPr>
              <w:t>Three Months Ended</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6"/>
          </w:tcPr>
          <w:p>
            <w:pPr>
              <w:ind w:left="260"/>
              <w:spacing w:after="0"/>
              <w:rPr>
                <w:sz w:val="20"/>
                <w:szCs w:val="20"/>
                <w:color w:val="auto"/>
              </w:rPr>
            </w:pPr>
            <w:r>
              <w:rPr>
                <w:rFonts w:ascii="Arial" w:cs="Arial" w:eastAsia="Arial" w:hAnsi="Arial"/>
                <w:sz w:val="18"/>
                <w:szCs w:val="18"/>
                <w:b w:val="1"/>
                <w:bCs w:val="1"/>
                <w:color w:val="auto"/>
              </w:rPr>
              <w:t>Nine Months Ended</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12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Net Sales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10"/>
          </w:tcPr>
          <w:p>
            <w:pPr>
              <w:jc w:val="right"/>
              <w:ind w:right="660"/>
              <w:spacing w:after="0" w:line="194" w:lineRule="exact"/>
              <w:rPr>
                <w:sz w:val="20"/>
                <w:szCs w:val="20"/>
                <w:color w:val="auto"/>
              </w:rPr>
            </w:pPr>
            <w:r>
              <w:rPr>
                <w:rFonts w:ascii="Arial" w:cs="Arial" w:eastAsia="Arial" w:hAnsi="Arial"/>
                <w:sz w:val="18"/>
                <w:szCs w:val="18"/>
                <w:b w:val="1"/>
                <w:bCs w:val="1"/>
                <w:color w:val="auto"/>
              </w:rPr>
              <w:t>September 30,</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6"/>
          </w:tcPr>
          <w:p>
            <w:pPr>
              <w:jc w:val="right"/>
              <w:ind w:right="550"/>
              <w:spacing w:after="0" w:line="194" w:lineRule="exact"/>
              <w:rPr>
                <w:sz w:val="20"/>
                <w:szCs w:val="20"/>
                <w:color w:val="auto"/>
              </w:rPr>
            </w:pPr>
            <w:r>
              <w:rPr>
                <w:rFonts w:ascii="Arial" w:cs="Arial" w:eastAsia="Arial" w:hAnsi="Arial"/>
                <w:sz w:val="18"/>
                <w:szCs w:val="18"/>
                <w:b w:val="1"/>
                <w:bCs w:val="1"/>
                <w:color w:val="auto"/>
              </w:rPr>
              <w:t>September 30,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2017</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872</w:t>
            </w:r>
          </w:p>
        </w:tc>
        <w:tc>
          <w:tcPr>
            <w:tcW w:w="82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763</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3"/>
              </w:rPr>
              <w:t>2,478</w:t>
            </w: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418</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428</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center"/>
              <w:ind w:left="190"/>
              <w:spacing w:after="0"/>
              <w:rPr>
                <w:sz w:val="20"/>
                <w:szCs w:val="20"/>
                <w:color w:val="auto"/>
              </w:rPr>
            </w:pPr>
            <w:r>
              <w:rPr>
                <w:rFonts w:ascii="Arial" w:cs="Arial" w:eastAsia="Arial" w:hAnsi="Arial"/>
                <w:sz w:val="18"/>
                <w:szCs w:val="18"/>
                <w:color w:val="auto"/>
                <w:w w:val="93"/>
              </w:rPr>
              <w:t>1,194</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Food</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3"/>
              </w:rPr>
              <w:t>1,565</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300</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865</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Borders>
              <w:right w:val="single" w:sz="8" w:color="CCEEFF"/>
            </w:tcBorders>
          </w:tcPr>
          <w:p>
            <w:pPr>
              <w:spacing w:after="0"/>
              <w:rPr>
                <w:sz w:val="23"/>
                <w:szCs w:val="23"/>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Transit Packaging</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3"/>
              </w:rPr>
              <w:t>1,205</w:t>
            </w: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2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2,819</w:t>
            </w:r>
          </w:p>
        </w:tc>
        <w:tc>
          <w:tcPr>
            <w:tcW w:w="4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2,130</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3"/>
              </w:rPr>
              <w:t>7,432</w:t>
            </w:r>
          </w:p>
        </w:tc>
        <w:tc>
          <w:tcPr>
            <w:tcW w:w="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Borders>
              <w:right w:val="single" w:sz="8" w:color="CCEEFF"/>
            </w:tcBorders>
          </w:tcPr>
          <w:p>
            <w:pPr>
              <w:spacing w:after="0"/>
              <w:rPr>
                <w:sz w:val="23"/>
                <w:szCs w:val="23"/>
                <w:color w:val="auto"/>
              </w:rPr>
            </w:pPr>
          </w:p>
        </w:tc>
        <w:tc>
          <w:tcPr>
            <w:tcW w:w="31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40" w:type="dxa"/>
            <w:vAlign w:val="bottom"/>
            <w:tcBorders>
              <w:bottom w:val="single" w:sz="8" w:color="auto"/>
            </w:tcBorders>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 w:type="dxa"/>
            <w:vAlign w:val="bottom"/>
            <w:tcBorders>
              <w:bottom w:val="single" w:sz="8" w:color="auto"/>
            </w:tcBorders>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12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net sales</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3,174</w:t>
            </w:r>
          </w:p>
        </w:tc>
        <w:tc>
          <w:tcPr>
            <w:tcW w:w="8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2,468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8,417</w:t>
            </w:r>
          </w:p>
        </w:tc>
        <w:tc>
          <w:tcPr>
            <w:tcW w:w="2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6,530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Segment Income </w:t>
            </w:r>
            <w:r>
              <w:rPr>
                <w:rFonts w:ascii="Arial" w:cs="Arial" w:eastAsia="Arial" w:hAnsi="Arial"/>
                <w:sz w:val="25"/>
                <w:szCs w:val="25"/>
                <w:b w:val="1"/>
                <w:bCs w:val="1"/>
                <w:color w:val="auto"/>
                <w:vertAlign w:val="superscript"/>
              </w:rPr>
              <w:t>(3)</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Americas Beverage</w:t>
            </w:r>
          </w:p>
        </w:tc>
        <w:tc>
          <w:tcPr>
            <w:tcW w:w="280" w:type="dxa"/>
            <w:vAlign w:val="bottom"/>
            <w:gridSpan w:val="3"/>
          </w:tcPr>
          <w:p>
            <w:pPr>
              <w:jc w:val="right"/>
              <w:ind w:right="1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4"/>
                <w:szCs w:val="24"/>
                <w:color w:val="auto"/>
              </w:rPr>
            </w:pPr>
          </w:p>
        </w:tc>
        <w:tc>
          <w:tcPr>
            <w:tcW w:w="8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24"/>
                <w:szCs w:val="2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190"/>
              <w:spacing w:after="0"/>
              <w:rPr>
                <w:sz w:val="20"/>
                <w:szCs w:val="20"/>
                <w:color w:val="auto"/>
              </w:rPr>
            </w:pPr>
            <w:r>
              <w:rPr>
                <w:rFonts w:ascii="Arial" w:cs="Arial" w:eastAsia="Arial" w:hAnsi="Arial"/>
                <w:sz w:val="18"/>
                <w:szCs w:val="18"/>
                <w:color w:val="auto"/>
                <w:w w:val="86"/>
              </w:rPr>
              <w:t>336</w:t>
            </w:r>
          </w:p>
        </w:tc>
        <w:tc>
          <w:tcPr>
            <w:tcW w:w="20" w:type="dxa"/>
            <w:vAlign w:val="bottom"/>
          </w:tcPr>
          <w:p>
            <w:pPr>
              <w:spacing w:after="0"/>
              <w:rPr>
                <w:sz w:val="24"/>
                <w:szCs w:val="2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Beverage</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6"/>
              </w:rPr>
              <w:t>180</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European Food</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center"/>
              <w:ind w:left="190"/>
              <w:spacing w:after="0"/>
              <w:rPr>
                <w:sz w:val="20"/>
                <w:szCs w:val="20"/>
                <w:color w:val="auto"/>
              </w:rPr>
            </w:pPr>
            <w:r>
              <w:rPr>
                <w:rFonts w:ascii="Arial" w:cs="Arial" w:eastAsia="Arial" w:hAnsi="Arial"/>
                <w:sz w:val="18"/>
                <w:szCs w:val="18"/>
                <w:color w:val="auto"/>
                <w:w w:val="86"/>
              </w:rPr>
              <w:t>231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6"/>
              </w:rPr>
              <w:t>137</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Transit Packaging</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center"/>
              <w:ind w:left="190"/>
              <w:spacing w:after="0"/>
              <w:rPr>
                <w:sz w:val="20"/>
                <w:szCs w:val="20"/>
                <w:color w:val="auto"/>
              </w:rPr>
            </w:pPr>
            <w:r>
              <w:rPr>
                <w:rFonts w:ascii="Arial" w:cs="Arial" w:eastAsia="Arial" w:hAnsi="Arial"/>
                <w:sz w:val="18"/>
                <w:szCs w:val="18"/>
                <w:color w:val="auto"/>
                <w:w w:val="86"/>
              </w:rPr>
              <w:t>175</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reportable segments</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1,059</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120" w:type="dxa"/>
            <w:vAlign w:val="bottom"/>
            <w:gridSpan w:val="3"/>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center"/>
              <w:ind w:left="190"/>
              <w:spacing w:after="0"/>
              <w:rPr>
                <w:sz w:val="20"/>
                <w:szCs w:val="20"/>
                <w:color w:val="auto"/>
              </w:rPr>
            </w:pPr>
            <w:r>
              <w:rPr>
                <w:rFonts w:ascii="Arial" w:cs="Arial" w:eastAsia="Arial" w:hAnsi="Arial"/>
                <w:sz w:val="18"/>
                <w:szCs w:val="18"/>
                <w:color w:val="auto"/>
                <w:w w:val="86"/>
              </w:rPr>
              <w:t>102</w:t>
            </w: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Borders>
              <w:right w:val="single" w:sz="8" w:color="CCEEFF"/>
            </w:tcBorders>
          </w:tcPr>
          <w:p>
            <w:pPr>
              <w:spacing w:after="0"/>
              <w:rPr>
                <w:sz w:val="23"/>
                <w:szCs w:val="23"/>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Corporate and other unallocated items</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0"/>
              </w:rPr>
              <w:t>(112)</w:t>
            </w: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12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segment income</w:t>
            </w:r>
          </w:p>
        </w:tc>
        <w:tc>
          <w:tcPr>
            <w:tcW w:w="28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415</w:t>
            </w:r>
          </w:p>
        </w:tc>
        <w:tc>
          <w:tcPr>
            <w:tcW w:w="20" w:type="dxa"/>
            <w:vAlign w:val="bottom"/>
          </w:tcPr>
          <w:p>
            <w:pPr>
              <w:spacing w:after="0"/>
              <w:rPr>
                <w:sz w:val="22"/>
                <w:szCs w:val="22"/>
                <w:color w:val="auto"/>
              </w:rPr>
            </w:pPr>
          </w:p>
        </w:tc>
        <w:tc>
          <w:tcPr>
            <w:tcW w:w="440" w:type="dxa"/>
            <w:vAlign w:val="bottom"/>
            <w:gridSpan w:val="2"/>
          </w:tcPr>
          <w:p>
            <w:pPr>
              <w:spacing w:after="0"/>
              <w:rPr>
                <w:sz w:val="22"/>
                <w:szCs w:val="22"/>
                <w:color w:val="auto"/>
              </w:rPr>
            </w:pPr>
          </w:p>
        </w:tc>
        <w:tc>
          <w:tcPr>
            <w:tcW w:w="38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352</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1,049</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873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-4394200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-4394200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59" w:lineRule="exact"/>
        <w:rPr>
          <w:sz w:val="20"/>
          <w:szCs w:val="20"/>
          <w:color w:val="auto"/>
        </w:rPr>
      </w:pPr>
    </w:p>
    <w:p>
      <w:pPr>
        <w:ind w:left="260" w:hanging="252"/>
        <w:spacing w:after="0" w:line="275"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the Company's food can and closures businesses in North America, aerosol can businesses in North America and Europe, promotional packaging business in Europe, and tooling and equipment operations in the U.S. and United Kingdom.</w:t>
      </w:r>
    </w:p>
    <w:p>
      <w:pPr>
        <w:spacing w:after="0" w:line="145" w:lineRule="exact"/>
        <w:rPr>
          <w:rFonts w:ascii="Arial" w:cs="Arial" w:eastAsia="Arial" w:hAnsi="Arial"/>
          <w:sz w:val="16"/>
          <w:szCs w:val="16"/>
          <w:color w:val="auto"/>
        </w:rPr>
      </w:pPr>
    </w:p>
    <w:p>
      <w:pPr>
        <w:ind w:left="260" w:right="20" w:hanging="252"/>
        <w:spacing w:after="0" w:line="349"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Prior year segment income has been restated to reflect new accounting guidance on the presentation of pension and postretirement expense and the Company’s revised policy to exclude intangibles amortization charges from segment income. A reconciliation from 2017 segment income to amounts previously reported is included below.</w:t>
      </w:r>
    </w:p>
    <w:p>
      <w:pPr>
        <w:sectPr>
          <w:pgSz w:w="11900" w:h="16838" w:orient="portrait"/>
          <w:cols w:equalWidth="0" w:num="1">
            <w:col w:w="11420"/>
          </w:cols>
          <w:pgMar w:left="240" w:top="852" w:right="239" w:bottom="112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 of 10</w:t>
      </w:r>
    </w:p>
    <w:p>
      <w:pPr>
        <w:sectPr>
          <w:pgSz w:w="11900" w:h="16838" w:orient="portrait"/>
          <w:cols w:equalWidth="0" w:num="1">
            <w:col w:w="11420"/>
          </w:cols>
          <w:pgMar w:left="240" w:top="852" w:right="239" w:bottom="112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from Net Income and Diluted Earnings Per Share to Adjusted Net Income and Adjusted Diluted Earnings Per Share</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table reconciles reported net income and diluted earnings per share attributable to the Company to adjusted net income and adjusted diluted earnings per share, as used elsewhere in this release.</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10"/>
          </w:tcPr>
          <w:p>
            <w:pPr>
              <w:ind w:left="20"/>
              <w:spacing w:after="0"/>
              <w:rPr>
                <w:sz w:val="20"/>
                <w:szCs w:val="20"/>
                <w:color w:val="auto"/>
              </w:rPr>
            </w:pPr>
            <w:r>
              <w:rPr>
                <w:rFonts w:ascii="Arial" w:cs="Arial" w:eastAsia="Arial" w:hAnsi="Arial"/>
                <w:sz w:val="17"/>
                <w:szCs w:val="17"/>
                <w:b w:val="1"/>
                <w:bCs w:val="1"/>
                <w:color w:val="auto"/>
              </w:rPr>
              <w:t>Three Months Ended September 30,</w:t>
            </w:r>
          </w:p>
        </w:tc>
        <w:tc>
          <w:tcPr>
            <w:tcW w:w="120" w:type="dxa"/>
            <w:vAlign w:val="bottom"/>
          </w:tcPr>
          <w:p>
            <w:pPr>
              <w:spacing w:after="0"/>
              <w:rPr>
                <w:sz w:val="19"/>
                <w:szCs w:val="19"/>
                <w:color w:val="auto"/>
              </w:rPr>
            </w:pPr>
          </w:p>
        </w:tc>
        <w:tc>
          <w:tcPr>
            <w:tcW w:w="2800" w:type="dxa"/>
            <w:vAlign w:val="bottom"/>
            <w:gridSpan w:val="9"/>
          </w:tcPr>
          <w:p>
            <w:pPr>
              <w:jc w:val="right"/>
              <w:ind w:right="95"/>
              <w:spacing w:after="0"/>
              <w:rPr>
                <w:sz w:val="20"/>
                <w:szCs w:val="20"/>
                <w:color w:val="auto"/>
              </w:rPr>
            </w:pPr>
            <w:r>
              <w:rPr>
                <w:rFonts w:ascii="Arial" w:cs="Arial" w:eastAsia="Arial" w:hAnsi="Arial"/>
                <w:sz w:val="17"/>
                <w:szCs w:val="17"/>
                <w:b w:val="1"/>
                <w:bCs w:val="1"/>
                <w:color w:val="auto"/>
                <w:w w:val="92"/>
              </w:rPr>
              <w:t>Nine Months Ended September 30,</w:t>
            </w:r>
          </w:p>
        </w:tc>
        <w:tc>
          <w:tcPr>
            <w:tcW w:w="0" w:type="dxa"/>
            <w:vAlign w:val="bottom"/>
          </w:tcPr>
          <w:p>
            <w:pPr>
              <w:spacing w:after="0"/>
              <w:rPr>
                <w:sz w:val="1"/>
                <w:szCs w:val="1"/>
                <w:color w:val="auto"/>
              </w:rPr>
            </w:pPr>
          </w:p>
        </w:tc>
      </w:tr>
      <w:tr>
        <w:trPr>
          <w:trHeight w:val="31"/>
        </w:trPr>
        <w:tc>
          <w:tcPr>
            <w:tcW w:w="3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415"/>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2017</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2018</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41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31"/>
        </w:trPr>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2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Net income/diluted earnings per share</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w w:val="95"/>
              </w:rPr>
              <w:t>attributable to Crown Holdings, as reported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92"/>
              </w:rPr>
              <w:t>$ 1.23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1.32</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386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2.88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412</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92"/>
              </w:rPr>
              <w:t>$ 3.02</w:t>
            </w:r>
          </w:p>
        </w:tc>
        <w:tc>
          <w:tcPr>
            <w:tcW w:w="0" w:type="dxa"/>
            <w:vAlign w:val="bottom"/>
          </w:tcPr>
          <w:p>
            <w:pPr>
              <w:spacing w:after="0"/>
              <w:rPr>
                <w:sz w:val="1"/>
                <w:szCs w:val="1"/>
                <w:color w:val="auto"/>
              </w:rPr>
            </w:pPr>
          </w:p>
        </w:tc>
      </w:tr>
      <w:tr>
        <w:trPr>
          <w:trHeight w:val="270"/>
        </w:trPr>
        <w:tc>
          <w:tcPr>
            <w:tcW w:w="3520" w:type="dxa"/>
            <w:vAlign w:val="bottom"/>
          </w:tcPr>
          <w:p>
            <w:pPr>
              <w:ind w:left="260"/>
              <w:spacing w:after="0" w:line="270" w:lineRule="exact"/>
              <w:rPr>
                <w:sz w:val="20"/>
                <w:szCs w:val="20"/>
                <w:color w:val="auto"/>
              </w:rPr>
            </w:pPr>
            <w:r>
              <w:rPr>
                <w:rFonts w:ascii="Arial" w:cs="Arial" w:eastAsia="Arial" w:hAnsi="Arial"/>
                <w:sz w:val="17"/>
                <w:szCs w:val="17"/>
                <w:color w:val="auto"/>
              </w:rPr>
              <w:t xml:space="preserve">Intangibles amortization </w:t>
            </w:r>
            <w:r>
              <w:rPr>
                <w:rFonts w:ascii="Arial" w:cs="Arial" w:eastAsia="Arial" w:hAnsi="Arial"/>
                <w:sz w:val="28"/>
                <w:szCs w:val="28"/>
                <w:color w:val="auto"/>
                <w:vertAlign w:val="superscript"/>
              </w:rPr>
              <w:t>(1)</w:t>
            </w:r>
          </w:p>
        </w:tc>
        <w:tc>
          <w:tcPr>
            <w:tcW w:w="120" w:type="dxa"/>
            <w:vAlign w:val="bottom"/>
          </w:tcPr>
          <w:p>
            <w:pPr>
              <w:spacing w:after="0"/>
              <w:rPr>
                <w:sz w:val="23"/>
                <w:szCs w:val="23"/>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23"/>
                <w:szCs w:val="23"/>
                <w:color w:val="auto"/>
              </w:rPr>
            </w:pPr>
          </w:p>
        </w:tc>
        <w:tc>
          <w:tcPr>
            <w:tcW w:w="600" w:type="dxa"/>
            <w:vAlign w:val="bottom"/>
          </w:tcPr>
          <w:p>
            <w:pPr>
              <w:jc w:val="right"/>
              <w:ind w:right="55"/>
              <w:spacing w:after="0"/>
              <w:rPr>
                <w:sz w:val="20"/>
                <w:szCs w:val="20"/>
                <w:color w:val="auto"/>
              </w:rPr>
            </w:pPr>
            <w:r>
              <w:rPr>
                <w:rFonts w:ascii="Arial" w:cs="Arial" w:eastAsia="Arial" w:hAnsi="Arial"/>
                <w:sz w:val="17"/>
                <w:szCs w:val="17"/>
                <w:color w:val="auto"/>
              </w:rPr>
              <w:t>0.38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115"/>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0.07</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0.77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95"/>
              <w:spacing w:after="0"/>
              <w:rPr>
                <w:sz w:val="20"/>
                <w:szCs w:val="20"/>
                <w:color w:val="auto"/>
              </w:rPr>
            </w:pPr>
            <w:r>
              <w:rPr>
                <w:rFonts w:ascii="Arial" w:cs="Arial" w:eastAsia="Arial" w:hAnsi="Arial"/>
                <w:sz w:val="17"/>
                <w:szCs w:val="17"/>
                <w:color w:val="auto"/>
              </w:rPr>
              <w:t>29</w:t>
            </w:r>
          </w:p>
        </w:tc>
        <w:tc>
          <w:tcPr>
            <w:tcW w:w="140" w:type="dxa"/>
            <w:vAlign w:val="bottom"/>
          </w:tcPr>
          <w:p>
            <w:pPr>
              <w:spacing w:after="0"/>
              <w:rPr>
                <w:sz w:val="23"/>
                <w:szCs w:val="23"/>
                <w:color w:val="auto"/>
              </w:rPr>
            </w:pPr>
          </w:p>
        </w:tc>
        <w:tc>
          <w:tcPr>
            <w:tcW w:w="600" w:type="dxa"/>
            <w:vAlign w:val="bottom"/>
          </w:tcPr>
          <w:p>
            <w:pPr>
              <w:jc w:val="right"/>
              <w:ind w:right="55"/>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240"/>
              <w:spacing w:after="0" w:line="270" w:lineRule="exact"/>
              <w:rPr>
                <w:sz w:val="20"/>
                <w:szCs w:val="20"/>
                <w:color w:val="auto"/>
              </w:rPr>
            </w:pPr>
            <w:r>
              <w:rPr>
                <w:rFonts w:ascii="Arial" w:cs="Arial" w:eastAsia="Arial" w:hAnsi="Arial"/>
                <w:sz w:val="17"/>
                <w:szCs w:val="17"/>
                <w:color w:val="auto"/>
              </w:rPr>
              <w:t xml:space="preserve">Fair value adjustment to inventory </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0.30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240"/>
              <w:spacing w:after="0" w:line="270" w:lineRule="exact"/>
              <w:rPr>
                <w:sz w:val="20"/>
                <w:szCs w:val="20"/>
                <w:color w:val="auto"/>
              </w:rPr>
            </w:pPr>
            <w:r>
              <w:rPr>
                <w:rFonts w:ascii="Arial" w:cs="Arial" w:eastAsia="Arial" w:hAnsi="Arial"/>
                <w:sz w:val="17"/>
                <w:szCs w:val="17"/>
                <w:color w:val="auto"/>
              </w:rPr>
              <w:t xml:space="preserve">Restructuring and other </w:t>
            </w:r>
            <w:r>
              <w:rPr>
                <w:rFonts w:ascii="Arial" w:cs="Arial" w:eastAsia="Arial" w:hAnsi="Arial"/>
                <w:sz w:val="28"/>
                <w:szCs w:val="28"/>
                <w:color w:val="auto"/>
                <w:vertAlign w:val="superscript"/>
              </w:rPr>
              <w:t>(3)</w:t>
            </w:r>
          </w:p>
        </w:tc>
        <w:tc>
          <w:tcPr>
            <w:tcW w:w="120" w:type="dxa"/>
            <w:vAlign w:val="bottom"/>
          </w:tcPr>
          <w:p>
            <w:pPr>
              <w:spacing w:after="0"/>
              <w:rPr>
                <w:sz w:val="23"/>
                <w:szCs w:val="23"/>
                <w:color w:val="auto"/>
              </w:rPr>
            </w:pPr>
          </w:p>
        </w:tc>
        <w:tc>
          <w:tcPr>
            <w:tcW w:w="52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(0.01)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115"/>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0.09</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0.21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95"/>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23"/>
                <w:szCs w:val="23"/>
                <w:color w:val="auto"/>
              </w:rPr>
            </w:pPr>
          </w:p>
        </w:tc>
        <w:tc>
          <w:tcPr>
            <w:tcW w:w="600" w:type="dxa"/>
            <w:vAlign w:val="bottom"/>
          </w:tcPr>
          <w:p>
            <w:pPr>
              <w:jc w:val="right"/>
              <w:ind w:right="55"/>
              <w:spacing w:after="0"/>
              <w:rPr>
                <w:sz w:val="20"/>
                <w:szCs w:val="20"/>
                <w:color w:val="auto"/>
              </w:rPr>
            </w:pPr>
            <w:r>
              <w:rPr>
                <w:rFonts w:ascii="Arial" w:cs="Arial" w:eastAsia="Arial" w:hAnsi="Arial"/>
                <w:sz w:val="17"/>
                <w:szCs w:val="17"/>
                <w:color w:val="auto"/>
              </w:rPr>
              <w:t>0.19</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240"/>
              <w:spacing w:after="0" w:line="270" w:lineRule="exact"/>
              <w:rPr>
                <w:sz w:val="20"/>
                <w:szCs w:val="20"/>
                <w:color w:val="auto"/>
              </w:rPr>
            </w:pPr>
            <w:r>
              <w:rPr>
                <w:rFonts w:ascii="Arial" w:cs="Arial" w:eastAsia="Arial" w:hAnsi="Arial"/>
                <w:sz w:val="17"/>
                <w:szCs w:val="17"/>
                <w:color w:val="auto"/>
              </w:rPr>
              <w:t xml:space="preserve">Impact of hedge ineffectiveness </w:t>
            </w:r>
            <w:r>
              <w:rPr>
                <w:rFonts w:ascii="Arial" w:cs="Arial" w:eastAsia="Arial" w:hAnsi="Arial"/>
                <w:sz w:val="28"/>
                <w:szCs w:val="28"/>
                <w:color w:val="auto"/>
                <w:vertAlign w:val="superscript"/>
              </w:rPr>
              <w:t>(4)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(0.01)</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70"/>
        </w:trPr>
        <w:tc>
          <w:tcPr>
            <w:tcW w:w="3520" w:type="dxa"/>
            <w:vAlign w:val="bottom"/>
          </w:tcPr>
          <w:p>
            <w:pPr>
              <w:ind w:left="260"/>
              <w:spacing w:after="0" w:line="270" w:lineRule="exact"/>
              <w:rPr>
                <w:sz w:val="20"/>
                <w:szCs w:val="20"/>
                <w:color w:val="auto"/>
              </w:rPr>
            </w:pPr>
            <w:r>
              <w:rPr>
                <w:rFonts w:ascii="Arial" w:cs="Arial" w:eastAsia="Arial" w:hAnsi="Arial"/>
                <w:sz w:val="17"/>
                <w:szCs w:val="17"/>
                <w:color w:val="auto"/>
              </w:rPr>
              <w:t xml:space="preserve">Acquisition costs </w:t>
            </w:r>
            <w:r>
              <w:rPr>
                <w:rFonts w:ascii="Arial" w:cs="Arial" w:eastAsia="Arial" w:hAnsi="Arial"/>
                <w:sz w:val="28"/>
                <w:szCs w:val="28"/>
                <w:color w:val="auto"/>
                <w:vertAlign w:val="superscript"/>
              </w:rPr>
              <w:t>(5)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0.18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240"/>
              <w:spacing w:after="0" w:line="270" w:lineRule="exact"/>
              <w:rPr>
                <w:sz w:val="20"/>
                <w:szCs w:val="20"/>
                <w:color w:val="auto"/>
              </w:rPr>
            </w:pPr>
            <w:r>
              <w:rPr>
                <w:rFonts w:ascii="Arial" w:cs="Arial" w:eastAsia="Arial" w:hAnsi="Arial"/>
                <w:sz w:val="17"/>
                <w:szCs w:val="17"/>
                <w:color w:val="auto"/>
              </w:rPr>
              <w:t xml:space="preserve">Loss from early extinguishment of debt </w:t>
            </w:r>
            <w:r>
              <w:rPr>
                <w:rFonts w:ascii="Arial" w:cs="Arial" w:eastAsia="Arial" w:hAnsi="Arial"/>
                <w:sz w:val="28"/>
                <w:szCs w:val="28"/>
                <w:color w:val="auto"/>
                <w:vertAlign w:val="superscript"/>
              </w:rPr>
              <w:t>(6)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70"/>
        </w:trPr>
        <w:tc>
          <w:tcPr>
            <w:tcW w:w="3520" w:type="dxa"/>
            <w:vAlign w:val="bottom"/>
            <w:tcBorders>
              <w:bottom w:val="single" w:sz="8" w:color="CCEEFF"/>
            </w:tcBorders>
          </w:tcPr>
          <w:p>
            <w:pPr>
              <w:ind w:left="240"/>
              <w:spacing w:after="0" w:line="270" w:lineRule="exact"/>
              <w:rPr>
                <w:sz w:val="20"/>
                <w:szCs w:val="20"/>
                <w:color w:val="auto"/>
              </w:rPr>
            </w:pPr>
            <w:r>
              <w:rPr>
                <w:rFonts w:ascii="Arial" w:cs="Arial" w:eastAsia="Arial" w:hAnsi="Arial"/>
                <w:sz w:val="17"/>
                <w:szCs w:val="17"/>
                <w:color w:val="auto"/>
                <w:w w:val="95"/>
              </w:rPr>
              <w:t xml:space="preserve">Income taxes and noncontrolling interests </w:t>
            </w:r>
            <w:r>
              <w:rPr>
                <w:rFonts w:ascii="Arial" w:cs="Arial" w:eastAsia="Arial" w:hAnsi="Arial"/>
                <w:sz w:val="28"/>
                <w:szCs w:val="28"/>
                <w:color w:val="auto"/>
                <w:w w:val="95"/>
                <w:vertAlign w:val="superscript"/>
              </w:rPr>
              <w:t>(7)</w:t>
            </w: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0.11</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(0.01)</w:t>
            </w:r>
          </w:p>
        </w:tc>
        <w:tc>
          <w:tcPr>
            <w:tcW w:w="2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(0.14)</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(14)</w:t>
            </w:r>
          </w:p>
        </w:tc>
        <w:tc>
          <w:tcPr>
            <w:tcW w:w="14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186"/>
        </w:trPr>
        <w:tc>
          <w:tcPr>
            <w:tcW w:w="352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Adjusted net income/diluted earnings per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229</w:t>
            </w:r>
          </w:p>
        </w:tc>
        <w:tc>
          <w:tcPr>
            <w:tcW w:w="1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92"/>
              </w:rPr>
              <w:t>$ 1.71</w:t>
            </w:r>
          </w:p>
        </w:tc>
        <w:tc>
          <w:tcPr>
            <w:tcW w:w="14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196</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1.46</w:t>
            </w:r>
          </w:p>
        </w:tc>
        <w:tc>
          <w:tcPr>
            <w:tcW w:w="24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562</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4.20</w:t>
            </w:r>
          </w:p>
        </w:tc>
        <w:tc>
          <w:tcPr>
            <w:tcW w:w="14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462</w:t>
            </w:r>
          </w:p>
        </w:tc>
        <w:tc>
          <w:tcPr>
            <w:tcW w:w="14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92"/>
              </w:rPr>
              <w:t>$ 3.39</w:t>
            </w:r>
          </w:p>
        </w:tc>
        <w:tc>
          <w:tcPr>
            <w:tcW w:w="0" w:type="dxa"/>
            <w:vAlign w:val="bottom"/>
          </w:tcPr>
          <w:p>
            <w:pPr>
              <w:spacing w:after="0"/>
              <w:rPr>
                <w:sz w:val="1"/>
                <w:szCs w:val="1"/>
                <w:color w:val="auto"/>
              </w:rPr>
            </w:pPr>
          </w:p>
        </w:tc>
      </w:tr>
      <w:tr>
        <w:trPr>
          <w:trHeight w:val="23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share</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Effective tax rate as reported</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26.7%</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20"/>
              <w:spacing w:after="0" w:line="270" w:lineRule="exact"/>
              <w:rPr>
                <w:sz w:val="20"/>
                <w:szCs w:val="20"/>
                <w:color w:val="auto"/>
              </w:rPr>
            </w:pPr>
            <w:r>
              <w:rPr>
                <w:rFonts w:ascii="Arial" w:cs="Arial" w:eastAsia="Arial" w:hAnsi="Arial"/>
                <w:sz w:val="17"/>
                <w:szCs w:val="17"/>
                <w:color w:val="auto"/>
              </w:rPr>
              <w:t xml:space="preserve">Adjusted effective tax rate </w:t>
            </w:r>
            <w:r>
              <w:rPr>
                <w:rFonts w:ascii="Arial" w:cs="Arial" w:eastAsia="Arial" w:hAnsi="Arial"/>
                <w:sz w:val="28"/>
                <w:szCs w:val="28"/>
                <w:color w:val="auto"/>
                <w:vertAlign w:val="superscript"/>
              </w:rPr>
              <w:t>(8)</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25.4%</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26.3%</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131" w:lineRule="exact"/>
        <w:rPr>
          <w:sz w:val="20"/>
          <w:szCs w:val="20"/>
          <w:color w:val="auto"/>
        </w:rPr>
      </w:pPr>
    </w:p>
    <w:p>
      <w:pPr>
        <w:ind w:left="340" w:right="20" w:hanging="332"/>
        <w:spacing w:after="0" w:line="25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third quarter and first nine months of 2018, the Company recorded charges of $51 million ($38 million net of tax) and $103 million ($76 million net of tax) for intangibles amortization arising from acquisitions, including its acquisition of Signode in the second quarter of 2018. In the third quarter and first nine months of 2017, the Company recorded charges of $9 million ($7 million net of tax) and $29 million ($21 million net of tax) for intangibles amortization.</w:t>
      </w:r>
    </w:p>
    <w:p>
      <w:pPr>
        <w:spacing w:after="0" w:line="185" w:lineRule="exact"/>
        <w:rPr>
          <w:rFonts w:ascii="Arial" w:cs="Arial" w:eastAsia="Arial" w:hAnsi="Arial"/>
          <w:sz w:val="14"/>
          <w:szCs w:val="14"/>
          <w:color w:val="auto"/>
        </w:rPr>
      </w:pPr>
    </w:p>
    <w:p>
      <w:pPr>
        <w:ind w:left="340" w:right="10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second quarter of 2018, the Company recorded a charge of $40 million ($29 million net of tax) in cost of products sold for fair value adjustment related to the sale of inventory acquired in its acquisition of Signode.</w:t>
      </w:r>
    </w:p>
    <w:p>
      <w:pPr>
        <w:spacing w:after="0" w:line="119" w:lineRule="exact"/>
        <w:rPr>
          <w:rFonts w:ascii="Arial" w:cs="Arial" w:eastAsia="Arial" w:hAnsi="Arial"/>
          <w:sz w:val="14"/>
          <w:szCs w:val="14"/>
          <w:color w:val="auto"/>
        </w:rPr>
      </w:pPr>
    </w:p>
    <w:p>
      <w:pPr>
        <w:jc w:val="both"/>
        <w:ind w:left="340" w:hanging="332"/>
        <w:spacing w:after="0" w:line="252"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third quarter and first nine months of 2018, the Company recorded net restructuring and other charges of $12 million ($10 million net of tax) and $34 million ($31 million net of tax) including $22 million of transaction costs for the nine months in connection with its acquisition of Signode. In the third quarter and first nine months of 2017, the Company recorded restructuring and other charges of $3 million ($3 million net of tax) and $23 million ($18 million net of tax) primarily due to the settlement of a litigation matter related to Mivisa that arose prior to its acquisition by Crown in 2014, and $4 million of curtailment gain reported in other pension and postretirement.</w:t>
      </w:r>
    </w:p>
    <w:p>
      <w:pPr>
        <w:spacing w:after="0" w:line="188" w:lineRule="exact"/>
        <w:rPr>
          <w:sz w:val="20"/>
          <w:szCs w:val="20"/>
          <w:color w:val="auto"/>
        </w:rPr>
      </w:pPr>
    </w:p>
    <w:p>
      <w:pPr>
        <w:ind w:left="340" w:right="180" w:hanging="323"/>
        <w:spacing w:after="0" w:line="312" w:lineRule="auto"/>
        <w:rPr>
          <w:sz w:val="20"/>
          <w:szCs w:val="20"/>
          <w:color w:val="auto"/>
        </w:rPr>
      </w:pPr>
      <w:r>
        <w:rPr>
          <w:rFonts w:ascii="Arial" w:cs="Arial" w:eastAsia="Arial" w:hAnsi="Arial"/>
          <w:sz w:val="13"/>
          <w:szCs w:val="13"/>
          <w:color w:val="auto"/>
        </w:rPr>
        <w:t>In the third quarter and first nine months of 2018, the Company recorded gains of $13 million ($11 million net of tax) and $6 million ($5 million net of tax) for asset sales and impairments. In the third quarter and first nine months of 2017, the Company recorded charges of $9 million ($9 million net of tax) and $3 million ($4 million net of tax) for asset sales and impairments.</w:t>
      </w:r>
    </w:p>
    <w:p>
      <w:pPr>
        <w:spacing w:after="0" w:line="152" w:lineRule="exact"/>
        <w:rPr>
          <w:sz w:val="20"/>
          <w:szCs w:val="20"/>
          <w:color w:val="auto"/>
        </w:rPr>
      </w:pPr>
    </w:p>
    <w:p>
      <w:pPr>
        <w:ind w:left="34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the third quarter and first nine months of 2017, the Company recorded benefits of $1 million (less than $1 million net of tax) and charges of $2 million ($2 million net of tax) in cost of products sold related to the timing impact of hedge ineffectiveness caused primarily by volatility in the metal premium component of aluminum prices.</w:t>
      </w:r>
    </w:p>
    <w:p>
      <w:pPr>
        <w:spacing w:after="0" w:line="173" w:lineRule="exact"/>
        <w:rPr>
          <w:rFonts w:ascii="Arial" w:cs="Arial" w:eastAsia="Arial" w:hAnsi="Arial"/>
          <w:sz w:val="14"/>
          <w:szCs w:val="14"/>
          <w:color w:val="auto"/>
        </w:rPr>
      </w:pPr>
    </w:p>
    <w:p>
      <w:pPr>
        <w:ind w:left="340" w:hanging="332"/>
        <w:spacing w:after="0" w:line="312"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the first quarter of 2018, the Company recorded a charge of $15 million ($10 million net of tax) for net losses arising from its hedge of the U.S. dollar purchase price of its acquisition of Signode. Also in the first quarter, the Company incurred net charges of $9 million ($7 million net of tax) for pre-acquisition interest carrying costs on borrowings to finance the acquisition.</w:t>
      </w:r>
    </w:p>
    <w:p>
      <w:pPr>
        <w:spacing w:after="0" w:line="151" w:lineRule="exact"/>
        <w:rPr>
          <w:rFonts w:ascii="Arial" w:cs="Arial" w:eastAsia="Arial" w:hAnsi="Arial"/>
          <w:sz w:val="13"/>
          <w:szCs w:val="13"/>
          <w:color w:val="auto"/>
        </w:rPr>
      </w:pPr>
    </w:p>
    <w:p>
      <w:pPr>
        <w:ind w:left="34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the second quarter of 2017, the Company recorded a charge of $7 million ($5 million net of tax) for the write off of deferred financing fees in connection with the refinancing of its term loan and revolving credit facilities.</w:t>
      </w:r>
    </w:p>
    <w:p>
      <w:pPr>
        <w:spacing w:after="0" w:line="173" w:lineRule="exact"/>
        <w:rPr>
          <w:rFonts w:ascii="Arial" w:cs="Arial" w:eastAsia="Arial" w:hAnsi="Arial"/>
          <w:sz w:val="14"/>
          <w:szCs w:val="14"/>
          <w:color w:val="auto"/>
        </w:rPr>
      </w:pPr>
    </w:p>
    <w:p>
      <w:pPr>
        <w:jc w:val="both"/>
        <w:ind w:left="340" w:hanging="332"/>
        <w:spacing w:after="0" w:line="286"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the third quarter and first nine months of 2018, the Company recorded income tax and noncontrolling interest benefits of $13 million and $47 million related to the items described above. Also in the third quarter of 2018, the Company recorded charges of $28 million related to taxes on the distribution of foreign earnings, including an adjustment for the impact of the “Tax Cut and Jobs Act”. In the third quarter and first nine months of 2017, the Company recorded income tax benefits of $1 million and $14 million related to the items described above.</w:t>
      </w:r>
    </w:p>
    <w:p>
      <w:pPr>
        <w:spacing w:after="0" w:line="167" w:lineRule="exact"/>
        <w:rPr>
          <w:rFonts w:ascii="Arial" w:cs="Arial" w:eastAsia="Arial" w:hAnsi="Arial"/>
          <w:sz w:val="13"/>
          <w:szCs w:val="13"/>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Income tax effects on adjusted net income were calculated using the applicable tax rates of the underlying jurisdictions.</w:t>
      </w:r>
    </w:p>
    <w:p>
      <w:pPr>
        <w:sectPr>
          <w:pgSz w:w="11900" w:h="16838" w:orient="portrait"/>
          <w:cols w:equalWidth="0" w:num="1">
            <w:col w:w="11420"/>
          </w:cols>
          <w:pgMar w:left="240" w:top="852"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 of 10</w:t>
      </w:r>
    </w:p>
    <w:p>
      <w:pPr>
        <w:sectPr>
          <w:pgSz w:w="11900" w:h="16838" w:orient="portrait"/>
          <w:cols w:equalWidth="0" w:num="1">
            <w:col w:w="11420"/>
          </w:cols>
          <w:pgMar w:left="240" w:top="852" w:right="239"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 (Condensed &amp; Unaudited)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5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44"/>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1,968</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1,098</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4,098</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3,153</w:t>
            </w:r>
          </w:p>
        </w:tc>
        <w:tc>
          <w:tcPr>
            <w:tcW w:w="1580" w:type="dxa"/>
            <w:vAlign w:val="bottom"/>
          </w:tcPr>
          <w:p>
            <w:pPr>
              <w:spacing w:after="0"/>
              <w:rPr>
                <w:sz w:val="22"/>
                <w:szCs w:val="22"/>
                <w:color w:val="auto"/>
              </w:rPr>
            </w:pPr>
          </w:p>
        </w:tc>
      </w:tr>
      <w:tr>
        <w:trPr>
          <w:trHeight w:val="264"/>
        </w:trPr>
        <w:tc>
          <w:tcPr>
            <w:tcW w:w="160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3,722</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3,066</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580" w:type="dxa"/>
            <w:vAlign w:val="bottom"/>
          </w:tcPr>
          <w:p>
            <w:pPr>
              <w:spacing w:after="0"/>
              <w:rPr>
                <w:sz w:val="23"/>
                <w:szCs w:val="23"/>
                <w:color w:val="auto"/>
              </w:rPr>
            </w:pPr>
          </w:p>
        </w:tc>
      </w:tr>
      <w:tr>
        <w:trPr>
          <w:trHeight w:val="297"/>
        </w:trPr>
        <w:tc>
          <w:tcPr>
            <w:tcW w:w="1600" w:type="dxa"/>
            <w:vAlign w:val="bottom"/>
          </w:tcPr>
          <w:p>
            <w:pPr>
              <w:spacing w:after="0"/>
              <w:rPr>
                <w:sz w:val="24"/>
                <w:szCs w:val="24"/>
                <w:color w:val="auto"/>
              </w:rPr>
            </w:pPr>
          </w:p>
        </w:tc>
        <w:tc>
          <w:tcPr>
            <w:tcW w:w="504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15,335</w:t>
            </w:r>
          </w:p>
        </w:tc>
        <w:tc>
          <w:tcPr>
            <w:tcW w:w="7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10,496</w:t>
            </w:r>
          </w:p>
        </w:tc>
        <w:tc>
          <w:tcPr>
            <w:tcW w:w="1580" w:type="dxa"/>
            <w:vAlign w:val="bottom"/>
          </w:tcPr>
          <w:p>
            <w:pPr>
              <w:spacing w:after="0"/>
              <w:rPr>
                <w:sz w:val="24"/>
                <w:szCs w:val="24"/>
                <w:color w:val="auto"/>
              </w:rPr>
            </w:pPr>
          </w:p>
        </w:tc>
      </w:tr>
      <w:tr>
        <w:trPr>
          <w:trHeight w:val="257"/>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580" w:type="dxa"/>
            <w:vAlign w:val="bottom"/>
          </w:tcPr>
          <w:p>
            <w:pPr>
              <w:spacing w:after="0"/>
              <w:rPr>
                <w:sz w:val="23"/>
                <w:szCs w:val="23"/>
                <w:color w:val="auto"/>
              </w:rPr>
            </w:pPr>
          </w:p>
        </w:tc>
      </w:tr>
      <w:tr>
        <w:trPr>
          <w:trHeight w:val="237"/>
        </w:trPr>
        <w:tc>
          <w:tcPr>
            <w:tcW w:w="1600" w:type="dxa"/>
            <w:vAlign w:val="bottom"/>
          </w:tcPr>
          <w:p>
            <w:pPr>
              <w:spacing w:after="0"/>
              <w:rPr>
                <w:sz w:val="20"/>
                <w:szCs w:val="20"/>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3,601</w:t>
            </w:r>
          </w:p>
        </w:tc>
        <w:tc>
          <w:tcPr>
            <w:tcW w:w="7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3,037</w:t>
            </w:r>
          </w:p>
        </w:tc>
        <w:tc>
          <w:tcPr>
            <w:tcW w:w="15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8,928</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5,114</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580" w:type="dxa"/>
            <w:vAlign w:val="bottom"/>
          </w:tcPr>
          <w:p>
            <w:pPr>
              <w:spacing w:after="0"/>
              <w:rPr>
                <w:sz w:val="21"/>
                <w:szCs w:val="21"/>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Crown Holdings shareholders' equity</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941</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798</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58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15,335</w:t>
            </w:r>
          </w:p>
        </w:tc>
        <w:tc>
          <w:tcPr>
            <w:tcW w:w="7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10,496</w:t>
            </w:r>
          </w:p>
        </w:tc>
        <w:tc>
          <w:tcPr>
            <w:tcW w:w="1580" w:type="dxa"/>
            <w:vAlign w:val="bottom"/>
          </w:tcPr>
          <w:p>
            <w:pPr>
              <w:spacing w:after="0"/>
              <w:rPr>
                <w:sz w:val="22"/>
                <w:szCs w:val="22"/>
                <w:color w:val="auto"/>
              </w:rPr>
            </w:pPr>
          </w:p>
        </w:tc>
      </w:tr>
      <w:tr>
        <w:trPr>
          <w:trHeight w:val="20"/>
        </w:trPr>
        <w:tc>
          <w:tcPr>
            <w:tcW w:w="16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534"/>
        </w:trPr>
        <w:tc>
          <w:tcPr>
            <w:tcW w:w="16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 of 10</w:t>
      </w:r>
    </w:p>
    <w:p>
      <w:pPr>
        <w:sectPr>
          <w:pgSz w:w="11900" w:h="16838" w:orient="portrait"/>
          <w:cols w:equalWidth="0" w:num="1">
            <w:col w:w="11420"/>
          </w:cols>
          <w:pgMar w:left="240" w:top="852" w:right="239" w:bottom="1440" w:gutter="0" w:footer="0" w:header="0"/>
          <w:type w:val="continuous"/>
        </w:sectPr>
      </w:pPr>
    </w:p>
    <w:bookmarkStart w:id="12" w:name="page13"/>
    <w:bookmarkEnd w:id="12"/>
    <w:p>
      <w:pPr>
        <w:ind w:left="5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5659755</wp:posOffset>
            </wp:positionH>
            <wp:positionV relativeFrom="paragraph">
              <wp:posOffset>-162560</wp:posOffset>
            </wp:positionV>
            <wp:extent cx="1551940"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52"/>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(in millions)</w:t>
      </w:r>
    </w:p>
    <w:p>
      <w:pPr>
        <w:spacing w:after="0" w:line="157" w:lineRule="exact"/>
        <w:rPr>
          <w:sz w:val="20"/>
          <w:szCs w:val="20"/>
          <w:color w:val="auto"/>
        </w:rPr>
      </w:pPr>
    </w:p>
    <w:tbl>
      <w:tblPr>
        <w:tblLayout w:type="fixed"/>
        <w:tblInd w:w="2012" w:type="dxa"/>
        <w:tblCellMar>
          <w:top w:w="0" w:type="dxa"/>
          <w:left w:w="0" w:type="dxa"/>
          <w:bottom w:w="0" w:type="dxa"/>
          <w:right w:w="0" w:type="dxa"/>
        </w:tblCellMar>
      </w:tblPr>
      <w:tr>
        <w:trPr>
          <w:trHeight w:val="222"/>
        </w:trPr>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Nine months ended September 30,</w:t>
            </w:r>
          </w:p>
        </w:tc>
        <w:tc>
          <w:tcPr>
            <w:tcW w:w="26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b w:val="1"/>
                <w:bCs w:val="1"/>
                <w:color w:val="auto"/>
              </w:rPr>
              <w:t>2017</w:t>
            </w:r>
          </w:p>
        </w:tc>
      </w:tr>
      <w:tr>
        <w:trPr>
          <w:trHeight w:val="31"/>
        </w:trPr>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9"/>
        </w:trPr>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453</w:t>
            </w:r>
          </w:p>
        </w:tc>
        <w:tc>
          <w:tcPr>
            <w:tcW w:w="36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489</w:t>
            </w: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305</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Restructuring and other</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28</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Pension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Pension contributions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Working capital changes and other</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(1,029)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(956)</w:t>
            </w:r>
          </w:p>
        </w:tc>
      </w:tr>
      <w:tr>
        <w:trPr>
          <w:trHeight w:val="31"/>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760" w:type="dxa"/>
            <w:vAlign w:val="bottom"/>
            <w:shd w:val="clear" w:color="auto" w:fill="CCEEFF"/>
          </w:tcPr>
          <w:p>
            <w:pPr>
              <w:ind w:left="460"/>
              <w:spacing w:after="0" w:line="250" w:lineRule="exact"/>
              <w:rPr>
                <w:sz w:val="20"/>
                <w:szCs w:val="20"/>
                <w:color w:val="auto"/>
              </w:rPr>
            </w:pPr>
            <w:r>
              <w:rPr>
                <w:rFonts w:ascii="Arial" w:cs="Arial" w:eastAsia="Arial" w:hAnsi="Arial"/>
                <w:sz w:val="17"/>
                <w:szCs w:val="17"/>
                <w:b w:val="1"/>
                <w:bCs w:val="1"/>
                <w:color w:val="auto"/>
              </w:rPr>
              <w:t xml:space="preserve">Net cash used for operating activities </w:t>
            </w:r>
            <w:r>
              <w:rPr>
                <w:rFonts w:ascii="Arial" w:cs="Arial" w:eastAsia="Arial" w:hAnsi="Arial"/>
                <w:sz w:val="28"/>
                <w:szCs w:val="28"/>
                <w:b w:val="1"/>
                <w:bCs w:val="1"/>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(232)</w:t>
            </w:r>
          </w:p>
        </w:tc>
        <w:tc>
          <w:tcPr>
            <w:tcW w:w="3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(270)</w:t>
            </w:r>
          </w:p>
        </w:tc>
      </w:tr>
      <w:tr>
        <w:trPr>
          <w:trHeight w:val="169"/>
        </w:trPr>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Capital expenditures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(282)</w:t>
            </w: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Beneficial interest in transferred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490</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758</w:t>
            </w:r>
          </w:p>
        </w:tc>
      </w:tr>
      <w:tr>
        <w:trPr>
          <w:trHeight w:val="239"/>
        </w:trPr>
        <w:tc>
          <w:tcPr>
            <w:tcW w:w="4760" w:type="dxa"/>
            <w:vAlign w:val="bottom"/>
          </w:tcPr>
          <w:p>
            <w:pPr>
              <w:ind w:left="140"/>
              <w:spacing w:after="0"/>
              <w:rPr>
                <w:sz w:val="20"/>
                <w:szCs w:val="20"/>
                <w:color w:val="auto"/>
              </w:rPr>
            </w:pPr>
            <w:r>
              <w:rPr>
                <w:rFonts w:ascii="Arial" w:cs="Arial" w:eastAsia="Arial" w:hAnsi="Arial"/>
                <w:sz w:val="17"/>
                <w:szCs w:val="17"/>
                <w:color w:val="auto"/>
              </w:rPr>
              <w:t>Acquisition of business, net of cash acquired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(3,912)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sale of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1"/>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Net cash provided by/(used for)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(3,719)</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464</w:t>
            </w:r>
          </w:p>
        </w:tc>
      </w:tr>
      <w:tr>
        <w:trPr>
          <w:trHeight w:val="169"/>
        </w:trPr>
        <w:tc>
          <w:tcPr>
            <w:tcW w:w="47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Net change in debt</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3,999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Dividends paid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Common stock repurchased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(339)</w:t>
            </w: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Debt issue costs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Other, net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31"/>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Net cash provided by/(used for)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3,902</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(400)</w:t>
            </w:r>
          </w:p>
        </w:tc>
      </w:tr>
      <w:tr>
        <w:trPr>
          <w:trHeight w:val="169"/>
        </w:trPr>
        <w:tc>
          <w:tcPr>
            <w:tcW w:w="47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Effect of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50"/>
        </w:trPr>
        <w:tc>
          <w:tcPr>
            <w:tcW w:w="47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39"/>
        </w:trPr>
        <w:tc>
          <w:tcPr>
            <w:tcW w:w="4760" w:type="dxa"/>
            <w:vAlign w:val="bottom"/>
          </w:tcPr>
          <w:p>
            <w:pPr>
              <w:ind w:left="20"/>
              <w:spacing w:after="0"/>
              <w:rPr>
                <w:sz w:val="20"/>
                <w:szCs w:val="20"/>
                <w:color w:val="auto"/>
              </w:rPr>
            </w:pPr>
            <w:r>
              <w:rPr>
                <w:rFonts w:ascii="Arial" w:cs="Arial" w:eastAsia="Arial" w:hAnsi="Arial"/>
                <w:sz w:val="17"/>
                <w:szCs w:val="17"/>
                <w:color w:val="auto"/>
              </w:rPr>
              <w:t>Cash and cash equivalents at January 1</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435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576</w:t>
            </w:r>
          </w:p>
        </w:tc>
      </w:tr>
      <w:tr>
        <w:trPr>
          <w:trHeight w:val="31"/>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57"/>
        </w:trPr>
        <w:tc>
          <w:tcPr>
            <w:tcW w:w="4760" w:type="dxa"/>
            <w:vAlign w:val="bottom"/>
          </w:tcPr>
          <w:p>
            <w:pPr>
              <w:ind w:left="20"/>
              <w:spacing w:after="0" w:line="257" w:lineRule="exact"/>
              <w:rPr>
                <w:sz w:val="20"/>
                <w:szCs w:val="20"/>
                <w:color w:val="auto"/>
              </w:rPr>
            </w:pPr>
            <w:r>
              <w:rPr>
                <w:rFonts w:ascii="Arial" w:cs="Arial" w:eastAsia="Arial" w:hAnsi="Arial"/>
                <w:sz w:val="17"/>
                <w:szCs w:val="17"/>
                <w:b w:val="1"/>
                <w:bCs w:val="1"/>
                <w:color w:val="auto"/>
              </w:rPr>
              <w:t xml:space="preserve">Cash and cash equivalents at September 30 </w:t>
            </w:r>
            <w:r>
              <w:rPr>
                <w:rFonts w:ascii="Arial" w:cs="Arial" w:eastAsia="Arial" w:hAnsi="Arial"/>
                <w:sz w:val="28"/>
                <w:szCs w:val="28"/>
                <w:b w:val="1"/>
                <w:bCs w:val="1"/>
                <w:color w:val="auto"/>
                <w:vertAlign w:val="superscript"/>
              </w:rPr>
              <w:t>(2)</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354</w:t>
            </w:r>
          </w:p>
        </w:tc>
        <w:tc>
          <w:tcPr>
            <w:tcW w:w="360" w:type="dxa"/>
            <w:vAlign w:val="bottom"/>
          </w:tcPr>
          <w:p>
            <w:pPr>
              <w:spacing w:after="0"/>
              <w:rPr>
                <w:sz w:val="22"/>
                <w:szCs w:val="22"/>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386</w:t>
            </w: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3" w:lineRule="exact"/>
        <w:rPr>
          <w:sz w:val="20"/>
          <w:szCs w:val="20"/>
          <w:color w:val="auto"/>
        </w:rPr>
      </w:pPr>
    </w:p>
    <w:p>
      <w:pPr>
        <w:ind w:left="332" w:hanging="332"/>
        <w:spacing w:after="0" w:line="273" w:lineRule="auto"/>
        <w:tabs>
          <w:tab w:leader="none" w:pos="211"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free cash flow is defined by the Company as net cash used for operating activities plus beneficial interest in transferred receivables less capital expenditures and certain other items. A reconciliation from net cash used for operating activities to adjusted free cash flow for the three and nine months ended September 30, 2018 and 2017 follows.</w:t>
      </w:r>
    </w:p>
    <w:p>
      <w:pPr>
        <w:spacing w:after="0" w:line="119" w:lineRule="exact"/>
        <w:rPr>
          <w:rFonts w:ascii="Arial" w:cs="Arial" w:eastAsia="Arial" w:hAnsi="Arial"/>
          <w:sz w:val="14"/>
          <w:szCs w:val="14"/>
          <w:color w:val="auto"/>
        </w:rPr>
      </w:pPr>
    </w:p>
    <w:p>
      <w:pPr>
        <w:ind w:left="332" w:hanging="332"/>
        <w:spacing w:after="0"/>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Cash and cash equivalents includes $56 and $12 of restricted cash at September 30, 2018 and 2017.</w:t>
      </w:r>
    </w:p>
    <w:p>
      <w:pPr>
        <w:spacing w:after="0" w:line="158" w:lineRule="exact"/>
        <w:rPr>
          <w:sz w:val="20"/>
          <w:szCs w:val="20"/>
          <w:color w:val="auto"/>
        </w:rPr>
      </w:pPr>
    </w:p>
    <w:tbl>
      <w:tblPr>
        <w:tblLayout w:type="fixed"/>
        <w:tblInd w:w="1592"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gridSpan w:val="5"/>
          </w:tcPr>
          <w:p>
            <w:pPr>
              <w:ind w:left="20"/>
              <w:spacing w:after="0"/>
              <w:rPr>
                <w:sz w:val="20"/>
                <w:szCs w:val="20"/>
                <w:color w:val="auto"/>
              </w:rPr>
            </w:pPr>
            <w:r>
              <w:rPr>
                <w:rFonts w:ascii="Arial" w:cs="Arial" w:eastAsia="Arial" w:hAnsi="Arial"/>
                <w:sz w:val="17"/>
                <w:szCs w:val="17"/>
                <w:b w:val="1"/>
                <w:bCs w:val="1"/>
                <w:color w:val="auto"/>
                <w:w w:val="90"/>
              </w:rPr>
              <w:t>Nine Months Ended September</w:t>
            </w:r>
          </w:p>
        </w:tc>
        <w:tc>
          <w:tcPr>
            <w:tcW w:w="0" w:type="dxa"/>
            <w:vAlign w:val="bottom"/>
          </w:tcPr>
          <w:p>
            <w:pPr>
              <w:spacing w:after="0"/>
              <w:rPr>
                <w:sz w:val="1"/>
                <w:szCs w:val="1"/>
                <w:color w:val="auto"/>
              </w:rPr>
            </w:pPr>
          </w:p>
        </w:tc>
      </w:tr>
      <w:tr>
        <w:trPr>
          <w:trHeight w:val="222"/>
        </w:trPr>
        <w:tc>
          <w:tcPr>
            <w:tcW w:w="3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3"/>
          </w:tcPr>
          <w:p>
            <w:pPr>
              <w:jc w:val="right"/>
              <w:ind w:right="235"/>
              <w:spacing w:after="0"/>
              <w:rPr>
                <w:sz w:val="20"/>
                <w:szCs w:val="20"/>
                <w:color w:val="auto"/>
              </w:rPr>
            </w:pPr>
            <w:r>
              <w:rPr>
                <w:rFonts w:ascii="Arial" w:cs="Arial" w:eastAsia="Arial" w:hAnsi="Arial"/>
                <w:sz w:val="17"/>
                <w:szCs w:val="17"/>
                <w:b w:val="1"/>
                <w:bCs w:val="1"/>
                <w:color w:val="auto"/>
              </w:rPr>
              <w:t>September 30,</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30,</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2018</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2017</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35"/>
              <w:spacing w:after="0"/>
              <w:rPr>
                <w:sz w:val="20"/>
                <w:szCs w:val="20"/>
                <w:color w:val="auto"/>
              </w:rPr>
            </w:pPr>
            <w:r>
              <w:rPr>
                <w:rFonts w:ascii="Arial" w:cs="Arial" w:eastAsia="Arial" w:hAnsi="Arial"/>
                <w:sz w:val="17"/>
                <w:szCs w:val="17"/>
                <w:b w:val="1"/>
                <w:bCs w:val="1"/>
                <w:color w:val="auto"/>
              </w:rPr>
              <w:t>2018</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3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31"/>
        </w:trPr>
        <w:tc>
          <w:tcPr>
            <w:tcW w:w="3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cash used for operating activities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220" w:type="dxa"/>
            <w:vAlign w:val="bottom"/>
            <w:vMerge w:val="continue"/>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auto"/>
              </w:rPr>
              <w:t>260</w:t>
            </w:r>
          </w:p>
        </w:tc>
        <w:tc>
          <w:tcPr>
            <w:tcW w:w="340" w:type="dxa"/>
            <w:vAlign w:val="bottom"/>
          </w:tcPr>
          <w:p>
            <w:pPr>
              <w:spacing w:after="0"/>
              <w:rPr>
                <w:sz w:val="19"/>
                <w:szCs w:val="19"/>
                <w:color w:val="auto"/>
              </w:rPr>
            </w:pPr>
          </w:p>
        </w:tc>
        <w:tc>
          <w:tcPr>
            <w:tcW w:w="680" w:type="dxa"/>
            <w:vAlign w:val="bottom"/>
          </w:tcPr>
          <w:p>
            <w:pPr>
              <w:jc w:val="right"/>
              <w:ind w:right="495"/>
              <w:spacing w:after="0"/>
              <w:rPr>
                <w:sz w:val="20"/>
                <w:szCs w:val="20"/>
                <w:color w:val="auto"/>
              </w:rPr>
            </w:pPr>
            <w:r>
              <w:rPr>
                <w:rFonts w:ascii="Arial" w:cs="Arial" w:eastAsia="Arial" w:hAnsi="Arial"/>
                <w:sz w:val="17"/>
                <w:szCs w:val="17"/>
                <w:b w:val="1"/>
                <w:bCs w:val="1"/>
                <w:color w:val="auto"/>
                <w:w w:val="84"/>
              </w:rPr>
              <w:t>$</w:t>
            </w:r>
          </w:p>
        </w:tc>
        <w:tc>
          <w:tcPr>
            <w:tcW w:w="360" w:type="dxa"/>
            <w:vAlign w:val="bottom"/>
          </w:tcPr>
          <w:p>
            <w:pPr>
              <w:jc w:val="right"/>
              <w:ind w:right="15"/>
              <w:spacing w:after="0"/>
              <w:rPr>
                <w:sz w:val="20"/>
                <w:szCs w:val="20"/>
                <w:color w:val="auto"/>
              </w:rPr>
            </w:pPr>
            <w:r>
              <w:rPr>
                <w:rFonts w:ascii="Arial" w:cs="Arial" w:eastAsia="Arial" w:hAnsi="Arial"/>
                <w:sz w:val="17"/>
                <w:szCs w:val="17"/>
                <w:b w:val="1"/>
                <w:bCs w:val="1"/>
                <w:color w:val="auto"/>
                <w:w w:val="84"/>
              </w:rPr>
              <w:t>205</w:t>
            </w:r>
          </w:p>
        </w:tc>
        <w:tc>
          <w:tcPr>
            <w:tcW w:w="46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(232)</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(270)</w:t>
            </w:r>
          </w:p>
        </w:tc>
        <w:tc>
          <w:tcPr>
            <w:tcW w:w="0" w:type="dxa"/>
            <w:vAlign w:val="bottom"/>
          </w:tcPr>
          <w:p>
            <w:pPr>
              <w:spacing w:after="0"/>
              <w:rPr>
                <w:sz w:val="1"/>
                <w:szCs w:val="1"/>
                <w:color w:val="auto"/>
              </w:rPr>
            </w:pPr>
          </w:p>
        </w:tc>
      </w:tr>
      <w:tr>
        <w:trPr>
          <w:trHeight w:val="31"/>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Beneficial interest in transferred receivables</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155</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251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490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758</w:t>
            </w:r>
          </w:p>
        </w:tc>
        <w:tc>
          <w:tcPr>
            <w:tcW w:w="0" w:type="dxa"/>
            <w:vAlign w:val="bottom"/>
          </w:tcPr>
          <w:p>
            <w:pPr>
              <w:spacing w:after="0"/>
              <w:rPr>
                <w:sz w:val="1"/>
                <w:szCs w:val="1"/>
                <w:color w:val="auto"/>
              </w:rPr>
            </w:pPr>
          </w:p>
        </w:tc>
      </w:tr>
      <w:tr>
        <w:trPr>
          <w:trHeight w:val="186"/>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vMerge w:val="continue"/>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Arial" w:cs="Arial" w:eastAsia="Arial" w:hAnsi="Arial"/>
                <w:sz w:val="17"/>
                <w:szCs w:val="17"/>
                <w:color w:val="auto"/>
              </w:rPr>
              <w:t>Acquisition costs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22</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Adjusted cash used for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415</w:t>
            </w: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456</w:t>
            </w:r>
          </w:p>
        </w:tc>
        <w:tc>
          <w:tcPr>
            <w:tcW w:w="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280</w:t>
            </w: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(105)</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9"/>
              </w:rPr>
              <w:t>(82)</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31"/>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free cash flow</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310</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5"/>
              <w:spacing w:after="0"/>
              <w:rPr>
                <w:sz w:val="20"/>
                <w:szCs w:val="20"/>
                <w:color w:val="auto"/>
              </w:rPr>
            </w:pPr>
            <w:r>
              <w:rPr>
                <w:rFonts w:ascii="Arial" w:cs="Arial" w:eastAsia="Arial" w:hAnsi="Arial"/>
                <w:sz w:val="17"/>
                <w:szCs w:val="17"/>
                <w:b w:val="1"/>
                <w:bCs w:val="1"/>
                <w:color w:val="auto"/>
                <w:w w:val="84"/>
              </w:rPr>
              <w:t>$</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374</w:t>
            </w: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206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32" w:right="20" w:hanging="332"/>
        <w:spacing w:after="0" w:line="312" w:lineRule="auto"/>
        <w:tabs>
          <w:tab w:leader="none" w:pos="211" w:val="left"/>
        </w:tabs>
        <w:numPr>
          <w:ilvl w:val="0"/>
          <w:numId w:val="7"/>
        </w:numPr>
        <w:rPr>
          <w:rFonts w:ascii="Arial" w:cs="Arial" w:eastAsia="Arial" w:hAnsi="Arial"/>
          <w:sz w:val="13"/>
          <w:szCs w:val="13"/>
          <w:color w:val="auto"/>
        </w:rPr>
      </w:pPr>
      <w:r>
        <w:rPr>
          <w:rFonts w:ascii="Arial" w:cs="Arial" w:eastAsia="Arial" w:hAnsi="Arial"/>
          <w:sz w:val="13"/>
          <w:szCs w:val="13"/>
          <w:color w:val="auto"/>
        </w:rPr>
        <w:t>Prior year cash flow has been restated to reflect new accounting guidance related to the classification of certain cash receipts associated with the Company’s receivable securitization programs. Certain receipts previously reported in cash from operations are now reported in cash from investing activities as “Beneficial interest in transferred receivables”.</w:t>
      </w:r>
    </w:p>
    <w:p>
      <w:pPr>
        <w:sectPr>
          <w:pgSz w:w="11900" w:h="16838" w:orient="portrait"/>
          <w:cols w:equalWidth="0" w:num="1">
            <w:col w:w="11412"/>
          </w:cols>
          <w:pgMar w:left="248" w:top="852" w:right="239" w:bottom="40" w:gutter="0" w:footer="0" w:header="0"/>
        </w:sectPr>
      </w:pPr>
    </w:p>
    <w:p>
      <w:pPr>
        <w:spacing w:after="0" w:line="18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Page 8 of 10</w:t>
      </w:r>
    </w:p>
    <w:p>
      <w:pPr>
        <w:sectPr>
          <w:pgSz w:w="11900" w:h="16838" w:orient="portrait"/>
          <w:cols w:equalWidth="0" w:num="1">
            <w:col w:w="11412"/>
          </w:cols>
          <w:pgMar w:left="248" w:top="852" w:right="239" w:bottom="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Consolidated Supplemental Data (Unaudited)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5700" w:type="dxa"/>
            <w:vAlign w:val="bottom"/>
            <w:gridSpan w:val="10"/>
          </w:tcPr>
          <w:p>
            <w:pPr>
              <w:spacing w:after="0"/>
              <w:rPr>
                <w:sz w:val="20"/>
                <w:szCs w:val="20"/>
                <w:color w:val="auto"/>
              </w:rPr>
            </w:pPr>
            <w:r>
              <w:rPr>
                <w:rFonts w:ascii="Arial" w:cs="Arial" w:eastAsia="Arial" w:hAnsi="Arial"/>
                <w:sz w:val="18"/>
                <w:szCs w:val="18"/>
                <w:b w:val="1"/>
                <w:bCs w:val="1"/>
                <w:color w:val="auto"/>
                <w:w w:val="90"/>
              </w:rPr>
              <w:t>Reconciliation of 2017 Segment Income to Amounts Previously Reported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42"/>
        </w:trPr>
        <w:tc>
          <w:tcPr>
            <w:tcW w:w="350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Third Quarter 2017 Segment Income </w:t>
            </w:r>
            <w:r>
              <w:rPr>
                <w:rFonts w:ascii="Arial" w:cs="Arial" w:eastAsia="Arial" w:hAnsi="Arial"/>
                <w:sz w:val="25"/>
                <w:szCs w:val="25"/>
                <w:b w:val="1"/>
                <w:bCs w:val="1"/>
                <w:color w:val="auto"/>
                <w:vertAlign w:val="superscript"/>
              </w:rPr>
              <w:t>(1)</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1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As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As</w:t>
            </w:r>
          </w:p>
        </w:tc>
      </w:tr>
      <w:tr>
        <w:trPr>
          <w:trHeight w:val="270"/>
        </w:trPr>
        <w:tc>
          <w:tcPr>
            <w:tcW w:w="16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Previously</w:t>
            </w:r>
          </w:p>
        </w:tc>
        <w:tc>
          <w:tcPr>
            <w:tcW w:w="160" w:type="dxa"/>
            <w:vAlign w:val="bottom"/>
          </w:tcPr>
          <w:p>
            <w:pPr>
              <w:spacing w:after="0"/>
              <w:rPr>
                <w:sz w:val="23"/>
                <w:szCs w:val="2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Pension and</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w w:val="88"/>
              </w:rPr>
              <w:t>Intangibles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Currently</w:t>
            </w:r>
          </w:p>
        </w:tc>
      </w:tr>
      <w:tr>
        <w:trPr>
          <w:trHeight w:val="270"/>
        </w:trPr>
        <w:tc>
          <w:tcPr>
            <w:tcW w:w="3500" w:type="dxa"/>
            <w:vAlign w:val="bottom"/>
            <w:gridSpan w:val="3"/>
          </w:tcPr>
          <w:p>
            <w:pPr>
              <w:ind w:left="20"/>
              <w:spacing w:after="0"/>
              <w:rPr>
                <w:sz w:val="20"/>
                <w:szCs w:val="20"/>
                <w:color w:val="auto"/>
              </w:rPr>
            </w:pPr>
            <w:r>
              <w:rPr>
                <w:rFonts w:ascii="Arial" w:cs="Arial" w:eastAsia="Arial" w:hAnsi="Arial"/>
                <w:sz w:val="18"/>
                <w:szCs w:val="18"/>
                <w:b w:val="1"/>
                <w:bCs w:val="1"/>
                <w:color w:val="auto"/>
              </w:rPr>
              <w:t>Segment</w:t>
            </w:r>
          </w:p>
        </w:tc>
        <w:tc>
          <w:tcPr>
            <w:tcW w:w="160" w:type="dxa"/>
            <w:vAlign w:val="bottom"/>
          </w:tcPr>
          <w:p>
            <w:pPr>
              <w:spacing w:after="0"/>
              <w:rPr>
                <w:sz w:val="23"/>
                <w:szCs w:val="2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Postretirement</w:t>
            </w:r>
          </w:p>
        </w:tc>
        <w:tc>
          <w:tcPr>
            <w:tcW w:w="13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8"/>
              </w:rPr>
              <w:t>Amortization</w:t>
            </w:r>
          </w:p>
        </w:tc>
        <w:tc>
          <w:tcPr>
            <w:tcW w:w="18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Reported</w:t>
            </w:r>
          </w:p>
        </w:tc>
      </w:tr>
      <w:tr>
        <w:trPr>
          <w:trHeight w:val="27"/>
        </w:trPr>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European Beverage</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Non-reportable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Corporate and unallocated</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16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358</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9</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352</w:t>
            </w:r>
          </w:p>
        </w:tc>
      </w:tr>
      <w:tr>
        <w:trPr>
          <w:trHeight w:val="20"/>
        </w:trPr>
        <w:tc>
          <w:tcPr>
            <w:tcW w:w="1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300" w:type="dxa"/>
        <w:tblCellMar>
          <w:top w:w="0" w:type="dxa"/>
          <w:left w:w="0" w:type="dxa"/>
          <w:bottom w:w="0" w:type="dxa"/>
          <w:right w:w="0" w:type="dxa"/>
        </w:tblCellMar>
      </w:tblPr>
      <w:tr>
        <w:trPr>
          <w:trHeight w:val="287"/>
        </w:trPr>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YTD 2017 Segment Income </w:t>
            </w:r>
            <w:r>
              <w:rPr>
                <w:rFonts w:ascii="Arial" w:cs="Arial" w:eastAsia="Arial" w:hAnsi="Arial"/>
                <w:sz w:val="25"/>
                <w:szCs w:val="25"/>
                <w:b w:val="1"/>
                <w:bCs w:val="1"/>
                <w:color w:val="auto"/>
                <w:vertAlign w:val="superscript"/>
              </w:rPr>
              <w:t>(1)</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33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As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As</w:t>
            </w:r>
          </w:p>
        </w:tc>
      </w:tr>
      <w:tr>
        <w:trPr>
          <w:trHeight w:val="270"/>
        </w:trPr>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Previously</w:t>
            </w:r>
          </w:p>
        </w:tc>
        <w:tc>
          <w:tcPr>
            <w:tcW w:w="160" w:type="dxa"/>
            <w:vAlign w:val="bottom"/>
          </w:tcPr>
          <w:p>
            <w:pPr>
              <w:spacing w:after="0"/>
              <w:rPr>
                <w:sz w:val="23"/>
                <w:szCs w:val="2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Pension and</w:t>
            </w:r>
          </w:p>
        </w:tc>
        <w:tc>
          <w:tcPr>
            <w:tcW w:w="140" w:type="dxa"/>
            <w:vAlign w:val="bottom"/>
          </w:tcPr>
          <w:p>
            <w:pPr>
              <w:spacing w:after="0"/>
              <w:rPr>
                <w:sz w:val="23"/>
                <w:szCs w:val="2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Intangibles</w:t>
            </w:r>
          </w:p>
        </w:tc>
        <w:tc>
          <w:tcPr>
            <w:tcW w:w="18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Currently</w:t>
            </w: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60" w:type="dxa"/>
            <w:vAlign w:val="bottom"/>
          </w:tcPr>
          <w:p>
            <w:pPr>
              <w:spacing w:after="0"/>
              <w:rPr>
                <w:sz w:val="23"/>
                <w:szCs w:val="2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Postretirement</w:t>
            </w: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Reported</w:t>
            </w:r>
          </w:p>
        </w:tc>
      </w:tr>
      <w:tr>
        <w:trPr>
          <w:trHeight w:val="27"/>
        </w:trPr>
        <w:tc>
          <w:tcPr>
            <w:tcW w:w="3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Americas Beverage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European Beverage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European Food</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Non-reportable</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57"/>
        </w:trPr>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873</w:t>
            </w: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340" w:hanging="332"/>
        <w:spacing w:after="0" w:line="275" w:lineRule="auto"/>
        <w:tabs>
          <w:tab w:leader="none" w:pos="259"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Prior year segment income has been restated to reflect new accounting guidance on the presentation of pension and postretirement expense and the Company's revised policy to exclude intangibles amortization charges from segment income.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10</w:t>
      </w:r>
    </w:p>
    <w:p>
      <w:pPr>
        <w:sectPr>
          <w:pgSz w:w="11900" w:h="16838" w:orient="portrait"/>
          <w:cols w:equalWidth="0" w:num="1">
            <w:col w:w="11420"/>
          </w:cols>
          <w:pgMar w:left="240" w:top="852" w:right="239" w:bottom="1440" w:gutter="0" w:footer="0" w:header="0"/>
        </w:sectPr>
      </w:pPr>
    </w:p>
    <w:bookmarkStart w:id="14" w:name="page15"/>
    <w:bookmarkEnd w:id="14"/>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0" w:lineRule="exact"/>
        <w:rPr>
          <w:sz w:val="20"/>
          <w:szCs w:val="20"/>
          <w:color w:val="auto"/>
        </w:rPr>
      </w:pPr>
    </w:p>
    <w:p>
      <w:pPr>
        <w:spacing w:after="0" w:line="36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u w:val="single" w:color="auto"/>
          <w:color w:val="auto"/>
        </w:rPr>
        <w:t>Consolidated Supplemental Data (Unaudited)</w:t>
      </w:r>
    </w:p>
    <w:p>
      <w:pPr>
        <w:spacing w:after="0" w:line="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Comparative Results for Signode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58"/>
        </w:trPr>
        <w:tc>
          <w:tcPr>
            <w:tcW w:w="2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Revenue</w:t>
            </w:r>
          </w:p>
        </w:tc>
        <w:tc>
          <w:tcPr>
            <w:tcW w:w="6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8"/>
              </w:rPr>
              <w:t>Segment Income</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 xml:space="preserve">Depreciation </w:t>
            </w:r>
            <w:r>
              <w:rPr>
                <w:rFonts w:ascii="Arial" w:cs="Arial" w:eastAsia="Arial" w:hAnsi="Arial"/>
                <w:sz w:val="25"/>
                <w:szCs w:val="25"/>
                <w:b w:val="1"/>
                <w:bCs w:val="1"/>
                <w:color w:val="auto"/>
                <w:vertAlign w:val="superscript"/>
              </w:rPr>
              <w:t>(1)</w:t>
            </w:r>
          </w:p>
        </w:tc>
      </w:tr>
      <w:tr>
        <w:trPr>
          <w:trHeight w:val="237"/>
        </w:trPr>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r>
      <w:tr>
        <w:trPr>
          <w:trHeight w:val="27"/>
        </w:trPr>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Q1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240" w:type="dxa"/>
            <w:vAlign w:val="bottom"/>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Q2</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2240" w:type="dxa"/>
            <w:vAlign w:val="bottom"/>
          </w:tcPr>
          <w:p>
            <w:pPr>
              <w:spacing w:after="0"/>
              <w:rPr>
                <w:sz w:val="21"/>
                <w:szCs w:val="21"/>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Q3</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240" w:type="dxa"/>
            <w:vAlign w:val="bottom"/>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Q4</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r>
      <w:tr>
        <w:trPr>
          <w:trHeight w:val="27"/>
        </w:trPr>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 of depreciation expense included in segment income, including acquisition step-up depreciation in 2018.</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left="5220"/>
        <w:spacing w:after="0"/>
        <w:rPr>
          <w:rFonts w:ascii="Arial" w:cs="Arial" w:eastAsia="Arial" w:hAnsi="Arial"/>
          <w:sz w:val="16"/>
          <w:szCs w:val="16"/>
          <w:color w:val="auto"/>
        </w:rPr>
      </w:pPr>
      <w:r>
        <w:rPr>
          <w:rFonts w:ascii="Arial" w:cs="Arial" w:eastAsia="Arial" w:hAnsi="Arial"/>
          <w:sz w:val="18"/>
          <w:szCs w:val="18"/>
          <w:color w:val="auto"/>
        </w:rPr>
        <w:t>Page 10 of 10</w:t>
      </w:r>
    </w:p>
    <w:sectPr>
      <w:pgSz w:w="11900" w:h="16838" w:orient="portrait"/>
      <w:cols w:equalWidth="0" w:num="1">
        <w:col w:w="10219"/>
      </w:cols>
      <w:pgMar w:left="240" w:top="8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2019-12-28T18:53:50Z</dcterms:created>
  <dcterms:modified xsi:type="dcterms:W3CDTF">2019-12-28T18:53:50Z</dcterms:modified>
</cp:coreProperties>
</file>