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737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7372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CLOTHIER KEVIN CHARLES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00"/>
        <w:spacing w:after="0" w:line="365" w:lineRule="auto"/>
        <w:rPr>
          <w:sz w:val="20"/>
          <w:szCs w:val="20"/>
          <w:color w:val="auto"/>
        </w:rPr>
      </w:pPr>
      <w:r>
        <w:rPr>
          <w:rFonts w:ascii="Times New Roman" w:cs="Times New Roman" w:eastAsia="Times New Roman" w:hAnsi="Times New Roman"/>
          <w:sz w:val="17"/>
          <w:szCs w:val="17"/>
          <w:color w:val="0000FF"/>
        </w:rPr>
        <w:t>HIDDEN RIVER CORPORATE CENTER TWO 14025 RIVEREDGE DRIVE, SUITE 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TAMPA</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33637</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CROWN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CCK</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40" w:type="dxa"/>
            <w:vAlign w:val="bottom"/>
            <w:tcBorders>
              <w:bottom w:val="single" w:sz="8" w:color="0000EE"/>
            </w:tcBorders>
          </w:tcPr>
          <w:p>
            <w:pPr>
              <w:spacing w:after="0"/>
              <w:rPr>
                <w:sz w:val="3"/>
                <w:szCs w:val="3"/>
                <w:color w:val="auto"/>
              </w:rPr>
            </w:pPr>
          </w:p>
        </w:tc>
        <w:tc>
          <w:tcPr>
            <w:tcW w:w="1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34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01/03/2024</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Senior Vice President &amp; CFO</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01/03/2024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18,236</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44,992</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01/04/2024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right="73"/>
              <w:spacing w:after="0"/>
              <w:rPr>
                <w:sz w:val="20"/>
                <w:szCs w:val="20"/>
                <w:color w:val="auto"/>
              </w:rPr>
            </w:pPr>
            <w:r>
              <w:rPr>
                <w:rFonts w:ascii="Times New Roman" w:cs="Times New Roman" w:eastAsia="Times New Roman" w:hAnsi="Times New Roman"/>
                <w:sz w:val="17"/>
                <w:szCs w:val="17"/>
                <w:color w:val="0000FF"/>
              </w:rPr>
              <w:t>772</w:t>
            </w:r>
            <w:r>
              <w:rPr>
                <w:rFonts w:ascii="Times New Roman" w:cs="Times New Roman" w:eastAsia="Times New Roman" w:hAnsi="Times New Roman"/>
                <w:sz w:val="22"/>
                <w:szCs w:val="22"/>
                <w:color w:val="008000"/>
                <w:vertAlign w:val="superscript"/>
              </w:rPr>
              <w:t>(2)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90.34</w:t>
            </w:r>
          </w:p>
        </w:tc>
        <w:tc>
          <w:tcPr>
            <w:tcW w:w="1200" w:type="dxa"/>
            <w:vAlign w:val="bottom"/>
            <w:tcBorders>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44,220</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center"/>
              <w:ind w:right="377"/>
              <w:spacing w:after="0" w:line="213" w:lineRule="exact"/>
              <w:rPr>
                <w:sz w:val="20"/>
                <w:szCs w:val="20"/>
                <w:color w:val="auto"/>
              </w:rPr>
            </w:pPr>
            <w:r>
              <w:rPr>
                <w:rFonts w:ascii="Times New Roman" w:cs="Times New Roman" w:eastAsia="Times New Roman" w:hAnsi="Times New Roman"/>
                <w:sz w:val="17"/>
                <w:szCs w:val="17"/>
                <w:color w:val="0000FF"/>
                <w:w w:val="89"/>
              </w:rPr>
              <w:t>356</w:t>
            </w:r>
            <w:r>
              <w:rPr>
                <w:rFonts w:ascii="Times New Roman" w:cs="Times New Roman" w:eastAsia="Times New Roman" w:hAnsi="Times New Roman"/>
                <w:sz w:val="22"/>
                <w:szCs w:val="22"/>
                <w:color w:val="008000"/>
                <w:w w:val="89"/>
                <w:vertAlign w:val="superscript"/>
              </w:rPr>
              <w:t>(3)</w:t>
            </w:r>
          </w:p>
        </w:tc>
        <w:tc>
          <w:tcPr>
            <w:tcW w:w="920" w:type="dxa"/>
            <w:vAlign w:val="bottom"/>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18,236 shares of Restricted Common Stock under the 2022 Stock-Based Compensation Plan. 6,270 time-vested restricted shares vest over a three year period as follows: 2,090 time-vested restricted shares on January 6, 2025, January 5, 2026 and January 4, 2027, respectively. 5,625 performance-based restricted shares are targeted to vest on January 4, 2027 based on the Company's Total Shareholder Return versus a defined peer group of companies, with the final number of performance-based vested shares varying from 0 to 200% of 5,625. 6,341 performance-based restricted shares are targeted to vest on January 4, 2027 based on the Return on Invested Capital achieved by the Company compared to the ROIC target, with the final number of performance-based vested shares varying from 0 to 6,341.</w:t>
      </w:r>
    </w:p>
    <w:p>
      <w:pPr>
        <w:spacing w:after="0" w:line="2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transferred to the Company for tax withholding in connection with vesting of restricted stock.</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December 31, 2024, the Reporting Person owned 356 shares of CCK Common Stock under the CCK 401(k) Plan.</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Rosemary Haselroth, by</w:t>
            </w:r>
          </w:p>
        </w:tc>
        <w:tc>
          <w:tcPr>
            <w:tcW w:w="1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01/05/2024</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78886" TargetMode="External"/><Relationship Id="rId13"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2024-01-05T11:04:07Z</dcterms:created>
  <dcterms:modified xsi:type="dcterms:W3CDTF">2024-01-05T11:04:07Z</dcterms:modified>
</cp:coreProperties>
</file>