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80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5080" w:hanging="529"/>
        <w:spacing w:after="0" w:line="183"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1"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5,493,739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22,508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6,405,349</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6,407,573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4.7 %</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CROWN HOLDINGS,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770 Township Line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Yardley, PA 19067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5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$5.00 Par Value</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228368106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240" w:top="513" w:right="45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4"/>
          </w:cols>
          <w:pgMar w:left="896" w:top="61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6,407,573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4.7 %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5,493,739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22,508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6,405,349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06,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340"/>
          </w:cols>
          <w:pgMar w:left="240" w:top="756" w:right="31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2020-01-06T13:33:18Z</dcterms:created>
  <dcterms:modified xsi:type="dcterms:W3CDTF">2020-01-06T13:33:18Z</dcterms:modified>
</cp:coreProperties>
</file>