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SECURITIES AND EXCHANGE COMMISSION</w:t>
      </w:r>
    </w:p>
    <w:p>
      <w:pPr>
        <w:spacing w:after="0" w:line="2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 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left="4280"/>
        <w:spacing w:after="0"/>
        <w:rPr>
          <w:sz w:val="20"/>
          <w:szCs w:val="20"/>
          <w:color w:val="auto"/>
        </w:rPr>
      </w:pPr>
      <w:r>
        <w:rPr>
          <w:rFonts w:ascii="Arial" w:cs="Arial" w:eastAsia="Arial" w:hAnsi="Arial"/>
          <w:sz w:val="29"/>
          <w:szCs w:val="29"/>
          <w:b w:val="1"/>
          <w:bCs w:val="1"/>
          <w:color w:val="auto"/>
        </w:rPr>
        <w:t>FORM 11-K</w:t>
      </w:r>
    </w:p>
    <w:p>
      <w:pPr>
        <w:sectPr>
          <w:pgSz w:w="11900" w:h="16838" w:orient="portrait"/>
          <w:cols w:equalWidth="0" w:num="1">
            <w:col w:w="9559"/>
          </w:cols>
          <w:pgMar w:left="900" w:top="1440" w:right="1440" w:bottom="1440" w:gutter="0" w:footer="0" w:header="0"/>
        </w:sectPr>
      </w:pPr>
    </w:p>
    <w:p>
      <w:pPr>
        <w:spacing w:after="0" w:line="387"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 X ]</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ANNUAL REPORT PURSUANT TO SECTION 15(d)</w:t>
      </w:r>
    </w:p>
    <w:p>
      <w:pPr>
        <w:spacing w:after="0" w:line="3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ectPr>
          <w:pgSz w:w="11900" w:h="16838" w:orient="portrait"/>
          <w:cols w:equalWidth="0" w:num="2">
            <w:col w:w="920" w:space="720"/>
            <w:col w:w="7919"/>
          </w:cols>
          <w:pgMar w:left="900" w:top="1440" w:right="1440" w:bottom="1440" w:gutter="0" w:footer="0" w:header="0"/>
          <w:type w:val="continuous"/>
        </w:sectPr>
      </w:pPr>
    </w:p>
    <w:p>
      <w:pPr>
        <w:spacing w:after="0" w:line="347" w:lineRule="exact"/>
        <w:rPr>
          <w:sz w:val="24"/>
          <w:szCs w:val="24"/>
          <w:color w:val="auto"/>
        </w:rPr>
      </w:pPr>
    </w:p>
    <w:p>
      <w:pPr>
        <w:ind w:left="1640"/>
        <w:spacing w:after="0"/>
        <w:rPr>
          <w:sz w:val="20"/>
          <w:szCs w:val="20"/>
          <w:color w:val="auto"/>
        </w:rPr>
      </w:pPr>
      <w:r>
        <w:rPr>
          <w:rFonts w:ascii="Arial" w:cs="Arial" w:eastAsia="Arial" w:hAnsi="Arial"/>
          <w:sz w:val="19"/>
          <w:szCs w:val="19"/>
          <w:b w:val="1"/>
          <w:bCs w:val="1"/>
          <w:color w:val="auto"/>
        </w:rPr>
        <w:t>For the fiscal year ended December 31, 2020</w:t>
      </w:r>
    </w:p>
    <w:p>
      <w:pPr>
        <w:spacing w:after="0" w:line="322" w:lineRule="exact"/>
        <w:rPr>
          <w:sz w:val="24"/>
          <w:szCs w:val="24"/>
          <w:color w:val="auto"/>
        </w:rPr>
      </w:pPr>
    </w:p>
    <w:p>
      <w:pPr>
        <w:ind w:left="1640"/>
        <w:spacing w:after="0"/>
        <w:rPr>
          <w:sz w:val="20"/>
          <w:szCs w:val="20"/>
          <w:color w:val="auto"/>
        </w:rPr>
      </w:pPr>
      <w:r>
        <w:rPr>
          <w:rFonts w:ascii="Arial" w:cs="Arial" w:eastAsia="Arial" w:hAnsi="Arial"/>
          <w:sz w:val="22"/>
          <w:szCs w:val="22"/>
          <w:b w:val="1"/>
          <w:bCs w:val="1"/>
          <w:color w:val="auto"/>
        </w:rPr>
        <w:t>Commission File Number 0-50189</w:t>
      </w:r>
    </w:p>
    <w:p>
      <w:pPr>
        <w:sectPr>
          <w:pgSz w:w="11900" w:h="16838" w:orient="portrait"/>
          <w:cols w:equalWidth="0" w:num="1">
            <w:col w:w="9559"/>
          </w:cols>
          <w:pgMar w:left="900" w:top="1440" w:right="1440"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ind w:left="2200" w:hanging="469"/>
        <w:spacing w:after="0"/>
        <w:tabs>
          <w:tab w:leader="none" w:pos="22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Full title of the plan:</w:t>
      </w:r>
    </w:p>
    <w:p>
      <w:pPr>
        <w:spacing w:after="0" w:line="287" w:lineRule="exact"/>
        <w:rPr>
          <w:rFonts w:ascii="Arial" w:cs="Arial" w:eastAsia="Arial" w:hAnsi="Arial"/>
          <w:sz w:val="22"/>
          <w:szCs w:val="22"/>
          <w:b w:val="1"/>
          <w:bCs w:val="1"/>
          <w:color w:val="auto"/>
        </w:rPr>
      </w:pPr>
    </w:p>
    <w:p>
      <w:pPr>
        <w:ind w:left="2200" w:right="4119"/>
        <w:spacing w:after="0" w:line="282" w:lineRule="auto"/>
        <w:rPr>
          <w:rFonts w:ascii="Arial" w:cs="Arial" w:eastAsia="Arial" w:hAnsi="Arial"/>
          <w:sz w:val="22"/>
          <w:szCs w:val="22"/>
          <w:b w:val="1"/>
          <w:bCs w:val="1"/>
          <w:color w:val="auto"/>
        </w:rPr>
      </w:pPr>
      <w:r>
        <w:rPr>
          <w:rFonts w:ascii="Arial" w:cs="Arial" w:eastAsia="Arial" w:hAnsi="Arial"/>
          <w:sz w:val="22"/>
          <w:szCs w:val="22"/>
          <w:b w:val="1"/>
          <w:bCs w:val="1"/>
          <w:color w:val="auto"/>
        </w:rPr>
        <w:t>Crown Cork &amp; Seal Company, Inc. Retirement Thrift Plan</w:t>
      </w:r>
    </w:p>
    <w:p>
      <w:pPr>
        <w:spacing w:after="0" w:line="215" w:lineRule="exact"/>
        <w:rPr>
          <w:rFonts w:ascii="Arial" w:cs="Arial" w:eastAsia="Arial" w:hAnsi="Arial"/>
          <w:sz w:val="22"/>
          <w:szCs w:val="22"/>
          <w:b w:val="1"/>
          <w:bCs w:val="1"/>
          <w:color w:val="auto"/>
        </w:rPr>
      </w:pPr>
    </w:p>
    <w:p>
      <w:pPr>
        <w:ind w:left="2200" w:right="2079" w:hanging="457"/>
        <w:spacing w:after="0" w:line="364" w:lineRule="auto"/>
        <w:tabs>
          <w:tab w:leader="none" w:pos="2200"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Name of issuer of the Securities held pursuant to the plan and the address of its principal executive office:</w:t>
      </w:r>
    </w:p>
    <w:p>
      <w:pPr>
        <w:spacing w:after="0" w:line="200" w:lineRule="exact"/>
        <w:rPr>
          <w:sz w:val="24"/>
          <w:szCs w:val="24"/>
          <w:color w:val="auto"/>
        </w:rPr>
      </w:pPr>
    </w:p>
    <w:p>
      <w:pPr>
        <w:spacing w:after="0" w:line="37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CROWN HOLDINGS,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770 TOWNSHIP LINE ROAD</w:t>
      </w: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YARDLEY, PENNSYLVANIA 19067-4232</w:t>
      </w:r>
    </w:p>
    <w:p>
      <w:pPr>
        <w:sectPr>
          <w:pgSz w:w="11900" w:h="16838" w:orient="portrait"/>
          <w:cols w:equalWidth="0" w:num="1">
            <w:col w:w="9559"/>
          </w:cols>
          <w:pgMar w:left="900" w:top="1440"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Retirement Thrift Plan</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1080" w:type="dxa"/>
        <w:tblCellMar>
          <w:top w:w="0" w:type="dxa"/>
          <w:left w:w="0" w:type="dxa"/>
          <w:bottom w:w="0" w:type="dxa"/>
          <w:right w:w="0" w:type="dxa"/>
        </w:tblCellMar>
      </w:tblPr>
      <w:tr>
        <w:trPr>
          <w:trHeight w:val="250"/>
        </w:trPr>
        <w:tc>
          <w:tcPr>
            <w:tcW w:w="7840" w:type="dxa"/>
            <w:vAlign w:val="bottom"/>
          </w:tcPr>
          <w:p>
            <w:pPr>
              <w:spacing w:after="0"/>
              <w:rPr>
                <w:sz w:val="21"/>
                <w:szCs w:val="21"/>
                <w:color w:val="auto"/>
              </w:rPr>
            </w:pPr>
          </w:p>
        </w:tc>
        <w:tc>
          <w:tcPr>
            <w:tcW w:w="920" w:type="dxa"/>
            <w:vAlign w:val="bottom"/>
            <w:gridSpan w:val="5"/>
          </w:tcPr>
          <w:p>
            <w:pPr>
              <w:ind w:left="340"/>
              <w:spacing w:after="0"/>
              <w:rPr>
                <w:sz w:val="20"/>
                <w:szCs w:val="20"/>
                <w:color w:val="auto"/>
              </w:rPr>
            </w:pPr>
            <w:r>
              <w:rPr>
                <w:rFonts w:ascii="Arial" w:cs="Arial" w:eastAsia="Arial" w:hAnsi="Arial"/>
                <w:sz w:val="20"/>
                <w:szCs w:val="20"/>
                <w:color w:val="auto"/>
                <w:w w:val="79"/>
              </w:rPr>
              <w:t>Page(s)</w:t>
            </w:r>
          </w:p>
        </w:tc>
        <w:tc>
          <w:tcPr>
            <w:tcW w:w="0" w:type="dxa"/>
            <w:vAlign w:val="bottom"/>
          </w:tcPr>
          <w:p>
            <w:pPr>
              <w:spacing w:after="0"/>
              <w:rPr>
                <w:sz w:val="1"/>
                <w:szCs w:val="1"/>
                <w:color w:val="auto"/>
              </w:rPr>
            </w:pPr>
          </w:p>
        </w:tc>
      </w:tr>
      <w:tr>
        <w:trPr>
          <w:trHeight w:val="495"/>
        </w:trPr>
        <w:tc>
          <w:tcPr>
            <w:tcW w:w="7840" w:type="dxa"/>
            <w:vAlign w:val="bottom"/>
          </w:tcPr>
          <w:p>
            <w:pPr>
              <w:spacing w:after="0"/>
              <w:rPr>
                <w:sz w:val="20"/>
                <w:szCs w:val="20"/>
                <w:color w:val="auto"/>
              </w:rPr>
            </w:pPr>
            <w:r>
              <w:rPr>
                <w:rFonts w:ascii="Arial" w:cs="Arial" w:eastAsia="Arial" w:hAnsi="Arial"/>
                <w:sz w:val="20"/>
                <w:szCs w:val="20"/>
                <w:color w:val="auto"/>
              </w:rPr>
              <w:t>Report of Independent Registered Public Accounting Firm</w:t>
            </w:r>
          </w:p>
        </w:tc>
        <w:tc>
          <w:tcPr>
            <w:tcW w:w="720" w:type="dxa"/>
            <w:vAlign w:val="bottom"/>
            <w:gridSpan w:val="3"/>
          </w:tcPr>
          <w:p>
            <w:pPr>
              <w:jc w:val="center"/>
              <w:ind w:left="441"/>
              <w:spacing w:after="0"/>
              <w:rPr>
                <w:rFonts w:ascii="Arial" w:cs="Arial" w:eastAsia="Arial" w:hAnsi="Arial"/>
                <w:sz w:val="20"/>
                <w:szCs w:val="20"/>
                <w:color w:val="0000FF"/>
                <w:w w:val="89"/>
              </w:rPr>
            </w:pPr>
            <w:hyperlink w:anchor="page2">
              <w:r>
                <w:rPr>
                  <w:rFonts w:ascii="Arial" w:cs="Arial" w:eastAsia="Arial" w:hAnsi="Arial"/>
                  <w:sz w:val="20"/>
                  <w:szCs w:val="20"/>
                  <w:color w:val="0000FF"/>
                  <w:w w:val="89"/>
                </w:rPr>
                <w:t>1</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5"/>
        </w:trPr>
        <w:tc>
          <w:tcPr>
            <w:tcW w:w="7840" w:type="dxa"/>
            <w:vAlign w:val="bottom"/>
          </w:tcPr>
          <w:p>
            <w:pPr>
              <w:spacing w:after="0"/>
              <w:rPr>
                <w:sz w:val="20"/>
                <w:szCs w:val="20"/>
                <w:color w:val="auto"/>
              </w:rPr>
            </w:pPr>
            <w:r>
              <w:rPr>
                <w:rFonts w:ascii="Arial" w:cs="Arial" w:eastAsia="Arial" w:hAnsi="Arial"/>
                <w:sz w:val="20"/>
                <w:szCs w:val="20"/>
                <w:color w:val="auto"/>
              </w:rPr>
              <w:t>Financial Statements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7840" w:type="dxa"/>
            <w:vAlign w:val="bottom"/>
          </w:tcPr>
          <w:p>
            <w:pPr>
              <w:ind w:left="460"/>
              <w:spacing w:after="0"/>
              <w:rPr>
                <w:sz w:val="20"/>
                <w:szCs w:val="20"/>
                <w:color w:val="auto"/>
              </w:rPr>
            </w:pPr>
            <w:r>
              <w:rPr>
                <w:rFonts w:ascii="Arial" w:cs="Arial" w:eastAsia="Arial" w:hAnsi="Arial"/>
                <w:sz w:val="20"/>
                <w:szCs w:val="20"/>
                <w:color w:val="auto"/>
              </w:rPr>
              <w:t>Statement of Net Assets Available for Benefits as of December 31, 2020 and 2019</w:t>
            </w:r>
          </w:p>
        </w:tc>
        <w:tc>
          <w:tcPr>
            <w:tcW w:w="580" w:type="dxa"/>
            <w:vAlign w:val="bottom"/>
            <w:gridSpan w:val="2"/>
          </w:tcPr>
          <w:p>
            <w:pPr>
              <w:spacing w:after="0"/>
              <w:rPr>
                <w:sz w:val="24"/>
                <w:szCs w:val="24"/>
                <w:color w:val="auto"/>
              </w:rPr>
            </w:pPr>
          </w:p>
        </w:tc>
        <w:tc>
          <w:tcPr>
            <w:tcW w:w="140" w:type="dxa"/>
            <w:vAlign w:val="bottom"/>
            <w:tcBorders>
              <w:bottom w:val="single" w:sz="8" w:color="0000FF"/>
            </w:tcBorders>
          </w:tcPr>
          <w:p>
            <w:pPr>
              <w:jc w:val="center"/>
              <w:spacing w:after="0"/>
              <w:rPr>
                <w:rFonts w:ascii="Arial" w:cs="Arial" w:eastAsia="Arial" w:hAnsi="Arial"/>
                <w:sz w:val="20"/>
                <w:szCs w:val="20"/>
                <w:color w:val="0000FF"/>
                <w:w w:val="89"/>
              </w:rPr>
            </w:pPr>
            <w:hyperlink w:anchor="page3">
              <w:r>
                <w:rPr>
                  <w:rFonts w:ascii="Arial" w:cs="Arial" w:eastAsia="Arial" w:hAnsi="Arial"/>
                  <w:sz w:val="20"/>
                  <w:szCs w:val="20"/>
                  <w:color w:val="0000FF"/>
                  <w:w w:val="89"/>
                </w:rPr>
                <w:t>2</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7840" w:type="dxa"/>
            <w:vAlign w:val="bottom"/>
          </w:tcPr>
          <w:p>
            <w:pPr>
              <w:ind w:left="460"/>
              <w:spacing w:after="0"/>
              <w:rPr>
                <w:sz w:val="20"/>
                <w:szCs w:val="20"/>
                <w:color w:val="auto"/>
              </w:rPr>
            </w:pPr>
            <w:r>
              <w:rPr>
                <w:rFonts w:ascii="Arial" w:cs="Arial" w:eastAsia="Arial" w:hAnsi="Arial"/>
                <w:sz w:val="20"/>
                <w:szCs w:val="20"/>
                <w:color w:val="auto"/>
                <w:w w:val="92"/>
              </w:rPr>
              <w:t>Statement of Changes in Net Assets Available for Benefits for the years ended December</w:t>
            </w:r>
          </w:p>
        </w:tc>
        <w:tc>
          <w:tcPr>
            <w:tcW w:w="580" w:type="dxa"/>
            <w:vAlign w:val="bottom"/>
            <w:gridSpan w:val="2"/>
            <w:vMerge w:val="restart"/>
          </w:tcPr>
          <w:p>
            <w:pPr>
              <w:spacing w:after="0"/>
              <w:rPr>
                <w:sz w:val="24"/>
                <w:szCs w:val="24"/>
                <w:color w:val="auto"/>
              </w:rPr>
            </w:pPr>
          </w:p>
        </w:tc>
        <w:tc>
          <w:tcPr>
            <w:tcW w:w="140" w:type="dxa"/>
            <w:vAlign w:val="bottom"/>
            <w:vMerge w:val="restart"/>
          </w:tcPr>
          <w:p>
            <w:pPr>
              <w:jc w:val="center"/>
              <w:spacing w:after="0"/>
              <w:rPr>
                <w:rFonts w:ascii="Arial" w:cs="Arial" w:eastAsia="Arial" w:hAnsi="Arial"/>
                <w:sz w:val="20"/>
                <w:szCs w:val="20"/>
                <w:color w:val="0000FF"/>
                <w:w w:val="89"/>
              </w:rPr>
            </w:pPr>
            <w:hyperlink w:anchor="page4">
              <w:r>
                <w:rPr>
                  <w:rFonts w:ascii="Arial" w:cs="Arial" w:eastAsia="Arial" w:hAnsi="Arial"/>
                  <w:sz w:val="20"/>
                  <w:szCs w:val="20"/>
                  <w:color w:val="0000FF"/>
                  <w:w w:val="89"/>
                </w:rPr>
                <w:t>3</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840" w:type="dxa"/>
            <w:vAlign w:val="bottom"/>
          </w:tcPr>
          <w:p>
            <w:pPr>
              <w:ind w:left="460"/>
              <w:spacing w:after="0" w:line="203" w:lineRule="exact"/>
              <w:rPr>
                <w:sz w:val="20"/>
                <w:szCs w:val="20"/>
                <w:color w:val="auto"/>
              </w:rPr>
            </w:pPr>
            <w:r>
              <w:rPr>
                <w:rFonts w:ascii="Arial" w:cs="Arial" w:eastAsia="Arial" w:hAnsi="Arial"/>
                <w:sz w:val="20"/>
                <w:szCs w:val="20"/>
                <w:color w:val="auto"/>
              </w:rPr>
              <w:t>31, 2020 and 2019</w:t>
            </w:r>
          </w:p>
        </w:tc>
        <w:tc>
          <w:tcPr>
            <w:tcW w:w="580" w:type="dxa"/>
            <w:vAlign w:val="bottom"/>
            <w:gridSpan w:val="2"/>
            <w:vMerge w:val="continue"/>
          </w:tcPr>
          <w:p>
            <w:pPr>
              <w:spacing w:after="0"/>
              <w:rPr>
                <w:sz w:val="17"/>
                <w:szCs w:val="17"/>
                <w:color w:val="auto"/>
              </w:rPr>
            </w:pPr>
          </w:p>
        </w:tc>
        <w:tc>
          <w:tcPr>
            <w:tcW w:w="140" w:type="dxa"/>
            <w:vAlign w:val="bottom"/>
            <w:tcBorders>
              <w:bottom w:val="single" w:sz="8" w:color="0000FF"/>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7840" w:type="dxa"/>
            <w:vAlign w:val="bottom"/>
          </w:tcPr>
          <w:p>
            <w:pPr>
              <w:ind w:left="460"/>
              <w:spacing w:after="0"/>
              <w:rPr>
                <w:sz w:val="20"/>
                <w:szCs w:val="20"/>
                <w:color w:val="auto"/>
              </w:rPr>
            </w:pPr>
            <w:r>
              <w:rPr>
                <w:rFonts w:ascii="Arial" w:cs="Arial" w:eastAsia="Arial" w:hAnsi="Arial"/>
                <w:sz w:val="20"/>
                <w:szCs w:val="20"/>
                <w:color w:val="auto"/>
              </w:rPr>
              <w:t>Notes to Financial Statements</w:t>
            </w:r>
          </w:p>
        </w:tc>
        <w:tc>
          <w:tcPr>
            <w:tcW w:w="920" w:type="dxa"/>
            <w:vAlign w:val="bottom"/>
            <w:gridSpan w:val="5"/>
          </w:tcPr>
          <w:p>
            <w:pPr>
              <w:jc w:val="center"/>
              <w:ind w:left="261"/>
              <w:spacing w:after="0"/>
              <w:rPr>
                <w:rFonts w:ascii="Arial" w:cs="Arial" w:eastAsia="Arial" w:hAnsi="Arial"/>
                <w:sz w:val="20"/>
                <w:szCs w:val="20"/>
                <w:color w:val="0000FF"/>
                <w:w w:val="89"/>
              </w:rPr>
            </w:pPr>
            <w:hyperlink w:anchor="page6">
              <w:r>
                <w:rPr>
                  <w:rFonts w:ascii="Arial" w:cs="Arial" w:eastAsia="Arial" w:hAnsi="Arial"/>
                  <w:sz w:val="20"/>
                  <w:szCs w:val="20"/>
                  <w:color w:val="0000FF"/>
                  <w:w w:val="89"/>
                </w:rPr>
                <w:t>4 - 9</w:t>
              </w:r>
            </w:hyperlink>
          </w:p>
        </w:tc>
        <w:tc>
          <w:tcPr>
            <w:tcW w:w="0" w:type="dxa"/>
            <w:vAlign w:val="bottom"/>
          </w:tcPr>
          <w:p>
            <w:pPr>
              <w:spacing w:after="0"/>
              <w:rPr>
                <w:sz w:val="1"/>
                <w:szCs w:val="1"/>
                <w:color w:val="auto"/>
              </w:rPr>
            </w:pPr>
          </w:p>
        </w:tc>
      </w:tr>
      <w:tr>
        <w:trPr>
          <w:trHeight w:val="565"/>
        </w:trPr>
        <w:tc>
          <w:tcPr>
            <w:tcW w:w="7840" w:type="dxa"/>
            <w:vAlign w:val="bottom"/>
          </w:tcPr>
          <w:p>
            <w:pPr>
              <w:spacing w:after="0"/>
              <w:rPr>
                <w:sz w:val="20"/>
                <w:szCs w:val="20"/>
                <w:color w:val="auto"/>
              </w:rPr>
            </w:pPr>
            <w:r>
              <w:rPr>
                <w:rFonts w:ascii="Arial" w:cs="Arial" w:eastAsia="Arial" w:hAnsi="Arial"/>
                <w:sz w:val="20"/>
                <w:szCs w:val="20"/>
                <w:color w:val="auto"/>
              </w:rPr>
              <w:t>Supplemental Information *</w:t>
            </w:r>
          </w:p>
        </w:tc>
        <w:tc>
          <w:tcPr>
            <w:tcW w:w="46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7840" w:type="dxa"/>
            <w:vAlign w:val="bottom"/>
          </w:tcPr>
          <w:p>
            <w:pPr>
              <w:ind w:left="460"/>
              <w:spacing w:after="0"/>
              <w:rPr>
                <w:sz w:val="20"/>
                <w:szCs w:val="20"/>
                <w:color w:val="auto"/>
              </w:rPr>
            </w:pPr>
            <w:r>
              <w:rPr>
                <w:rFonts w:ascii="Arial" w:cs="Arial" w:eastAsia="Arial" w:hAnsi="Arial"/>
                <w:sz w:val="20"/>
                <w:szCs w:val="20"/>
                <w:color w:val="auto"/>
              </w:rPr>
              <w:t>Schedule H, Line 4i - Schedule of Assets (Held at End of Year)</w:t>
            </w:r>
          </w:p>
        </w:tc>
        <w:tc>
          <w:tcPr>
            <w:tcW w:w="720" w:type="dxa"/>
            <w:vAlign w:val="bottom"/>
            <w:gridSpan w:val="3"/>
          </w:tcPr>
          <w:p>
            <w:pPr>
              <w:jc w:val="center"/>
              <w:ind w:left="421"/>
              <w:spacing w:after="0"/>
              <w:rPr>
                <w:rFonts w:ascii="Arial" w:cs="Arial" w:eastAsia="Arial" w:hAnsi="Arial"/>
                <w:sz w:val="20"/>
                <w:szCs w:val="20"/>
                <w:color w:val="0000FF"/>
                <w:w w:val="89"/>
              </w:rPr>
            </w:pPr>
            <w:hyperlink w:anchor="page12">
              <w:r>
                <w:rPr>
                  <w:rFonts w:ascii="Arial" w:cs="Arial" w:eastAsia="Arial" w:hAnsi="Arial"/>
                  <w:sz w:val="20"/>
                  <w:szCs w:val="20"/>
                  <w:color w:val="0000FF"/>
                  <w:w w:val="89"/>
                </w:rPr>
                <w:t>10</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58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840" w:type="dxa"/>
            <w:vAlign w:val="bottom"/>
          </w:tcPr>
          <w:p>
            <w:pPr>
              <w:ind w:left="460"/>
              <w:spacing w:after="0"/>
              <w:rPr>
                <w:sz w:val="20"/>
                <w:szCs w:val="20"/>
                <w:color w:val="auto"/>
              </w:rPr>
            </w:pPr>
            <w:r>
              <w:rPr>
                <w:rFonts w:ascii="Arial" w:cs="Arial" w:eastAsia="Arial" w:hAnsi="Arial"/>
                <w:sz w:val="20"/>
                <w:szCs w:val="20"/>
                <w:color w:val="auto"/>
              </w:rPr>
              <w:t>Exhibit Index</w:t>
            </w:r>
          </w:p>
        </w:tc>
        <w:tc>
          <w:tcPr>
            <w:tcW w:w="720" w:type="dxa"/>
            <w:vAlign w:val="bottom"/>
            <w:gridSpan w:val="3"/>
          </w:tcPr>
          <w:p>
            <w:pPr>
              <w:jc w:val="center"/>
              <w:ind w:left="441"/>
              <w:spacing w:after="0"/>
              <w:rPr>
                <w:rFonts w:ascii="Arial" w:cs="Arial" w:eastAsia="Arial" w:hAnsi="Arial"/>
                <w:sz w:val="20"/>
                <w:szCs w:val="20"/>
                <w:color w:val="0000FF"/>
                <w:w w:val="80"/>
              </w:rPr>
            </w:pPr>
            <w:hyperlink w:anchor="page13">
              <w:r>
                <w:rPr>
                  <w:rFonts w:ascii="Arial" w:cs="Arial" w:eastAsia="Arial" w:hAnsi="Arial"/>
                  <w:sz w:val="20"/>
                  <w:szCs w:val="20"/>
                  <w:color w:val="0000FF"/>
                  <w:w w:val="80"/>
                </w:rPr>
                <w:t>11</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58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840" w:type="dxa"/>
            <w:vAlign w:val="bottom"/>
          </w:tcPr>
          <w:p>
            <w:pPr>
              <w:ind w:left="460"/>
              <w:spacing w:after="0"/>
              <w:rPr>
                <w:sz w:val="20"/>
                <w:szCs w:val="20"/>
                <w:color w:val="auto"/>
              </w:rPr>
            </w:pPr>
            <w:r>
              <w:rPr>
                <w:rFonts w:ascii="Arial" w:cs="Arial" w:eastAsia="Arial" w:hAnsi="Arial"/>
                <w:sz w:val="20"/>
                <w:szCs w:val="20"/>
                <w:color w:val="auto"/>
              </w:rPr>
              <w:t>Signature</w:t>
            </w:r>
          </w:p>
        </w:tc>
        <w:tc>
          <w:tcPr>
            <w:tcW w:w="720" w:type="dxa"/>
            <w:vAlign w:val="bottom"/>
            <w:gridSpan w:val="3"/>
          </w:tcPr>
          <w:p>
            <w:pPr>
              <w:jc w:val="center"/>
              <w:ind w:left="441"/>
              <w:spacing w:after="0"/>
              <w:rPr>
                <w:rFonts w:ascii="Arial" w:cs="Arial" w:eastAsia="Arial" w:hAnsi="Arial"/>
                <w:sz w:val="20"/>
                <w:szCs w:val="20"/>
                <w:color w:val="0000FF"/>
                <w:w w:val="80"/>
              </w:rPr>
            </w:pPr>
            <w:hyperlink w:anchor="page13">
              <w:r>
                <w:rPr>
                  <w:rFonts w:ascii="Arial" w:cs="Arial" w:eastAsia="Arial" w:hAnsi="Arial"/>
                  <w:sz w:val="20"/>
                  <w:szCs w:val="20"/>
                  <w:color w:val="0000FF"/>
                  <w:w w:val="80"/>
                </w:rPr>
                <w:t>11</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80" w:hanging="172"/>
        <w:spacing w:after="0" w:line="277" w:lineRule="auto"/>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supplemental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240"/>
          </w:cols>
          <w:pgMar w:left="320" w:top="68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To the Plan Administrator and Plan Participants of Crown Cork &amp; Seal Company, Inc. Retirement Thrift Plan: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2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We have audited the accompanying statement of net assets available for benefits of the Crown Cork &amp; Seal Company, Inc. Retirement Thrift Plan (the "Plan") as of December 31, 2020 and 2019, the related statement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as of December 31, 2020 and 2019, and the changes in net assets available for benefits for the years then ended,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22" w:lineRule="exact"/>
        <w:rPr>
          <w:sz w:val="20"/>
          <w:szCs w:val="20"/>
          <w:color w:val="auto"/>
        </w:rPr>
      </w:pPr>
    </w:p>
    <w:p>
      <w:pPr>
        <w:ind w:right="60"/>
        <w:spacing w:after="0" w:line="235" w:lineRule="auto"/>
        <w:rPr>
          <w:sz w:val="20"/>
          <w:szCs w:val="20"/>
          <w:color w:val="auto"/>
        </w:rPr>
      </w:pPr>
      <w:r>
        <w:rPr>
          <w:rFonts w:ascii="Arial" w:cs="Arial" w:eastAsia="Arial" w:hAnsi="Arial"/>
          <w:sz w:val="19"/>
          <w:szCs w:val="19"/>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97" w:lineRule="exact"/>
        <w:rPr>
          <w:sz w:val="20"/>
          <w:szCs w:val="20"/>
          <w:color w:val="auto"/>
        </w:rPr>
      </w:pPr>
    </w:p>
    <w:p>
      <w:pPr>
        <w:ind w:right="420"/>
        <w:spacing w:after="0" w:line="28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56" w:lineRule="exact"/>
        <w:rPr>
          <w:sz w:val="20"/>
          <w:szCs w:val="20"/>
          <w:color w:val="auto"/>
        </w:rPr>
      </w:pPr>
    </w:p>
    <w:p>
      <w:pPr>
        <w:ind w:right="80"/>
        <w:spacing w:after="0" w:line="221"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Information</w:t>
      </w:r>
    </w:p>
    <w:p>
      <w:pPr>
        <w:spacing w:after="0" w:line="22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supplemental Schedule H, Line 4i – Schedule of Assets (Held at End of Year) as of December 31, 2020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forms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/s/ Baker Tilly Virchow Krause,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Plan's auditor since 2005.</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Philadelphia, Pennsylvania</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June 16, 2021</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320" w:top="886" w:right="379" w:bottom="1440" w:gutter="0" w:footer="0" w:header="0"/>
        </w:sectPr>
      </w:pPr>
    </w:p>
    <w:bookmarkStart w:id="3" w:name="page4"/>
    <w:bookmarkEnd w:id="3"/>
    <w:p>
      <w:pPr>
        <w:ind w:left="180"/>
        <w:spacing w:after="0"/>
        <w:rPr>
          <w:sz w:val="20"/>
          <w:szCs w:val="20"/>
          <w:color w:val="auto"/>
        </w:rPr>
      </w:pPr>
      <w:r>
        <w:rPr>
          <w:rFonts w:ascii="Arial" w:cs="Arial" w:eastAsia="Arial" w:hAnsi="Arial"/>
          <w:sz w:val="22"/>
          <w:szCs w:val="22"/>
          <w:b w:val="1"/>
          <w:bCs w:val="1"/>
          <w:color w:val="auto"/>
        </w:rPr>
        <w:t>CROWN CORK &amp; SEAL COMPANY, INC.</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RETIREMENT THRIFT PLAN</w:t>
      </w:r>
    </w:p>
    <w:p>
      <w:pPr>
        <w:spacing w:after="0" w:line="17"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Statement of Net Assets Available for Benefits</w:t>
      </w:r>
    </w:p>
    <w:p>
      <w:pPr>
        <w:spacing w:after="0" w:line="17" w:lineRule="exact"/>
        <w:rPr>
          <w:sz w:val="20"/>
          <w:szCs w:val="20"/>
          <w:color w:val="auto"/>
        </w:rPr>
      </w:pPr>
    </w:p>
    <w:tbl>
      <w:tblPr>
        <w:tblLayout w:type="fixed"/>
        <w:tblInd w:w="160" w:type="dxa"/>
        <w:tblCellMar>
          <w:top w:w="0" w:type="dxa"/>
          <w:left w:w="0" w:type="dxa"/>
          <w:bottom w:w="0" w:type="dxa"/>
          <w:right w:w="0" w:type="dxa"/>
        </w:tblCellMar>
      </w:tblPr>
      <w:tr>
        <w:trPr>
          <w:trHeight w:val="261"/>
        </w:trPr>
        <w:tc>
          <w:tcPr>
            <w:tcW w:w="60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2880" w:type="dxa"/>
            <w:vAlign w:val="bottom"/>
            <w:tcBorders>
              <w:top w:val="single" w:sz="8" w:color="auto"/>
              <w:bottom w:val="single" w:sz="8" w:color="auto"/>
            </w:tcBorders>
            <w:gridSpan w:val="3"/>
          </w:tcPr>
          <w:p>
            <w:pPr>
              <w:jc w:val="right"/>
              <w:ind w:right="61"/>
              <w:spacing w:after="0"/>
              <w:rPr>
                <w:sz w:val="20"/>
                <w:szCs w:val="20"/>
                <w:color w:val="auto"/>
              </w:rPr>
            </w:pPr>
            <w:r>
              <w:rPr>
                <w:rFonts w:ascii="Arial" w:cs="Arial" w:eastAsia="Arial" w:hAnsi="Arial"/>
                <w:sz w:val="20"/>
                <w:szCs w:val="20"/>
                <w:b w:val="1"/>
                <w:bCs w:val="1"/>
                <w:color w:val="auto"/>
              </w:rPr>
              <w:t>As of December 31,</w:t>
            </w:r>
          </w:p>
        </w:tc>
        <w:tc>
          <w:tcPr>
            <w:tcW w:w="1240" w:type="dxa"/>
            <w:vAlign w:val="bottom"/>
            <w:tcBorders>
              <w:top w:val="single" w:sz="8" w:color="auto"/>
              <w:bottom w:val="single" w:sz="8" w:color="auto"/>
            </w:tcBorders>
          </w:tcPr>
          <w:p>
            <w:pPr>
              <w:spacing w:after="0"/>
              <w:rPr>
                <w:sz w:val="22"/>
                <w:szCs w:val="22"/>
                <w:color w:val="auto"/>
              </w:rPr>
            </w:pPr>
          </w:p>
        </w:tc>
      </w:tr>
      <w:tr>
        <w:trPr>
          <w:trHeight w:val="250"/>
        </w:trPr>
        <w:tc>
          <w:tcPr>
            <w:tcW w:w="60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2020</w:t>
            </w:r>
          </w:p>
        </w:tc>
        <w:tc>
          <w:tcPr>
            <w:tcW w:w="13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2019</w:t>
            </w: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ASSETS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20"/>
                <w:szCs w:val="20"/>
                <w:b w:val="1"/>
                <w:bCs w:val="1"/>
                <w:color w:val="auto"/>
              </w:rPr>
              <w:t>Investments, at fair value</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Registered investment companies: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Baird Core Plus Bond Fund</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9,337,768</w:t>
            </w:r>
          </w:p>
        </w:tc>
        <w:tc>
          <w:tcPr>
            <w:tcW w:w="1300" w:type="dxa"/>
            <w:vAlign w:val="bottom"/>
          </w:tcPr>
          <w:p>
            <w:pPr>
              <w:spacing w:after="0"/>
              <w:rPr>
                <w:sz w:val="21"/>
                <w:szCs w:val="21"/>
                <w:color w:val="auto"/>
              </w:rPr>
            </w:pP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7,278,659</w:t>
            </w:r>
          </w:p>
        </w:tc>
      </w:tr>
      <w:tr>
        <w:trPr>
          <w:trHeight w:val="243"/>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DFA Emerging Markets Core Equity Portfolio</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364,185</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159,295</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DFA US Targeted Value Portfolio</w:t>
            </w:r>
          </w:p>
        </w:tc>
        <w:tc>
          <w:tcPr>
            <w:tcW w:w="300" w:type="dxa"/>
            <w:vAlign w:val="bottom"/>
          </w:tcPr>
          <w:p>
            <w:pPr>
              <w:spacing w:after="0"/>
              <w:rPr>
                <w:sz w:val="21"/>
                <w:szCs w:val="21"/>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154,171</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81,986</w:t>
            </w:r>
          </w:p>
        </w:tc>
      </w:tr>
      <w:tr>
        <w:trPr>
          <w:trHeight w:val="243"/>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HSBC Opportunity Fund</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14,133,300</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11,987,464</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JPMorgan Intrepid Value Fund</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2,495,111</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2,591,530</w:t>
            </w:r>
          </w:p>
        </w:tc>
      </w:tr>
      <w:tr>
        <w:trPr>
          <w:trHeight w:val="243"/>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T. Rowe Price International Discovery Fund</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236,612</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194,705</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Vanguard Developed Markets Index Fund</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2,321,089</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1,218,323</w:t>
            </w:r>
          </w:p>
        </w:tc>
      </w:tr>
      <w:tr>
        <w:trPr>
          <w:trHeight w:val="243"/>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International Growth Fund</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13,284,128</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9,147,687</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Vanguard Cash Reserve Federal Money Market Fund</w:t>
            </w:r>
          </w:p>
        </w:tc>
        <w:tc>
          <w:tcPr>
            <w:tcW w:w="300" w:type="dxa"/>
            <w:vAlign w:val="bottom"/>
          </w:tcPr>
          <w:p>
            <w:pPr>
              <w:spacing w:after="0"/>
              <w:rPr>
                <w:sz w:val="21"/>
                <w:szCs w:val="21"/>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129,516</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3"/>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Prime Money Market Fund</w:t>
            </w:r>
          </w:p>
        </w:tc>
        <w:tc>
          <w:tcPr>
            <w:tcW w:w="300" w:type="dxa"/>
            <w:vAlign w:val="bottom"/>
            <w:shd w:val="clear" w:color="auto" w:fill="CCEEFF"/>
          </w:tcPr>
          <w:p>
            <w:pPr>
              <w:spacing w:after="0"/>
              <w:rPr>
                <w:sz w:val="21"/>
                <w:szCs w:val="21"/>
                <w:color w:val="auto"/>
              </w:rPr>
            </w:pPr>
          </w:p>
        </w:tc>
        <w:tc>
          <w:tcPr>
            <w:tcW w:w="2560" w:type="dxa"/>
            <w:vAlign w:val="bottom"/>
            <w:gridSpan w:val="2"/>
            <w:shd w:val="clear" w:color="auto" w:fill="CCEEFF"/>
          </w:tcPr>
          <w:p>
            <w:pPr>
              <w:jc w:val="right"/>
              <w:ind w:right="1380"/>
              <w:spacing w:after="0"/>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128,788</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Vanguard Target Retirement 2015 Fund</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2,305,555</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2,603,950</w:t>
            </w:r>
          </w:p>
        </w:tc>
      </w:tr>
      <w:tr>
        <w:trPr>
          <w:trHeight w:val="243"/>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Target Retirement 2020 Fund</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2,161,125</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2,046,817</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Vanguard Target Retirement 2025 Fund</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5,644,204</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5,961,604</w:t>
            </w:r>
          </w:p>
        </w:tc>
      </w:tr>
      <w:tr>
        <w:trPr>
          <w:trHeight w:val="243"/>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Target Retirement 2030 Fund</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6,045,539</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5,709,359</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Vanguard Target Retirement 2035 Fund</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4,105,675</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3,697,244</w:t>
            </w:r>
          </w:p>
        </w:tc>
      </w:tr>
      <w:tr>
        <w:trPr>
          <w:trHeight w:val="243"/>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Target Retirement 2040 Fund</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3,861,741</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2,904,499</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Vanguard Target Retirement 2045 Fund</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2,111,728</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1,584,310</w:t>
            </w:r>
          </w:p>
        </w:tc>
      </w:tr>
      <w:tr>
        <w:trPr>
          <w:trHeight w:val="243"/>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Target Retirement 2050 Fund</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3,191,929</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2,345,427</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Vanguard Target Retirement 2055 Fund</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1,519,403</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1,062,299</w:t>
            </w:r>
          </w:p>
        </w:tc>
      </w:tr>
      <w:tr>
        <w:trPr>
          <w:trHeight w:val="243"/>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Target Retirement 2060 Fund</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957,360</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547,481</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Vanguard Target Retirement 2065 Fund</w:t>
            </w:r>
          </w:p>
        </w:tc>
        <w:tc>
          <w:tcPr>
            <w:tcW w:w="300" w:type="dxa"/>
            <w:vAlign w:val="bottom"/>
          </w:tcPr>
          <w:p>
            <w:pPr>
              <w:spacing w:after="0"/>
              <w:rPr>
                <w:sz w:val="21"/>
                <w:szCs w:val="21"/>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181,706</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103,675</w:t>
            </w:r>
          </w:p>
        </w:tc>
      </w:tr>
      <w:tr>
        <w:trPr>
          <w:trHeight w:val="243"/>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Target Retirement Income Fund</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2,251,258</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1,857,725</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Vanguard Total Stock Market Index Fund</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45,872,497</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41,014,919</w:t>
            </w:r>
          </w:p>
        </w:tc>
      </w:tr>
      <w:tr>
        <w:trPr>
          <w:trHeight w:val="243"/>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U.S. Growth Fund</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2,795,117</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1,429,585</w:t>
            </w:r>
          </w:p>
        </w:tc>
      </w:tr>
      <w:tr>
        <w:trPr>
          <w:trHeight w:val="243"/>
        </w:trPr>
        <w:tc>
          <w:tcPr>
            <w:tcW w:w="600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Vanguard Wellington Fund</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11,551,501</w:t>
            </w:r>
          </w:p>
        </w:tc>
        <w:tc>
          <w:tcPr>
            <w:tcW w:w="13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10,853,889</w:t>
            </w:r>
          </w:p>
        </w:tc>
      </w:tr>
      <w:tr>
        <w:trPr>
          <w:trHeight w:val="236"/>
        </w:trPr>
        <w:tc>
          <w:tcPr>
            <w:tcW w:w="6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137,012,218</w:t>
            </w:r>
          </w:p>
        </w:tc>
        <w:tc>
          <w:tcPr>
            <w:tcW w:w="1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116,511,220</w:t>
            </w:r>
          </w:p>
        </w:tc>
      </w:tr>
      <w:tr>
        <w:trPr>
          <w:trHeight w:val="162"/>
        </w:trPr>
        <w:tc>
          <w:tcPr>
            <w:tcW w:w="6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Vanguard Retirement Savings Trust</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27,830,157</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24,539,426</w:t>
            </w:r>
          </w:p>
        </w:tc>
      </w:tr>
      <w:tr>
        <w:trPr>
          <w:trHeight w:val="243"/>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Crown Holdings, Inc. Stock Fund</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6,550,083</w:t>
            </w:r>
          </w:p>
        </w:tc>
        <w:tc>
          <w:tcPr>
            <w:tcW w:w="13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5,417,112</w:t>
            </w:r>
          </w:p>
        </w:tc>
      </w:tr>
      <w:tr>
        <w:trPr>
          <w:trHeight w:val="237"/>
        </w:trPr>
        <w:tc>
          <w:tcPr>
            <w:tcW w:w="6000" w:type="dxa"/>
            <w:vAlign w:val="bottom"/>
            <w:shd w:val="clear" w:color="auto" w:fill="CCEEFF"/>
          </w:tcPr>
          <w:p>
            <w:pPr>
              <w:ind w:left="820"/>
              <w:spacing w:after="0"/>
              <w:rPr>
                <w:sz w:val="20"/>
                <w:szCs w:val="20"/>
                <w:color w:val="auto"/>
              </w:rPr>
            </w:pPr>
            <w:r>
              <w:rPr>
                <w:rFonts w:ascii="Arial" w:cs="Arial" w:eastAsia="Arial" w:hAnsi="Arial"/>
                <w:sz w:val="20"/>
                <w:szCs w:val="20"/>
                <w:b w:val="1"/>
                <w:bCs w:val="1"/>
                <w:color w:val="auto"/>
              </w:rPr>
              <w:t>Total investments, at fair value</w:t>
            </w: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171,392,458</w:t>
            </w:r>
          </w:p>
        </w:tc>
        <w:tc>
          <w:tcPr>
            <w:tcW w:w="13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146,467,758</w:t>
            </w:r>
          </w:p>
        </w:tc>
      </w:tr>
      <w:tr>
        <w:trPr>
          <w:trHeight w:val="142"/>
        </w:trPr>
        <w:tc>
          <w:tcPr>
            <w:tcW w:w="6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Receivables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20"/>
                <w:szCs w:val="20"/>
                <w:color w:val="auto"/>
              </w:rPr>
              <w:t>Notes receivable from participants</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3,659,594</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3,629,493</w:t>
            </w: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Employer's contributions</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503,787</w:t>
            </w:r>
          </w:p>
        </w:tc>
        <w:tc>
          <w:tcPr>
            <w:tcW w:w="13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653,569</w:t>
            </w:r>
          </w:p>
        </w:tc>
      </w:tr>
      <w:tr>
        <w:trPr>
          <w:trHeight w:val="236"/>
        </w:trPr>
        <w:tc>
          <w:tcPr>
            <w:tcW w:w="6000" w:type="dxa"/>
            <w:vAlign w:val="bottom"/>
            <w:tcBorders>
              <w:bottom w:val="single" w:sz="8" w:color="CCEEFF"/>
            </w:tcBorders>
          </w:tcPr>
          <w:p>
            <w:pPr>
              <w:ind w:left="860"/>
              <w:spacing w:after="0"/>
              <w:rPr>
                <w:sz w:val="20"/>
                <w:szCs w:val="20"/>
                <w:color w:val="auto"/>
              </w:rPr>
            </w:pPr>
            <w:r>
              <w:rPr>
                <w:rFonts w:ascii="Arial" w:cs="Arial" w:eastAsia="Arial" w:hAnsi="Arial"/>
                <w:sz w:val="20"/>
                <w:szCs w:val="20"/>
                <w:b w:val="1"/>
                <w:bCs w:val="1"/>
                <w:color w:val="auto"/>
              </w:rPr>
              <w:t>Total receivables</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4,163,381</w:t>
            </w:r>
          </w:p>
        </w:tc>
        <w:tc>
          <w:tcPr>
            <w:tcW w:w="13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4,283,062</w:t>
            </w:r>
          </w:p>
        </w:tc>
      </w:tr>
      <w:tr>
        <w:trPr>
          <w:trHeight w:val="142"/>
        </w:trPr>
        <w:tc>
          <w:tcPr>
            <w:tcW w:w="6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43"/>
        </w:trPr>
        <w:tc>
          <w:tcPr>
            <w:tcW w:w="6000" w:type="dxa"/>
            <w:vAlign w:val="bottom"/>
          </w:tcPr>
          <w:p>
            <w:pPr>
              <w:ind w:left="820"/>
              <w:spacing w:after="0"/>
              <w:rPr>
                <w:sz w:val="20"/>
                <w:szCs w:val="20"/>
                <w:color w:val="auto"/>
              </w:rPr>
            </w:pPr>
            <w:r>
              <w:rPr>
                <w:rFonts w:ascii="Arial" w:cs="Arial" w:eastAsia="Arial" w:hAnsi="Arial"/>
                <w:sz w:val="20"/>
                <w:szCs w:val="20"/>
                <w:b w:val="1"/>
                <w:bCs w:val="1"/>
                <w:color w:val="auto"/>
              </w:rPr>
              <w:t>Total assets</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175,555,839</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150,750,820</w:t>
            </w:r>
          </w:p>
        </w:tc>
      </w:tr>
      <w:tr>
        <w:trPr>
          <w:trHeight w:val="162"/>
        </w:trPr>
        <w:tc>
          <w:tcPr>
            <w:tcW w:w="6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20"/>
                <w:szCs w:val="20"/>
                <w:b w:val="1"/>
                <w:bCs w:val="1"/>
                <w:color w:val="auto"/>
              </w:rPr>
              <w:t>LIABILITIES</w:t>
            </w:r>
          </w:p>
        </w:tc>
        <w:tc>
          <w:tcPr>
            <w:tcW w:w="300" w:type="dxa"/>
            <w:vAlign w:val="bottom"/>
          </w:tcPr>
          <w:p>
            <w:pPr>
              <w:spacing w:after="0"/>
              <w:rPr>
                <w:sz w:val="21"/>
                <w:szCs w:val="21"/>
                <w:color w:val="auto"/>
              </w:rPr>
            </w:pPr>
          </w:p>
        </w:tc>
        <w:tc>
          <w:tcPr>
            <w:tcW w:w="2560" w:type="dxa"/>
            <w:vAlign w:val="bottom"/>
            <w:gridSpan w:val="2"/>
          </w:tcPr>
          <w:p>
            <w:pPr>
              <w:jc w:val="center"/>
              <w:ind w:right="1620"/>
              <w:spacing w:after="0"/>
              <w:rPr>
                <w:sz w:val="20"/>
                <w:szCs w:val="20"/>
                <w:color w:val="auto"/>
              </w:rPr>
            </w:pPr>
            <w:r>
              <w:rPr>
                <w:rFonts w:ascii="Arial" w:cs="Arial" w:eastAsia="Arial" w:hAnsi="Arial"/>
                <w:sz w:val="20"/>
                <w:szCs w:val="20"/>
                <w:color w:val="auto"/>
                <w:w w:val="89"/>
              </w:rPr>
              <w:t>—</w:t>
            </w:r>
          </w:p>
        </w:tc>
        <w:tc>
          <w:tcPr>
            <w:tcW w:w="320" w:type="dxa"/>
            <w:vAlign w:val="bottom"/>
          </w:tcPr>
          <w:p>
            <w:pPr>
              <w:spacing w:after="0"/>
              <w:rPr>
                <w:sz w:val="21"/>
                <w:szCs w:val="21"/>
                <w:color w:val="auto"/>
              </w:rPr>
            </w:pPr>
          </w:p>
        </w:tc>
        <w:tc>
          <w:tcPr>
            <w:tcW w:w="1240" w:type="dxa"/>
            <w:vAlign w:val="bottom"/>
          </w:tcPr>
          <w:p>
            <w:pPr>
              <w:jc w:val="center"/>
              <w:ind w:right="221"/>
              <w:spacing w:after="0"/>
              <w:rPr>
                <w:sz w:val="20"/>
                <w:szCs w:val="20"/>
                <w:color w:val="auto"/>
              </w:rPr>
            </w:pPr>
            <w:r>
              <w:rPr>
                <w:rFonts w:ascii="Arial" w:cs="Arial" w:eastAsia="Arial" w:hAnsi="Arial"/>
                <w:sz w:val="20"/>
                <w:szCs w:val="20"/>
                <w:color w:val="auto"/>
                <w:w w:val="99"/>
              </w:rPr>
              <w:t>—</w:t>
            </w:r>
          </w:p>
        </w:tc>
      </w:tr>
      <w:tr>
        <w:trPr>
          <w:trHeight w:val="162"/>
        </w:trPr>
        <w:tc>
          <w:tcPr>
            <w:tcW w:w="60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r>
      <w:tr>
        <w:trPr>
          <w:trHeight w:val="236"/>
        </w:trPr>
        <w:tc>
          <w:tcPr>
            <w:tcW w:w="6000" w:type="dxa"/>
            <w:vAlign w:val="bottom"/>
          </w:tcPr>
          <w:p>
            <w:pPr>
              <w:ind w:left="20"/>
              <w:spacing w:after="0"/>
              <w:rPr>
                <w:sz w:val="20"/>
                <w:szCs w:val="20"/>
                <w:color w:val="auto"/>
              </w:rPr>
            </w:pPr>
            <w:r>
              <w:rPr>
                <w:rFonts w:ascii="Arial" w:cs="Arial" w:eastAsia="Arial" w:hAnsi="Arial"/>
                <w:sz w:val="20"/>
                <w:szCs w:val="20"/>
                <w:b w:val="1"/>
                <w:bCs w:val="1"/>
                <w:color w:val="auto"/>
              </w:rPr>
              <w:t>Net assets available for benefits</w:t>
            </w: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175,555,839</w:t>
            </w:r>
          </w:p>
        </w:tc>
        <w:tc>
          <w:tcPr>
            <w:tcW w:w="1300" w:type="dxa"/>
            <w:vAlign w:val="bottom"/>
          </w:tcPr>
          <w:p>
            <w:pPr>
              <w:spacing w:after="0"/>
              <w:rPr>
                <w:sz w:val="20"/>
                <w:szCs w:val="20"/>
                <w:color w:val="auto"/>
              </w:rPr>
            </w:pPr>
          </w:p>
        </w:tc>
        <w:tc>
          <w:tcPr>
            <w:tcW w:w="3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150,750,820</w:t>
            </w:r>
          </w:p>
        </w:tc>
      </w:tr>
      <w:tr>
        <w:trPr>
          <w:trHeight w:val="21"/>
        </w:trPr>
        <w:tc>
          <w:tcPr>
            <w:tcW w:w="6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19"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580"/>
          </w:cols>
          <w:pgMar w:left="580" w:top="1017" w:right="739" w:bottom="1440" w:gutter="0" w:footer="0" w:header="0"/>
        </w:sectPr>
      </w:pPr>
    </w:p>
    <w:bookmarkStart w:id="4" w:name="page5"/>
    <w:bookmarkEnd w:id="4"/>
    <w:p>
      <w:pPr>
        <w:ind w:left="20"/>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RETIREMENT THRIFT PLAN</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Statement of Changes in Net Assets Available for Benefits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18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3900" w:type="dxa"/>
            <w:vAlign w:val="bottom"/>
            <w:tcBorders>
              <w:top w:val="single" w:sz="8" w:color="auto"/>
              <w:bottom w:val="single" w:sz="8" w:color="auto"/>
            </w:tcBorders>
            <w:gridSpan w:val="4"/>
          </w:tcPr>
          <w:p>
            <w:pPr>
              <w:jc w:val="right"/>
              <w:ind w:right="581"/>
              <w:spacing w:after="0"/>
              <w:rPr>
                <w:sz w:val="20"/>
                <w:szCs w:val="20"/>
                <w:color w:val="auto"/>
              </w:rPr>
            </w:pPr>
            <w:r>
              <w:rPr>
                <w:rFonts w:ascii="Arial" w:cs="Arial" w:eastAsia="Arial" w:hAnsi="Arial"/>
                <w:sz w:val="20"/>
                <w:szCs w:val="20"/>
                <w:b w:val="1"/>
                <w:bCs w:val="1"/>
                <w:color w:val="auto"/>
              </w:rPr>
              <w:t>For the Year Ended December 31,</w:t>
            </w:r>
          </w:p>
        </w:tc>
      </w:tr>
      <w:tr>
        <w:trPr>
          <w:trHeight w:val="250"/>
        </w:trPr>
        <w:tc>
          <w:tcPr>
            <w:tcW w:w="61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2020</w:t>
            </w:r>
          </w:p>
        </w:tc>
        <w:tc>
          <w:tcPr>
            <w:tcW w:w="10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2019</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Additions: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3"/>
        </w:trPr>
        <w:tc>
          <w:tcPr>
            <w:tcW w:w="6180" w:type="dxa"/>
            <w:vAlign w:val="bottom"/>
          </w:tcPr>
          <w:p>
            <w:pPr>
              <w:ind w:left="20"/>
              <w:spacing w:after="0"/>
              <w:rPr>
                <w:sz w:val="20"/>
                <w:szCs w:val="20"/>
                <w:color w:val="auto"/>
              </w:rPr>
            </w:pPr>
            <w:r>
              <w:rPr>
                <w:rFonts w:ascii="Arial" w:cs="Arial" w:eastAsia="Arial" w:hAnsi="Arial"/>
                <w:sz w:val="20"/>
                <w:szCs w:val="20"/>
                <w:color w:val="auto"/>
              </w:rPr>
              <w:t>Investment income:</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61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Interest and dividend income</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4,951,910</w:t>
            </w: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4,110,120</w:t>
            </w:r>
          </w:p>
        </w:tc>
      </w:tr>
      <w:tr>
        <w:trPr>
          <w:trHeight w:val="243"/>
        </w:trPr>
        <w:tc>
          <w:tcPr>
            <w:tcW w:w="6180" w:type="dxa"/>
            <w:vAlign w:val="bottom"/>
            <w:tcBorders>
              <w:bottom w:val="single" w:sz="8" w:color="CCEEFF"/>
            </w:tcBorders>
          </w:tcPr>
          <w:p>
            <w:pPr>
              <w:ind w:left="160"/>
              <w:spacing w:after="0"/>
              <w:rPr>
                <w:sz w:val="20"/>
                <w:szCs w:val="20"/>
                <w:color w:val="auto"/>
              </w:rPr>
            </w:pPr>
            <w:r>
              <w:rPr>
                <w:rFonts w:ascii="Arial" w:cs="Arial" w:eastAsia="Arial" w:hAnsi="Arial"/>
                <w:sz w:val="20"/>
                <w:szCs w:val="20"/>
                <w:color w:val="auto"/>
              </w:rPr>
              <w:t>Net appreciation in fair value of investments</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22,134,776</w:t>
            </w:r>
          </w:p>
        </w:tc>
        <w:tc>
          <w:tcPr>
            <w:tcW w:w="10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23,053,922</w:t>
            </w:r>
          </w:p>
        </w:tc>
      </w:tr>
      <w:tr>
        <w:trPr>
          <w:trHeight w:val="236"/>
        </w:trPr>
        <w:tc>
          <w:tcPr>
            <w:tcW w:w="6180" w:type="dxa"/>
            <w:vAlign w:val="bottom"/>
            <w:shd w:val="clear" w:color="auto" w:fill="CCEEFF"/>
          </w:tcPr>
          <w:p>
            <w:pPr>
              <w:ind w:left="600"/>
              <w:spacing w:after="0"/>
              <w:rPr>
                <w:sz w:val="20"/>
                <w:szCs w:val="20"/>
                <w:color w:val="auto"/>
              </w:rPr>
            </w:pPr>
            <w:r>
              <w:rPr>
                <w:rFonts w:ascii="Arial" w:cs="Arial" w:eastAsia="Arial" w:hAnsi="Arial"/>
                <w:sz w:val="20"/>
                <w:szCs w:val="20"/>
                <w:b w:val="1"/>
                <w:bCs w:val="1"/>
                <w:color w:val="auto"/>
              </w:rPr>
              <w:t>Total investment income</w:t>
            </w: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27,086,686</w:t>
            </w:r>
          </w:p>
        </w:tc>
        <w:tc>
          <w:tcPr>
            <w:tcW w:w="10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27,164,042</w:t>
            </w:r>
          </w:p>
        </w:tc>
      </w:tr>
      <w:tr>
        <w:trPr>
          <w:trHeight w:val="250"/>
        </w:trPr>
        <w:tc>
          <w:tcPr>
            <w:tcW w:w="6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618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income, notes receivable from participants</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199,767</w:t>
            </w:r>
          </w:p>
        </w:tc>
        <w:tc>
          <w:tcPr>
            <w:tcW w:w="10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190,759</w:t>
            </w:r>
          </w:p>
        </w:tc>
      </w:tr>
      <w:tr>
        <w:trPr>
          <w:trHeight w:val="237"/>
        </w:trPr>
        <w:tc>
          <w:tcPr>
            <w:tcW w:w="6180" w:type="dxa"/>
            <w:vAlign w:val="bottom"/>
            <w:tcBorders>
              <w:bottom w:val="single" w:sz="8" w:color="CCEEFF"/>
            </w:tcBorders>
          </w:tcPr>
          <w:p>
            <w:pPr>
              <w:ind w:left="600"/>
              <w:spacing w:after="0"/>
              <w:rPr>
                <w:sz w:val="20"/>
                <w:szCs w:val="20"/>
                <w:color w:val="auto"/>
              </w:rPr>
            </w:pPr>
            <w:r>
              <w:rPr>
                <w:rFonts w:ascii="Arial" w:cs="Arial" w:eastAsia="Arial" w:hAnsi="Arial"/>
                <w:sz w:val="20"/>
                <w:szCs w:val="20"/>
                <w:b w:val="1"/>
                <w:bCs w:val="1"/>
                <w:color w:val="auto"/>
              </w:rPr>
              <w:t>Total interest income, notes receivable</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199,767</w:t>
            </w:r>
          </w:p>
        </w:tc>
        <w:tc>
          <w:tcPr>
            <w:tcW w:w="10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190,759</w:t>
            </w:r>
          </w:p>
        </w:tc>
      </w:tr>
      <w:tr>
        <w:trPr>
          <w:trHeight w:val="250"/>
        </w:trPr>
        <w:tc>
          <w:tcPr>
            <w:tcW w:w="6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6180" w:type="dxa"/>
            <w:vAlign w:val="bottom"/>
          </w:tcPr>
          <w:p>
            <w:pPr>
              <w:ind w:left="20"/>
              <w:spacing w:after="0"/>
              <w:rPr>
                <w:sz w:val="20"/>
                <w:szCs w:val="20"/>
                <w:color w:val="auto"/>
              </w:rPr>
            </w:pPr>
            <w:r>
              <w:rPr>
                <w:rFonts w:ascii="Arial" w:cs="Arial" w:eastAsia="Arial" w:hAnsi="Arial"/>
                <w:sz w:val="20"/>
                <w:szCs w:val="20"/>
                <w:color w:val="auto"/>
              </w:rPr>
              <w:t>Contributions:</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6180" w:type="dxa"/>
            <w:vAlign w:val="bottom"/>
            <w:shd w:val="clear" w:color="auto" w:fill="CCEEFF"/>
          </w:tcPr>
          <w:p>
            <w:pPr>
              <w:ind w:left="160"/>
              <w:spacing w:after="0"/>
              <w:rPr>
                <w:sz w:val="20"/>
                <w:szCs w:val="20"/>
                <w:color w:val="auto"/>
              </w:rPr>
            </w:pPr>
            <w:r>
              <w:rPr>
                <w:rFonts w:ascii="Arial" w:cs="Arial" w:eastAsia="Arial" w:hAnsi="Arial"/>
                <w:sz w:val="20"/>
                <w:szCs w:val="20"/>
                <w:color w:val="auto"/>
              </w:rPr>
              <w:t>Employer</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2,093,135</w:t>
            </w: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1,968,745</w:t>
            </w:r>
          </w:p>
        </w:tc>
      </w:tr>
      <w:tr>
        <w:trPr>
          <w:trHeight w:val="243"/>
        </w:trPr>
        <w:tc>
          <w:tcPr>
            <w:tcW w:w="6180" w:type="dxa"/>
            <w:vAlign w:val="bottom"/>
            <w:tcBorders>
              <w:bottom w:val="single" w:sz="8" w:color="CCEEFF"/>
            </w:tcBorders>
          </w:tcPr>
          <w:p>
            <w:pPr>
              <w:ind w:left="160"/>
              <w:spacing w:after="0"/>
              <w:rPr>
                <w:sz w:val="20"/>
                <w:szCs w:val="20"/>
                <w:color w:val="auto"/>
              </w:rPr>
            </w:pPr>
            <w:r>
              <w:rPr>
                <w:rFonts w:ascii="Arial" w:cs="Arial" w:eastAsia="Arial" w:hAnsi="Arial"/>
                <w:sz w:val="20"/>
                <w:szCs w:val="20"/>
                <w:color w:val="auto"/>
              </w:rPr>
              <w:t>Participant</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6,521,375</w:t>
            </w:r>
          </w:p>
        </w:tc>
        <w:tc>
          <w:tcPr>
            <w:tcW w:w="10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5,460,866</w:t>
            </w:r>
          </w:p>
        </w:tc>
      </w:tr>
      <w:tr>
        <w:trPr>
          <w:trHeight w:val="236"/>
        </w:trPr>
        <w:tc>
          <w:tcPr>
            <w:tcW w:w="6180" w:type="dxa"/>
            <w:vAlign w:val="bottom"/>
            <w:shd w:val="clear" w:color="auto" w:fill="CCEEFF"/>
          </w:tcPr>
          <w:p>
            <w:pPr>
              <w:ind w:left="600"/>
              <w:spacing w:after="0"/>
              <w:rPr>
                <w:sz w:val="20"/>
                <w:szCs w:val="20"/>
                <w:color w:val="auto"/>
              </w:rPr>
            </w:pPr>
            <w:r>
              <w:rPr>
                <w:rFonts w:ascii="Arial" w:cs="Arial" w:eastAsia="Arial" w:hAnsi="Arial"/>
                <w:sz w:val="20"/>
                <w:szCs w:val="20"/>
                <w:b w:val="1"/>
                <w:bCs w:val="1"/>
                <w:color w:val="auto"/>
              </w:rPr>
              <w:t>Total contributions</w:t>
            </w: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8,614,510</w:t>
            </w:r>
          </w:p>
        </w:tc>
        <w:tc>
          <w:tcPr>
            <w:tcW w:w="10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7,429,611</w:t>
            </w:r>
          </w:p>
        </w:tc>
      </w:tr>
      <w:tr>
        <w:trPr>
          <w:trHeight w:val="250"/>
        </w:trPr>
        <w:tc>
          <w:tcPr>
            <w:tcW w:w="6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618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additions</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5,157</w:t>
            </w:r>
          </w:p>
        </w:tc>
        <w:tc>
          <w:tcPr>
            <w:tcW w:w="10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19,129</w:t>
            </w:r>
          </w:p>
        </w:tc>
      </w:tr>
      <w:tr>
        <w:trPr>
          <w:trHeight w:val="237"/>
        </w:trPr>
        <w:tc>
          <w:tcPr>
            <w:tcW w:w="6180" w:type="dxa"/>
            <w:vAlign w:val="bottom"/>
            <w:tcBorders>
              <w:bottom w:val="single" w:sz="8" w:color="CCEEFF"/>
            </w:tcBorders>
          </w:tcPr>
          <w:p>
            <w:pPr>
              <w:ind w:left="600"/>
              <w:spacing w:after="0"/>
              <w:rPr>
                <w:sz w:val="20"/>
                <w:szCs w:val="20"/>
                <w:color w:val="auto"/>
              </w:rPr>
            </w:pPr>
            <w:r>
              <w:rPr>
                <w:rFonts w:ascii="Arial" w:cs="Arial" w:eastAsia="Arial" w:hAnsi="Arial"/>
                <w:sz w:val="20"/>
                <w:szCs w:val="20"/>
                <w:b w:val="1"/>
                <w:bCs w:val="1"/>
                <w:color w:val="auto"/>
              </w:rPr>
              <w:t>Total additions</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35,906,120</w:t>
            </w:r>
          </w:p>
        </w:tc>
        <w:tc>
          <w:tcPr>
            <w:tcW w:w="10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34,803,541</w:t>
            </w:r>
          </w:p>
        </w:tc>
      </w:tr>
      <w:tr>
        <w:trPr>
          <w:trHeight w:val="250"/>
        </w:trPr>
        <w:tc>
          <w:tcPr>
            <w:tcW w:w="6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6180" w:type="dxa"/>
            <w:vAlign w:val="bottom"/>
          </w:tcPr>
          <w:p>
            <w:pPr>
              <w:ind w:left="20"/>
              <w:spacing w:after="0"/>
              <w:rPr>
                <w:sz w:val="20"/>
                <w:szCs w:val="20"/>
                <w:color w:val="auto"/>
              </w:rPr>
            </w:pPr>
            <w:r>
              <w:rPr>
                <w:rFonts w:ascii="Arial" w:cs="Arial" w:eastAsia="Arial" w:hAnsi="Arial"/>
                <w:sz w:val="20"/>
                <w:szCs w:val="20"/>
                <w:b w:val="1"/>
                <w:bCs w:val="1"/>
                <w:color w:val="auto"/>
              </w:rPr>
              <w:t>Deductions:</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6180" w:type="dxa"/>
            <w:vAlign w:val="bottom"/>
            <w:shd w:val="clear" w:color="auto" w:fill="CCEEFF"/>
          </w:tcPr>
          <w:p>
            <w:pPr>
              <w:ind w:left="20"/>
              <w:spacing w:after="0"/>
              <w:rPr>
                <w:sz w:val="20"/>
                <w:szCs w:val="20"/>
                <w:color w:val="auto"/>
              </w:rPr>
            </w:pPr>
            <w:r>
              <w:rPr>
                <w:rFonts w:ascii="Arial" w:cs="Arial" w:eastAsia="Arial" w:hAnsi="Arial"/>
                <w:sz w:val="20"/>
                <w:szCs w:val="20"/>
                <w:color w:val="auto"/>
              </w:rPr>
              <w:t>Benefits paid to participants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10,918,842</w:t>
            </w: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9,063,304</w:t>
            </w:r>
          </w:p>
        </w:tc>
      </w:tr>
      <w:tr>
        <w:trPr>
          <w:trHeight w:val="243"/>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Administrative expenses</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182,259</w:t>
            </w:r>
          </w:p>
        </w:tc>
        <w:tc>
          <w:tcPr>
            <w:tcW w:w="10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161,680</w:t>
            </w:r>
          </w:p>
        </w:tc>
      </w:tr>
      <w:tr>
        <w:trPr>
          <w:trHeight w:val="236"/>
        </w:trPr>
        <w:tc>
          <w:tcPr>
            <w:tcW w:w="6180" w:type="dxa"/>
            <w:vAlign w:val="bottom"/>
            <w:shd w:val="clear" w:color="auto" w:fill="CCEEFF"/>
          </w:tcPr>
          <w:p>
            <w:pPr>
              <w:ind w:left="600"/>
              <w:spacing w:after="0"/>
              <w:rPr>
                <w:sz w:val="20"/>
                <w:szCs w:val="20"/>
                <w:color w:val="auto"/>
              </w:rPr>
            </w:pPr>
            <w:r>
              <w:rPr>
                <w:rFonts w:ascii="Arial" w:cs="Arial" w:eastAsia="Arial" w:hAnsi="Arial"/>
                <w:sz w:val="20"/>
                <w:szCs w:val="20"/>
                <w:b w:val="1"/>
                <w:bCs w:val="1"/>
                <w:color w:val="auto"/>
              </w:rPr>
              <w:t>Total deductions</w:t>
            </w: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11,101,101</w:t>
            </w:r>
          </w:p>
        </w:tc>
        <w:tc>
          <w:tcPr>
            <w:tcW w:w="10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9,224,984</w:t>
            </w:r>
          </w:p>
        </w:tc>
      </w:tr>
      <w:tr>
        <w:trPr>
          <w:trHeight w:val="250"/>
        </w:trPr>
        <w:tc>
          <w:tcPr>
            <w:tcW w:w="6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3"/>
        </w:trPr>
        <w:tc>
          <w:tcPr>
            <w:tcW w:w="618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Net increase</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24,805,019</w:t>
            </w: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25,578,557</w:t>
            </w:r>
          </w:p>
        </w:tc>
      </w:tr>
      <w:tr>
        <w:trPr>
          <w:trHeight w:val="270"/>
        </w:trPr>
        <w:tc>
          <w:tcPr>
            <w:tcW w:w="6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3"/>
        </w:trPr>
        <w:tc>
          <w:tcPr>
            <w:tcW w:w="618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Net Assets Available for Benefits: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6180" w:type="dxa"/>
            <w:vAlign w:val="bottom"/>
            <w:tcBorders>
              <w:bottom w:val="single" w:sz="8" w:color="CCEEFF"/>
            </w:tcBorders>
          </w:tcPr>
          <w:p>
            <w:pPr>
              <w:ind w:left="180"/>
              <w:spacing w:after="0"/>
              <w:rPr>
                <w:sz w:val="20"/>
                <w:szCs w:val="20"/>
                <w:color w:val="auto"/>
              </w:rPr>
            </w:pPr>
            <w:r>
              <w:rPr>
                <w:rFonts w:ascii="Arial" w:cs="Arial" w:eastAsia="Arial" w:hAnsi="Arial"/>
                <w:sz w:val="20"/>
                <w:szCs w:val="20"/>
                <w:color w:val="auto"/>
              </w:rPr>
              <w:t>Beginning of year</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150,750,820</w:t>
            </w:r>
          </w:p>
        </w:tc>
        <w:tc>
          <w:tcPr>
            <w:tcW w:w="10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125,172,263</w:t>
            </w:r>
          </w:p>
        </w:tc>
      </w:tr>
      <w:tr>
        <w:trPr>
          <w:trHeight w:val="243"/>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End of year</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175,555,839</w:t>
            </w:r>
          </w:p>
        </w:tc>
        <w:tc>
          <w:tcPr>
            <w:tcW w:w="1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150,750,820</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0380"/>
          </w:cols>
          <w:pgMar w:left="760" w:top="1008"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380"/>
          </w:cols>
          <w:pgMar w:left="760" w:top="1008" w:right="7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DESCRIPTION OF PLAN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 of the Crown Cork &amp; Seal Company, Inc. Retirement Thrift Plan (the "Plan") provides only general information.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Participants should refer to the Plan document for a more complete description of the Plan's provisions.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General</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Plan is a voluntary defined contribution plan. The purpose of the Plan is to provide a convenient method by which eligible employees may save regularly through salary deferrals. Participation in the Plan is determined by an agreement among recognized collective bargaining units and Crown Holdings, Inc. and subsidiaries (the “Company”) or as otherwise agreed upon between the Company and non-organized hourly employees. Generally, employees are eligible to participate in the Plan upon date of hire. The Plan is subject to the provisions of the Employee Retirement Income Security Act of 1974 (“ERISA”).</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Plan is administered by the Crown Cork &amp; Seal Company, Inc. Benefit Plans Committee (the “Committee”). The Committee has appointed Vanguard Fiduciary Trust Company (“VFTC”) as the trustee and recordkeeper of the Plan.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Contributions</w:t>
      </w:r>
    </w:p>
    <w:p>
      <w:pPr>
        <w:spacing w:after="0" w:line="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Participants may elect to make basic and supplemental contributions (where permitted) each pay period as defined in the Plan document. Participants direct the investment of their contributions into various investment options offered by the Plan. Company contributions are invested in accordance with participant investment directions. Basic contributions may be matched by the Company at various rates as determined by the employer company, as defined in the Plan document. Supplemental contributions (where permitted) are not matched by the Company. In addition, certain participants receive profit sharing contributions, some of which are discretionary, from the Company at varying rates as determined by the employer company, as defined in the Plan document. Discretionary contributions in 2020 and 2019 totaled $503,787 and $653,569, respectively. Contribution amounts are subject to certain Internal Revenue Service (“IRS”) limitations.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Participant Accounts</w:t>
      </w:r>
    </w:p>
    <w:p>
      <w:pPr>
        <w:spacing w:after="0" w:line="2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Each participant’s account is credited with the participant’s contributions and allocation of (a) the Company’s contribution and (b) Plan earnings, and charged with an allocation of any administrative fees. Allocations are based on participant earnings or account balances, as defined. The benefit to which a participant is entitled is the benefit that can be provided from the participant’s vested account.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Vesting</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Participants are immediately vested in their contributions plus actual earnings thereon. Vesting in the Company’s matching and profit sharing contribution portions of their accounts plus earnings thereon is based on various rates established in the collective bargaining agreements or in the Plan document. The Plan uses graded vesting that results in a participant becoming 100% vested in the matching contribution portion after completing 4 or 5 years of credited service depending on the employer company and as defined in the Plan document. If eligible, a participant becomes 100% vested in the profit sharing contribution portion either immediately or after completing 5 years of credited service on a graded scale, depending on the employer company and as defined in the Plan document.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29" w:right="33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Notes Receivable from Participants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Plan does not generally permit participants to borrow from their accounts. However, in some circumstances participants who are employees of certain divisions of the Company and participants who are former participants of certain plans, which have merged into the Plan, are permitted to borrow from their accounts. Generally, these participants may borrow from their account a minimum of $1,000 up to a maximum of the lesser of $50,000 or 50% of their vested account balance.</w:t>
      </w:r>
    </w:p>
    <w:p>
      <w:pPr>
        <w:spacing w:after="0" w:line="22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Notes receivable terms range from 1 to 5 years or up to 10 years for the purchase of a primary residence. The notes receivable are secured by the balance in the participant’s account and bear interest at prevailing interest rates. Interest rates on notes receivable outstanding as of December 31, 2020 and 2019 range from 4.25% to 6.50%. Principal and interest are paid ratably through monthly payroll deductions.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Payment of Benefits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On termination of service due to retirement, attainment of age 65, permanent plant shutdown, permanent disability, or death, the participant, or his or her beneficiary, automatically becomes fully vested in the Company contributions. For termination of service due to these or any other reasons, a participant may receive the value of the vested interest in his or her account as a lump-sum distribution. All distributions are paid in either cash or Company stock at the participant’s election.</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Forfeited Accounts</w:t>
      </w:r>
    </w:p>
    <w:p>
      <w:pPr>
        <w:spacing w:after="0" w:line="22"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When certain terminations of participation in the Plan occur, the non-vested portion of the participant’s account, as defined, represents a forfeiture. Total unallocated forfeitures, which will be used to reduce future Company contributions, were $0 and $5,086 at December 31, 2020 and 2019, respectively. Forfeitures used to offset Company contributions in 2020 and 2019 totaled $33,594 and $35,964,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Plan Termination</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Company reserves the right to retroactively amend or modify any of the provisions of the Plan in any respect in order to qualify or maintain the Plan as a plan meeting the requirements of ERISA or any other applicable legislation. Although it has not expressed any intent to do so, the Company has the right under the Plan to discontinue its contributions at any time and to terminate the Plan subject to the provisions of ERISA. In the event of Plan termination, participants will become 100% vested in their Company contributions.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SUMMARY OF SIGNIFICANT ACCOUNTING POLICIES</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significant accounting policies, which conform with accounting principles generally accepted in the United States of America, have been used consistently in the preparation of the Plan’s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Basis of Accounting</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financial statements of the Plan are prepared under the accrual basis of accounting.</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Use of Estimates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as well as reported amounts of additions and deductions during the reporting period. Actual results could differ from those estimates.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86" w:right="3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Investment Valuation and Income Recognition</w:t>
      </w:r>
    </w:p>
    <w:p>
      <w:pPr>
        <w:spacing w:after="0" w:line="26"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The Plan’s investments are reported at fair value</w:t>
      </w:r>
      <w:r>
        <w:rPr>
          <w:rFonts w:ascii="Arial" w:cs="Arial" w:eastAsia="Arial" w:hAnsi="Arial"/>
          <w:sz w:val="19"/>
          <w:szCs w:val="19"/>
          <w:color w:val="auto"/>
        </w:rPr>
        <w:t>.</w:t>
      </w:r>
      <w:r>
        <w:rPr>
          <w:rFonts w:ascii="Arial" w:cs="Arial" w:eastAsia="Arial" w:hAnsi="Arial"/>
          <w:sz w:val="18"/>
          <w:szCs w:val="18"/>
          <w:color w:val="auto"/>
        </w:rPr>
        <w:t xml:space="preserve"> Fair value is the price that would be received to sell an asset or paid to transfer a liability in an orderly transaction between market participants at the measurement date. See Note 3 for a discussion of fair value measurements.</w:t>
      </w:r>
    </w:p>
    <w:p>
      <w:pPr>
        <w:spacing w:after="0" w:line="159" w:lineRule="exact"/>
        <w:rPr>
          <w:sz w:val="20"/>
          <w:szCs w:val="20"/>
          <w:color w:val="auto"/>
        </w:rPr>
      </w:pPr>
    </w:p>
    <w:p>
      <w:pPr>
        <w:jc w:val="both"/>
        <w:spacing w:after="0" w:line="385" w:lineRule="auto"/>
        <w:rPr>
          <w:sz w:val="20"/>
          <w:szCs w:val="20"/>
          <w:color w:val="auto"/>
        </w:rPr>
      </w:pPr>
      <w:r>
        <w:rPr>
          <w:rFonts w:ascii="Arial" w:cs="Arial" w:eastAsia="Arial" w:hAnsi="Arial"/>
          <w:sz w:val="16"/>
          <w:szCs w:val="16"/>
          <w:color w:val="auto"/>
        </w:rPr>
        <w:t>Purchases and sales of securities are recorded on the trade-date basis. Interest income is recorded on the accrual basis. Dividends are recorded on the ex-dividend date. Net appreciation includes the Plan’s gains and losses on investments bought and sold as well as held during the year.</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Notes Receivable From Participants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Notes receivable from participants are measured at their unpaid principal balance plus any accrued but unpaid interest. Related fees are recorded as administrative expenses and are expensed when they are incurred. Interest income is recorded on the accrual basis. No allowance for credit losses has been recorded as of December 31, 2020 and 2019.</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Payment of Benefits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Benefits are recorded when paid.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Expenses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Recordkeeping expenses and fees related to the administration of notes receivable from participants are charged directly to the participant’s account and are included in administrative expenses. Investment related expenses are included in net appreciation in fair value of investments. Expenses paid by the Company are excluded from these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Accounting Standards</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No. 2018-13, </w:t>
      </w:r>
      <w:r>
        <w:rPr>
          <w:rFonts w:ascii="Arial" w:cs="Arial" w:eastAsia="Arial" w:hAnsi="Arial"/>
          <w:sz w:val="18"/>
          <w:szCs w:val="18"/>
          <w:i w:val="1"/>
          <w:iCs w:val="1"/>
          <w:color w:val="auto"/>
        </w:rPr>
        <w:t>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 Changes to the Disclosure Requirements for Fair Value Measurement</w:t>
      </w:r>
      <w:r>
        <w:rPr>
          <w:rFonts w:ascii="Arial" w:cs="Arial" w:eastAsia="Arial" w:hAnsi="Arial"/>
          <w:sz w:val="18"/>
          <w:szCs w:val="18"/>
          <w:color w:val="auto"/>
        </w:rPr>
        <w:t>. ASU No. 2018-13 modified the disclosure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fair value measurements in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The amendments are based on the concepts in the FASB Concepts Statement, </w:t>
      </w:r>
      <w:r>
        <w:rPr>
          <w:rFonts w:ascii="Arial" w:cs="Arial" w:eastAsia="Arial" w:hAnsi="Arial"/>
          <w:sz w:val="18"/>
          <w:szCs w:val="18"/>
          <w:i w:val="1"/>
          <w:iCs w:val="1"/>
          <w:color w:val="auto"/>
        </w:rPr>
        <w:t>Conceptual Framework for Financial Reporting-Chapter 8: Notes to Financial Statements</w:t>
      </w:r>
      <w:r>
        <w:rPr>
          <w:rFonts w:ascii="Arial" w:cs="Arial" w:eastAsia="Arial" w:hAnsi="Arial"/>
          <w:sz w:val="18"/>
          <w:szCs w:val="18"/>
          <w:color w:val="auto"/>
        </w:rPr>
        <w:t>, which the FASB finalized on August 28, 2018. The Plan adopted this ASU on January 1, 2020. The guidance did not have a material impact on the Plan’s financial statements.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FAIR VALUE MEASUREMENTS</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under authoritative guidance are described as follows:</w:t>
      </w:r>
    </w:p>
    <w:p>
      <w:pPr>
        <w:spacing w:after="0" w:line="191"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Level 1 - Inputs to the valuation methodology are unadjusted quoted prices for identical assets or liabilities in active markets that the Plan has the ability to access.</w:t>
      </w:r>
    </w:p>
    <w:p>
      <w:pPr>
        <w:spacing w:after="0" w:line="204"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Level 2 - Inputs other than quoted prices included within Level 1 that are observable for the asset or liability, either directly or indirectly, such as: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86" w:right="33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20"/>
          <w:szCs w:val="20"/>
          <w:color w:val="auto"/>
        </w:rPr>
        <w:t>quoted prices for similar assets or liabilities in active markets;</w:t>
      </w:r>
    </w:p>
    <w:p>
      <w:pPr>
        <w:spacing w:after="0" w:line="1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20"/>
          <w:szCs w:val="20"/>
          <w:color w:val="auto"/>
        </w:rPr>
        <w:t>quoted prices for identical or similar assets or liabilities in inactive markets;</w:t>
      </w: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inputs other than quoted prices that are observable for the asset or liability;</w:t>
      </w: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inputs that are derived principally from or corroborated by observable market data by correlation or other means.</w:t>
      </w:r>
    </w:p>
    <w:p>
      <w:pPr>
        <w:spacing w:after="0" w:line="227"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If the asset or liability has a specified (contractual) term, the Level 2 input must be observable for substantially the full term of the asset or liability.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Level 3 - Inputs to the valuation methodology are unobservable and significant to the fair value measurement.</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summarize instruments measured at fair value on a recurring basis for the Plan:</w:t>
      </w:r>
    </w:p>
    <w:p>
      <w:pPr>
        <w:spacing w:after="0" w:line="372"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49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580" w:type="dxa"/>
            <w:vAlign w:val="bottom"/>
            <w:tcBorders>
              <w:bottom w:val="single" w:sz="8" w:color="auto"/>
            </w:tcBorders>
            <w:gridSpan w:val="4"/>
          </w:tcPr>
          <w:p>
            <w:pPr>
              <w:ind w:left="240"/>
              <w:spacing w:after="0"/>
              <w:rPr>
                <w:sz w:val="20"/>
                <w:szCs w:val="20"/>
                <w:color w:val="auto"/>
              </w:rPr>
            </w:pPr>
            <w:r>
              <w:rPr>
                <w:rFonts w:ascii="Arial" w:cs="Arial" w:eastAsia="Arial" w:hAnsi="Arial"/>
                <w:sz w:val="20"/>
                <w:szCs w:val="20"/>
                <w:b w:val="1"/>
                <w:bCs w:val="1"/>
                <w:color w:val="auto"/>
              </w:rPr>
              <w:t>Assets at Fair Value as of December 31, 2020</w:t>
            </w:r>
          </w:p>
        </w:tc>
      </w:tr>
      <w:tr>
        <w:trPr>
          <w:trHeight w:val="237"/>
        </w:trPr>
        <w:tc>
          <w:tcPr>
            <w:tcW w:w="4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2"/>
          </w:tcPr>
          <w:p>
            <w:pPr>
              <w:ind w:left="260"/>
              <w:spacing w:after="0"/>
              <w:rPr>
                <w:sz w:val="20"/>
                <w:szCs w:val="20"/>
                <w:color w:val="auto"/>
              </w:rPr>
            </w:pPr>
            <w:r>
              <w:rPr>
                <w:rFonts w:ascii="Arial" w:cs="Arial" w:eastAsia="Arial" w:hAnsi="Arial"/>
                <w:sz w:val="20"/>
                <w:szCs w:val="20"/>
                <w:b w:val="1"/>
                <w:bCs w:val="1"/>
                <w:color w:val="auto"/>
              </w:rPr>
              <w:t>Level 1</w:t>
            </w:r>
          </w:p>
        </w:tc>
        <w:tc>
          <w:tcPr>
            <w:tcW w:w="400" w:type="dxa"/>
            <w:vAlign w:val="bottom"/>
          </w:tcPr>
          <w:p>
            <w:pPr>
              <w:spacing w:after="0"/>
              <w:rPr>
                <w:sz w:val="20"/>
                <w:szCs w:val="20"/>
                <w:color w:val="auto"/>
              </w:rPr>
            </w:pPr>
          </w:p>
        </w:tc>
        <w:tc>
          <w:tcPr>
            <w:tcW w:w="1400" w:type="dxa"/>
            <w:vAlign w:val="bottom"/>
          </w:tcPr>
          <w:p>
            <w:pPr>
              <w:jc w:val="right"/>
              <w:ind w:right="581"/>
              <w:spacing w:after="0"/>
              <w:rPr>
                <w:sz w:val="20"/>
                <w:szCs w:val="20"/>
                <w:color w:val="auto"/>
              </w:rPr>
            </w:pPr>
            <w:r>
              <w:rPr>
                <w:rFonts w:ascii="Arial" w:cs="Arial" w:eastAsia="Arial" w:hAnsi="Arial"/>
                <w:sz w:val="20"/>
                <w:szCs w:val="20"/>
                <w:b w:val="1"/>
                <w:bCs w:val="1"/>
                <w:color w:val="auto"/>
              </w:rPr>
              <w:t>Total</w:t>
            </w:r>
          </w:p>
        </w:tc>
      </w:tr>
      <w:tr>
        <w:trPr>
          <w:trHeight w:val="236"/>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0"/>
                <w:szCs w:val="20"/>
                <w:color w:val="auto"/>
              </w:rPr>
              <w:t>Registered investment companies</w:t>
            </w:r>
          </w:p>
        </w:tc>
        <w:tc>
          <w:tcPr>
            <w:tcW w:w="32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137,012,218</w:t>
            </w:r>
          </w:p>
        </w:tc>
        <w:tc>
          <w:tcPr>
            <w:tcW w:w="13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137,012,218</w:t>
            </w:r>
          </w:p>
        </w:tc>
      </w:tr>
      <w:tr>
        <w:trPr>
          <w:trHeight w:val="243"/>
        </w:trPr>
        <w:tc>
          <w:tcPr>
            <w:tcW w:w="496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Company common stock fund</w:t>
            </w:r>
          </w:p>
        </w:tc>
        <w:tc>
          <w:tcPr>
            <w:tcW w:w="3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6,550,083</w:t>
            </w:r>
          </w:p>
        </w:tc>
        <w:tc>
          <w:tcPr>
            <w:tcW w:w="13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6,550,083</w:t>
            </w:r>
          </w:p>
        </w:tc>
      </w:tr>
      <w:tr>
        <w:trPr>
          <w:trHeight w:val="196"/>
        </w:trPr>
        <w:tc>
          <w:tcPr>
            <w:tcW w:w="4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43"/>
        </w:trPr>
        <w:tc>
          <w:tcPr>
            <w:tcW w:w="4960" w:type="dxa"/>
            <w:vAlign w:val="bottom"/>
          </w:tcPr>
          <w:p>
            <w:pPr>
              <w:ind w:left="220"/>
              <w:spacing w:after="0"/>
              <w:rPr>
                <w:sz w:val="20"/>
                <w:szCs w:val="20"/>
                <w:color w:val="auto"/>
              </w:rPr>
            </w:pPr>
            <w:r>
              <w:rPr>
                <w:rFonts w:ascii="Arial" w:cs="Arial" w:eastAsia="Arial" w:hAnsi="Arial"/>
                <w:sz w:val="20"/>
                <w:szCs w:val="20"/>
                <w:color w:val="auto"/>
              </w:rPr>
              <w:t>Total assets in fair value hierarchy</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143,562,301</w:t>
            </w: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143,562,301</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223"/>
        </w:trPr>
        <w:tc>
          <w:tcPr>
            <w:tcW w:w="4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496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Investments measured at net asset value (a)</w:t>
            </w:r>
          </w:p>
        </w:tc>
        <w:tc>
          <w:tcPr>
            <w:tcW w:w="320" w:type="dxa"/>
            <w:vAlign w:val="bottom"/>
            <w:tcBorders>
              <w:bottom w:val="single" w:sz="8" w:color="CCEEFF"/>
            </w:tcBorders>
          </w:tcPr>
          <w:p>
            <w:pPr>
              <w:spacing w:after="0"/>
              <w:rPr>
                <w:sz w:val="21"/>
                <w:szCs w:val="21"/>
                <w:color w:val="auto"/>
              </w:rPr>
            </w:pPr>
          </w:p>
        </w:tc>
        <w:tc>
          <w:tcPr>
            <w:tcW w:w="146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27,830,157</w:t>
            </w:r>
          </w:p>
        </w:tc>
      </w:tr>
      <w:tr>
        <w:trPr>
          <w:trHeight w:val="237"/>
        </w:trPr>
        <w:tc>
          <w:tcPr>
            <w:tcW w:w="4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20"/>
                <w:szCs w:val="20"/>
                <w:color w:val="auto"/>
              </w:rPr>
              <w:t>Investments at fair value</w:t>
            </w:r>
          </w:p>
        </w:tc>
        <w:tc>
          <w:tcPr>
            <w:tcW w:w="3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171,392,458</w:t>
            </w:r>
          </w:p>
        </w:tc>
      </w:tr>
      <w:tr>
        <w:trPr>
          <w:trHeight w:val="20"/>
        </w:trPr>
        <w:tc>
          <w:tcPr>
            <w:tcW w:w="4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49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580" w:type="dxa"/>
            <w:vAlign w:val="bottom"/>
            <w:tcBorders>
              <w:bottom w:val="single" w:sz="8" w:color="auto"/>
            </w:tcBorders>
            <w:gridSpan w:val="4"/>
          </w:tcPr>
          <w:p>
            <w:pPr>
              <w:ind w:left="240"/>
              <w:spacing w:after="0"/>
              <w:rPr>
                <w:sz w:val="20"/>
                <w:szCs w:val="20"/>
                <w:color w:val="auto"/>
              </w:rPr>
            </w:pPr>
            <w:r>
              <w:rPr>
                <w:rFonts w:ascii="Arial" w:cs="Arial" w:eastAsia="Arial" w:hAnsi="Arial"/>
                <w:sz w:val="20"/>
                <w:szCs w:val="20"/>
                <w:b w:val="1"/>
                <w:bCs w:val="1"/>
                <w:color w:val="auto"/>
              </w:rPr>
              <w:t>Assets at Fair Value as of December 31, 2019</w:t>
            </w:r>
          </w:p>
        </w:tc>
      </w:tr>
      <w:tr>
        <w:trPr>
          <w:trHeight w:val="236"/>
        </w:trPr>
        <w:tc>
          <w:tcPr>
            <w:tcW w:w="4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2"/>
          </w:tcPr>
          <w:p>
            <w:pPr>
              <w:ind w:left="260"/>
              <w:spacing w:after="0"/>
              <w:rPr>
                <w:sz w:val="20"/>
                <w:szCs w:val="20"/>
                <w:color w:val="auto"/>
              </w:rPr>
            </w:pPr>
            <w:r>
              <w:rPr>
                <w:rFonts w:ascii="Arial" w:cs="Arial" w:eastAsia="Arial" w:hAnsi="Arial"/>
                <w:sz w:val="20"/>
                <w:szCs w:val="20"/>
                <w:b w:val="1"/>
                <w:bCs w:val="1"/>
                <w:color w:val="auto"/>
              </w:rPr>
              <w:t>Level 1</w:t>
            </w:r>
          </w:p>
        </w:tc>
        <w:tc>
          <w:tcPr>
            <w:tcW w:w="400" w:type="dxa"/>
            <w:vAlign w:val="bottom"/>
          </w:tcPr>
          <w:p>
            <w:pPr>
              <w:spacing w:after="0"/>
              <w:rPr>
                <w:sz w:val="20"/>
                <w:szCs w:val="20"/>
                <w:color w:val="auto"/>
              </w:rPr>
            </w:pPr>
          </w:p>
        </w:tc>
        <w:tc>
          <w:tcPr>
            <w:tcW w:w="1400" w:type="dxa"/>
            <w:vAlign w:val="bottom"/>
          </w:tcPr>
          <w:p>
            <w:pPr>
              <w:jc w:val="right"/>
              <w:ind w:right="581"/>
              <w:spacing w:after="0"/>
              <w:rPr>
                <w:sz w:val="20"/>
                <w:szCs w:val="20"/>
                <w:color w:val="auto"/>
              </w:rPr>
            </w:pPr>
            <w:r>
              <w:rPr>
                <w:rFonts w:ascii="Arial" w:cs="Arial" w:eastAsia="Arial" w:hAnsi="Arial"/>
                <w:sz w:val="20"/>
                <w:szCs w:val="20"/>
                <w:b w:val="1"/>
                <w:bCs w:val="1"/>
                <w:color w:val="auto"/>
              </w:rPr>
              <w:t>Total</w:t>
            </w:r>
          </w:p>
        </w:tc>
      </w:tr>
      <w:tr>
        <w:trPr>
          <w:trHeight w:val="237"/>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0"/>
                <w:szCs w:val="20"/>
                <w:color w:val="auto"/>
              </w:rPr>
              <w:t>Registered investment companies</w:t>
            </w:r>
          </w:p>
        </w:tc>
        <w:tc>
          <w:tcPr>
            <w:tcW w:w="32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116,511,220</w:t>
            </w:r>
          </w:p>
        </w:tc>
        <w:tc>
          <w:tcPr>
            <w:tcW w:w="13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116,511,220</w:t>
            </w:r>
          </w:p>
        </w:tc>
      </w:tr>
      <w:tr>
        <w:trPr>
          <w:trHeight w:val="243"/>
        </w:trPr>
        <w:tc>
          <w:tcPr>
            <w:tcW w:w="496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Company common stock fund</w:t>
            </w:r>
          </w:p>
        </w:tc>
        <w:tc>
          <w:tcPr>
            <w:tcW w:w="3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5,417,112</w:t>
            </w:r>
          </w:p>
        </w:tc>
        <w:tc>
          <w:tcPr>
            <w:tcW w:w="13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5,417,112</w:t>
            </w:r>
          </w:p>
        </w:tc>
      </w:tr>
      <w:tr>
        <w:trPr>
          <w:trHeight w:val="237"/>
        </w:trPr>
        <w:tc>
          <w:tcPr>
            <w:tcW w:w="4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43"/>
        </w:trPr>
        <w:tc>
          <w:tcPr>
            <w:tcW w:w="4960" w:type="dxa"/>
            <w:vAlign w:val="bottom"/>
          </w:tcPr>
          <w:p>
            <w:pPr>
              <w:ind w:left="340"/>
              <w:spacing w:after="0"/>
              <w:rPr>
                <w:sz w:val="20"/>
                <w:szCs w:val="20"/>
                <w:color w:val="auto"/>
              </w:rPr>
            </w:pPr>
            <w:r>
              <w:rPr>
                <w:rFonts w:ascii="Arial" w:cs="Arial" w:eastAsia="Arial" w:hAnsi="Arial"/>
                <w:sz w:val="20"/>
                <w:szCs w:val="20"/>
                <w:color w:val="auto"/>
              </w:rPr>
              <w:t>Total assets in fair value hierarchy</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121,928,332</w:t>
            </w: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121,928,332</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223"/>
        </w:trPr>
        <w:tc>
          <w:tcPr>
            <w:tcW w:w="4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496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Investments measured at net asset value (a)</w:t>
            </w:r>
          </w:p>
        </w:tc>
        <w:tc>
          <w:tcPr>
            <w:tcW w:w="320" w:type="dxa"/>
            <w:vAlign w:val="bottom"/>
            <w:tcBorders>
              <w:bottom w:val="single" w:sz="8" w:color="CCEEFF"/>
            </w:tcBorders>
          </w:tcPr>
          <w:p>
            <w:pPr>
              <w:spacing w:after="0"/>
              <w:rPr>
                <w:sz w:val="21"/>
                <w:szCs w:val="21"/>
                <w:color w:val="auto"/>
              </w:rPr>
            </w:pPr>
          </w:p>
        </w:tc>
        <w:tc>
          <w:tcPr>
            <w:tcW w:w="146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24,539,426</w:t>
            </w:r>
          </w:p>
        </w:tc>
      </w:tr>
      <w:tr>
        <w:trPr>
          <w:trHeight w:val="237"/>
        </w:trPr>
        <w:tc>
          <w:tcPr>
            <w:tcW w:w="4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20"/>
                <w:szCs w:val="20"/>
                <w:color w:val="auto"/>
              </w:rPr>
              <w:t>Investments at fair value</w:t>
            </w:r>
          </w:p>
        </w:tc>
        <w:tc>
          <w:tcPr>
            <w:tcW w:w="3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146,467,758</w:t>
            </w:r>
          </w:p>
        </w:tc>
      </w:tr>
      <w:tr>
        <w:trPr>
          <w:trHeight w:val="20"/>
        </w:trPr>
        <w:tc>
          <w:tcPr>
            <w:tcW w:w="4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both"/>
        <w:ind w:left="980" w:hanging="324"/>
        <w:spacing w:after="0" w:line="275" w:lineRule="auto"/>
        <w:tabs>
          <w:tab w:leader="none" w:pos="977" w:val="left"/>
        </w:tabs>
        <w:numPr>
          <w:ilvl w:val="0"/>
          <w:numId w:val="4"/>
        </w:numPr>
        <w:rPr>
          <w:rFonts w:ascii="Arial" w:cs="Arial" w:eastAsia="Arial" w:hAnsi="Arial"/>
          <w:sz w:val="16"/>
          <w:szCs w:val="16"/>
          <w:color w:val="auto"/>
        </w:rPr>
      </w:pPr>
      <w:r>
        <w:rPr>
          <w:rFonts w:ascii="Arial" w:cs="Arial" w:eastAsia="Arial" w:hAnsi="Arial"/>
          <w:sz w:val="18"/>
          <w:szCs w:val="18"/>
          <w:color w:val="auto"/>
        </w:rPr>
        <w:t>Certain investments that were measured at net asset value ("NAV") per share (or its equivalent) have not been classified in the fair value hierarchy. The fair value amounts presented in this table are intended to permit reconciliation of the fair value</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20"/>
          <w:szCs w:val="20"/>
          <w:color w:val="auto"/>
        </w:rPr>
        <w:t>hierarchy to the line items presented in the Statement of Net Assets Available for Benefits.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86" w:right="339" w:bottom="1440" w:gutter="0" w:footer="0" w:header="0"/>
        </w:sectPr>
      </w:pPr>
    </w:p>
    <w:bookmarkStart w:id="9" w:name="page10"/>
    <w:bookmarkEnd w:id="9"/>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following is a description of the valuation methodologies used for assets measured at fair value. There have been no changes in the methodologies used at December 31, 2020 and 2019.</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Registered investment companies are valued at the daily closing price as reported by the fund, which represent the NAV of shares held by the Plan at year end. Mutual funds held by the Plan are open-end mutual funds that are registered with the U.S. Securities and Exchange Commission. These funds are required to publish their daily NAV and to transact at that price. The mutual funds held by the Plan are deemed to be actively traded.</w:t>
      </w:r>
    </w:p>
    <w:p>
      <w:pPr>
        <w:spacing w:after="0" w:line="21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fair value of the Company common stock fund is measured at the closing price reported on the active market on which the security held by the fund is traded.</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Vanguard Retirement Savings Trust is a collective trust fund that is valued at the NAV of the units of the collective trust fund held by the Plan at year end times the respective unit value. The NAV, as provided by the trustee, is used as practical expedient to estimate fair value. The NAV of the collective trust fund is based upon significant observable inputs, although it is not based upon quoted market prices in an active market. The collective trust fund’s investment objective is to seek the preservation of capital and to provide a competitive level of income over time that is consistent with the preservation of capital. To achieve its investment objective, the collective trust fund invests in assets (typically contracts issued by insurance companies and banks, synthetic investment contracts, and short term investments) and enters into “wrapper” contracts issued by third-parties and invests in cash equivalents represented by shares in a money market fund.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Investments Measured Using NAV per Share Practical Expedient</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table summarizes investments for which fair value is measured using NAV per share practical expedient as of December 31, 2020 and 2019, respectively. There are no participant redemption restrictions for these investments; the redemption notice period is applicable only to the Plan.</w:t>
      </w:r>
    </w:p>
    <w:p>
      <w:pPr>
        <w:spacing w:after="0" w:line="342" w:lineRule="exact"/>
        <w:rPr>
          <w:sz w:val="20"/>
          <w:szCs w:val="20"/>
          <w:color w:val="auto"/>
        </w:rPr>
      </w:pPr>
    </w:p>
    <w:tbl>
      <w:tblPr>
        <w:tblLayout w:type="fixed"/>
        <w:tblInd w:w="460" w:type="dxa"/>
        <w:tblCellMar>
          <w:top w:w="0" w:type="dxa"/>
          <w:left w:w="0" w:type="dxa"/>
          <w:bottom w:w="0" w:type="dxa"/>
          <w:right w:w="0" w:type="dxa"/>
        </w:tblCellMar>
      </w:tblPr>
      <w:tr>
        <w:trPr>
          <w:trHeight w:val="252"/>
        </w:trPr>
        <w:tc>
          <w:tcPr>
            <w:tcW w:w="38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4"/>
          </w:tcPr>
          <w:p>
            <w:pPr>
              <w:ind w:left="780"/>
              <w:spacing w:after="0"/>
              <w:rPr>
                <w:sz w:val="20"/>
                <w:szCs w:val="20"/>
                <w:color w:val="auto"/>
              </w:rPr>
            </w:pPr>
            <w:r>
              <w:rPr>
                <w:rFonts w:ascii="Arial" w:cs="Arial" w:eastAsia="Arial" w:hAnsi="Arial"/>
                <w:sz w:val="20"/>
                <w:szCs w:val="20"/>
                <w:b w:val="1"/>
                <w:bCs w:val="1"/>
                <w:color w:val="auto"/>
              </w:rPr>
              <w:t>December 31, 2020</w:t>
            </w:r>
          </w:p>
        </w:tc>
        <w:tc>
          <w:tcPr>
            <w:tcW w:w="1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20"/>
                <w:szCs w:val="20"/>
                <w:b w:val="1"/>
                <w:bCs w:val="1"/>
                <w:color w:val="auto"/>
              </w:rPr>
              <w:t>Fair Value</w:t>
            </w:r>
          </w:p>
        </w:tc>
        <w:tc>
          <w:tcPr>
            <w:tcW w:w="1740" w:type="dxa"/>
            <w:vAlign w:val="bottom"/>
            <w:gridSpan w:val="2"/>
          </w:tcPr>
          <w:p>
            <w:pPr>
              <w:jc w:val="center"/>
              <w:ind w:right="160"/>
              <w:spacing w:after="0" w:line="183" w:lineRule="exact"/>
              <w:rPr>
                <w:sz w:val="20"/>
                <w:szCs w:val="20"/>
                <w:color w:val="auto"/>
              </w:rPr>
            </w:pPr>
            <w:r>
              <w:rPr>
                <w:rFonts w:ascii="Arial" w:cs="Arial" w:eastAsia="Arial" w:hAnsi="Arial"/>
                <w:sz w:val="20"/>
                <w:szCs w:val="20"/>
                <w:b w:val="1"/>
                <w:bCs w:val="1"/>
                <w:color w:val="auto"/>
                <w:w w:val="92"/>
              </w:rPr>
              <w:t>Unfunded</w:t>
            </w:r>
          </w:p>
        </w:tc>
        <w:tc>
          <w:tcPr>
            <w:tcW w:w="1640" w:type="dxa"/>
            <w:vAlign w:val="bottom"/>
            <w:gridSpan w:val="2"/>
          </w:tcPr>
          <w:p>
            <w:pPr>
              <w:jc w:val="center"/>
              <w:ind w:right="160"/>
              <w:spacing w:after="0" w:line="183" w:lineRule="exact"/>
              <w:rPr>
                <w:sz w:val="20"/>
                <w:szCs w:val="20"/>
                <w:color w:val="auto"/>
              </w:rPr>
            </w:pPr>
            <w:r>
              <w:rPr>
                <w:rFonts w:ascii="Arial" w:cs="Arial" w:eastAsia="Arial" w:hAnsi="Arial"/>
                <w:sz w:val="20"/>
                <w:szCs w:val="20"/>
                <w:b w:val="1"/>
                <w:bCs w:val="1"/>
                <w:color w:val="auto"/>
                <w:w w:val="89"/>
              </w:rPr>
              <w:t>Redemption</w:t>
            </w:r>
          </w:p>
        </w:tc>
        <w:tc>
          <w:tcPr>
            <w:tcW w:w="1460" w:type="dxa"/>
            <w:vAlign w:val="bottom"/>
          </w:tcPr>
          <w:p>
            <w:pPr>
              <w:jc w:val="center"/>
              <w:spacing w:after="0" w:line="183" w:lineRule="exact"/>
              <w:rPr>
                <w:sz w:val="20"/>
                <w:szCs w:val="20"/>
                <w:color w:val="auto"/>
              </w:rPr>
            </w:pPr>
            <w:r>
              <w:rPr>
                <w:rFonts w:ascii="Arial" w:cs="Arial" w:eastAsia="Arial" w:hAnsi="Arial"/>
                <w:sz w:val="20"/>
                <w:szCs w:val="20"/>
                <w:b w:val="1"/>
                <w:bCs w:val="1"/>
                <w:color w:val="auto"/>
                <w:w w:val="89"/>
              </w:rPr>
              <w:t>Redemption</w:t>
            </w: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20"/>
                <w:szCs w:val="20"/>
                <w:b w:val="1"/>
                <w:bCs w:val="1"/>
                <w:color w:val="auto"/>
                <w:w w:val="89"/>
              </w:rPr>
              <w:t>Commitments</w:t>
            </w:r>
          </w:p>
        </w:tc>
        <w:tc>
          <w:tcPr>
            <w:tcW w:w="1640" w:type="dxa"/>
            <w:vAlign w:val="bottom"/>
            <w:gridSpan w:val="2"/>
          </w:tcPr>
          <w:p>
            <w:pPr>
              <w:jc w:val="center"/>
              <w:ind w:right="180"/>
              <w:spacing w:after="0"/>
              <w:rPr>
                <w:sz w:val="20"/>
                <w:szCs w:val="20"/>
                <w:color w:val="auto"/>
              </w:rPr>
            </w:pPr>
            <w:r>
              <w:rPr>
                <w:rFonts w:ascii="Arial" w:cs="Arial" w:eastAsia="Arial" w:hAnsi="Arial"/>
                <w:sz w:val="20"/>
                <w:szCs w:val="20"/>
                <w:b w:val="1"/>
                <w:bCs w:val="1"/>
                <w:color w:val="auto"/>
                <w:w w:val="88"/>
              </w:rPr>
              <w:t>Frequency</w:t>
            </w:r>
          </w:p>
        </w:tc>
        <w:tc>
          <w:tcPr>
            <w:tcW w:w="1460" w:type="dxa"/>
            <w:vAlign w:val="bottom"/>
          </w:tcPr>
          <w:p>
            <w:pPr>
              <w:jc w:val="center"/>
              <w:spacing w:after="0"/>
              <w:rPr>
                <w:sz w:val="20"/>
                <w:szCs w:val="20"/>
                <w:color w:val="auto"/>
              </w:rPr>
            </w:pPr>
            <w:r>
              <w:rPr>
                <w:rFonts w:ascii="Arial" w:cs="Arial" w:eastAsia="Arial" w:hAnsi="Arial"/>
                <w:sz w:val="20"/>
                <w:szCs w:val="20"/>
                <w:b w:val="1"/>
                <w:bCs w:val="1"/>
                <w:color w:val="auto"/>
                <w:w w:val="88"/>
              </w:rPr>
              <w:t>Notice Period</w:t>
            </w:r>
          </w:p>
        </w:tc>
        <w:tc>
          <w:tcPr>
            <w:tcW w:w="0" w:type="dxa"/>
            <w:vAlign w:val="bottom"/>
          </w:tcPr>
          <w:p>
            <w:pPr>
              <w:spacing w:after="0"/>
              <w:rPr>
                <w:sz w:val="1"/>
                <w:szCs w:val="1"/>
                <w:color w:val="auto"/>
              </w:rPr>
            </w:pPr>
          </w:p>
        </w:tc>
      </w:tr>
      <w:tr>
        <w:trPr>
          <w:trHeight w:val="237"/>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0"/>
                <w:szCs w:val="20"/>
                <w:color w:val="auto"/>
              </w:rPr>
              <w:t>Vanguard Retirement Savings Trust</w:t>
            </w:r>
          </w:p>
        </w:tc>
        <w:tc>
          <w:tcPr>
            <w:tcW w:w="2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27,830,157</w:t>
            </w:r>
          </w:p>
        </w:tc>
        <w:tc>
          <w:tcPr>
            <w:tcW w:w="140" w:type="dxa"/>
            <w:vAlign w:val="bottom"/>
            <w:tcBorders>
              <w:top w:val="single" w:sz="8" w:color="CCEEFF"/>
            </w:tcBorders>
            <w:shd w:val="clear" w:color="auto" w:fill="CCEEFF"/>
          </w:tcPr>
          <w:p>
            <w:pPr>
              <w:spacing w:after="0"/>
              <w:rPr>
                <w:sz w:val="20"/>
                <w:szCs w:val="20"/>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rPr>
              <w:t>N/A</w:t>
            </w:r>
          </w:p>
        </w:tc>
        <w:tc>
          <w:tcPr>
            <w:tcW w:w="14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8"/>
              </w:rPr>
              <w:t>Daily</w:t>
            </w:r>
          </w:p>
        </w:tc>
        <w:tc>
          <w:tcPr>
            <w:tcW w:w="16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513"/>
        </w:trPr>
        <w:tc>
          <w:tcPr>
            <w:tcW w:w="3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4"/>
          </w:tcPr>
          <w:p>
            <w:pPr>
              <w:ind w:left="780"/>
              <w:spacing w:after="0"/>
              <w:rPr>
                <w:sz w:val="20"/>
                <w:szCs w:val="20"/>
                <w:color w:val="auto"/>
              </w:rPr>
            </w:pPr>
            <w:r>
              <w:rPr>
                <w:rFonts w:ascii="Arial" w:cs="Arial" w:eastAsia="Arial" w:hAnsi="Arial"/>
                <w:sz w:val="20"/>
                <w:szCs w:val="20"/>
                <w:b w:val="1"/>
                <w:bCs w:val="1"/>
                <w:color w:val="auto"/>
              </w:rPr>
              <w:t>December 31, 2019</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20"/>
                <w:szCs w:val="20"/>
                <w:b w:val="1"/>
                <w:bCs w:val="1"/>
                <w:color w:val="auto"/>
              </w:rPr>
              <w:t>Fair Value</w:t>
            </w:r>
          </w:p>
        </w:tc>
        <w:tc>
          <w:tcPr>
            <w:tcW w:w="1740" w:type="dxa"/>
            <w:vAlign w:val="bottom"/>
            <w:gridSpan w:val="2"/>
          </w:tcPr>
          <w:p>
            <w:pPr>
              <w:jc w:val="center"/>
              <w:ind w:right="160"/>
              <w:spacing w:after="0" w:line="183" w:lineRule="exact"/>
              <w:rPr>
                <w:sz w:val="20"/>
                <w:szCs w:val="20"/>
                <w:color w:val="auto"/>
              </w:rPr>
            </w:pPr>
            <w:r>
              <w:rPr>
                <w:rFonts w:ascii="Arial" w:cs="Arial" w:eastAsia="Arial" w:hAnsi="Arial"/>
                <w:sz w:val="20"/>
                <w:szCs w:val="20"/>
                <w:b w:val="1"/>
                <w:bCs w:val="1"/>
                <w:color w:val="auto"/>
                <w:w w:val="92"/>
              </w:rPr>
              <w:t>Unfunded</w:t>
            </w:r>
          </w:p>
        </w:tc>
        <w:tc>
          <w:tcPr>
            <w:tcW w:w="1640" w:type="dxa"/>
            <w:vAlign w:val="bottom"/>
            <w:gridSpan w:val="2"/>
          </w:tcPr>
          <w:p>
            <w:pPr>
              <w:jc w:val="center"/>
              <w:ind w:right="160"/>
              <w:spacing w:after="0" w:line="183" w:lineRule="exact"/>
              <w:rPr>
                <w:sz w:val="20"/>
                <w:szCs w:val="20"/>
                <w:color w:val="auto"/>
              </w:rPr>
            </w:pPr>
            <w:r>
              <w:rPr>
                <w:rFonts w:ascii="Arial" w:cs="Arial" w:eastAsia="Arial" w:hAnsi="Arial"/>
                <w:sz w:val="20"/>
                <w:szCs w:val="20"/>
                <w:b w:val="1"/>
                <w:bCs w:val="1"/>
                <w:color w:val="auto"/>
                <w:w w:val="89"/>
              </w:rPr>
              <w:t>Redemption</w:t>
            </w:r>
          </w:p>
        </w:tc>
        <w:tc>
          <w:tcPr>
            <w:tcW w:w="1460" w:type="dxa"/>
            <w:vAlign w:val="bottom"/>
          </w:tcPr>
          <w:p>
            <w:pPr>
              <w:jc w:val="center"/>
              <w:spacing w:after="0" w:line="183" w:lineRule="exact"/>
              <w:rPr>
                <w:sz w:val="20"/>
                <w:szCs w:val="20"/>
                <w:color w:val="auto"/>
              </w:rPr>
            </w:pPr>
            <w:r>
              <w:rPr>
                <w:rFonts w:ascii="Arial" w:cs="Arial" w:eastAsia="Arial" w:hAnsi="Arial"/>
                <w:sz w:val="20"/>
                <w:szCs w:val="20"/>
                <w:b w:val="1"/>
                <w:bCs w:val="1"/>
                <w:color w:val="auto"/>
                <w:w w:val="89"/>
              </w:rPr>
              <w:t>Redemption</w:t>
            </w: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20"/>
                <w:szCs w:val="20"/>
                <w:b w:val="1"/>
                <w:bCs w:val="1"/>
                <w:color w:val="auto"/>
                <w:w w:val="89"/>
              </w:rPr>
              <w:t>Commitments</w:t>
            </w:r>
          </w:p>
        </w:tc>
        <w:tc>
          <w:tcPr>
            <w:tcW w:w="1640" w:type="dxa"/>
            <w:vAlign w:val="bottom"/>
            <w:gridSpan w:val="2"/>
          </w:tcPr>
          <w:p>
            <w:pPr>
              <w:jc w:val="center"/>
              <w:ind w:right="180"/>
              <w:spacing w:after="0"/>
              <w:rPr>
                <w:sz w:val="20"/>
                <w:szCs w:val="20"/>
                <w:color w:val="auto"/>
              </w:rPr>
            </w:pPr>
            <w:r>
              <w:rPr>
                <w:rFonts w:ascii="Arial" w:cs="Arial" w:eastAsia="Arial" w:hAnsi="Arial"/>
                <w:sz w:val="20"/>
                <w:szCs w:val="20"/>
                <w:b w:val="1"/>
                <w:bCs w:val="1"/>
                <w:color w:val="auto"/>
                <w:w w:val="88"/>
              </w:rPr>
              <w:t>Frequency</w:t>
            </w:r>
          </w:p>
        </w:tc>
        <w:tc>
          <w:tcPr>
            <w:tcW w:w="1460" w:type="dxa"/>
            <w:vAlign w:val="bottom"/>
          </w:tcPr>
          <w:p>
            <w:pPr>
              <w:jc w:val="center"/>
              <w:spacing w:after="0"/>
              <w:rPr>
                <w:sz w:val="20"/>
                <w:szCs w:val="20"/>
                <w:color w:val="auto"/>
              </w:rPr>
            </w:pPr>
            <w:r>
              <w:rPr>
                <w:rFonts w:ascii="Arial" w:cs="Arial" w:eastAsia="Arial" w:hAnsi="Arial"/>
                <w:sz w:val="20"/>
                <w:szCs w:val="20"/>
                <w:b w:val="1"/>
                <w:bCs w:val="1"/>
                <w:color w:val="auto"/>
                <w:w w:val="88"/>
              </w:rPr>
              <w:t>Notice Period</w:t>
            </w:r>
          </w:p>
        </w:tc>
        <w:tc>
          <w:tcPr>
            <w:tcW w:w="0" w:type="dxa"/>
            <w:vAlign w:val="bottom"/>
          </w:tcPr>
          <w:p>
            <w:pPr>
              <w:spacing w:after="0"/>
              <w:rPr>
                <w:sz w:val="1"/>
                <w:szCs w:val="1"/>
                <w:color w:val="auto"/>
              </w:rPr>
            </w:pPr>
          </w:p>
        </w:tc>
      </w:tr>
      <w:tr>
        <w:trPr>
          <w:trHeight w:val="237"/>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0"/>
                <w:szCs w:val="20"/>
                <w:color w:val="auto"/>
              </w:rPr>
              <w:t>Vanguard Retirement Savings Trust</w:t>
            </w:r>
          </w:p>
        </w:tc>
        <w:tc>
          <w:tcPr>
            <w:tcW w:w="2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24,539,426</w:t>
            </w:r>
          </w:p>
        </w:tc>
        <w:tc>
          <w:tcPr>
            <w:tcW w:w="140" w:type="dxa"/>
            <w:vAlign w:val="bottom"/>
            <w:tcBorders>
              <w:top w:val="single" w:sz="8" w:color="CCEEFF"/>
            </w:tcBorders>
            <w:shd w:val="clear" w:color="auto" w:fill="CCEEFF"/>
          </w:tcPr>
          <w:p>
            <w:pPr>
              <w:spacing w:after="0"/>
              <w:rPr>
                <w:sz w:val="20"/>
                <w:szCs w:val="20"/>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rPr>
              <w:t>N/A</w:t>
            </w:r>
          </w:p>
        </w:tc>
        <w:tc>
          <w:tcPr>
            <w:tcW w:w="14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8"/>
              </w:rPr>
              <w:t>Daily</w:t>
            </w:r>
          </w:p>
        </w:tc>
        <w:tc>
          <w:tcPr>
            <w:tcW w:w="16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86" w:right="339" w:bottom="1440" w:gutter="0" w:footer="0" w:header="0"/>
        </w:sectPr>
      </w:pPr>
    </w:p>
    <w:bookmarkStart w:id="10" w:name="page11"/>
    <w:bookmarkEnd w:id="10"/>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THRIFT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 RELATED PARTY TRANSACTIONS</w:t>
      </w:r>
    </w:p>
    <w:p>
      <w:pPr>
        <w:spacing w:after="0" w:line="249"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Plan participants invest in shares of registered investment companies and a collective trust fund managed by affiliates of VFTC. VFTC acts as trustee for investments of the Plan. The Plan participants also invest in shares of the Company’s common stock through the Crown Holdings, Inc. Stock Fund. The Company’s common stock fund held approximately 65,400 and 74,700 shares of Crown Holdings, Inc. common stock representing 3.7% and 3.6% of Plan assets as of December 31, 2020 and 2019, respectively. For the years 2020 and 2019, the Company common stock fund had purchases of $1,209,300 and $322,834, respectively, and sales of $1,932,100 and $452,315, respectively. There were no dividends on the Company's common stock in 2020 or 2019. The Plan also issues loans to participants, which are secured by the balances in the respective participant accounts. Transactions in such investments qualify as party-in-interest transactions and are exempt from the prohibited transaction rules.</w:t>
      </w:r>
    </w:p>
    <w:p>
      <w:pPr>
        <w:spacing w:after="0" w:line="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Certain administrative functions of the Plan are performed by officers or employees of the Company. No such officer or employee receives compensation from the Plan.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TAX STATUS</w:t>
      </w:r>
    </w:p>
    <w:p>
      <w:pPr>
        <w:spacing w:after="0" w:line="24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IRS determined and informed the Company by letter dated October 13, 2015 that the Plan was qualified under Internal Revenue Code (“IRC”) Section 401(k). The Company believes the Plan is designed and is currently being operated in compliance with the applicable requirements of the IRC and therefore, believes that the Plan is qualified, and the related trust is tax exempt.</w:t>
      </w:r>
    </w:p>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Accounting principles generally accepted in the United States of America require Plan management to evaluate tax positions taken by the Plan and recognize a tax liability if the organization has taken an uncertain position that more likely than not would not be sustained upon examination by the IRS. The Plan is subject to routine audits by taxing jurisdictions; however, there are currently no audits for any tax periods in progress. The Plan administrator believes it is no longer subject to income tax examination for years prior to 2017.</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 RISKS AND UNCERTAINTIES</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Investment securities,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such changes could materially affect participants’ account balances and the amounts reported in the Statement of Net Assets Available for Benefits.</w:t>
      </w:r>
    </w:p>
    <w:p>
      <w:pPr>
        <w:spacing w:after="0" w:line="218"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As of December 31, 2020 and 2019, the Plan had investments of $73,702,654 and $65,554,345, respectively that were concentrated in two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86"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color w:val="auto"/>
        </w:rPr>
        <w:t>Supplemental Information</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Required for Form 5500</w:t>
      </w:r>
    </w:p>
    <w:p>
      <w:pPr>
        <w:sectPr>
          <w:pgSz w:w="11900" w:h="16838" w:orient="portrait"/>
          <w:cols w:equalWidth="0" w:num="1">
            <w:col w:w="9019"/>
          </w:cols>
          <w:pgMar w:left="1440" w:top="1440" w:right="1440"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CROWN CORK &amp; SEAL COMPANY, INC. RETIREMENT THRIFT PLAN</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Schedule H, Line 4i - Schedule of Assets (Held at End of Year)</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626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Crown Cork &amp; Seal Company, Inc. Retirement Thrift Plan</w:t>
      </w:r>
    </w:p>
    <w:p>
      <w:pPr>
        <w:spacing w:after="0"/>
        <w:rPr>
          <w:sz w:val="20"/>
          <w:szCs w:val="20"/>
          <w:color w:val="auto"/>
        </w:rPr>
      </w:pPr>
      <w:r>
        <w:rPr>
          <w:rFonts w:ascii="Arial" w:cs="Arial" w:eastAsia="Arial" w:hAnsi="Arial"/>
          <w:sz w:val="18"/>
          <w:szCs w:val="18"/>
          <w:color w:val="auto"/>
        </w:rPr>
        <w:t>EIN 23-1526444 Plan No. 105</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40" w:type="dxa"/>
            <w:vAlign w:val="bottom"/>
            <w:tcBorders>
              <w:bottom w:val="single" w:sz="8" w:color="auto"/>
            </w:tcBorders>
          </w:tcPr>
          <w:p>
            <w:pPr>
              <w:spacing w:after="0"/>
              <w:rPr>
                <w:sz w:val="21"/>
                <w:szCs w:val="21"/>
                <w:color w:val="auto"/>
              </w:rPr>
            </w:pP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Identity of Participant-Directed Issues</w:t>
            </w:r>
          </w:p>
        </w:tc>
        <w:tc>
          <w:tcPr>
            <w:tcW w:w="4500" w:type="dxa"/>
            <w:vAlign w:val="bottom"/>
            <w:tcBorders>
              <w:bottom w:val="single" w:sz="8" w:color="auto"/>
            </w:tcBorders>
          </w:tcPr>
          <w:p>
            <w:pPr>
              <w:ind w:left="1400"/>
              <w:spacing w:after="0"/>
              <w:rPr>
                <w:sz w:val="20"/>
                <w:szCs w:val="20"/>
                <w:color w:val="auto"/>
              </w:rPr>
            </w:pPr>
            <w:r>
              <w:rPr>
                <w:rFonts w:ascii="Arial" w:cs="Arial" w:eastAsia="Arial" w:hAnsi="Arial"/>
                <w:sz w:val="20"/>
                <w:szCs w:val="20"/>
                <w:b w:val="1"/>
                <w:bCs w:val="1"/>
                <w:color w:val="auto"/>
              </w:rPr>
              <w:t>Investment Type</w:t>
            </w: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w w:val="92"/>
              </w:rPr>
              <w:t>Current Value</w:t>
            </w:r>
          </w:p>
        </w:tc>
      </w:tr>
      <w:tr>
        <w:trPr>
          <w:trHeight w:val="229"/>
        </w:trPr>
        <w:tc>
          <w:tcPr>
            <w:tcW w:w="140" w:type="dxa"/>
            <w:vAlign w:val="bottom"/>
            <w:shd w:val="clear" w:color="auto" w:fill="CCEEFF"/>
          </w:tcPr>
          <w:p>
            <w:pPr>
              <w:spacing w:after="0"/>
              <w:rPr>
                <w:sz w:val="19"/>
                <w:szCs w:val="19"/>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Baird Core Plus Bond Fund</w:t>
            </w:r>
          </w:p>
        </w:tc>
        <w:tc>
          <w:tcPr>
            <w:tcW w:w="4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9,337,768</w:t>
            </w:r>
          </w:p>
        </w:tc>
      </w:tr>
      <w:tr>
        <w:trPr>
          <w:trHeight w:val="230"/>
        </w:trPr>
        <w:tc>
          <w:tcPr>
            <w:tcW w:w="14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DFA Emerging Markets Core Equity Portfolio</w:t>
            </w:r>
          </w:p>
        </w:tc>
        <w:tc>
          <w:tcPr>
            <w:tcW w:w="4500" w:type="dxa"/>
            <w:vAlign w:val="bottom"/>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364,185</w:t>
            </w:r>
          </w:p>
        </w:tc>
      </w:tr>
      <w:tr>
        <w:trPr>
          <w:trHeight w:val="229"/>
        </w:trPr>
        <w:tc>
          <w:tcPr>
            <w:tcW w:w="140" w:type="dxa"/>
            <w:vAlign w:val="bottom"/>
            <w:shd w:val="clear" w:color="auto" w:fill="CCEEFF"/>
          </w:tcPr>
          <w:p>
            <w:pPr>
              <w:spacing w:after="0"/>
              <w:rPr>
                <w:sz w:val="19"/>
                <w:szCs w:val="19"/>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DFA US Targeted Value Portfolio</w:t>
            </w:r>
          </w:p>
        </w:tc>
        <w:tc>
          <w:tcPr>
            <w:tcW w:w="4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154,171</w:t>
            </w:r>
          </w:p>
        </w:tc>
      </w:tr>
      <w:tr>
        <w:trPr>
          <w:trHeight w:val="229"/>
        </w:trPr>
        <w:tc>
          <w:tcPr>
            <w:tcW w:w="14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HSBC Opportunity Fund</w:t>
            </w:r>
          </w:p>
        </w:tc>
        <w:tc>
          <w:tcPr>
            <w:tcW w:w="4500" w:type="dxa"/>
            <w:vAlign w:val="bottom"/>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14,133,300</w:t>
            </w:r>
          </w:p>
        </w:tc>
      </w:tr>
      <w:tr>
        <w:trPr>
          <w:trHeight w:val="230"/>
        </w:trPr>
        <w:tc>
          <w:tcPr>
            <w:tcW w:w="140" w:type="dxa"/>
            <w:vAlign w:val="bottom"/>
            <w:shd w:val="clear" w:color="auto" w:fill="CCEEFF"/>
          </w:tcPr>
          <w:p>
            <w:pPr>
              <w:spacing w:after="0"/>
              <w:rPr>
                <w:sz w:val="19"/>
                <w:szCs w:val="19"/>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JPMorgan Intrepid Value Fund</w:t>
            </w:r>
          </w:p>
        </w:tc>
        <w:tc>
          <w:tcPr>
            <w:tcW w:w="4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2,495,111</w:t>
            </w:r>
          </w:p>
        </w:tc>
      </w:tr>
      <w:tr>
        <w:trPr>
          <w:trHeight w:val="229"/>
        </w:trPr>
        <w:tc>
          <w:tcPr>
            <w:tcW w:w="14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T. Rowe Price International Discovery Fund</w:t>
            </w:r>
          </w:p>
        </w:tc>
        <w:tc>
          <w:tcPr>
            <w:tcW w:w="4500" w:type="dxa"/>
            <w:vAlign w:val="bottom"/>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236,612</w:t>
            </w:r>
          </w:p>
        </w:tc>
      </w:tr>
      <w:tr>
        <w:trPr>
          <w:trHeight w:val="229"/>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Vanguard Developed Markets Index Fund</w:t>
            </w:r>
          </w:p>
        </w:tc>
        <w:tc>
          <w:tcPr>
            <w:tcW w:w="4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2,321,089</w:t>
            </w: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 Vanguard International Growth Fund</w:t>
            </w:r>
          </w:p>
        </w:tc>
        <w:tc>
          <w:tcPr>
            <w:tcW w:w="4500" w:type="dxa"/>
            <w:vAlign w:val="bottom"/>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13,284,128</w:t>
            </w:r>
          </w:p>
        </w:tc>
      </w:tr>
      <w:tr>
        <w:trPr>
          <w:trHeight w:val="229"/>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Vanguard Cash Reserve Federal Money Market Fund</w:t>
            </w:r>
          </w:p>
        </w:tc>
        <w:tc>
          <w:tcPr>
            <w:tcW w:w="4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129,516</w:t>
            </w: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 Vanguard Target Retirement 2015 Fund</w:t>
            </w:r>
          </w:p>
        </w:tc>
        <w:tc>
          <w:tcPr>
            <w:tcW w:w="4500" w:type="dxa"/>
            <w:vAlign w:val="bottom"/>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2,305,555</w:t>
            </w:r>
          </w:p>
        </w:tc>
      </w:tr>
      <w:tr>
        <w:trPr>
          <w:trHeight w:val="229"/>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Vanguard Target Retirement 2020 Fund</w:t>
            </w:r>
          </w:p>
        </w:tc>
        <w:tc>
          <w:tcPr>
            <w:tcW w:w="4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2,161,125</w:t>
            </w:r>
          </w:p>
        </w:tc>
      </w:tr>
      <w:tr>
        <w:trPr>
          <w:trHeight w:val="229"/>
        </w:trPr>
        <w:tc>
          <w:tcPr>
            <w:tcW w:w="4680" w:type="dxa"/>
            <w:vAlign w:val="bottom"/>
            <w:gridSpan w:val="2"/>
          </w:tcPr>
          <w:p>
            <w:pPr>
              <w:spacing w:after="0"/>
              <w:rPr>
                <w:sz w:val="20"/>
                <w:szCs w:val="20"/>
                <w:color w:val="auto"/>
              </w:rPr>
            </w:pPr>
            <w:r>
              <w:rPr>
                <w:rFonts w:ascii="Arial" w:cs="Arial" w:eastAsia="Arial" w:hAnsi="Arial"/>
                <w:sz w:val="18"/>
                <w:szCs w:val="18"/>
                <w:color w:val="auto"/>
              </w:rPr>
              <w:t>* Vanguard Target Retirement 2025 Fund</w:t>
            </w:r>
          </w:p>
        </w:tc>
        <w:tc>
          <w:tcPr>
            <w:tcW w:w="4500" w:type="dxa"/>
            <w:vAlign w:val="bottom"/>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5,644,204</w:t>
            </w:r>
          </w:p>
        </w:tc>
      </w:tr>
      <w:tr>
        <w:trPr>
          <w:trHeight w:val="23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Vanguard Target Retirement 2030 Fund</w:t>
            </w:r>
          </w:p>
        </w:tc>
        <w:tc>
          <w:tcPr>
            <w:tcW w:w="4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6,045,539</w:t>
            </w:r>
          </w:p>
        </w:tc>
      </w:tr>
      <w:tr>
        <w:trPr>
          <w:trHeight w:val="229"/>
        </w:trPr>
        <w:tc>
          <w:tcPr>
            <w:tcW w:w="4680" w:type="dxa"/>
            <w:vAlign w:val="bottom"/>
            <w:gridSpan w:val="2"/>
          </w:tcPr>
          <w:p>
            <w:pPr>
              <w:spacing w:after="0"/>
              <w:rPr>
                <w:sz w:val="20"/>
                <w:szCs w:val="20"/>
                <w:color w:val="auto"/>
              </w:rPr>
            </w:pPr>
            <w:r>
              <w:rPr>
                <w:rFonts w:ascii="Arial" w:cs="Arial" w:eastAsia="Arial" w:hAnsi="Arial"/>
                <w:sz w:val="18"/>
                <w:szCs w:val="18"/>
                <w:color w:val="auto"/>
              </w:rPr>
              <w:t>* Vanguard Target Retirement 2035 Fund</w:t>
            </w:r>
          </w:p>
        </w:tc>
        <w:tc>
          <w:tcPr>
            <w:tcW w:w="4500" w:type="dxa"/>
            <w:vAlign w:val="bottom"/>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4,105,675</w:t>
            </w:r>
          </w:p>
        </w:tc>
      </w:tr>
      <w:tr>
        <w:trPr>
          <w:trHeight w:val="23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Vanguard Target Retirement 2040 Fund</w:t>
            </w:r>
          </w:p>
        </w:tc>
        <w:tc>
          <w:tcPr>
            <w:tcW w:w="4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3,861,741</w:t>
            </w:r>
          </w:p>
        </w:tc>
      </w:tr>
      <w:tr>
        <w:trPr>
          <w:trHeight w:val="229"/>
        </w:trPr>
        <w:tc>
          <w:tcPr>
            <w:tcW w:w="4680" w:type="dxa"/>
            <w:vAlign w:val="bottom"/>
            <w:gridSpan w:val="2"/>
          </w:tcPr>
          <w:p>
            <w:pPr>
              <w:spacing w:after="0"/>
              <w:rPr>
                <w:sz w:val="20"/>
                <w:szCs w:val="20"/>
                <w:color w:val="auto"/>
              </w:rPr>
            </w:pPr>
            <w:r>
              <w:rPr>
                <w:rFonts w:ascii="Arial" w:cs="Arial" w:eastAsia="Arial" w:hAnsi="Arial"/>
                <w:sz w:val="18"/>
                <w:szCs w:val="18"/>
                <w:color w:val="auto"/>
              </w:rPr>
              <w:t>* Vanguard Target Retirement 2045 Fund</w:t>
            </w:r>
          </w:p>
        </w:tc>
        <w:tc>
          <w:tcPr>
            <w:tcW w:w="4500" w:type="dxa"/>
            <w:vAlign w:val="bottom"/>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2,111,728</w:t>
            </w:r>
          </w:p>
        </w:tc>
      </w:tr>
      <w:tr>
        <w:trPr>
          <w:trHeight w:val="229"/>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Vanguard Target Retirement 2050 Fund</w:t>
            </w:r>
          </w:p>
        </w:tc>
        <w:tc>
          <w:tcPr>
            <w:tcW w:w="4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3,191,929</w:t>
            </w: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 Vanguard Target Retirement 2055 Fund</w:t>
            </w:r>
          </w:p>
        </w:tc>
        <w:tc>
          <w:tcPr>
            <w:tcW w:w="4500" w:type="dxa"/>
            <w:vAlign w:val="bottom"/>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1,519,403</w:t>
            </w:r>
          </w:p>
        </w:tc>
      </w:tr>
      <w:tr>
        <w:trPr>
          <w:trHeight w:val="229"/>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Vanguard Target Retirement 2060 Fund</w:t>
            </w:r>
          </w:p>
        </w:tc>
        <w:tc>
          <w:tcPr>
            <w:tcW w:w="4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957,360</w:t>
            </w: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 Vanguard Target Retirement 2065 Fund</w:t>
            </w:r>
          </w:p>
        </w:tc>
        <w:tc>
          <w:tcPr>
            <w:tcW w:w="4500" w:type="dxa"/>
            <w:vAlign w:val="bottom"/>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181,706</w:t>
            </w:r>
          </w:p>
        </w:tc>
      </w:tr>
      <w:tr>
        <w:trPr>
          <w:trHeight w:val="23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Vanguard Target Retirement Income Fund</w:t>
            </w:r>
          </w:p>
        </w:tc>
        <w:tc>
          <w:tcPr>
            <w:tcW w:w="4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2,251,258</w:t>
            </w:r>
          </w:p>
        </w:tc>
      </w:tr>
      <w:tr>
        <w:trPr>
          <w:trHeight w:val="229"/>
        </w:trPr>
        <w:tc>
          <w:tcPr>
            <w:tcW w:w="4680" w:type="dxa"/>
            <w:vAlign w:val="bottom"/>
            <w:gridSpan w:val="2"/>
          </w:tcPr>
          <w:p>
            <w:pPr>
              <w:spacing w:after="0"/>
              <w:rPr>
                <w:sz w:val="20"/>
                <w:szCs w:val="20"/>
                <w:color w:val="auto"/>
              </w:rPr>
            </w:pPr>
            <w:r>
              <w:rPr>
                <w:rFonts w:ascii="Arial" w:cs="Arial" w:eastAsia="Arial" w:hAnsi="Arial"/>
                <w:sz w:val="18"/>
                <w:szCs w:val="18"/>
                <w:color w:val="auto"/>
              </w:rPr>
              <w:t>* Vanguard Total Stock Market Index Fund</w:t>
            </w:r>
          </w:p>
        </w:tc>
        <w:tc>
          <w:tcPr>
            <w:tcW w:w="4500" w:type="dxa"/>
            <w:vAlign w:val="bottom"/>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45,872,497</w:t>
            </w:r>
          </w:p>
        </w:tc>
      </w:tr>
      <w:tr>
        <w:trPr>
          <w:trHeight w:val="23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Vanguard U.S. Growth Fund</w:t>
            </w:r>
          </w:p>
        </w:tc>
        <w:tc>
          <w:tcPr>
            <w:tcW w:w="4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2,795,117</w:t>
            </w: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 Vanguard Wellington Fund</w:t>
            </w:r>
          </w:p>
        </w:tc>
        <w:tc>
          <w:tcPr>
            <w:tcW w:w="4500" w:type="dxa"/>
            <w:vAlign w:val="bottom"/>
          </w:tcPr>
          <w:p>
            <w:pPr>
              <w:ind w:left="680"/>
              <w:spacing w:after="0"/>
              <w:rPr>
                <w:sz w:val="20"/>
                <w:szCs w:val="20"/>
                <w:color w:val="auto"/>
              </w:rPr>
            </w:pPr>
            <w:r>
              <w:rPr>
                <w:rFonts w:ascii="Arial" w:cs="Arial" w:eastAsia="Arial" w:hAnsi="Arial"/>
                <w:sz w:val="18"/>
                <w:szCs w:val="18"/>
                <w:color w:val="auto"/>
              </w:rPr>
              <w:t>Registered Investment Company</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11,551,501</w:t>
            </w:r>
          </w:p>
        </w:tc>
      </w:tr>
      <w:tr>
        <w:trPr>
          <w:trHeight w:val="23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Vanguard Retirement Savings Trust</w:t>
            </w:r>
          </w:p>
        </w:tc>
        <w:tc>
          <w:tcPr>
            <w:tcW w:w="4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Collective Trust Fund</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27,830,157</w:t>
            </w:r>
          </w:p>
        </w:tc>
      </w:tr>
      <w:tr>
        <w:trPr>
          <w:trHeight w:val="229"/>
        </w:trPr>
        <w:tc>
          <w:tcPr>
            <w:tcW w:w="4680" w:type="dxa"/>
            <w:vAlign w:val="bottom"/>
            <w:gridSpan w:val="2"/>
          </w:tcPr>
          <w:p>
            <w:pPr>
              <w:spacing w:after="0"/>
              <w:rPr>
                <w:sz w:val="20"/>
                <w:szCs w:val="20"/>
                <w:color w:val="auto"/>
              </w:rPr>
            </w:pPr>
            <w:r>
              <w:rPr>
                <w:rFonts w:ascii="Arial" w:cs="Arial" w:eastAsia="Arial" w:hAnsi="Arial"/>
                <w:sz w:val="18"/>
                <w:szCs w:val="18"/>
                <w:color w:val="auto"/>
              </w:rPr>
              <w:t>* Crown Holdings, Inc. Stock Fund</w:t>
            </w:r>
          </w:p>
        </w:tc>
        <w:tc>
          <w:tcPr>
            <w:tcW w:w="4500" w:type="dxa"/>
            <w:vAlign w:val="bottom"/>
          </w:tcPr>
          <w:p>
            <w:pPr>
              <w:ind w:left="680"/>
              <w:spacing w:after="0"/>
              <w:rPr>
                <w:sz w:val="20"/>
                <w:szCs w:val="20"/>
                <w:color w:val="auto"/>
              </w:rPr>
            </w:pPr>
            <w:r>
              <w:rPr>
                <w:rFonts w:ascii="Arial" w:cs="Arial" w:eastAsia="Arial" w:hAnsi="Arial"/>
                <w:sz w:val="18"/>
                <w:szCs w:val="18"/>
                <w:color w:val="auto"/>
              </w:rPr>
              <w:t>Common Stock Fund</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6,550,083</w:t>
            </w:r>
          </w:p>
        </w:tc>
      </w:tr>
      <w:tr>
        <w:trPr>
          <w:trHeight w:val="23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Notes receivable from participants</w:t>
            </w:r>
          </w:p>
        </w:tc>
        <w:tc>
          <w:tcPr>
            <w:tcW w:w="4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Interest rates: 4.25% - 6.50%</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3,659,594</w:t>
            </w:r>
          </w:p>
        </w:tc>
      </w:tr>
      <w:tr>
        <w:trPr>
          <w:trHeight w:val="223"/>
        </w:trPr>
        <w:tc>
          <w:tcPr>
            <w:tcW w:w="140" w:type="dxa"/>
            <w:vAlign w:val="bottom"/>
          </w:tcPr>
          <w:p>
            <w:pPr>
              <w:spacing w:after="0"/>
              <w:rPr>
                <w:sz w:val="19"/>
                <w:szCs w:val="19"/>
                <w:color w:val="auto"/>
              </w:rPr>
            </w:pPr>
          </w:p>
        </w:tc>
        <w:tc>
          <w:tcPr>
            <w:tcW w:w="4540" w:type="dxa"/>
            <w:vAlign w:val="bottom"/>
          </w:tcPr>
          <w:p>
            <w:pPr>
              <w:ind w:left="20"/>
              <w:spacing w:after="0" w:line="223" w:lineRule="exact"/>
              <w:rPr>
                <w:sz w:val="20"/>
                <w:szCs w:val="20"/>
                <w:color w:val="auto"/>
              </w:rPr>
            </w:pPr>
            <w:r>
              <w:rPr>
                <w:rFonts w:ascii="Arial" w:cs="Arial" w:eastAsia="Arial" w:hAnsi="Arial"/>
                <w:sz w:val="20"/>
                <w:szCs w:val="20"/>
                <w:b w:val="1"/>
                <w:bCs w:val="1"/>
                <w:color w:val="auto"/>
              </w:rPr>
              <w:t>Total Assets (Held at End of Year)</w:t>
            </w:r>
          </w:p>
        </w:tc>
        <w:tc>
          <w:tcPr>
            <w:tcW w:w="45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175,052,052</w:t>
            </w:r>
          </w:p>
        </w:tc>
      </w:tr>
      <w:tr>
        <w:trPr>
          <w:trHeight w:val="20"/>
        </w:trPr>
        <w:tc>
          <w:tcPr>
            <w:tcW w:w="1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  Party-in-Interest as defined by ERISA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 column not required to be reported as all investments are participant directed.</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20"/>
          </w:cols>
          <w:pgMar w:left="740" w:top="733" w:right="7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80"/>
        </w:trPr>
        <w:tc>
          <w:tcPr>
            <w:tcW w:w="2220" w:type="dxa"/>
            <w:vAlign w:val="bottom"/>
            <w:gridSpan w:val="3"/>
          </w:tcPr>
          <w:p>
            <w:pPr>
              <w:spacing w:after="0"/>
              <w:rPr>
                <w:sz w:val="20"/>
                <w:szCs w:val="20"/>
                <w:color w:val="auto"/>
              </w:rPr>
            </w:pPr>
            <w:r>
              <w:rPr>
                <w:rFonts w:ascii="Arial" w:cs="Arial" w:eastAsia="Arial" w:hAnsi="Arial"/>
                <w:sz w:val="22"/>
                <w:szCs w:val="22"/>
                <w:b w:val="1"/>
                <w:bCs w:val="1"/>
                <w:color w:val="auto"/>
              </w:rPr>
              <w:t>EXHIBITS</w:t>
            </w:r>
          </w:p>
        </w:tc>
        <w:tc>
          <w:tcPr>
            <w:tcW w:w="19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71"/>
        </w:trPr>
        <w:tc>
          <w:tcPr>
            <w:tcW w:w="4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Arial" w:cs="Arial" w:eastAsia="Arial" w:hAnsi="Arial"/>
                <w:sz w:val="22"/>
                <w:szCs w:val="22"/>
                <w:color w:val="auto"/>
              </w:rPr>
              <w:t>Exhibit Number</w:t>
            </w:r>
          </w:p>
        </w:tc>
        <w:tc>
          <w:tcPr>
            <w:tcW w:w="5180" w:type="dxa"/>
            <w:vAlign w:val="bottom"/>
            <w:gridSpan w:val="2"/>
          </w:tcPr>
          <w:p>
            <w:pPr>
              <w:spacing w:after="0"/>
              <w:rPr>
                <w:sz w:val="20"/>
                <w:szCs w:val="20"/>
                <w:color w:val="auto"/>
              </w:rPr>
            </w:pPr>
            <w:r>
              <w:rPr>
                <w:rFonts w:ascii="Arial" w:cs="Arial" w:eastAsia="Arial" w:hAnsi="Arial"/>
                <w:sz w:val="22"/>
                <w:szCs w:val="22"/>
                <w:color w:val="auto"/>
              </w:rPr>
              <w:t>Description of Exhibit</w:t>
            </w:r>
          </w:p>
        </w:tc>
      </w:tr>
      <w:tr>
        <w:trPr>
          <w:trHeight w:val="20"/>
        </w:trPr>
        <w:tc>
          <w:tcPr>
            <w:tcW w:w="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0" w:type="dxa"/>
            <w:vAlign w:val="bottom"/>
          </w:tcPr>
          <w:p>
            <w:pPr>
              <w:spacing w:after="0" w:line="250" w:lineRule="exact"/>
              <w:rPr>
                <w:sz w:val="20"/>
                <w:szCs w:val="20"/>
                <w:color w:val="auto"/>
              </w:rPr>
            </w:pPr>
            <w:r>
              <w:rPr>
                <w:rFonts w:ascii="Arial" w:cs="Arial" w:eastAsia="Arial" w:hAnsi="Arial"/>
                <w:sz w:val="22"/>
                <w:szCs w:val="22"/>
                <w:color w:val="auto"/>
              </w:rPr>
              <w:t>23</w:t>
            </w:r>
          </w:p>
        </w:tc>
        <w:tc>
          <w:tcPr>
            <w:tcW w:w="780" w:type="dxa"/>
            <w:vAlign w:val="bottom"/>
          </w:tcPr>
          <w:p>
            <w:pPr>
              <w:spacing w:after="0"/>
              <w:rPr>
                <w:sz w:val="21"/>
                <w:szCs w:val="21"/>
                <w:color w:val="auto"/>
              </w:rPr>
            </w:pPr>
          </w:p>
        </w:tc>
        <w:tc>
          <w:tcPr>
            <w:tcW w:w="5180" w:type="dxa"/>
            <w:vAlign w:val="bottom"/>
            <w:tcBorders>
              <w:bottom w:val="single" w:sz="8" w:color="0000FF"/>
            </w:tcBorders>
            <w:gridSpan w:val="2"/>
          </w:tcPr>
          <w:p>
            <w:pPr>
              <w:spacing w:after="0" w:line="250" w:lineRule="exact"/>
              <w:rPr>
                <w:rFonts w:ascii="Arial" w:cs="Arial" w:eastAsia="Arial" w:hAnsi="Arial"/>
                <w:sz w:val="22"/>
                <w:szCs w:val="22"/>
                <w:color w:val="0000FF"/>
                <w:w w:val="89"/>
              </w:rPr>
            </w:pPr>
            <w:hyperlink w:anchor="page15">
              <w:r>
                <w:rPr>
                  <w:rFonts w:ascii="Arial" w:cs="Arial" w:eastAsia="Arial" w:hAnsi="Arial"/>
                  <w:sz w:val="22"/>
                  <w:szCs w:val="22"/>
                  <w:color w:val="0000FF"/>
                  <w:w w:val="89"/>
                </w:rPr>
                <w:t>Consent of Independent Registered Public Accounting Firm</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258" w:lineRule="auto"/>
        <w:rPr>
          <w:sz w:val="20"/>
          <w:szCs w:val="20"/>
          <w:color w:val="auto"/>
        </w:rPr>
      </w:pPr>
      <w:r>
        <w:rPr>
          <w:rFonts w:ascii="Arial" w:cs="Arial" w:eastAsia="Arial" w:hAnsi="Arial"/>
          <w:sz w:val="22"/>
          <w:szCs w:val="22"/>
          <w:color w:val="auto"/>
        </w:rPr>
        <w:t>Pursuant to the requirements of the Securities Exchange Act of 1934, the Benefit Plans Investment Committee has duly caused this annual report to be signed on its behalf by the undersigned hereto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Crown Cork &amp; Seal Company, Inc.</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Retirement Thrift Plan</w:t>
      </w:r>
    </w:p>
    <w:p>
      <w:pPr>
        <w:spacing w:after="0" w:line="200" w:lineRule="exact"/>
        <w:rPr>
          <w:sz w:val="20"/>
          <w:szCs w:val="20"/>
          <w:color w:val="auto"/>
        </w:rPr>
      </w:pPr>
    </w:p>
    <w:p>
      <w:pPr>
        <w:spacing w:after="0" w:line="35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David A. Beaver</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David A. Beaver</w:t>
      </w:r>
    </w:p>
    <w:p>
      <w:pPr>
        <w:spacing w:after="0" w:line="17"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June 16, 2021</w:t>
      </w:r>
    </w:p>
    <w:p>
      <w:pPr>
        <w:sectPr>
          <w:pgSz w:w="11900" w:h="16838" w:orient="portrait"/>
          <w:cols w:equalWidth="0" w:num="1">
            <w:col w:w="10960"/>
          </w:cols>
          <w:pgMar w:left="320" w:top="1138"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60"/>
          </w:cols>
          <w:pgMar w:left="320" w:top="1138" w:right="61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25"/>
          <w:szCs w:val="25"/>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9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consent to the incorporation by reference in the Registration Statements (No. 333-140992 and No. 333-230008) on Form S-8 of our report dated June 16, 2021, which appears in this annual report on Form 11-K of the Crown Cork &amp; Seal Company, Inc. Retirement Thrift Plan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/s/ Baker Tilly Virchow Krause, LLP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Philadelphia, Pennsylvania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June 16, 2021</w:t>
      </w:r>
    </w:p>
    <w:sectPr>
      <w:pgSz w:w="11900" w:h="16838" w:orient="portrait"/>
      <w:cols w:equalWidth="0" w:num="1">
        <w:col w:w="11240"/>
      </w:cols>
      <w:pgMar w:left="320" w:top="11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2021-06-16T11:03:16Z</dcterms:created>
  <dcterms:modified xsi:type="dcterms:W3CDTF">2021-06-16T11:03:16Z</dcterms:modified>
</cp:coreProperties>
</file>