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144780</wp:posOffset>
            </wp:positionH>
            <wp:positionV relativeFrom="page">
              <wp:posOffset>641985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740"/>
        <w:spacing w:after="0"/>
        <w:rPr>
          <w:sz w:val="20"/>
          <w:szCs w:val="20"/>
          <w:color w:val="auto"/>
        </w:rPr>
      </w:pPr>
      <w:r>
        <w:rPr>
          <w:rFonts w:ascii="Arial" w:cs="Arial" w:eastAsia="Arial" w:hAnsi="Arial"/>
          <w:sz w:val="32"/>
          <w:szCs w:val="32"/>
          <w:b w:val="1"/>
          <w:bCs w:val="1"/>
          <w:color w:val="auto"/>
        </w:rPr>
        <w:t>____________</w:t>
      </w:r>
    </w:p>
    <w:p>
      <w:pPr>
        <w:spacing w:after="0" w:line="200" w:lineRule="exact"/>
        <w:rPr>
          <w:sz w:val="24"/>
          <w:szCs w:val="24"/>
          <w:color w:val="auto"/>
        </w:rPr>
      </w:pP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46" w:lineRule="exact"/>
        <w:rPr>
          <w:sz w:val="24"/>
          <w:szCs w:val="24"/>
          <w:color w:val="auto"/>
        </w:rPr>
      </w:pPr>
    </w:p>
    <w:p>
      <w:pPr>
        <w:ind w:left="4740"/>
        <w:spacing w:after="0"/>
        <w:rPr>
          <w:sz w:val="20"/>
          <w:szCs w:val="20"/>
          <w:color w:val="auto"/>
        </w:rPr>
      </w:pPr>
      <w:r>
        <w:rPr>
          <w:rFonts w:ascii="Arial" w:cs="Arial" w:eastAsia="Arial" w:hAnsi="Arial"/>
          <w:sz w:val="32"/>
          <w:szCs w:val="32"/>
          <w:b w:val="1"/>
          <w:bCs w:val="1"/>
          <w:color w:val="auto"/>
        </w:rPr>
        <w:t>____________</w:t>
      </w:r>
    </w:p>
    <w:p>
      <w:pPr>
        <w:spacing w:after="0" w:line="200" w:lineRule="exact"/>
        <w:rPr>
          <w:sz w:val="24"/>
          <w:szCs w:val="24"/>
          <w:color w:val="auto"/>
        </w:rPr>
      </w:pP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July 17, 2019</w:t>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CROWN HOLDINGS,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367" w:lineRule="exact"/>
        <w:rPr>
          <w:sz w:val="24"/>
          <w:szCs w:val="24"/>
          <w:color w:val="auto"/>
        </w:rPr>
      </w:pPr>
    </w:p>
    <w:tbl>
      <w:tblPr>
        <w:tblLayout w:type="fixed"/>
        <w:tblInd w:w="1060" w:type="dxa"/>
        <w:tblCellMar>
          <w:top w:w="0" w:type="dxa"/>
          <w:left w:w="0" w:type="dxa"/>
          <w:bottom w:w="0" w:type="dxa"/>
          <w:right w:w="0" w:type="dxa"/>
        </w:tblCellMar>
      </w:tblPr>
      <w:tr>
        <w:trPr>
          <w:trHeight w:val="234"/>
        </w:trPr>
        <w:tc>
          <w:tcPr>
            <w:tcW w:w="3200" w:type="dxa"/>
            <w:vAlign w:val="bottom"/>
          </w:tcPr>
          <w:p>
            <w:pPr>
              <w:jc w:val="center"/>
              <w:ind w:right="890"/>
              <w:spacing w:after="0"/>
              <w:rPr>
                <w:sz w:val="20"/>
                <w:szCs w:val="20"/>
                <w:color w:val="auto"/>
              </w:rPr>
            </w:pPr>
            <w:r>
              <w:rPr>
                <w:rFonts w:ascii="Arial" w:cs="Arial" w:eastAsia="Arial" w:hAnsi="Arial"/>
                <w:sz w:val="18"/>
                <w:szCs w:val="18"/>
                <w:b w:val="1"/>
                <w:bCs w:val="1"/>
                <w:color w:val="auto"/>
                <w:w w:val="88"/>
              </w:rPr>
              <w:t>Pennsylvania</w:t>
            </w:r>
          </w:p>
        </w:tc>
        <w:tc>
          <w:tcPr>
            <w:tcW w:w="314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000-50189</w:t>
            </w:r>
          </w:p>
        </w:tc>
        <w:tc>
          <w:tcPr>
            <w:tcW w:w="2520" w:type="dxa"/>
            <w:vAlign w:val="bottom"/>
          </w:tcPr>
          <w:p>
            <w:pPr>
              <w:jc w:val="center"/>
              <w:ind w:left="1110"/>
              <w:spacing w:after="0"/>
              <w:rPr>
                <w:sz w:val="20"/>
                <w:szCs w:val="20"/>
                <w:color w:val="auto"/>
              </w:rPr>
            </w:pPr>
            <w:r>
              <w:rPr>
                <w:rFonts w:ascii="Arial" w:cs="Arial" w:eastAsia="Arial" w:hAnsi="Arial"/>
                <w:sz w:val="18"/>
                <w:szCs w:val="18"/>
                <w:b w:val="1"/>
                <w:bCs w:val="1"/>
                <w:color w:val="auto"/>
                <w:w w:val="91"/>
              </w:rPr>
              <w:t>75-3099507</w:t>
            </w:r>
          </w:p>
        </w:tc>
      </w:tr>
      <w:tr>
        <w:trPr>
          <w:trHeight w:val="256"/>
        </w:trPr>
        <w:tc>
          <w:tcPr>
            <w:tcW w:w="3200" w:type="dxa"/>
            <w:vAlign w:val="bottom"/>
          </w:tcPr>
          <w:p>
            <w:pPr>
              <w:jc w:val="center"/>
              <w:ind w:right="870"/>
              <w:spacing w:after="0"/>
              <w:rPr>
                <w:sz w:val="20"/>
                <w:szCs w:val="20"/>
                <w:color w:val="auto"/>
              </w:rPr>
            </w:pPr>
            <w:r>
              <w:rPr>
                <w:rFonts w:ascii="Arial" w:cs="Arial" w:eastAsia="Arial" w:hAnsi="Arial"/>
                <w:sz w:val="18"/>
                <w:szCs w:val="18"/>
                <w:color w:val="auto"/>
                <w:w w:val="92"/>
              </w:rPr>
              <w:t>(State or Other Jurisdiction of</w:t>
            </w:r>
          </w:p>
        </w:tc>
        <w:tc>
          <w:tcPr>
            <w:tcW w:w="3140" w:type="dxa"/>
            <w:vAlign w:val="bottom"/>
          </w:tcPr>
          <w:p>
            <w:pPr>
              <w:jc w:val="center"/>
              <w:ind w:right="130"/>
              <w:spacing w:after="0"/>
              <w:rPr>
                <w:sz w:val="20"/>
                <w:szCs w:val="20"/>
                <w:color w:val="auto"/>
              </w:rPr>
            </w:pPr>
            <w:r>
              <w:rPr>
                <w:rFonts w:ascii="Arial" w:cs="Arial" w:eastAsia="Arial" w:hAnsi="Arial"/>
                <w:sz w:val="18"/>
                <w:szCs w:val="18"/>
                <w:color w:val="auto"/>
                <w:w w:val="91"/>
              </w:rPr>
              <w:t>(Commission</w:t>
            </w:r>
          </w:p>
        </w:tc>
        <w:tc>
          <w:tcPr>
            <w:tcW w:w="2520" w:type="dxa"/>
            <w:vAlign w:val="bottom"/>
          </w:tcPr>
          <w:p>
            <w:pPr>
              <w:jc w:val="center"/>
              <w:ind w:left="1110"/>
              <w:spacing w:after="0"/>
              <w:rPr>
                <w:sz w:val="20"/>
                <w:szCs w:val="20"/>
                <w:color w:val="auto"/>
              </w:rPr>
            </w:pPr>
            <w:r>
              <w:rPr>
                <w:rFonts w:ascii="Arial" w:cs="Arial" w:eastAsia="Arial" w:hAnsi="Arial"/>
                <w:sz w:val="18"/>
                <w:szCs w:val="18"/>
                <w:color w:val="auto"/>
                <w:w w:val="93"/>
              </w:rPr>
              <w:t>(I.R.S. Employer</w:t>
            </w:r>
          </w:p>
        </w:tc>
      </w:tr>
      <w:tr>
        <w:trPr>
          <w:trHeight w:val="230"/>
        </w:trPr>
        <w:tc>
          <w:tcPr>
            <w:tcW w:w="3200" w:type="dxa"/>
            <w:vAlign w:val="bottom"/>
          </w:tcPr>
          <w:p>
            <w:pPr>
              <w:jc w:val="center"/>
              <w:ind w:right="890"/>
              <w:spacing w:after="0"/>
              <w:rPr>
                <w:sz w:val="20"/>
                <w:szCs w:val="20"/>
                <w:color w:val="auto"/>
              </w:rPr>
            </w:pPr>
            <w:r>
              <w:rPr>
                <w:rFonts w:ascii="Arial" w:cs="Arial" w:eastAsia="Arial" w:hAnsi="Arial"/>
                <w:sz w:val="18"/>
                <w:szCs w:val="18"/>
                <w:color w:val="auto"/>
                <w:w w:val="92"/>
              </w:rPr>
              <w:t>Incorporation or Organization)</w:t>
            </w:r>
          </w:p>
        </w:tc>
        <w:tc>
          <w:tcPr>
            <w:tcW w:w="3140" w:type="dxa"/>
            <w:vAlign w:val="bottom"/>
          </w:tcPr>
          <w:p>
            <w:pPr>
              <w:jc w:val="center"/>
              <w:ind w:right="130"/>
              <w:spacing w:after="0"/>
              <w:rPr>
                <w:sz w:val="20"/>
                <w:szCs w:val="20"/>
                <w:color w:val="auto"/>
              </w:rPr>
            </w:pPr>
            <w:r>
              <w:rPr>
                <w:rFonts w:ascii="Arial" w:cs="Arial" w:eastAsia="Arial" w:hAnsi="Arial"/>
                <w:sz w:val="18"/>
                <w:szCs w:val="18"/>
                <w:color w:val="auto"/>
                <w:w w:val="92"/>
              </w:rPr>
              <w:t>File Number)</w:t>
            </w:r>
          </w:p>
        </w:tc>
        <w:tc>
          <w:tcPr>
            <w:tcW w:w="2520" w:type="dxa"/>
            <w:vAlign w:val="bottom"/>
          </w:tcPr>
          <w:p>
            <w:pPr>
              <w:jc w:val="center"/>
              <w:ind w:left="1090"/>
              <w:spacing w:after="0"/>
              <w:rPr>
                <w:sz w:val="20"/>
                <w:szCs w:val="20"/>
                <w:color w:val="auto"/>
              </w:rPr>
            </w:pPr>
            <w:r>
              <w:rPr>
                <w:rFonts w:ascii="Arial" w:cs="Arial" w:eastAsia="Arial" w:hAnsi="Arial"/>
                <w:sz w:val="18"/>
                <w:szCs w:val="18"/>
                <w:color w:val="auto"/>
                <w:w w:val="95"/>
              </w:rPr>
              <w:t>Identification No.)</w:t>
            </w:r>
          </w:p>
        </w:tc>
      </w:tr>
    </w:tbl>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770 Township Line Road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Yardley, Pennsylvania 19067</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(215) 698-5100</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0" w:lineRule="exact"/>
        <w:rPr>
          <w:sz w:val="24"/>
          <w:szCs w:val="24"/>
          <w:color w:val="auto"/>
        </w:rPr>
      </w:pPr>
    </w:p>
    <w:p>
      <w:pPr>
        <w:spacing w:after="0" w:line="22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o </w:t>
      </w:r>
      <w:r>
        <w:rPr>
          <w:rFonts w:ascii="Arial" w:cs="Arial" w:eastAsia="Arial" w:hAnsi="Arial"/>
          <w:sz w:val="18"/>
          <w:szCs w:val="18"/>
          <w:color w:val="auto"/>
        </w:rPr>
        <w:t>Written communications pursuant to Rule 425 under the Securities Act (17 CFR 230.425)</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o </w:t>
      </w:r>
      <w:r>
        <w:rPr>
          <w:rFonts w:ascii="Arial" w:cs="Arial" w:eastAsia="Arial" w:hAnsi="Arial"/>
          <w:sz w:val="18"/>
          <w:szCs w:val="18"/>
          <w:color w:val="auto"/>
        </w:rPr>
        <w:t>Soliciting material pursuant to Rule 14a-12 under the Exchange Act (17CFR 240.14a-12)</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o </w:t>
      </w:r>
      <w:r>
        <w:rPr>
          <w:rFonts w:ascii="Arial" w:cs="Arial" w:eastAsia="Arial" w:hAnsi="Arial"/>
          <w:sz w:val="18"/>
          <w:szCs w:val="18"/>
          <w:color w:val="auto"/>
        </w:rPr>
        <w:t>Pre-commencement communications pursuant to Rule 14d-2(b) under the Exchange Act (17 CFR 240.14d-2(b))</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o </w:t>
      </w:r>
      <w:r>
        <w:rPr>
          <w:rFonts w:ascii="Arial" w:cs="Arial" w:eastAsia="Arial" w:hAnsi="Arial"/>
          <w:sz w:val="18"/>
          <w:szCs w:val="18"/>
          <w:color w:val="auto"/>
        </w:rPr>
        <w:t>Pre-commencement communications pursuant to Rule 13e-4(c) under the Exchange Act (17 CFR 240.13e-4(c))</w:t>
      </w:r>
    </w:p>
    <w:p>
      <w:pPr>
        <w:spacing w:after="0" w:line="211" w:lineRule="exact"/>
        <w:rPr>
          <w:sz w:val="24"/>
          <w:szCs w:val="24"/>
          <w:color w:val="auto"/>
        </w:rPr>
      </w:pPr>
    </w:p>
    <w:p>
      <w:pPr>
        <w:spacing w:after="0" w:line="272" w:lineRule="auto"/>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Arial" w:cs="Arial" w:eastAsia="Arial" w:hAnsi="Arial"/>
          <w:sz w:val="18"/>
          <w:szCs w:val="18"/>
          <w:b w:val="1"/>
          <w:bCs w:val="1"/>
          <w:color w:val="auto"/>
        </w:rPr>
        <w:t>o</w:t>
      </w:r>
    </w:p>
    <w:p>
      <w:pPr>
        <w:spacing w:after="0" w:line="36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68" w:right="259" w:bottom="1440" w:gutter="0" w:footer="0" w:header="0"/>
        </w:sectPr>
      </w:pPr>
    </w:p>
    <w:bookmarkStart w:id="1" w:name="page2"/>
    <w:bookmarkEnd w:id="1"/>
    <w:p>
      <w:pPr>
        <w:jc w:val="right"/>
        <w:ind w:right="3419"/>
        <w:spacing w:after="0"/>
        <w:rPr>
          <w:sz w:val="20"/>
          <w:szCs w:val="20"/>
          <w:color w:val="auto"/>
        </w:rPr>
      </w:pPr>
      <w:r>
        <w:rPr>
          <w:rFonts w:ascii="Arial" w:cs="Arial" w:eastAsia="Arial" w:hAnsi="Arial"/>
          <w:sz w:val="22"/>
          <w:szCs w:val="22"/>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1"/>
          <w:szCs w:val="21"/>
          <w:color w:val="auto"/>
        </w:rPr>
        <w:t>Item 2.02. RESULTS OF OPERATIONS AND FINANCIAL CONDITION</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color w:val="auto"/>
        </w:rPr>
        <w:t>Item 9.01. FINANCIAL STATEMENTS AND EXHIBITS</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22"/>
          <w:szCs w:val="22"/>
          <w:color w:val="auto"/>
        </w:rPr>
        <w:t>SIGNATURE</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22"/>
          <w:szCs w:val="22"/>
          <w:color w:val="auto"/>
        </w:rPr>
        <w:t>INDEX TO EXHIBITS</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22"/>
          <w:szCs w:val="22"/>
          <w:color w:val="auto"/>
        </w:rPr>
        <w:t>EX-99 PRESS RELEASE</w:t>
      </w:r>
    </w:p>
    <w:p>
      <w:pPr>
        <w:sectPr>
          <w:pgSz w:w="11900" w:h="16838" w:orient="portrait"/>
          <w:cols w:equalWidth="0" w:num="1">
            <w:col w:w="10219"/>
          </w:cols>
          <w:pgMar w:left="240" w:top="1104" w:right="1440" w:bottom="4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219"/>
          </w:cols>
          <w:pgMar w:left="240" w:top="1104" w:right="1440" w:bottom="415" w:gutter="0" w:footer="0" w:header="0"/>
          <w:type w:val="continuous"/>
        </w:sectPr>
      </w:pPr>
    </w:p>
    <w:bookmarkStart w:id="2" w:name="page3"/>
    <w:bookmarkEnd w:id="2"/>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color w:val="auto"/>
        </w:rPr>
        <w:t>On July 17, 2019 Crown Holdings, Inc. issued a press release announcing its earnings for the second quarter ended June 30, 2019.</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A copy of the press release is attached hereto as Exhibit 99 and incorporated herein by reference.</w:t>
      </w:r>
    </w:p>
    <w:p>
      <w:pPr>
        <w:spacing w:after="0" w:line="24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information in this Report shall not be deemed to be "filed" for purposes of Section 18 of the Securities Exchange Act of 1934, as amended, (the "Exchange Act") or otherwise subject to the liability of that section, and shall not be deemed incorporated by reference in any filing under the Securities Act of 1933, as amended, or the Exchange Act, except as shall be expressly set forth by specific reference in such filing.</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22"/>
          <w:szCs w:val="22"/>
          <w:color w:val="auto"/>
        </w:rPr>
        <w:t>(c) Exhibits.</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22"/>
          <w:szCs w:val="22"/>
          <w:color w:val="auto"/>
        </w:rPr>
        <w:t>The following is furnished as an exhibit to this report.</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color w:val="auto"/>
        </w:rPr>
        <w:t>99. Crown Holdings, Inc. press release dated July 17, 2019.</w:t>
      </w:r>
    </w:p>
    <w:p>
      <w:pPr>
        <w:sectPr>
          <w:pgSz w:w="11900" w:h="16838" w:orient="portrait"/>
          <w:cols w:equalWidth="0" w:num="1">
            <w:col w:w="11420"/>
          </w:cols>
          <w:pgMar w:left="240" w:top="104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044" w:right="239" w:bottom="1440" w:gutter="0" w:footer="0" w:header="0"/>
          <w:type w:val="continuous"/>
        </w:sectPr>
      </w:pPr>
    </w:p>
    <w:bookmarkStart w:id="3" w:name="page4"/>
    <w:bookmarkEnd w:id="3"/>
    <w:p>
      <w:pPr>
        <w:jc w:val="center"/>
        <w:ind w:right="-199"/>
        <w:spacing w:after="0"/>
        <w:rPr>
          <w:sz w:val="20"/>
          <w:szCs w:val="20"/>
          <w:color w:val="auto"/>
        </w:rPr>
      </w:pPr>
      <w:r>
        <w:rPr>
          <w:rFonts w:ascii="Arial" w:cs="Arial" w:eastAsia="Arial" w:hAnsi="Arial"/>
          <w:sz w:val="22"/>
          <w:szCs w:val="22"/>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67"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5380"/>
        <w:spacing w:after="0"/>
        <w:rPr>
          <w:sz w:val="20"/>
          <w:szCs w:val="20"/>
          <w:color w:val="auto"/>
        </w:rPr>
      </w:pPr>
      <w:r>
        <w:rPr>
          <w:rFonts w:ascii="Arial" w:cs="Arial" w:eastAsia="Arial" w:hAnsi="Arial"/>
          <w:sz w:val="22"/>
          <w:szCs w:val="22"/>
          <w:color w:val="auto"/>
        </w:rPr>
        <w:t>By: /s/ David A. Beaver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24765</wp:posOffset>
            </wp:positionV>
            <wp:extent cx="3310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8"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David A. Beaver</w:t>
      </w:r>
    </w:p>
    <w:p>
      <w:pPr>
        <w:spacing w:after="0" w:line="44"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Vice President and Corporate Controller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color w:val="auto"/>
        </w:rPr>
        <w:t>Dated: July 17, 2019</w:t>
      </w:r>
    </w:p>
    <w:p>
      <w:pPr>
        <w:sectPr>
          <w:pgSz w:w="11900" w:h="16838" w:orient="portrait"/>
          <w:cols w:equalWidth="0" w:num="1">
            <w:col w:w="11240"/>
          </w:cols>
          <w:pgMar w:left="240" w:top="1090" w:right="419" w:bottom="103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40"/>
          </w:cols>
          <w:pgMar w:left="240" w:top="1090" w:right="419" w:bottom="1037" w:gutter="0" w:footer="0" w:header="0"/>
          <w:type w:val="continuous"/>
        </w:sectPr>
      </w:pPr>
    </w:p>
    <w:bookmarkStart w:id="4" w:name="page5"/>
    <w:bookmarkEnd w:id="4"/>
    <w:p>
      <w:pPr>
        <w:ind w:left="4160"/>
        <w:spacing w:after="0"/>
        <w:rPr>
          <w:sz w:val="20"/>
          <w:szCs w:val="20"/>
          <w:color w:val="auto"/>
        </w:rPr>
      </w:pPr>
      <w:r>
        <w:rPr>
          <w:rFonts w:ascii="Arial" w:cs="Arial" w:eastAsia="Arial" w:hAnsi="Arial"/>
          <w:sz w:val="22"/>
          <w:szCs w:val="22"/>
          <w:color w:val="auto"/>
        </w:rPr>
        <w:t>INDEX TO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100" w:type="dxa"/>
            <w:vAlign w:val="bottom"/>
          </w:tcPr>
          <w:p>
            <w:pPr>
              <w:spacing w:after="0"/>
              <w:rPr>
                <w:sz w:val="20"/>
                <w:szCs w:val="20"/>
                <w:color w:val="auto"/>
              </w:rPr>
            </w:pPr>
            <w:r>
              <w:rPr>
                <w:rFonts w:ascii="Arial" w:cs="Arial" w:eastAsia="Arial" w:hAnsi="Arial"/>
                <w:sz w:val="22"/>
                <w:szCs w:val="22"/>
                <w:color w:val="auto"/>
              </w:rPr>
              <w:t>Exhibit Number</w:t>
            </w:r>
          </w:p>
        </w:tc>
        <w:tc>
          <w:tcPr>
            <w:tcW w:w="5760" w:type="dxa"/>
            <w:vAlign w:val="bottom"/>
          </w:tcPr>
          <w:p>
            <w:pPr>
              <w:spacing w:after="0"/>
              <w:rPr>
                <w:sz w:val="20"/>
                <w:szCs w:val="20"/>
                <w:color w:val="auto"/>
              </w:rPr>
            </w:pPr>
            <w:r>
              <w:rPr>
                <w:rFonts w:ascii="Arial" w:cs="Arial" w:eastAsia="Arial" w:hAnsi="Arial"/>
                <w:sz w:val="22"/>
                <w:szCs w:val="22"/>
                <w:color w:val="auto"/>
              </w:rPr>
              <w:t>Description</w:t>
            </w:r>
          </w:p>
        </w:tc>
      </w:tr>
      <w:tr>
        <w:trPr>
          <w:trHeight w:val="544"/>
        </w:trPr>
        <w:tc>
          <w:tcPr>
            <w:tcW w:w="2100" w:type="dxa"/>
            <w:vAlign w:val="bottom"/>
          </w:tcPr>
          <w:p>
            <w:pPr>
              <w:spacing w:after="0"/>
              <w:rPr>
                <w:sz w:val="20"/>
                <w:szCs w:val="20"/>
                <w:color w:val="auto"/>
              </w:rPr>
            </w:pPr>
            <w:r>
              <w:rPr>
                <w:rFonts w:ascii="Arial" w:cs="Arial" w:eastAsia="Arial" w:hAnsi="Arial"/>
                <w:sz w:val="22"/>
                <w:szCs w:val="22"/>
                <w:color w:val="auto"/>
              </w:rPr>
              <w:t>99</w:t>
            </w:r>
          </w:p>
        </w:tc>
        <w:tc>
          <w:tcPr>
            <w:tcW w:w="5760" w:type="dxa"/>
            <w:vAlign w:val="bottom"/>
            <w:tcBorders>
              <w:bottom w:val="single" w:sz="8" w:color="0000FF"/>
            </w:tcBorders>
          </w:tcPr>
          <w:p>
            <w:pPr>
              <w:spacing w:after="0"/>
              <w:rPr>
                <w:rFonts w:ascii="Arial" w:cs="Arial" w:eastAsia="Arial" w:hAnsi="Arial"/>
                <w:sz w:val="22"/>
                <w:szCs w:val="22"/>
                <w:color w:val="0000FF"/>
                <w:w w:val="87"/>
              </w:rPr>
            </w:pPr>
            <w:hyperlink w:anchor="page6">
              <w:r>
                <w:rPr>
                  <w:rFonts w:ascii="Arial" w:cs="Arial" w:eastAsia="Arial" w:hAnsi="Arial"/>
                  <w:sz w:val="22"/>
                  <w:szCs w:val="22"/>
                  <w:color w:val="0000FF"/>
                  <w:w w:val="87"/>
                </w:rPr>
                <w:t>Press release, dated July 17, 2019, issued by Crown Holdings, Inc.</w:t>
              </w:r>
            </w:hyperlink>
          </w:p>
        </w:tc>
      </w:tr>
    </w:tbl>
    <w:p>
      <w:pPr>
        <w:spacing w:after="0" w:line="200" w:lineRule="exact"/>
        <w:rPr>
          <w:sz w:val="20"/>
          <w:szCs w:val="20"/>
          <w:color w:val="auto"/>
        </w:rPr>
      </w:pPr>
    </w:p>
    <w:p>
      <w:pPr>
        <w:sectPr>
          <w:pgSz w:w="11900" w:h="16838" w:orient="portrait"/>
          <w:cols w:equalWidth="0" w:num="1">
            <w:col w:w="9699"/>
          </w:cols>
          <w:pgMar w:left="760" w:top="1050" w:right="1440" w:bottom="72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14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9699"/>
          </w:cols>
          <w:pgMar w:left="760" w:top="1050" w:right="1440" w:bottom="726" w:gutter="0" w:footer="0" w:header="0"/>
          <w:type w:val="continuous"/>
        </w:sectPr>
      </w:pPr>
    </w:p>
    <w:bookmarkStart w:id="5" w:name="page6"/>
    <w:bookmarkEnd w:id="5"/>
    <w:p>
      <w:pPr>
        <w:ind w:left="6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5664835</wp:posOffset>
            </wp:positionH>
            <wp:positionV relativeFrom="paragraph">
              <wp:posOffset>-162560</wp:posOffset>
            </wp:positionV>
            <wp:extent cx="1551940" cy="497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51940" cy="497205"/>
                    </a:xfrm>
                    <a:prstGeom prst="rect">
                      <a:avLst/>
                    </a:prstGeom>
                    <a:noFill/>
                  </pic:spPr>
                </pic:pic>
              </a:graphicData>
            </a:graphic>
          </wp:anchor>
        </w:drawing>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4"/>
          <w:szCs w:val="14"/>
          <w:color w:val="auto"/>
        </w:rPr>
        <w:t>Corporate Headquarters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770 Township Line Road</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Yardley, PA 19067-4219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323850</wp:posOffset>
            </wp:positionV>
            <wp:extent cx="585724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5724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CROWN HOLDINGS, INC. REPORTS SECOND QUARTER 2019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165735</wp:posOffset>
            </wp:positionV>
            <wp:extent cx="585724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5724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Yardley, PA - July 17, 2019. </w:t>
      </w:r>
      <w:r>
        <w:rPr>
          <w:rFonts w:ascii="Arial" w:cs="Arial" w:eastAsia="Arial" w:hAnsi="Arial"/>
          <w:sz w:val="17"/>
          <w:szCs w:val="17"/>
          <w:color w:val="auto"/>
        </w:rPr>
        <w:t>Crown Holdings, Inc. (NYSE: CCK) today announced its financial results for the second quarter ended June 30, 2019.</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Results</w:t>
      </w:r>
    </w:p>
    <w:p>
      <w:pPr>
        <w:spacing w:after="0" w:line="225"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Earnings per share $1.02 versus $0.99 in 2018</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Adjusted earnings per share $1.46 versus $1.55 in 2018</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Announced new North America beverage can capacity additions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sales in the second quarter were $3,035 million compared to $3,046 million in the second quarter of 2018 reflecting $80 million of unfavorable currency translation offset by increased beverage can volumes.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Income from operations was $383 million in the quarter compared to $292 million in the second quarter of 2018. Segment income was $386 million in the second quarter compared to $389 million in the prior year second quarter.</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Commenting on the quarter, Timothy J. Donahue, President and Chief Executive Officer, stated, “Our overall performance during the quarter was generally in line with expectations. Strong results throughout our global beverage can operations offset a disappointing result in our European food can business. Beverage can volume growth was fueled by notable gains in Brazil, Europe and Southeast Asia, as consumers in both emerging and developed markets continue to show a preference for cans over other packaging options. Recently installed beverage can capacity additions, including a third line at the Company’s existing plant in Phnom Penh, Cambodia, a new one line high-speed plant in Parma, Italy, and a new two line high-speed plant in Valencia, Spain, have helped us meet the continuing expansion in demand. In November 2019, we plan to commence operations at a new beverage can facility in Rio Verde, central Brazil.</w:t>
      </w:r>
    </w:p>
    <w:p>
      <w:pPr>
        <w:spacing w:after="0" w:line="18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"To meet volume requirements in our North American beverage can business, we have begun the construction of a third high-speed line at our Nichols, New York facility which will begin production during the second quarter of 2020. Also to support demand growth and targeted for a first quarter 2020 start-up, we will convert an existing two-piece steel food can production line at our Weston, Ontario plant to produce aluminum beverage cans. Both the Nichols and Weston lines will be capable of producing multiple sizes. The underlying demand supporting these projects underscores that beverage cans are the world’s most sustainable and recycled beverage packaging and are increasingly being viewed as the most responsible format.”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Interest expense was $97 million in the second quarter of 2019 compared to $103 million in 2018 primarily due to lower debt levels in the current year.</w:t>
      </w:r>
    </w:p>
    <w:p>
      <w:pPr>
        <w:spacing w:after="0" w:line="2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income attributable to Crown Holdings in the second quarter was $137 million compared to $132 million in the second quarter of 2018. Reported diluted earnings per share were $1.02 in the second quarter of 2019 compared to $0.99 in 2018. Adjusted diluted earnings per share were $1.46 compared to $1.55 in 2018.</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from net income and diluted earnings per share to adjusted net income and adjusted diluted earnings per share is provided below.</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 Results</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Net sales for the first six months of 2019 increased to $5,790 million compared to $5,243 million in the first six months of 2018 primarily due to the impact of the Signode acquisition and increased beverage can volumes, partially offset by $180 million of unfavorable currency translation.</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Income from operations was $645 million in the first half of 2019 compared to $513 million in the first half of 2018. Segment income in the first half of 2019 increased to $701 million over the $634 million in the prior year period reflecting the Signode acquisition and increased beverage can volumes.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10</w:t>
      </w:r>
    </w:p>
    <w:p>
      <w:pPr>
        <w:sectPr>
          <w:pgSz w:w="11900" w:h="16838" w:orient="portrait"/>
          <w:cols w:equalWidth="0" w:num="1">
            <w:col w:w="11420"/>
          </w:cols>
          <w:pgMar w:left="240" w:top="852" w:right="239" w:bottom="1440" w:gutter="0" w:footer="0" w:header="0"/>
        </w:sectPr>
      </w:pPr>
    </w:p>
    <w:bookmarkStart w:id="6" w:name="page7"/>
    <w:bookmarkEnd w:id="6"/>
    <w:p>
      <w:pPr>
        <w:ind w:left="6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5664835</wp:posOffset>
            </wp:positionH>
            <wp:positionV relativeFrom="paragraph">
              <wp:posOffset>-162560</wp:posOffset>
            </wp:positionV>
            <wp:extent cx="1551940" cy="4972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51940" cy="497205"/>
                    </a:xfrm>
                    <a:prstGeom prst="rect">
                      <a:avLst/>
                    </a:prstGeom>
                    <a:noFill/>
                  </pic:spPr>
                </pic:pic>
              </a:graphicData>
            </a:graphic>
          </wp:anchor>
        </w:drawing>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4"/>
          <w:szCs w:val="14"/>
          <w:color w:val="auto"/>
        </w:rPr>
        <w:t>Corporate Headquarters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770 Township Line Road</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Yardley, PA 19067-4219</w:t>
      </w:r>
    </w:p>
    <w:p>
      <w:pPr>
        <w:spacing w:after="0" w:line="200" w:lineRule="exact"/>
        <w:rPr>
          <w:sz w:val="20"/>
          <w:szCs w:val="20"/>
          <w:color w:val="auto"/>
        </w:rPr>
      </w:pPr>
    </w:p>
    <w:p>
      <w:pPr>
        <w:spacing w:after="0" w:line="3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was $195 million for the first six months of 2019 compared to $177 million in 2018 primarily due to higher average outstanding debt from borrowings incurred to finance the Signode acquisition.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Net income attributable to Crown Holdings in the first six months of 2019 was $240 million compared to $222 million in the first six months of 2018.</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Reported diluted earnings per share were $1.78 compared to $1.66 in 2018. Adjusted diluted earnings per share increased to $2.51 over the $2.49 in 2018.</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currently expects third quarter and full year 2019 adjusted diluted earnings to be in the ranges of $1.50 to $1.60 and $5.05 to $5.20 per share, respectively. The revision compared to the previous full year earnings estimate of $5.20-$5.40 per share is primarily due to lower projected full year results than expected in European Food and Transit Packaging. While the second half of 2019 is expected to be somewhat better than the same period in 2018, European Food will not fully recover shortfalls experienced in the first half. In Transit Packaging, the Company is now expecting that second half performance will trail the prior year based on recent market sentiment.</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The adjusted effective income tax rate for the full year of 2019 is expected to be between 25% and 26%, although it may vary from quarter to quarter.</w:t>
      </w: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Adjusted free cash flow, as defined below, is currently expected to be approximately $725 million to $750 million for 2019. The revision in cash flow guidance compared to the previous estimate of approximately $775 million is primarily due to the impact of the earnings revision described above, and an increase in capital spending to support expected North American beverage can volume growth in 2020 and beyond. The Company currently expects full year capital spending of approximately $440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Segment income, adjusted free cash flow, net leverage ratio, adjusted net income, the adjusted effective tax rate, adjusted diluted earnings per share and adjusted EBITDA are not defined terms under U.S. generally accepted accounting principles (non-GAAP measures). Non-GAAP measures should not be considered in isolation or as a substitute for income from operations, net income, diluted earnings per share, effective tax rates, cash flow or leverage ratio data prepared in accordance with U.S. GAAP and may not be comparable to calculations of similarly titled measures by other companies.</w:t>
      </w:r>
    </w:p>
    <w:p>
      <w:pPr>
        <w:spacing w:after="0" w:line="177"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The Company views segment income as the principal measure of the performance of its operations and adjusted free cash flow and net leverage ratio as the principal measure of its liquidity. The Company considers all of these measures in the allocation of resources. Adjusted free cash flow has certain limitations, however, including that it does not represent the residual cash flow available for discretionary expenditures since other non-discretionary expenditures, such as mandatory debt service requirements, are not deducted from the measure. The amount of mandatory versus discretionary expenditures can vary significantly between periods. The Company believes that adjusted net income, the adjusted effective tax rate and adjusted diluted earnings per share are useful in evaluating the Company’s operations as these measures are adjusted for items that affect comparability between periods. Reconciliations of estimated adjusted diluted earnings per share for the third quarter and full year of 2019 to estimated diluted earnings per share on a GAAP basis are not provided in this release due to the unavailability of estimates of the following, the timing and magnitude of which the Company is unable to reliably forecast without unreasonable efforts, which are excluded from estimated adjusted diluted earnings per share and could have a significant impact on earnings per share on a GAAP basis: gains or losses on the sale of businesses or other assets, restructuring and other costs, asset impairment charges, acquisition related costs including fair value adjustments to inventory, asbestos-related charges, losses from early extinguishment of debt, pension settlement and curtailment charges, the tax and noncontrolling interest impact of the items above, and the impact of tax law changes or other tax matters. The Company believes that adjusted free cash flow and net leverage ratio provide meaningful measures of liquidity and a useful basis for assessing the Company’s ability to fund its activities, including the financing of acquisitions, debt repayments, share repurchases or possible future dividends. Segment income, adjusted free cash flow, net leverage ratio, the adjusted effective tax rate, adjusted net income, adjusted diluted earnings per share and adjusted EBITDA are derived from the Company’s Consolidated Statements of Operations and Cash Flows and Consolidated Balance Sheets, as applicable, and reconciliations to segment income, adjusted free cash flow, net leverage ratio, the adjusted effective tax rate, adjusted net income, adjusted diluted earnings per share and adjusted EBITDA can be found within this release.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 of 10</w:t>
      </w:r>
    </w:p>
    <w:p>
      <w:pPr>
        <w:sectPr>
          <w:pgSz w:w="11900" w:h="16838" w:orient="portrait"/>
          <w:cols w:equalWidth="0" w:num="1">
            <w:col w:w="11420"/>
          </w:cols>
          <w:pgMar w:left="240" w:top="852" w:right="239" w:bottom="1440" w:gutter="0" w:footer="0" w:header="0"/>
        </w:sectPr>
      </w:pPr>
    </w:p>
    <w:bookmarkStart w:id="7" w:name="page8"/>
    <w:bookmarkEnd w:id="7"/>
    <w:p>
      <w:pPr>
        <w:ind w:left="6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5664835</wp:posOffset>
            </wp:positionH>
            <wp:positionV relativeFrom="paragraph">
              <wp:posOffset>-162560</wp:posOffset>
            </wp:positionV>
            <wp:extent cx="1551940" cy="4972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51940" cy="497205"/>
                    </a:xfrm>
                    <a:prstGeom prst="rect">
                      <a:avLst/>
                    </a:prstGeom>
                    <a:noFill/>
                  </pic:spPr>
                </pic:pic>
              </a:graphicData>
            </a:graphic>
          </wp:anchor>
        </w:drawing>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4"/>
          <w:szCs w:val="14"/>
          <w:color w:val="auto"/>
        </w:rPr>
        <w:t>Corporate Headquarters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770 Township Line Road</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Yardley, PA 19067-4219</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The Company will hold a conference call tomorrow, July 18, 2019 at 9:00 a.m. (EDT) to discuss this news release. Forward-looking and other material information may be discussed on the conference call. The dial-in numbers for the conference call are (630) 395-0194 or toll-free (888) 324-8108 and the access password is “packaging.” A live webcast of the call will be made available to the public on the internet at the Company’s website, </w:t>
      </w:r>
      <w:r>
        <w:rPr>
          <w:rFonts w:ascii="Arial" w:cs="Arial" w:eastAsia="Arial" w:hAnsi="Arial"/>
          <w:sz w:val="18"/>
          <w:szCs w:val="18"/>
          <w:u w:val="single" w:color="auto"/>
          <w:color w:val="0000FF"/>
        </w:rPr>
        <w:t>www.crowncork.com</w:t>
      </w:r>
      <w:r>
        <w:rPr>
          <w:rFonts w:ascii="Arial" w:cs="Arial" w:eastAsia="Arial" w:hAnsi="Arial"/>
          <w:sz w:val="18"/>
          <w:szCs w:val="18"/>
          <w:color w:val="000000"/>
        </w:rPr>
        <w:t>. A replay of the conference call will be available for a one-week period ending at midnight on July 25. The telephone numbers for the</w:t>
      </w:r>
      <w:r>
        <w:rPr>
          <w:rFonts w:ascii="Arial" w:cs="Arial" w:eastAsia="Arial" w:hAnsi="Arial"/>
          <w:sz w:val="18"/>
          <w:szCs w:val="18"/>
          <w:color w:val="0000FF"/>
        </w:rPr>
        <w:t xml:space="preserve"> </w:t>
      </w:r>
      <w:r>
        <w:rPr>
          <w:rFonts w:ascii="Arial" w:cs="Arial" w:eastAsia="Arial" w:hAnsi="Arial"/>
          <w:sz w:val="18"/>
          <w:szCs w:val="18"/>
          <w:color w:val="000000"/>
        </w:rPr>
        <w:t>replay are (402) 220-0241 or toll free (800) 638-8815.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Except for historical information, all other information in this press release consists of forward-looking statements. These forward-looking statements involve a number of risks, uncertainties and other factors, including the future impact of currency translation; the continuation of performance and market trends in 2019, including consumer preference for beverage cans and increasing global beverage can demand and demand in Brazil, Europe, North America and Southeast Asia; the Company’s ability to successfully complete and begin production at capacity expansion projects within expected timelines and budgets in Brazil, the U.S. and Canada and the Company’s ability to generate expected earnings and cash flow in 2019 that may cause actual results to be materially different from those expressed or implied in the forward-looking statements. Important factors that could cause the statements made in this press release or the actual results of operations or financial condition of the Company to differ are discussed under the caption "Forward Looking Statements" in the Company's Form 10-K Annual Report for the year ended December 31, 2018 and in subsequent filings made prior to or after the date hereof. The Company does not intend to review or revise any particular forward-looking statement in light of future events.</w:t>
      </w:r>
    </w:p>
    <w:p>
      <w:pPr>
        <w:spacing w:after="0" w:line="18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Crown Holdings, Inc., through its subsidiaries, is a leading global supplier of rigid packaging products to consumer marketing companies, as well as transit and protective packaging products, equipment and services to a broad range of end markets. World headquarters are located in Yardley, Pennsylvania.</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contact:</w:t>
      </w:r>
    </w:p>
    <w:p>
      <w:pPr>
        <w:spacing w:after="0" w:line="23" w:lineRule="exact"/>
        <w:rPr>
          <w:sz w:val="20"/>
          <w:szCs w:val="20"/>
          <w:color w:val="auto"/>
        </w:rPr>
      </w:pPr>
    </w:p>
    <w:p>
      <w:pPr>
        <w:ind w:right="4700"/>
        <w:spacing w:after="0" w:line="323" w:lineRule="auto"/>
        <w:rPr>
          <w:sz w:val="20"/>
          <w:szCs w:val="20"/>
          <w:color w:val="auto"/>
        </w:rPr>
      </w:pPr>
      <w:r>
        <w:rPr>
          <w:rFonts w:ascii="Arial" w:cs="Arial" w:eastAsia="Arial" w:hAnsi="Arial"/>
          <w:sz w:val="16"/>
          <w:szCs w:val="16"/>
          <w:color w:val="auto"/>
        </w:rPr>
        <w:t>Thomas A. Kelly, Senior Vice President and Chief Financial Officer, (215) 698-5341 Thomas T. Fischer, Vice President, Investor Relations and Corporate Affairs, (215) 552-3720</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 Consolidated Statements of Operations, Balance Sheets, Statements of Cash Flows, Segment Information and Supplemental Data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 of 10</w:t>
      </w:r>
    </w:p>
    <w:p>
      <w:pPr>
        <w:sectPr>
          <w:pgSz w:w="11900" w:h="16838" w:orient="portrait"/>
          <w:cols w:equalWidth="0" w:num="1">
            <w:col w:w="11420"/>
          </w:cols>
          <w:pgMar w:left="240" w:top="852" w:right="239" w:bottom="1440" w:gutter="0" w:footer="0" w:header="0"/>
        </w:sectPr>
      </w:pPr>
    </w:p>
    <w:bookmarkStart w:id="8" w:name="page9"/>
    <w:bookmarkEnd w:id="8"/>
    <w:p>
      <w:pPr>
        <w:ind w:left="2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5639435</wp:posOffset>
            </wp:positionH>
            <wp:positionV relativeFrom="paragraph">
              <wp:posOffset>-162560</wp:posOffset>
            </wp:positionV>
            <wp:extent cx="1551940" cy="4972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51940" cy="497205"/>
                    </a:xfrm>
                    <a:prstGeom prst="rect">
                      <a:avLst/>
                    </a:prstGeom>
                    <a:noFill/>
                  </pic:spPr>
                </pic:pic>
              </a:graphicData>
            </a:graphic>
          </wp:anchor>
        </w:drawing>
      </w:r>
    </w:p>
    <w:p>
      <w:pPr>
        <w:spacing w:after="0" w:line="187" w:lineRule="exact"/>
        <w:rPr>
          <w:sz w:val="20"/>
          <w:szCs w:val="20"/>
          <w:color w:val="auto"/>
        </w:rPr>
      </w:pPr>
    </w:p>
    <w:p>
      <w:pPr>
        <w:ind w:left="20"/>
        <w:spacing w:after="0"/>
        <w:rPr>
          <w:sz w:val="20"/>
          <w:szCs w:val="20"/>
          <w:color w:val="auto"/>
        </w:rPr>
      </w:pPr>
      <w:r>
        <w:rPr>
          <w:rFonts w:ascii="Arial" w:cs="Arial" w:eastAsia="Arial" w:hAnsi="Arial"/>
          <w:sz w:val="14"/>
          <w:szCs w:val="14"/>
          <w:color w:val="auto"/>
        </w:rPr>
        <w:t>Corporate Headquarters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770 Township Line Road</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Yardley, PA 19067-4219</w:t>
      </w:r>
    </w:p>
    <w:p>
      <w:pPr>
        <w:spacing w:after="0" w:line="200" w:lineRule="exact"/>
        <w:rPr>
          <w:sz w:val="20"/>
          <w:szCs w:val="20"/>
          <w:color w:val="auto"/>
        </w:rPr>
      </w:pPr>
    </w:p>
    <w:p>
      <w:pPr>
        <w:spacing w:after="0" w:line="368"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u w:val="single" w:color="auto"/>
          <w:color w:val="auto"/>
        </w:rPr>
        <w:t>Consolidated Statements of Operations (Unaudited)</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millions, except share and per share data)</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8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Three Months Ended</w:t>
            </w: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6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Six Months Ended</w:t>
            </w:r>
          </w:p>
        </w:tc>
      </w:tr>
      <w:tr>
        <w:trPr>
          <w:trHeight w:val="270"/>
        </w:trPr>
        <w:tc>
          <w:tcPr>
            <w:tcW w:w="49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0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10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8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1080" w:type="dxa"/>
            <w:vAlign w:val="bottom"/>
          </w:tcPr>
          <w:p>
            <w:pPr>
              <w:spacing w:after="0"/>
              <w:rPr>
                <w:sz w:val="23"/>
                <w:szCs w:val="23"/>
                <w:color w:val="auto"/>
              </w:rPr>
            </w:pPr>
          </w:p>
        </w:tc>
      </w:tr>
      <w:tr>
        <w:trPr>
          <w:trHeight w:val="27"/>
        </w:trPr>
        <w:tc>
          <w:tcPr>
            <w:tcW w:w="49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4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r>
      <w:tr>
        <w:trPr>
          <w:trHeight w:val="27"/>
        </w:trPr>
        <w:tc>
          <w:tcPr>
            <w:tcW w:w="4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3,035</w:t>
            </w: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3,046</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5,790</w:t>
            </w: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5,243</w:t>
            </w:r>
          </w:p>
        </w:tc>
      </w:tr>
      <w:tr>
        <w:trPr>
          <w:trHeight w:val="318"/>
        </w:trPr>
        <w:tc>
          <w:tcPr>
            <w:tcW w:w="49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products sold</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2,417</w:t>
            </w:r>
          </w:p>
        </w:tc>
        <w:tc>
          <w:tcPr>
            <w:tcW w:w="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2,466</w:t>
            </w:r>
          </w:p>
        </w:tc>
        <w:tc>
          <w:tcPr>
            <w:tcW w:w="5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4,627</w:t>
            </w:r>
          </w:p>
        </w:tc>
        <w:tc>
          <w:tcPr>
            <w:tcW w:w="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4,274</w:t>
            </w: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123</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113</w:t>
            </w: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245</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178</w:t>
            </w:r>
          </w:p>
        </w:tc>
      </w:tr>
      <w:tr>
        <w:trPr>
          <w:trHeight w:val="27"/>
        </w:trPr>
        <w:tc>
          <w:tcPr>
            <w:tcW w:w="4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and administrative expense</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w:t>
            </w:r>
          </w:p>
        </w:tc>
        <w:tc>
          <w:tcPr>
            <w:tcW w:w="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159</w:t>
            </w:r>
          </w:p>
        </w:tc>
        <w:tc>
          <w:tcPr>
            <w:tcW w:w="5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w:t>
            </w:r>
          </w:p>
        </w:tc>
        <w:tc>
          <w:tcPr>
            <w:tcW w:w="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249</w:t>
            </w: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Restructuring and other</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29</w:t>
            </w:r>
          </w:p>
        </w:tc>
      </w:tr>
      <w:tr>
        <w:trPr>
          <w:trHeight w:val="27"/>
        </w:trPr>
        <w:tc>
          <w:tcPr>
            <w:tcW w:w="4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4900" w:type="dxa"/>
            <w:vAlign w:val="bottom"/>
            <w:shd w:val="clear" w:color="auto" w:fill="CCEEFF"/>
          </w:tcPr>
          <w:p>
            <w:pPr>
              <w:ind w:left="20"/>
              <w:spacing w:after="0" w:line="264" w:lineRule="exact"/>
              <w:rPr>
                <w:sz w:val="20"/>
                <w:szCs w:val="20"/>
                <w:color w:val="auto"/>
              </w:rPr>
            </w:pPr>
            <w:r>
              <w:rPr>
                <w:rFonts w:ascii="Arial" w:cs="Arial" w:eastAsia="Arial" w:hAnsi="Arial"/>
                <w:sz w:val="18"/>
                <w:szCs w:val="18"/>
                <w:b w:val="1"/>
                <w:bCs w:val="1"/>
                <w:color w:val="auto"/>
              </w:rPr>
              <w:t xml:space="preserve">Income from operations </w:t>
            </w:r>
            <w:r>
              <w:rPr>
                <w:rFonts w:ascii="Arial" w:cs="Arial" w:eastAsia="Arial" w:hAnsi="Arial"/>
                <w:sz w:val="25"/>
                <w:szCs w:val="25"/>
                <w:b w:val="1"/>
                <w:bCs w:val="1"/>
                <w:color w:val="auto"/>
                <w:vertAlign w:val="superscript"/>
              </w:rPr>
              <w:t>(1)</w:t>
            </w: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383</w:t>
            </w:r>
          </w:p>
        </w:tc>
        <w:tc>
          <w:tcPr>
            <w:tcW w:w="4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292</w:t>
            </w:r>
          </w:p>
        </w:tc>
        <w:tc>
          <w:tcPr>
            <w:tcW w:w="5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645</w:t>
            </w:r>
          </w:p>
        </w:tc>
        <w:tc>
          <w:tcPr>
            <w:tcW w:w="4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513</w:t>
            </w:r>
          </w:p>
        </w:tc>
      </w:tr>
      <w:tr>
        <w:trPr>
          <w:trHeight w:val="230"/>
        </w:trPr>
        <w:tc>
          <w:tcPr>
            <w:tcW w:w="4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Pension settlements and curtailments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Other pension and postretirement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w:t>
            </w: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
        </w:trPr>
        <w:tc>
          <w:tcPr>
            <w:tcW w:w="4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4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5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4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r>
      <w:tr>
        <w:trPr>
          <w:trHeight w:val="237"/>
        </w:trPr>
        <w:tc>
          <w:tcPr>
            <w:tcW w:w="4900" w:type="dxa"/>
            <w:vAlign w:val="bottom"/>
          </w:tcPr>
          <w:p>
            <w:pPr>
              <w:ind w:left="20"/>
              <w:spacing w:after="0"/>
              <w:rPr>
                <w:sz w:val="20"/>
                <w:szCs w:val="20"/>
                <w:color w:val="auto"/>
              </w:rPr>
            </w:pPr>
            <w:r>
              <w:rPr>
                <w:rFonts w:ascii="Arial" w:cs="Arial" w:eastAsia="Arial" w:hAnsi="Arial"/>
                <w:sz w:val="18"/>
                <w:szCs w:val="18"/>
                <w:b w:val="1"/>
                <w:bCs w:val="1"/>
                <w:color w:val="auto"/>
              </w:rPr>
              <w:t>Earnings before interest and taxes</w:t>
            </w: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353</w:t>
            </w:r>
          </w:p>
        </w:tc>
        <w:tc>
          <w:tcPr>
            <w:tcW w:w="4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299</w:t>
            </w:r>
          </w:p>
        </w:tc>
        <w:tc>
          <w:tcPr>
            <w:tcW w:w="5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632</w:t>
            </w:r>
          </w:p>
        </w:tc>
        <w:tc>
          <w:tcPr>
            <w:tcW w:w="4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519</w:t>
            </w:r>
          </w:p>
        </w:tc>
      </w:tr>
      <w:tr>
        <w:trPr>
          <w:trHeight w:val="27"/>
        </w:trPr>
        <w:tc>
          <w:tcPr>
            <w:tcW w:w="4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w:t>
            </w:r>
          </w:p>
        </w:tc>
        <w:tc>
          <w:tcPr>
            <w:tcW w:w="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w:t>
            </w:r>
          </w:p>
        </w:tc>
        <w:tc>
          <w:tcPr>
            <w:tcW w:w="5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w:t>
            </w:r>
          </w:p>
        </w:tc>
        <w:tc>
          <w:tcPr>
            <w:tcW w:w="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177</w:t>
            </w: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w:t>
            </w: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4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early extinguishment of debt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4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r>
      <w:tr>
        <w:trPr>
          <w:trHeight w:val="237"/>
        </w:trPr>
        <w:tc>
          <w:tcPr>
            <w:tcW w:w="4900" w:type="dxa"/>
            <w:vAlign w:val="bottom"/>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260</w:t>
            </w:r>
          </w:p>
        </w:tc>
        <w:tc>
          <w:tcPr>
            <w:tcW w:w="4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w:t>
            </w:r>
          </w:p>
        </w:tc>
        <w:tc>
          <w:tcPr>
            <w:tcW w:w="5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438</w:t>
            </w:r>
          </w:p>
        </w:tc>
        <w:tc>
          <w:tcPr>
            <w:tcW w:w="4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353</w:t>
            </w:r>
          </w:p>
        </w:tc>
      </w:tr>
      <w:tr>
        <w:trPr>
          <w:trHeight w:val="27"/>
        </w:trPr>
        <w:tc>
          <w:tcPr>
            <w:tcW w:w="4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w:t>
            </w:r>
          </w:p>
        </w:tc>
        <w:tc>
          <w:tcPr>
            <w:tcW w:w="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w:t>
            </w:r>
          </w:p>
        </w:tc>
        <w:tc>
          <w:tcPr>
            <w:tcW w:w="5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w:t>
            </w:r>
          </w:p>
        </w:tc>
        <w:tc>
          <w:tcPr>
            <w:tcW w:w="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w:t>
            </w: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Equity earnings</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w:t>
            </w:r>
          </w:p>
        </w:tc>
      </w:tr>
      <w:tr>
        <w:trPr>
          <w:trHeight w:val="27"/>
        </w:trPr>
        <w:tc>
          <w:tcPr>
            <w:tcW w:w="4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174</w:t>
            </w:r>
          </w:p>
        </w:tc>
        <w:tc>
          <w:tcPr>
            <w:tcW w:w="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147</w:t>
            </w:r>
          </w:p>
        </w:tc>
        <w:tc>
          <w:tcPr>
            <w:tcW w:w="5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305</w:t>
            </w:r>
          </w:p>
        </w:tc>
        <w:tc>
          <w:tcPr>
            <w:tcW w:w="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260</w:t>
            </w: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w:t>
            </w: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
        </w:trPr>
        <w:tc>
          <w:tcPr>
            <w:tcW w:w="4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Crown Holdings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132</w:t>
            </w:r>
          </w:p>
        </w:tc>
        <w:tc>
          <w:tcPr>
            <w:tcW w:w="7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222</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4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25"/>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Earnings per share attributable to Crown</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41"/>
        </w:trPr>
        <w:tc>
          <w:tcPr>
            <w:tcW w:w="4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Holdings common shareholders:</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304"/>
        </w:trPr>
        <w:tc>
          <w:tcPr>
            <w:tcW w:w="490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1.02</w:t>
            </w:r>
          </w:p>
        </w:tc>
        <w:tc>
          <w:tcPr>
            <w:tcW w:w="46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0.99</w:t>
            </w:r>
          </w:p>
        </w:tc>
        <w:tc>
          <w:tcPr>
            <w:tcW w:w="56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1.79</w:t>
            </w:r>
          </w:p>
        </w:tc>
        <w:tc>
          <w:tcPr>
            <w:tcW w:w="46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1.66</w:t>
            </w:r>
          </w:p>
        </w:tc>
      </w:tr>
      <w:tr>
        <w:trPr>
          <w:trHeight w:val="251"/>
        </w:trPr>
        <w:tc>
          <w:tcPr>
            <w:tcW w:w="49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0.99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1.66</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257"/>
        </w:trPr>
        <w:tc>
          <w:tcPr>
            <w:tcW w:w="49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r>
      <w:tr>
        <w:trPr>
          <w:trHeight w:val="244"/>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common shares outstanding:</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900" w:type="dxa"/>
            <w:vAlign w:val="bottom"/>
          </w:tcPr>
          <w:p>
            <w:pPr>
              <w:ind w:left="260"/>
              <w:spacing w:after="0"/>
              <w:rPr>
                <w:sz w:val="20"/>
                <w:szCs w:val="20"/>
                <w:color w:val="auto"/>
              </w:rPr>
            </w:pPr>
            <w:r>
              <w:rPr>
                <w:rFonts w:ascii="Arial" w:cs="Arial" w:eastAsia="Arial" w:hAnsi="Arial"/>
                <w:sz w:val="18"/>
                <w:szCs w:val="18"/>
                <w:color w:val="auto"/>
              </w:rPr>
              <w:t>Basic</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w w:val="95"/>
              </w:rPr>
              <w:t>133,865,669</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w w:val="93"/>
              </w:rPr>
              <w:t>133,612,348</w:t>
            </w: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w w:val="93"/>
              </w:rPr>
              <w:t>133,827,567</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w w:val="93"/>
              </w:rPr>
              <w:t>133,546,223</w:t>
            </w:r>
          </w:p>
        </w:tc>
      </w:tr>
      <w:tr>
        <w:trPr>
          <w:trHeight w:val="27"/>
        </w:trPr>
        <w:tc>
          <w:tcPr>
            <w:tcW w:w="4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Diluted</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134,777,236</w:t>
            </w:r>
          </w:p>
        </w:tc>
        <w:tc>
          <w:tcPr>
            <w:tcW w:w="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133,844,185</w:t>
            </w:r>
          </w:p>
        </w:tc>
        <w:tc>
          <w:tcPr>
            <w:tcW w:w="5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134,636,935</w:t>
            </w:r>
          </w:p>
        </w:tc>
        <w:tc>
          <w:tcPr>
            <w:tcW w:w="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133,814,394</w:t>
            </w: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Actual common shares outstanding</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w w:val="95"/>
              </w:rPr>
              <w:t>135,434,877</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w w:val="93"/>
              </w:rPr>
              <w:t>135,174,989</w:t>
            </w: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w w:val="93"/>
              </w:rPr>
              <w:t>135,434,877</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w w:val="93"/>
              </w:rPr>
              <w:t>135,174,989</w:t>
            </w:r>
          </w:p>
        </w:tc>
      </w:tr>
      <w:tr>
        <w:trPr>
          <w:trHeight w:val="27"/>
        </w:trPr>
        <w:tc>
          <w:tcPr>
            <w:tcW w:w="4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220" w:right="5240" w:hanging="5090"/>
        <w:spacing w:after="0" w:line="659" w:lineRule="auto"/>
        <w:tabs>
          <w:tab w:leader="none" w:pos="383" w:val="left"/>
        </w:tabs>
        <w:numPr>
          <w:ilvl w:val="0"/>
          <w:numId w:val="2"/>
        </w:numPr>
        <w:rPr>
          <w:rFonts w:ascii="Arial" w:cs="Arial" w:eastAsia="Arial" w:hAnsi="Arial"/>
          <w:sz w:val="16"/>
          <w:szCs w:val="16"/>
          <w:color w:val="auto"/>
        </w:rPr>
      </w:pPr>
      <w:r>
        <w:rPr>
          <w:rFonts w:ascii="Arial" w:cs="Arial" w:eastAsia="Arial" w:hAnsi="Arial"/>
          <w:sz w:val="16"/>
          <w:szCs w:val="16"/>
          <w:color w:val="auto"/>
        </w:rPr>
        <w:t>A reconciliation from income from operations to segment income follows. Page 4 of 10</w:t>
      </w:r>
    </w:p>
    <w:p>
      <w:pPr>
        <w:sectPr>
          <w:pgSz w:w="11900" w:h="16838" w:orient="portrait"/>
          <w:cols w:equalWidth="0" w:num="1">
            <w:col w:w="11360"/>
          </w:cols>
          <w:pgMar w:left="280" w:top="852" w:right="259" w:bottom="1440" w:gutter="0" w:footer="0" w:header="0"/>
        </w:sectPr>
      </w:pPr>
    </w:p>
    <w:bookmarkStart w:id="9" w:name="page10"/>
    <w:bookmarkEnd w:id="9"/>
    <w:p>
      <w:pPr>
        <w:ind w:left="6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5664835</wp:posOffset>
            </wp:positionH>
            <wp:positionV relativeFrom="paragraph">
              <wp:posOffset>-162560</wp:posOffset>
            </wp:positionV>
            <wp:extent cx="1551940" cy="4972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51940" cy="497205"/>
                    </a:xfrm>
                    <a:prstGeom prst="rect">
                      <a:avLst/>
                    </a:prstGeom>
                    <a:noFill/>
                  </pic:spPr>
                </pic:pic>
              </a:graphicData>
            </a:graphic>
          </wp:anchor>
        </w:drawing>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4"/>
          <w:szCs w:val="14"/>
          <w:color w:val="auto"/>
        </w:rPr>
        <w:t>Corporate Headquarters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770 Township Line Road</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Yardley, PA 19067-4219</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Supplemental Financial Data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41910</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from Income from Operations to Segment Income</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views segment income, as defined below, as a principal measure of performance of its operations and for the allocation of resources. Segment income is defined by the Company as income from operations adjusted to exclude intangibles amortization charges, provisions for asbestos and restructuring and other, and the impact of fair value adjustments to inventory acquired in an acquisition.</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120" w:type="dxa"/>
            <w:vAlign w:val="bottom"/>
            <w:gridSpan w:val="14"/>
          </w:tcPr>
          <w:p>
            <w:pPr>
              <w:ind w:left="20"/>
              <w:spacing w:after="0"/>
              <w:rPr>
                <w:sz w:val="20"/>
                <w:szCs w:val="20"/>
                <w:color w:val="auto"/>
              </w:rPr>
            </w:pPr>
            <w:r>
              <w:rPr>
                <w:rFonts w:ascii="Arial" w:cs="Arial" w:eastAsia="Arial" w:hAnsi="Arial"/>
                <w:sz w:val="18"/>
                <w:szCs w:val="18"/>
                <w:b w:val="1"/>
                <w:bCs w:val="1"/>
                <w:color w:val="auto"/>
              </w:rPr>
              <w:t>Three Months Ended June 30,</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gridSpan w:val="6"/>
          </w:tcPr>
          <w:p>
            <w:pPr>
              <w:jc w:val="right"/>
              <w:ind w:right="70"/>
              <w:spacing w:after="0"/>
              <w:rPr>
                <w:sz w:val="20"/>
                <w:szCs w:val="20"/>
                <w:color w:val="auto"/>
              </w:rPr>
            </w:pPr>
            <w:r>
              <w:rPr>
                <w:rFonts w:ascii="Arial" w:cs="Arial" w:eastAsia="Arial" w:hAnsi="Arial"/>
                <w:sz w:val="18"/>
                <w:szCs w:val="18"/>
                <w:b w:val="1"/>
                <w:bCs w:val="1"/>
                <w:color w:val="auto"/>
                <w:w w:val="90"/>
              </w:rPr>
              <w:t>Six Months Ended June 30,</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w w:val="99"/>
              </w:rPr>
              <w:t>2019</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2018</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2018</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120" w:type="dxa"/>
            <w:vAlign w:val="bottom"/>
            <w:gridSpan w:val="3"/>
          </w:tcPr>
          <w:p>
            <w:pPr>
              <w:spacing w:after="0"/>
              <w:rPr>
                <w:sz w:val="20"/>
                <w:szCs w:val="20"/>
                <w:color w:val="auto"/>
              </w:rPr>
            </w:pPr>
            <w:r>
              <w:rPr>
                <w:rFonts w:ascii="Arial" w:cs="Arial" w:eastAsia="Arial" w:hAnsi="Arial"/>
                <w:sz w:val="18"/>
                <w:szCs w:val="18"/>
                <w:color w:val="auto"/>
              </w:rPr>
              <w:t>Income from operations</w:t>
            </w:r>
          </w:p>
        </w:tc>
        <w:tc>
          <w:tcPr>
            <w:tcW w:w="28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383</w:t>
            </w:r>
          </w:p>
        </w:tc>
        <w:tc>
          <w:tcPr>
            <w:tcW w:w="20" w:type="dxa"/>
            <w:vAlign w:val="bottom"/>
          </w:tcPr>
          <w:p>
            <w:pPr>
              <w:spacing w:after="0"/>
              <w:rPr>
                <w:sz w:val="20"/>
                <w:szCs w:val="20"/>
                <w:color w:val="auto"/>
              </w:rPr>
            </w:pPr>
          </w:p>
        </w:tc>
        <w:tc>
          <w:tcPr>
            <w:tcW w:w="720" w:type="dxa"/>
            <w:vAlign w:val="bottom"/>
            <w:gridSpan w:val="5"/>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292</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645</w:t>
            </w:r>
          </w:p>
        </w:tc>
        <w:tc>
          <w:tcPr>
            <w:tcW w:w="20" w:type="dxa"/>
            <w:vAlign w:val="bottom"/>
          </w:tcPr>
          <w:p>
            <w:pPr>
              <w:spacing w:after="0"/>
              <w:rPr>
                <w:sz w:val="20"/>
                <w:szCs w:val="20"/>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513</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000" w:type="dxa"/>
            <w:vAlign w:val="bottom"/>
            <w:tcBorders>
              <w:right w:val="single" w:sz="8" w:color="CCEEFF"/>
            </w:tcBorders>
          </w:tcPr>
          <w:p>
            <w:pPr>
              <w:spacing w:after="0"/>
              <w:rPr>
                <w:sz w:val="21"/>
                <w:szCs w:val="21"/>
                <w:color w:val="auto"/>
              </w:rPr>
            </w:pPr>
          </w:p>
        </w:tc>
        <w:tc>
          <w:tcPr>
            <w:tcW w:w="31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Intangibles amortization</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w:t>
            </w:r>
          </w:p>
        </w:tc>
        <w:tc>
          <w:tcPr>
            <w:tcW w:w="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120" w:type="dxa"/>
            <w:vAlign w:val="bottom"/>
            <w:gridSpan w:val="3"/>
          </w:tcPr>
          <w:p>
            <w:pPr>
              <w:spacing w:after="0" w:line="270" w:lineRule="exact"/>
              <w:rPr>
                <w:sz w:val="20"/>
                <w:szCs w:val="20"/>
                <w:color w:val="auto"/>
              </w:rPr>
            </w:pPr>
            <w:r>
              <w:rPr>
                <w:rFonts w:ascii="Arial" w:cs="Arial" w:eastAsia="Arial" w:hAnsi="Arial"/>
                <w:sz w:val="18"/>
                <w:szCs w:val="18"/>
                <w:color w:val="auto"/>
              </w:rPr>
              <w:t xml:space="preserve">Fair value adjustment to inventory </w:t>
            </w:r>
            <w:r>
              <w:rPr>
                <w:rFonts w:ascii="Arial" w:cs="Arial" w:eastAsia="Arial" w:hAnsi="Arial"/>
                <w:sz w:val="25"/>
                <w:szCs w:val="25"/>
                <w:color w:val="auto"/>
                <w:vertAlign w:val="superscript"/>
              </w:rPr>
              <w:t>(1)</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c>
          <w:tcPr>
            <w:tcW w:w="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40" w:type="dxa"/>
            <w:vAlign w:val="bottom"/>
          </w:tcPr>
          <w:p>
            <w:pPr>
              <w:spacing w:after="0"/>
              <w:rPr>
                <w:sz w:val="23"/>
                <w:szCs w:val="23"/>
                <w:color w:val="auto"/>
              </w:rPr>
            </w:pPr>
          </w:p>
        </w:tc>
        <w:tc>
          <w:tcPr>
            <w:tcW w:w="1000" w:type="dxa"/>
            <w:vAlign w:val="bottom"/>
            <w:tcBorders>
              <w:right w:val="single" w:sz="8" w:color="CCEEFF"/>
            </w:tcBorders>
          </w:tcPr>
          <w:p>
            <w:pPr>
              <w:spacing w:after="0"/>
              <w:rPr>
                <w:sz w:val="23"/>
                <w:szCs w:val="23"/>
                <w:color w:val="auto"/>
              </w:rPr>
            </w:pPr>
          </w:p>
        </w:tc>
        <w:tc>
          <w:tcPr>
            <w:tcW w:w="31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Provision for restructuring and other</w:t>
            </w: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120" w:type="dxa"/>
            <w:vAlign w:val="bottom"/>
            <w:gridSpan w:val="3"/>
          </w:tcPr>
          <w:p>
            <w:pPr>
              <w:spacing w:after="0"/>
              <w:rPr>
                <w:sz w:val="20"/>
                <w:szCs w:val="20"/>
                <w:color w:val="auto"/>
              </w:rPr>
            </w:pPr>
            <w:r>
              <w:rPr>
                <w:rFonts w:ascii="Arial" w:cs="Arial" w:eastAsia="Arial" w:hAnsi="Arial"/>
                <w:sz w:val="18"/>
                <w:szCs w:val="18"/>
                <w:b w:val="1"/>
                <w:bCs w:val="1"/>
                <w:color w:val="auto"/>
              </w:rPr>
              <w:t>Segment income</w:t>
            </w:r>
          </w:p>
        </w:tc>
        <w:tc>
          <w:tcPr>
            <w:tcW w:w="20" w:type="dxa"/>
            <w:vAlign w:val="bottom"/>
          </w:tcPr>
          <w:p>
            <w:pPr>
              <w:spacing w:after="0"/>
              <w:rPr>
                <w:sz w:val="22"/>
                <w:szCs w:val="22"/>
                <w:color w:val="auto"/>
              </w:rPr>
            </w:pPr>
          </w:p>
        </w:tc>
        <w:tc>
          <w:tcPr>
            <w:tcW w:w="260" w:type="dxa"/>
            <w:vAlign w:val="bottom"/>
            <w:tcBorders>
              <w:top w:val="single" w:sz="8" w:color="auto"/>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386</w:t>
            </w:r>
          </w:p>
        </w:tc>
        <w:tc>
          <w:tcPr>
            <w:tcW w:w="20" w:type="dxa"/>
            <w:vAlign w:val="bottom"/>
            <w:tcBorders>
              <w:top w:val="single" w:sz="8" w:color="auto"/>
              <w:bottom w:val="single" w:sz="8" w:color="auto"/>
            </w:tcBorders>
          </w:tcPr>
          <w:p>
            <w:pPr>
              <w:spacing w:after="0"/>
              <w:rPr>
                <w:sz w:val="22"/>
                <w:szCs w:val="22"/>
                <w:color w:val="auto"/>
              </w:rPr>
            </w:pPr>
          </w:p>
        </w:tc>
        <w:tc>
          <w:tcPr>
            <w:tcW w:w="480" w:type="dxa"/>
            <w:vAlign w:val="bottom"/>
            <w:gridSpan w:val="3"/>
          </w:tcPr>
          <w:p>
            <w:pPr>
              <w:spacing w:after="0"/>
              <w:rPr>
                <w:sz w:val="22"/>
                <w:szCs w:val="22"/>
                <w:color w:val="auto"/>
              </w:rPr>
            </w:pPr>
          </w:p>
        </w:tc>
        <w:tc>
          <w:tcPr>
            <w:tcW w:w="24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389</w:t>
            </w:r>
          </w:p>
        </w:tc>
        <w:tc>
          <w:tcPr>
            <w:tcW w:w="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701</w:t>
            </w:r>
          </w:p>
        </w:tc>
        <w:tc>
          <w:tcPr>
            <w:tcW w:w="20" w:type="dxa"/>
            <w:vAlign w:val="bottom"/>
            <w:tcBorders>
              <w:top w:val="single" w:sz="8" w:color="auto"/>
              <w:bottom w:val="single" w:sz="8" w:color="auto"/>
            </w:tcBorders>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634</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460" w:type="dxa"/>
            <w:vAlign w:val="bottom"/>
            <w:gridSpan w:val="5"/>
            <w:vMerge w:val="restart"/>
          </w:tcPr>
          <w:p>
            <w:pPr>
              <w:spacing w:after="0"/>
              <w:rPr>
                <w:sz w:val="20"/>
                <w:szCs w:val="20"/>
                <w:color w:val="auto"/>
              </w:rPr>
            </w:pPr>
            <w:r>
              <w:rPr>
                <w:rFonts w:ascii="Arial" w:cs="Arial" w:eastAsia="Arial" w:hAnsi="Arial"/>
                <w:sz w:val="14"/>
                <w:szCs w:val="14"/>
                <w:color w:val="auto"/>
              </w:rPr>
              <w:t xml:space="preserve">(1) </w:t>
            </w:r>
            <w:r>
              <w:rPr>
                <w:rFonts w:ascii="Arial" w:cs="Arial" w:eastAsia="Arial" w:hAnsi="Arial"/>
                <w:sz w:val="18"/>
                <w:szCs w:val="18"/>
                <w:color w:val="auto"/>
              </w:rPr>
              <w:t>Included in cost of products sold</w:t>
            </w: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4460" w:type="dxa"/>
            <w:vAlign w:val="bottom"/>
            <w:gridSpan w:val="5"/>
            <w:vMerge w:val="continue"/>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40" w:type="dxa"/>
            <w:vAlign w:val="bottom"/>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18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gridSpan w:val="2"/>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gridSpan w:val="2"/>
          </w:tcPr>
          <w:p>
            <w:pPr>
              <w:spacing w:after="0"/>
              <w:rPr>
                <w:sz w:val="8"/>
                <w:szCs w:val="8"/>
                <w:color w:val="auto"/>
              </w:rPr>
            </w:pPr>
          </w:p>
        </w:tc>
        <w:tc>
          <w:tcPr>
            <w:tcW w:w="540" w:type="dxa"/>
            <w:vAlign w:val="bottom"/>
            <w:tcBorders>
              <w:bottom w:val="single" w:sz="8" w:color="9A9A9A"/>
            </w:tcBorders>
            <w:gridSpan w:val="2"/>
          </w:tcPr>
          <w:p>
            <w:pPr>
              <w:spacing w:after="0"/>
              <w:rPr>
                <w:sz w:val="8"/>
                <w:szCs w:val="8"/>
                <w:color w:val="auto"/>
              </w:rPr>
            </w:pPr>
          </w:p>
        </w:tc>
        <w:tc>
          <w:tcPr>
            <w:tcW w:w="440" w:type="dxa"/>
            <w:vAlign w:val="bottom"/>
            <w:tcBorders>
              <w:bottom w:val="single" w:sz="8" w:color="9A9A9A"/>
            </w:tcBorders>
            <w:gridSpan w:val="2"/>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Borders>
              <w:bottom w:val="single" w:sz="8" w:color="auto"/>
            </w:tcBorders>
            <w:gridSpan w:val="8"/>
          </w:tcPr>
          <w:p>
            <w:pPr>
              <w:spacing w:after="0"/>
              <w:rPr>
                <w:sz w:val="20"/>
                <w:szCs w:val="20"/>
                <w:color w:val="auto"/>
              </w:rPr>
            </w:pPr>
            <w:r>
              <w:rPr>
                <w:rFonts w:ascii="Arial" w:cs="Arial" w:eastAsia="Arial" w:hAnsi="Arial"/>
                <w:sz w:val="18"/>
                <w:szCs w:val="18"/>
                <w:b w:val="1"/>
                <w:bCs w:val="1"/>
                <w:color w:val="auto"/>
                <w:w w:val="89"/>
              </w:rPr>
              <w:t>Segment Information</w:t>
            </w:r>
          </w:p>
        </w:tc>
        <w:tc>
          <w:tcPr>
            <w:tcW w:w="1120" w:type="dxa"/>
            <w:vAlign w:val="bottom"/>
            <w:gridSpan w:val="4"/>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120" w:type="dxa"/>
            <w:vAlign w:val="bottom"/>
            <w:gridSpan w:val="3"/>
          </w:tcPr>
          <w:p>
            <w:pPr>
              <w:spacing w:after="0"/>
              <w:rPr>
                <w:sz w:val="20"/>
                <w:szCs w:val="20"/>
                <w:color w:val="auto"/>
              </w:rPr>
            </w:pPr>
            <w:r>
              <w:rPr>
                <w:rFonts w:ascii="Arial" w:cs="Arial" w:eastAsia="Arial" w:hAnsi="Arial"/>
                <w:sz w:val="18"/>
                <w:szCs w:val="18"/>
                <w:b w:val="1"/>
                <w:bCs w:val="1"/>
                <w:color w:val="auto"/>
              </w:rPr>
              <w:t>Net Sales</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120" w:type="dxa"/>
            <w:vAlign w:val="bottom"/>
            <w:gridSpan w:val="14"/>
          </w:tcPr>
          <w:p>
            <w:pPr>
              <w:ind w:left="80"/>
              <w:spacing w:after="0"/>
              <w:rPr>
                <w:sz w:val="20"/>
                <w:szCs w:val="20"/>
                <w:color w:val="auto"/>
              </w:rPr>
            </w:pPr>
            <w:r>
              <w:rPr>
                <w:rFonts w:ascii="Arial" w:cs="Arial" w:eastAsia="Arial" w:hAnsi="Arial"/>
                <w:sz w:val="18"/>
                <w:szCs w:val="18"/>
                <w:b w:val="1"/>
                <w:bCs w:val="1"/>
                <w:color w:val="auto"/>
              </w:rPr>
              <w:t>Three Months Ended June 30,</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gridSpan w:val="6"/>
          </w:tcPr>
          <w:p>
            <w:pPr>
              <w:jc w:val="right"/>
              <w:ind w:right="50"/>
              <w:spacing w:after="0"/>
              <w:rPr>
                <w:sz w:val="20"/>
                <w:szCs w:val="20"/>
                <w:color w:val="auto"/>
              </w:rPr>
            </w:pPr>
            <w:r>
              <w:rPr>
                <w:rFonts w:ascii="Arial" w:cs="Arial" w:eastAsia="Arial" w:hAnsi="Arial"/>
                <w:sz w:val="18"/>
                <w:szCs w:val="18"/>
                <w:b w:val="1"/>
                <w:bCs w:val="1"/>
                <w:color w:val="auto"/>
                <w:w w:val="91"/>
              </w:rPr>
              <w:t>Six Months Ended June 30,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3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560" w:type="dxa"/>
            <w:vAlign w:val="bottom"/>
          </w:tcPr>
          <w:p>
            <w:pPr>
              <w:spacing w:after="0"/>
              <w:rPr>
                <w:sz w:val="4"/>
                <w:szCs w:val="4"/>
                <w:color w:val="auto"/>
              </w:rPr>
            </w:pPr>
          </w:p>
        </w:tc>
        <w:tc>
          <w:tcPr>
            <w:tcW w:w="18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2018</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2018</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0" w:type="dxa"/>
            <w:vAlign w:val="bottom"/>
          </w:tcPr>
          <w:p>
            <w:pPr>
              <w:spacing w:after="0"/>
              <w:rPr>
                <w:sz w:val="21"/>
                <w:szCs w:val="21"/>
                <w:color w:val="auto"/>
              </w:rPr>
            </w:pPr>
          </w:p>
        </w:tc>
        <w:tc>
          <w:tcPr>
            <w:tcW w:w="1000" w:type="dxa"/>
            <w:vAlign w:val="bottom"/>
            <w:tcBorders>
              <w:right w:val="single" w:sz="8" w:color="CCEEFF"/>
            </w:tcBorders>
          </w:tcPr>
          <w:p>
            <w:pPr>
              <w:spacing w:after="0"/>
              <w:rPr>
                <w:sz w:val="21"/>
                <w:szCs w:val="21"/>
                <w:color w:val="auto"/>
              </w:rPr>
            </w:pPr>
          </w:p>
        </w:tc>
        <w:tc>
          <w:tcPr>
            <w:tcW w:w="31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Americas Beverage</w:t>
            </w:r>
          </w:p>
        </w:tc>
        <w:tc>
          <w:tcPr>
            <w:tcW w:w="28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890</w:t>
            </w:r>
          </w:p>
        </w:tc>
        <w:tc>
          <w:tcPr>
            <w:tcW w:w="720" w:type="dxa"/>
            <w:vAlign w:val="bottom"/>
            <w:tcBorders>
              <w:bottom w:val="single" w:sz="8" w:color="CCEEFF"/>
            </w:tcBorders>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848</w:t>
            </w:r>
          </w:p>
        </w:tc>
        <w:tc>
          <w:tcPr>
            <w:tcW w:w="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1,678</w:t>
            </w:r>
          </w:p>
        </w:tc>
        <w:tc>
          <w:tcPr>
            <w:tcW w:w="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1,606</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120" w:type="dxa"/>
            <w:vAlign w:val="bottom"/>
            <w:gridSpan w:val="3"/>
          </w:tcPr>
          <w:p>
            <w:pPr>
              <w:spacing w:after="0"/>
              <w:rPr>
                <w:sz w:val="20"/>
                <w:szCs w:val="20"/>
                <w:color w:val="auto"/>
              </w:rPr>
            </w:pPr>
            <w:r>
              <w:rPr>
                <w:rFonts w:ascii="Arial" w:cs="Arial" w:eastAsia="Arial" w:hAnsi="Arial"/>
                <w:sz w:val="18"/>
                <w:szCs w:val="18"/>
                <w:color w:val="auto"/>
              </w:rPr>
              <w:t>European Beverage</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410</w:t>
            </w: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405</w:t>
            </w: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749</w:t>
            </w: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776</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000" w:type="dxa"/>
            <w:vAlign w:val="bottom"/>
            <w:tcBorders>
              <w:right w:val="single" w:sz="8" w:color="CCEEFF"/>
            </w:tcBorders>
          </w:tcPr>
          <w:p>
            <w:pPr>
              <w:spacing w:after="0"/>
              <w:rPr>
                <w:sz w:val="21"/>
                <w:szCs w:val="21"/>
                <w:color w:val="auto"/>
              </w:rPr>
            </w:pPr>
          </w:p>
        </w:tc>
        <w:tc>
          <w:tcPr>
            <w:tcW w:w="31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European Food</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483</w:t>
            </w:r>
          </w:p>
        </w:tc>
        <w:tc>
          <w:tcPr>
            <w:tcW w:w="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514</w:t>
            </w:r>
          </w:p>
        </w:tc>
        <w:tc>
          <w:tcPr>
            <w:tcW w:w="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120" w:type="dxa"/>
            <w:vAlign w:val="bottom"/>
            <w:gridSpan w:val="3"/>
          </w:tcPr>
          <w:p>
            <w:pPr>
              <w:spacing w:after="0"/>
              <w:rPr>
                <w:sz w:val="20"/>
                <w:szCs w:val="20"/>
                <w:color w:val="auto"/>
              </w:rPr>
            </w:pPr>
            <w:r>
              <w:rPr>
                <w:rFonts w:ascii="Arial" w:cs="Arial" w:eastAsia="Arial" w:hAnsi="Arial"/>
                <w:sz w:val="18"/>
                <w:szCs w:val="18"/>
                <w:color w:val="auto"/>
              </w:rPr>
              <w:t>Asia Pacific</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319</w:t>
            </w: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332</w:t>
            </w: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640</w:t>
            </w: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669</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0" w:type="dxa"/>
            <w:vAlign w:val="bottom"/>
          </w:tcPr>
          <w:p>
            <w:pPr>
              <w:spacing w:after="0"/>
              <w:rPr>
                <w:sz w:val="23"/>
                <w:szCs w:val="23"/>
                <w:color w:val="auto"/>
              </w:rPr>
            </w:pPr>
          </w:p>
        </w:tc>
        <w:tc>
          <w:tcPr>
            <w:tcW w:w="1000" w:type="dxa"/>
            <w:vAlign w:val="bottom"/>
            <w:tcBorders>
              <w:right w:val="single" w:sz="8" w:color="CCEEFF"/>
            </w:tcBorders>
          </w:tcPr>
          <w:p>
            <w:pPr>
              <w:spacing w:after="0"/>
              <w:rPr>
                <w:sz w:val="23"/>
                <w:szCs w:val="23"/>
                <w:color w:val="auto"/>
              </w:rPr>
            </w:pPr>
          </w:p>
        </w:tc>
        <w:tc>
          <w:tcPr>
            <w:tcW w:w="31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Transit Packaging</w:t>
            </w: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592</w:t>
            </w:r>
          </w:p>
        </w:tc>
        <w:tc>
          <w:tcPr>
            <w:tcW w:w="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620</w:t>
            </w:r>
          </w:p>
        </w:tc>
        <w:tc>
          <w:tcPr>
            <w:tcW w:w="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120" w:type="dxa"/>
            <w:vAlign w:val="bottom"/>
            <w:gridSpan w:val="3"/>
          </w:tcPr>
          <w:p>
            <w:pPr>
              <w:ind w:left="220"/>
              <w:spacing w:after="0"/>
              <w:rPr>
                <w:sz w:val="20"/>
                <w:szCs w:val="20"/>
                <w:color w:val="auto"/>
              </w:rPr>
            </w:pPr>
            <w:r>
              <w:rPr>
                <w:rFonts w:ascii="Arial" w:cs="Arial" w:eastAsia="Arial" w:hAnsi="Arial"/>
                <w:sz w:val="18"/>
                <w:szCs w:val="18"/>
                <w:color w:val="auto"/>
              </w:rPr>
              <w:t>Total reportable segments</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2,694</w:t>
            </w:r>
          </w:p>
        </w:tc>
        <w:tc>
          <w:tcPr>
            <w:tcW w:w="40" w:type="dxa"/>
            <w:vAlign w:val="bottom"/>
            <w:tcBorders>
              <w:top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2,719</w:t>
            </w:r>
          </w:p>
        </w:tc>
        <w:tc>
          <w:tcPr>
            <w:tcW w:w="40" w:type="dxa"/>
            <w:vAlign w:val="bottom"/>
            <w:tcBorders>
              <w:top w:val="single" w:sz="8" w:color="auto"/>
            </w:tcBorders>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5,134</w:t>
            </w:r>
          </w:p>
        </w:tc>
        <w:tc>
          <w:tcPr>
            <w:tcW w:w="20" w:type="dxa"/>
            <w:vAlign w:val="bottom"/>
            <w:tcBorders>
              <w:top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4,613</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0" w:type="dxa"/>
            <w:vAlign w:val="bottom"/>
          </w:tcPr>
          <w:p>
            <w:pPr>
              <w:spacing w:after="0"/>
              <w:rPr>
                <w:sz w:val="23"/>
                <w:szCs w:val="23"/>
                <w:color w:val="auto"/>
              </w:rPr>
            </w:pPr>
          </w:p>
        </w:tc>
        <w:tc>
          <w:tcPr>
            <w:tcW w:w="1000" w:type="dxa"/>
            <w:vAlign w:val="bottom"/>
            <w:tcBorders>
              <w:right w:val="single" w:sz="8" w:color="CCEEFF"/>
            </w:tcBorders>
          </w:tcPr>
          <w:p>
            <w:pPr>
              <w:spacing w:after="0"/>
              <w:rPr>
                <w:sz w:val="23"/>
                <w:szCs w:val="23"/>
                <w:color w:val="auto"/>
              </w:rPr>
            </w:pPr>
          </w:p>
        </w:tc>
        <w:tc>
          <w:tcPr>
            <w:tcW w:w="3120" w:type="dxa"/>
            <w:vAlign w:val="bottom"/>
            <w:gridSpan w:val="3"/>
            <w:shd w:val="clear" w:color="auto" w:fill="CCEEFF"/>
          </w:tcPr>
          <w:p>
            <w:pPr>
              <w:spacing w:after="0" w:line="270" w:lineRule="exact"/>
              <w:rPr>
                <w:sz w:val="20"/>
                <w:szCs w:val="20"/>
                <w:color w:val="auto"/>
              </w:rPr>
            </w:pPr>
            <w:r>
              <w:rPr>
                <w:rFonts w:ascii="Arial" w:cs="Arial" w:eastAsia="Arial" w:hAnsi="Arial"/>
                <w:sz w:val="18"/>
                <w:szCs w:val="18"/>
                <w:color w:val="auto"/>
              </w:rPr>
              <w:t xml:space="preserve">Non-reportable segments </w:t>
            </w:r>
            <w:r>
              <w:rPr>
                <w:rFonts w:ascii="Arial" w:cs="Arial" w:eastAsia="Arial" w:hAnsi="Arial"/>
                <w:sz w:val="25"/>
                <w:szCs w:val="25"/>
                <w:color w:val="auto"/>
                <w:vertAlign w:val="superscript"/>
              </w:rPr>
              <w:t>(2)</w:t>
            </w: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341</w:t>
            </w:r>
          </w:p>
        </w:tc>
        <w:tc>
          <w:tcPr>
            <w:tcW w:w="40" w:type="dxa"/>
            <w:vAlign w:val="bottom"/>
            <w:tcBorders>
              <w:bottom w:val="single" w:sz="8" w:color="auto"/>
            </w:tcBorders>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327</w:t>
            </w:r>
          </w:p>
        </w:tc>
        <w:tc>
          <w:tcPr>
            <w:tcW w:w="40" w:type="dxa"/>
            <w:vAlign w:val="bottom"/>
            <w:tcBorders>
              <w:bottom w:val="single" w:sz="8" w:color="auto"/>
            </w:tcBorders>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20" w:type="dxa"/>
            <w:vAlign w:val="bottom"/>
            <w:tcBorders>
              <w:bottom w:val="single" w:sz="8" w:color="auto"/>
            </w:tcBorders>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120" w:type="dxa"/>
            <w:vAlign w:val="bottom"/>
            <w:gridSpan w:val="3"/>
          </w:tcPr>
          <w:p>
            <w:pPr>
              <w:ind w:left="220"/>
              <w:spacing w:after="0"/>
              <w:rPr>
                <w:sz w:val="20"/>
                <w:szCs w:val="20"/>
                <w:color w:val="auto"/>
              </w:rPr>
            </w:pPr>
            <w:r>
              <w:rPr>
                <w:rFonts w:ascii="Arial" w:cs="Arial" w:eastAsia="Arial" w:hAnsi="Arial"/>
                <w:sz w:val="18"/>
                <w:szCs w:val="18"/>
                <w:b w:val="1"/>
                <w:bCs w:val="1"/>
                <w:color w:val="auto"/>
              </w:rPr>
              <w:t>Total net sales</w:t>
            </w:r>
          </w:p>
        </w:tc>
        <w:tc>
          <w:tcPr>
            <w:tcW w:w="280" w:type="dxa"/>
            <w:vAlign w:val="bottom"/>
            <w:gridSpan w:val="3"/>
          </w:tcPr>
          <w:p>
            <w:pPr>
              <w:ind w:left="120"/>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3,035</w:t>
            </w:r>
          </w:p>
        </w:tc>
        <w:tc>
          <w:tcPr>
            <w:tcW w:w="720" w:type="dxa"/>
            <w:vAlign w:val="bottom"/>
            <w:gridSpan w:val="5"/>
          </w:tcPr>
          <w:p>
            <w:pPr>
              <w:jc w:val="right"/>
              <w:ind w:right="80"/>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3,046</w:t>
            </w:r>
          </w:p>
        </w:tc>
        <w:tc>
          <w:tcPr>
            <w:tcW w:w="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5,790</w:t>
            </w:r>
          </w:p>
        </w:tc>
        <w:tc>
          <w:tcPr>
            <w:tcW w:w="20" w:type="dxa"/>
            <w:vAlign w:val="bottom"/>
          </w:tcPr>
          <w:p>
            <w:pPr>
              <w:spacing w:after="0"/>
              <w:rPr>
                <w:sz w:val="22"/>
                <w:szCs w:val="22"/>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5,243</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1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Segment Income</w:t>
            </w: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12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3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18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1000" w:type="dxa"/>
            <w:vAlign w:val="bottom"/>
            <w:tcBorders>
              <w:right w:val="single" w:sz="8" w:color="CCEEFF"/>
            </w:tcBorders>
          </w:tcPr>
          <w:p>
            <w:pPr>
              <w:spacing w:after="0"/>
              <w:rPr>
                <w:sz w:val="21"/>
                <w:szCs w:val="21"/>
                <w:color w:val="auto"/>
              </w:rPr>
            </w:pPr>
          </w:p>
        </w:tc>
        <w:tc>
          <w:tcPr>
            <w:tcW w:w="31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Americas Beverage</w:t>
            </w:r>
          </w:p>
        </w:tc>
        <w:tc>
          <w:tcPr>
            <w:tcW w:w="28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139</w:t>
            </w:r>
          </w:p>
        </w:tc>
        <w:tc>
          <w:tcPr>
            <w:tcW w:w="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c>
          <w:tcPr>
            <w:tcW w:w="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w:t>
            </w:r>
          </w:p>
        </w:tc>
        <w:tc>
          <w:tcPr>
            <w:tcW w:w="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120" w:type="dxa"/>
            <w:vAlign w:val="bottom"/>
            <w:gridSpan w:val="3"/>
          </w:tcPr>
          <w:p>
            <w:pPr>
              <w:spacing w:after="0"/>
              <w:rPr>
                <w:sz w:val="20"/>
                <w:szCs w:val="20"/>
                <w:color w:val="auto"/>
              </w:rPr>
            </w:pPr>
            <w:r>
              <w:rPr>
                <w:rFonts w:ascii="Arial" w:cs="Arial" w:eastAsia="Arial" w:hAnsi="Arial"/>
                <w:sz w:val="18"/>
                <w:szCs w:val="18"/>
                <w:color w:val="auto"/>
              </w:rPr>
              <w:t>European Beverage</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gridSpan w:val="2"/>
          </w:tcPr>
          <w:p>
            <w:pPr>
              <w:jc w:val="right"/>
              <w:ind w:right="10"/>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114</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000" w:type="dxa"/>
            <w:vAlign w:val="bottom"/>
            <w:tcBorders>
              <w:right w:val="single" w:sz="8" w:color="CCEEFF"/>
            </w:tcBorders>
          </w:tcPr>
          <w:p>
            <w:pPr>
              <w:spacing w:after="0"/>
              <w:rPr>
                <w:sz w:val="21"/>
                <w:szCs w:val="21"/>
                <w:color w:val="auto"/>
              </w:rPr>
            </w:pPr>
          </w:p>
        </w:tc>
        <w:tc>
          <w:tcPr>
            <w:tcW w:w="31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European Food</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w:t>
            </w:r>
          </w:p>
        </w:tc>
        <w:tc>
          <w:tcPr>
            <w:tcW w:w="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w:t>
            </w:r>
          </w:p>
        </w:tc>
        <w:tc>
          <w:tcPr>
            <w:tcW w:w="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120" w:type="dxa"/>
            <w:vAlign w:val="bottom"/>
            <w:gridSpan w:val="3"/>
          </w:tcPr>
          <w:p>
            <w:pPr>
              <w:spacing w:after="0"/>
              <w:rPr>
                <w:sz w:val="20"/>
                <w:szCs w:val="20"/>
                <w:color w:val="auto"/>
              </w:rPr>
            </w:pPr>
            <w:r>
              <w:rPr>
                <w:rFonts w:ascii="Arial" w:cs="Arial" w:eastAsia="Arial" w:hAnsi="Arial"/>
                <w:sz w:val="18"/>
                <w:szCs w:val="18"/>
                <w:color w:val="auto"/>
              </w:rPr>
              <w:t>Asia Pacific</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gridSpan w:val="2"/>
          </w:tcPr>
          <w:p>
            <w:pPr>
              <w:jc w:val="right"/>
              <w:ind w:right="10"/>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91</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0" w:type="dxa"/>
            <w:vAlign w:val="bottom"/>
          </w:tcPr>
          <w:p>
            <w:pPr>
              <w:spacing w:after="0"/>
              <w:rPr>
                <w:sz w:val="23"/>
                <w:szCs w:val="23"/>
                <w:color w:val="auto"/>
              </w:rPr>
            </w:pPr>
          </w:p>
        </w:tc>
        <w:tc>
          <w:tcPr>
            <w:tcW w:w="1000" w:type="dxa"/>
            <w:vAlign w:val="bottom"/>
            <w:tcBorders>
              <w:right w:val="single" w:sz="8" w:color="CCEEFF"/>
            </w:tcBorders>
          </w:tcPr>
          <w:p>
            <w:pPr>
              <w:spacing w:after="0"/>
              <w:rPr>
                <w:sz w:val="23"/>
                <w:szCs w:val="23"/>
                <w:color w:val="auto"/>
              </w:rPr>
            </w:pPr>
          </w:p>
        </w:tc>
        <w:tc>
          <w:tcPr>
            <w:tcW w:w="31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Transit Packaging</w:t>
            </w: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80</w:t>
            </w:r>
          </w:p>
        </w:tc>
        <w:tc>
          <w:tcPr>
            <w:tcW w:w="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w:t>
            </w:r>
          </w:p>
        </w:tc>
        <w:tc>
          <w:tcPr>
            <w:tcW w:w="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w:t>
            </w:r>
          </w:p>
        </w:tc>
        <w:tc>
          <w:tcPr>
            <w:tcW w:w="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120" w:type="dxa"/>
            <w:vAlign w:val="bottom"/>
            <w:gridSpan w:val="3"/>
          </w:tcPr>
          <w:p>
            <w:pPr>
              <w:ind w:left="220"/>
              <w:spacing w:after="0"/>
              <w:rPr>
                <w:sz w:val="20"/>
                <w:szCs w:val="20"/>
                <w:color w:val="auto"/>
              </w:rPr>
            </w:pPr>
            <w:r>
              <w:rPr>
                <w:rFonts w:ascii="Arial" w:cs="Arial" w:eastAsia="Arial" w:hAnsi="Arial"/>
                <w:sz w:val="18"/>
                <w:szCs w:val="18"/>
                <w:color w:val="auto"/>
              </w:rPr>
              <w:t>Total reportable segments</w:t>
            </w:r>
          </w:p>
        </w:tc>
        <w:tc>
          <w:tcPr>
            <w:tcW w:w="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392</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398</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710</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651</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0" w:type="dxa"/>
            <w:vAlign w:val="bottom"/>
          </w:tcPr>
          <w:p>
            <w:pPr>
              <w:spacing w:after="0"/>
              <w:rPr>
                <w:sz w:val="23"/>
                <w:szCs w:val="23"/>
                <w:color w:val="auto"/>
              </w:rPr>
            </w:pPr>
          </w:p>
        </w:tc>
        <w:tc>
          <w:tcPr>
            <w:tcW w:w="1000" w:type="dxa"/>
            <w:vAlign w:val="bottom"/>
            <w:tcBorders>
              <w:right w:val="single" w:sz="8" w:color="CCEEFF"/>
            </w:tcBorders>
          </w:tcPr>
          <w:p>
            <w:pPr>
              <w:spacing w:after="0"/>
              <w:rPr>
                <w:sz w:val="23"/>
                <w:szCs w:val="23"/>
                <w:color w:val="auto"/>
              </w:rPr>
            </w:pPr>
          </w:p>
        </w:tc>
        <w:tc>
          <w:tcPr>
            <w:tcW w:w="3120" w:type="dxa"/>
            <w:vAlign w:val="bottom"/>
            <w:gridSpan w:val="3"/>
            <w:shd w:val="clear" w:color="auto" w:fill="CCEEFF"/>
          </w:tcPr>
          <w:p>
            <w:pPr>
              <w:spacing w:after="0" w:line="270" w:lineRule="exact"/>
              <w:rPr>
                <w:sz w:val="20"/>
                <w:szCs w:val="20"/>
                <w:color w:val="auto"/>
              </w:rPr>
            </w:pPr>
            <w:r>
              <w:rPr>
                <w:rFonts w:ascii="Arial" w:cs="Arial" w:eastAsia="Arial" w:hAnsi="Arial"/>
                <w:sz w:val="18"/>
                <w:szCs w:val="18"/>
                <w:color w:val="auto"/>
              </w:rPr>
              <w:t xml:space="preserve">Non-reportable segments </w:t>
            </w:r>
            <w:r>
              <w:rPr>
                <w:rFonts w:ascii="Arial" w:cs="Arial" w:eastAsia="Arial" w:hAnsi="Arial"/>
                <w:sz w:val="25"/>
                <w:szCs w:val="25"/>
                <w:color w:val="auto"/>
                <w:vertAlign w:val="superscript"/>
              </w:rPr>
              <w:t>(2)</w:t>
            </w: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w:t>
            </w:r>
          </w:p>
        </w:tc>
        <w:tc>
          <w:tcPr>
            <w:tcW w:w="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120" w:type="dxa"/>
            <w:vAlign w:val="bottom"/>
            <w:gridSpan w:val="3"/>
          </w:tcPr>
          <w:p>
            <w:pPr>
              <w:spacing w:after="0"/>
              <w:rPr>
                <w:sz w:val="20"/>
                <w:szCs w:val="20"/>
                <w:color w:val="auto"/>
              </w:rPr>
            </w:pPr>
            <w:r>
              <w:rPr>
                <w:rFonts w:ascii="Arial" w:cs="Arial" w:eastAsia="Arial" w:hAnsi="Arial"/>
                <w:sz w:val="18"/>
                <w:szCs w:val="18"/>
                <w:color w:val="auto"/>
              </w:rPr>
              <w:t>Corporate and other unallocated items</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(79)</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0" w:type="dxa"/>
            <w:vAlign w:val="bottom"/>
          </w:tcPr>
          <w:p>
            <w:pPr>
              <w:spacing w:after="0"/>
              <w:rPr>
                <w:sz w:val="22"/>
                <w:szCs w:val="22"/>
                <w:color w:val="auto"/>
              </w:rPr>
            </w:pPr>
          </w:p>
        </w:tc>
        <w:tc>
          <w:tcPr>
            <w:tcW w:w="1000" w:type="dxa"/>
            <w:vAlign w:val="bottom"/>
            <w:tcBorders>
              <w:right w:val="single" w:sz="8" w:color="CCEEFF"/>
            </w:tcBorders>
          </w:tcPr>
          <w:p>
            <w:pPr>
              <w:spacing w:after="0"/>
              <w:rPr>
                <w:sz w:val="22"/>
                <w:szCs w:val="22"/>
                <w:color w:val="auto"/>
              </w:rPr>
            </w:pPr>
          </w:p>
        </w:tc>
        <w:tc>
          <w:tcPr>
            <w:tcW w:w="3120" w:type="dxa"/>
            <w:vAlign w:val="bottom"/>
            <w:gridSpan w:val="3"/>
            <w:shd w:val="clear" w:color="auto" w:fill="CCEEFF"/>
          </w:tcPr>
          <w:p>
            <w:pPr>
              <w:ind w:left="220"/>
              <w:spacing w:after="0"/>
              <w:rPr>
                <w:sz w:val="20"/>
                <w:szCs w:val="20"/>
                <w:color w:val="auto"/>
              </w:rPr>
            </w:pPr>
            <w:r>
              <w:rPr>
                <w:rFonts w:ascii="Arial" w:cs="Arial" w:eastAsia="Arial" w:hAnsi="Arial"/>
                <w:sz w:val="18"/>
                <w:szCs w:val="18"/>
                <w:b w:val="1"/>
                <w:bCs w:val="1"/>
                <w:color w:val="auto"/>
              </w:rPr>
              <w:t>Total segment income</w:t>
            </w:r>
          </w:p>
        </w:tc>
        <w:tc>
          <w:tcPr>
            <w:tcW w:w="28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7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386</w:t>
            </w:r>
          </w:p>
        </w:tc>
        <w:tc>
          <w:tcPr>
            <w:tcW w:w="20" w:type="dxa"/>
            <w:vAlign w:val="bottom"/>
            <w:shd w:val="clear" w:color="auto" w:fill="CCEEFF"/>
          </w:tcPr>
          <w:p>
            <w:pPr>
              <w:spacing w:after="0"/>
              <w:rPr>
                <w:sz w:val="22"/>
                <w:szCs w:val="22"/>
                <w:color w:val="auto"/>
              </w:rPr>
            </w:pPr>
          </w:p>
        </w:tc>
        <w:tc>
          <w:tcPr>
            <w:tcW w:w="72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389</w:t>
            </w:r>
          </w:p>
        </w:tc>
        <w:tc>
          <w:tcPr>
            <w:tcW w:w="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79"/>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701</w:t>
            </w:r>
          </w:p>
        </w:tc>
        <w:tc>
          <w:tcPr>
            <w:tcW w:w="20" w:type="dxa"/>
            <w:vAlign w:val="bottom"/>
            <w:shd w:val="clear" w:color="auto" w:fill="CCEEFF"/>
          </w:tcPr>
          <w:p>
            <w:pPr>
              <w:spacing w:after="0"/>
              <w:rPr>
                <w:sz w:val="22"/>
                <w:szCs w:val="22"/>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634</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-3939540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-3939540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155" w:lineRule="exact"/>
        <w:rPr>
          <w:sz w:val="20"/>
          <w:szCs w:val="20"/>
          <w:color w:val="auto"/>
        </w:rPr>
      </w:pPr>
    </w:p>
    <w:p>
      <w:pPr>
        <w:ind w:left="260" w:hanging="252"/>
        <w:spacing w:after="0" w:line="277" w:lineRule="auto"/>
        <w:tabs>
          <w:tab w:leader="none" w:pos="273" w:val="left"/>
        </w:tabs>
        <w:numPr>
          <w:ilvl w:val="0"/>
          <w:numId w:val="3"/>
        </w:numPr>
        <w:rPr>
          <w:rFonts w:ascii="Arial" w:cs="Arial" w:eastAsia="Arial" w:hAnsi="Arial"/>
          <w:sz w:val="16"/>
          <w:szCs w:val="16"/>
          <w:color w:val="auto"/>
        </w:rPr>
      </w:pPr>
      <w:r>
        <w:rPr>
          <w:rFonts w:ascii="Arial" w:cs="Arial" w:eastAsia="Arial" w:hAnsi="Arial"/>
          <w:sz w:val="18"/>
          <w:szCs w:val="18"/>
          <w:color w:val="auto"/>
        </w:rPr>
        <w:t>Includes the Company's food can and closures businesses in North America, aerosol can businesses in North America and Europe, the promotional packaging business in Europe, and tooling and equipment operations in the U.S. and United Kingdom.</w:t>
      </w:r>
    </w:p>
    <w:p>
      <w:pPr>
        <w:sectPr>
          <w:pgSz w:w="11900" w:h="16838" w:orient="portrait"/>
          <w:cols w:equalWidth="0" w:num="1">
            <w:col w:w="11420"/>
          </w:cols>
          <w:pgMar w:left="240" w:top="852" w:right="239" w:bottom="10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5 of 10</w:t>
      </w:r>
    </w:p>
    <w:p>
      <w:pPr>
        <w:sectPr>
          <w:pgSz w:w="11900" w:h="16838" w:orient="portrait"/>
          <w:cols w:equalWidth="0" w:num="1">
            <w:col w:w="11420"/>
          </w:cols>
          <w:pgMar w:left="240" w:top="852" w:right="239" w:bottom="1079" w:gutter="0" w:footer="0" w:header="0"/>
          <w:type w:val="continuous"/>
        </w:sectPr>
      </w:pPr>
    </w:p>
    <w:bookmarkStart w:id="10" w:name="page11"/>
    <w:bookmarkEnd w:id="10"/>
    <w:p>
      <w:pPr>
        <w:ind w:left="6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5664835</wp:posOffset>
            </wp:positionH>
            <wp:positionV relativeFrom="paragraph">
              <wp:posOffset>-162560</wp:posOffset>
            </wp:positionV>
            <wp:extent cx="1551940" cy="4972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51940" cy="497205"/>
                    </a:xfrm>
                    <a:prstGeom prst="rect">
                      <a:avLst/>
                    </a:prstGeom>
                    <a:noFill/>
                  </pic:spPr>
                </pic:pic>
              </a:graphicData>
            </a:graphic>
          </wp:anchor>
        </w:drawing>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4"/>
          <w:szCs w:val="14"/>
          <w:color w:val="auto"/>
        </w:rPr>
        <w:t>Corporate Headquarters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770 Township Line Road</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Yardley, PA 19067-4219</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Supplemental Data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Reconciliation from Net Income and Diluted Earnings Per Share to Adjusted Net Income and Adjusted Diluted Earnings Per Share</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reconciles reported net income and diluted earnings per share attributable to the Company to adjusted net income and adjusted diluted earnings per share, as used elsewhere in this release.</w:t>
      </w:r>
    </w:p>
    <w:p>
      <w:pPr>
        <w:spacing w:after="0" w:line="112" w:lineRule="exact"/>
        <w:rPr>
          <w:sz w:val="20"/>
          <w:szCs w:val="20"/>
          <w:color w:val="auto"/>
        </w:rPr>
      </w:pPr>
    </w:p>
    <w:tbl>
      <w:tblPr>
        <w:tblLayout w:type="fixed"/>
        <w:tblInd w:w="98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3000" w:type="dxa"/>
            <w:vAlign w:val="bottom"/>
            <w:gridSpan w:val="8"/>
          </w:tcPr>
          <w:p>
            <w:pPr>
              <w:ind w:left="260"/>
              <w:spacing w:after="0"/>
              <w:rPr>
                <w:sz w:val="20"/>
                <w:szCs w:val="20"/>
                <w:color w:val="auto"/>
              </w:rPr>
            </w:pPr>
            <w:r>
              <w:rPr>
                <w:rFonts w:ascii="Arial" w:cs="Arial" w:eastAsia="Arial" w:hAnsi="Arial"/>
                <w:sz w:val="18"/>
                <w:szCs w:val="18"/>
                <w:b w:val="1"/>
                <w:bCs w:val="1"/>
                <w:color w:val="auto"/>
              </w:rPr>
              <w:t>Three Months Ended June 30,</w:t>
            </w:r>
          </w:p>
        </w:tc>
        <w:tc>
          <w:tcPr>
            <w:tcW w:w="2860" w:type="dxa"/>
            <w:vAlign w:val="bottom"/>
            <w:gridSpan w:val="8"/>
          </w:tcPr>
          <w:p>
            <w:pPr>
              <w:jc w:val="right"/>
              <w:ind w:right="334"/>
              <w:spacing w:after="0"/>
              <w:rPr>
                <w:sz w:val="20"/>
                <w:szCs w:val="20"/>
                <w:color w:val="auto"/>
              </w:rPr>
            </w:pPr>
            <w:r>
              <w:rPr>
                <w:rFonts w:ascii="Arial" w:cs="Arial" w:eastAsia="Arial" w:hAnsi="Arial"/>
                <w:sz w:val="17"/>
                <w:szCs w:val="17"/>
                <w:b w:val="1"/>
                <w:bCs w:val="1"/>
                <w:color w:val="auto"/>
              </w:rPr>
              <w:t>Six Months Ended June 30,</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Borders>
              <w:bottom w:val="single" w:sz="8" w:color="auto"/>
            </w:tcBorders>
            <w:gridSpan w:val="3"/>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00" w:type="dxa"/>
            <w:vAlign w:val="bottom"/>
          </w:tcPr>
          <w:p>
            <w:pPr>
              <w:spacing w:after="0"/>
              <w:rPr>
                <w:sz w:val="20"/>
                <w:szCs w:val="20"/>
                <w:color w:val="auto"/>
              </w:rPr>
            </w:pPr>
          </w:p>
        </w:tc>
        <w:tc>
          <w:tcPr>
            <w:tcW w:w="1360" w:type="dxa"/>
            <w:vAlign w:val="bottom"/>
            <w:gridSpan w:val="3"/>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340" w:type="dxa"/>
            <w:vAlign w:val="bottom"/>
            <w:gridSpan w:val="3"/>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20"/>
                <w:szCs w:val="20"/>
                <w:color w:val="auto"/>
              </w:rPr>
            </w:pPr>
          </w:p>
        </w:tc>
        <w:tc>
          <w:tcPr>
            <w:tcW w:w="900" w:type="dxa"/>
            <w:vAlign w:val="bottom"/>
            <w:gridSpan w:val="3"/>
          </w:tcPr>
          <w:p>
            <w:pPr>
              <w:jc w:val="right"/>
              <w:spacing w:after="0"/>
              <w:rPr>
                <w:sz w:val="20"/>
                <w:szCs w:val="20"/>
                <w:color w:val="auto"/>
              </w:rPr>
            </w:pPr>
            <w:r>
              <w:rPr>
                <w:rFonts w:ascii="Arial" w:cs="Arial" w:eastAsia="Arial" w:hAnsi="Arial"/>
                <w:sz w:val="17"/>
                <w:szCs w:val="17"/>
                <w:b w:val="1"/>
                <w:bCs w:val="1"/>
                <w:color w:val="auto"/>
              </w:rPr>
              <w:t>2019</w:t>
            </w: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3"/>
          </w:tcPr>
          <w:p>
            <w:pPr>
              <w:jc w:val="right"/>
              <w:ind w:right="394"/>
              <w:spacing w:after="0"/>
              <w:rPr>
                <w:sz w:val="20"/>
                <w:szCs w:val="20"/>
                <w:color w:val="auto"/>
              </w:rPr>
            </w:pPr>
            <w:r>
              <w:rPr>
                <w:rFonts w:ascii="Arial" w:cs="Arial" w:eastAsia="Arial" w:hAnsi="Arial"/>
                <w:sz w:val="17"/>
                <w:szCs w:val="17"/>
                <w:b w:val="1"/>
                <w:bCs w:val="1"/>
                <w:color w:val="auto"/>
              </w:rPr>
              <w:t>2018</w:t>
            </w:r>
          </w:p>
        </w:tc>
        <w:tc>
          <w:tcPr>
            <w:tcW w:w="0" w:type="dxa"/>
            <w:vAlign w:val="bottom"/>
          </w:tcPr>
          <w:p>
            <w:pPr>
              <w:spacing w:after="0"/>
              <w:rPr>
                <w:sz w:val="1"/>
                <w:szCs w:val="1"/>
                <w:color w:val="auto"/>
              </w:rPr>
            </w:pPr>
          </w:p>
        </w:tc>
      </w:tr>
      <w:tr>
        <w:trPr>
          <w:trHeight w:val="27"/>
        </w:trPr>
        <w:tc>
          <w:tcPr>
            <w:tcW w:w="36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60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Net income/diluted earnings per share</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34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w w:val="98"/>
              </w:rPr>
              <w:t>attributable to Crown Holdings, as reported $ 137</w:t>
            </w:r>
          </w:p>
        </w:tc>
        <w:tc>
          <w:tcPr>
            <w:tcW w:w="6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87"/>
              </w:rPr>
              <w:t>$ 1.02</w:t>
            </w: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3"/>
              </w:rPr>
              <w:t>$ 132</w:t>
            </w: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1"/>
              </w:rPr>
              <w:t>$ 0.99</w:t>
            </w: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$ 240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1.78</w:t>
            </w:r>
          </w:p>
        </w:tc>
        <w:tc>
          <w:tcPr>
            <w:tcW w:w="1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7"/>
                <w:szCs w:val="17"/>
                <w:b w:val="1"/>
                <w:bCs w:val="1"/>
                <w:color w:val="auto"/>
                <w:w w:val="98"/>
              </w:rPr>
              <w:t>$ 222</w:t>
            </w: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b w:val="1"/>
                <w:bCs w:val="1"/>
                <w:color w:val="auto"/>
              </w:rPr>
              <w:t>$ 1.66</w:t>
            </w:r>
          </w:p>
        </w:tc>
        <w:tc>
          <w:tcPr>
            <w:tcW w:w="0" w:type="dxa"/>
            <w:vAlign w:val="bottom"/>
          </w:tcPr>
          <w:p>
            <w:pPr>
              <w:spacing w:after="0"/>
              <w:rPr>
                <w:sz w:val="1"/>
                <w:szCs w:val="1"/>
                <w:color w:val="auto"/>
              </w:rPr>
            </w:pPr>
          </w:p>
        </w:tc>
      </w:tr>
      <w:tr>
        <w:trPr>
          <w:trHeight w:val="270"/>
        </w:trPr>
        <w:tc>
          <w:tcPr>
            <w:tcW w:w="360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Intangibles amortization </w:t>
            </w:r>
            <w:r>
              <w:rPr>
                <w:rFonts w:ascii="Arial" w:cs="Arial" w:eastAsia="Arial" w:hAnsi="Arial"/>
                <w:sz w:val="25"/>
                <w:szCs w:val="25"/>
                <w:color w:val="auto"/>
                <w:vertAlign w:val="superscript"/>
              </w:rPr>
              <w:t>(1)</w:t>
            </w: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23"/>
                <w:szCs w:val="23"/>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0.36</w:t>
            </w:r>
          </w:p>
        </w:tc>
        <w:tc>
          <w:tcPr>
            <w:tcW w:w="120" w:type="dxa"/>
            <w:vAlign w:val="bottom"/>
          </w:tcPr>
          <w:p>
            <w:pPr>
              <w:spacing w:after="0"/>
              <w:rPr>
                <w:sz w:val="23"/>
                <w:szCs w:val="23"/>
                <w:color w:val="auto"/>
              </w:rPr>
            </w:pPr>
          </w:p>
        </w:tc>
        <w:tc>
          <w:tcPr>
            <w:tcW w:w="640" w:type="dxa"/>
            <w:vAlign w:val="bottom"/>
          </w:tcPr>
          <w:p>
            <w:pPr>
              <w:jc w:val="right"/>
              <w:ind w:right="11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3"/>
                <w:szCs w:val="23"/>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0.31</w:t>
            </w:r>
          </w:p>
        </w:tc>
        <w:tc>
          <w:tcPr>
            <w:tcW w:w="180" w:type="dxa"/>
            <w:vAlign w:val="bottom"/>
          </w:tcPr>
          <w:p>
            <w:pPr>
              <w:spacing w:after="0"/>
              <w:rPr>
                <w:sz w:val="23"/>
                <w:szCs w:val="23"/>
                <w:color w:val="auto"/>
              </w:rPr>
            </w:pPr>
          </w:p>
        </w:tc>
        <w:tc>
          <w:tcPr>
            <w:tcW w:w="620" w:type="dxa"/>
            <w:vAlign w:val="bottom"/>
          </w:tcPr>
          <w:p>
            <w:pPr>
              <w:jc w:val="right"/>
              <w:ind w:right="75"/>
              <w:spacing w:after="0"/>
              <w:rPr>
                <w:sz w:val="20"/>
                <w:szCs w:val="20"/>
                <w:color w:val="auto"/>
              </w:rPr>
            </w:pPr>
            <w:r>
              <w:rPr>
                <w:rFonts w:ascii="Arial" w:cs="Arial" w:eastAsia="Arial" w:hAnsi="Arial"/>
                <w:sz w:val="17"/>
                <w:szCs w:val="17"/>
                <w:color w:val="auto"/>
              </w:rPr>
              <w:t>97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0.72</w:t>
            </w:r>
          </w:p>
        </w:tc>
        <w:tc>
          <w:tcPr>
            <w:tcW w:w="140" w:type="dxa"/>
            <w:vAlign w:val="bottom"/>
          </w:tcPr>
          <w:p>
            <w:pPr>
              <w:spacing w:after="0"/>
              <w:rPr>
                <w:sz w:val="23"/>
                <w:szCs w:val="23"/>
                <w:color w:val="auto"/>
              </w:rPr>
            </w:pPr>
          </w:p>
        </w:tc>
        <w:tc>
          <w:tcPr>
            <w:tcW w:w="620" w:type="dxa"/>
            <w:vAlign w:val="bottom"/>
          </w:tcPr>
          <w:p>
            <w:pPr>
              <w:jc w:val="right"/>
              <w:ind w:right="94"/>
              <w:spacing w:after="0"/>
              <w:rPr>
                <w:sz w:val="20"/>
                <w:szCs w:val="20"/>
                <w:color w:val="auto"/>
              </w:rPr>
            </w:pPr>
            <w:r>
              <w:rPr>
                <w:rFonts w:ascii="Arial" w:cs="Arial" w:eastAsia="Arial" w:hAnsi="Arial"/>
                <w:sz w:val="17"/>
                <w:szCs w:val="17"/>
                <w:color w:val="auto"/>
              </w:rPr>
              <w:t>52</w:t>
            </w:r>
          </w:p>
        </w:tc>
        <w:tc>
          <w:tcPr>
            <w:tcW w:w="120" w:type="dxa"/>
            <w:vAlign w:val="bottom"/>
          </w:tcPr>
          <w:p>
            <w:pPr>
              <w:spacing w:after="0"/>
              <w:rPr>
                <w:sz w:val="23"/>
                <w:szCs w:val="23"/>
                <w:color w:val="auto"/>
              </w:rPr>
            </w:pPr>
          </w:p>
        </w:tc>
        <w:tc>
          <w:tcPr>
            <w:tcW w:w="620" w:type="dxa"/>
            <w:vAlign w:val="bottom"/>
          </w:tcPr>
          <w:p>
            <w:pPr>
              <w:jc w:val="right"/>
              <w:ind w:right="34"/>
              <w:spacing w:after="0"/>
              <w:rPr>
                <w:sz w:val="20"/>
                <w:szCs w:val="20"/>
                <w:color w:val="auto"/>
              </w:rPr>
            </w:pPr>
            <w:r>
              <w:rPr>
                <w:rFonts w:ascii="Arial" w:cs="Arial" w:eastAsia="Arial" w:hAnsi="Arial"/>
                <w:sz w:val="17"/>
                <w:szCs w:val="17"/>
                <w:color w:val="auto"/>
              </w:rPr>
              <w:t>0.39</w:t>
            </w:r>
          </w:p>
        </w:tc>
        <w:tc>
          <w:tcPr>
            <w:tcW w:w="0" w:type="dxa"/>
            <w:vAlign w:val="bottom"/>
          </w:tcPr>
          <w:p>
            <w:pPr>
              <w:spacing w:after="0"/>
              <w:rPr>
                <w:sz w:val="1"/>
                <w:szCs w:val="1"/>
                <w:color w:val="auto"/>
              </w:rPr>
            </w:pPr>
          </w:p>
        </w:tc>
      </w:tr>
      <w:tr>
        <w:trPr>
          <w:trHeight w:val="270"/>
        </w:trPr>
        <w:tc>
          <w:tcPr>
            <w:tcW w:w="360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Fair value adjustment to inventory </w:t>
            </w:r>
            <w:r>
              <w:rPr>
                <w:rFonts w:ascii="Arial" w:cs="Arial" w:eastAsia="Arial" w:hAnsi="Arial"/>
                <w:sz w:val="25"/>
                <w:szCs w:val="25"/>
                <w:color w:val="auto"/>
                <w:vertAlign w:val="superscript"/>
              </w:rPr>
              <w:t>(2)</w:t>
            </w:r>
          </w:p>
        </w:tc>
        <w:tc>
          <w:tcPr>
            <w:tcW w:w="6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0.30</w:t>
            </w:r>
          </w:p>
        </w:tc>
        <w:tc>
          <w:tcPr>
            <w:tcW w:w="1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70"/>
        </w:trPr>
        <w:tc>
          <w:tcPr>
            <w:tcW w:w="3600" w:type="dxa"/>
            <w:vAlign w:val="bottom"/>
          </w:tcPr>
          <w:p>
            <w:pPr>
              <w:ind w:left="260"/>
              <w:spacing w:after="0" w:line="270" w:lineRule="exact"/>
              <w:rPr>
                <w:sz w:val="20"/>
                <w:szCs w:val="20"/>
                <w:color w:val="auto"/>
              </w:rPr>
            </w:pPr>
            <w:r>
              <w:rPr>
                <w:rFonts w:ascii="Arial" w:cs="Arial" w:eastAsia="Arial" w:hAnsi="Arial"/>
                <w:sz w:val="18"/>
                <w:szCs w:val="18"/>
                <w:color w:val="auto"/>
              </w:rPr>
              <w:t xml:space="preserve">Restructuring and other </w:t>
            </w:r>
            <w:r>
              <w:rPr>
                <w:rFonts w:ascii="Arial" w:cs="Arial" w:eastAsia="Arial" w:hAnsi="Arial"/>
                <w:sz w:val="25"/>
                <w:szCs w:val="25"/>
                <w:color w:val="auto"/>
                <w:vertAlign w:val="superscript"/>
              </w:rPr>
              <w:t>(3)</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23"/>
                <w:szCs w:val="23"/>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(0.33)</w:t>
            </w:r>
          </w:p>
        </w:tc>
        <w:tc>
          <w:tcPr>
            <w:tcW w:w="120" w:type="dxa"/>
            <w:vAlign w:val="bottom"/>
          </w:tcPr>
          <w:p>
            <w:pPr>
              <w:spacing w:after="0"/>
              <w:rPr>
                <w:sz w:val="23"/>
                <w:szCs w:val="23"/>
                <w:color w:val="auto"/>
              </w:rPr>
            </w:pPr>
          </w:p>
        </w:tc>
        <w:tc>
          <w:tcPr>
            <w:tcW w:w="640" w:type="dxa"/>
            <w:vAlign w:val="bottom"/>
          </w:tcPr>
          <w:p>
            <w:pPr>
              <w:jc w:val="right"/>
              <w:ind w:right="11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3"/>
                <w:szCs w:val="23"/>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0.12</w:t>
            </w:r>
          </w:p>
        </w:tc>
        <w:tc>
          <w:tcPr>
            <w:tcW w:w="180" w:type="dxa"/>
            <w:vAlign w:val="bottom"/>
          </w:tcPr>
          <w:p>
            <w:pPr>
              <w:spacing w:after="0"/>
              <w:rPr>
                <w:sz w:val="23"/>
                <w:szCs w:val="23"/>
                <w:color w:val="auto"/>
              </w:rPr>
            </w:pPr>
          </w:p>
        </w:tc>
        <w:tc>
          <w:tcPr>
            <w:tcW w:w="620" w:type="dxa"/>
            <w:vAlign w:val="bottom"/>
          </w:tcPr>
          <w:p>
            <w:pPr>
              <w:jc w:val="right"/>
              <w:ind w:right="35"/>
              <w:spacing w:after="0"/>
              <w:rPr>
                <w:sz w:val="20"/>
                <w:szCs w:val="20"/>
                <w:color w:val="auto"/>
              </w:rPr>
            </w:pPr>
            <w:r>
              <w:rPr>
                <w:rFonts w:ascii="Arial" w:cs="Arial" w:eastAsia="Arial" w:hAnsi="Arial"/>
                <w:sz w:val="17"/>
                <w:szCs w:val="17"/>
                <w:color w:val="auto"/>
              </w:rPr>
              <w:t>(41)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94"/>
              </w:rPr>
              <w:t>(0.30)</w:t>
            </w:r>
          </w:p>
        </w:tc>
        <w:tc>
          <w:tcPr>
            <w:tcW w:w="140" w:type="dxa"/>
            <w:vAlign w:val="bottom"/>
          </w:tcPr>
          <w:p>
            <w:pPr>
              <w:spacing w:after="0"/>
              <w:rPr>
                <w:sz w:val="23"/>
                <w:szCs w:val="23"/>
                <w:color w:val="auto"/>
              </w:rPr>
            </w:pPr>
          </w:p>
        </w:tc>
        <w:tc>
          <w:tcPr>
            <w:tcW w:w="620" w:type="dxa"/>
            <w:vAlign w:val="bottom"/>
          </w:tcPr>
          <w:p>
            <w:pPr>
              <w:jc w:val="right"/>
              <w:ind w:right="94"/>
              <w:spacing w:after="0"/>
              <w:rPr>
                <w:sz w:val="20"/>
                <w:szCs w:val="20"/>
                <w:color w:val="auto"/>
              </w:rPr>
            </w:pPr>
            <w:r>
              <w:rPr>
                <w:rFonts w:ascii="Arial" w:cs="Arial" w:eastAsia="Arial" w:hAnsi="Arial"/>
                <w:sz w:val="17"/>
                <w:szCs w:val="17"/>
                <w:color w:val="auto"/>
              </w:rPr>
              <w:t>29</w:t>
            </w:r>
          </w:p>
        </w:tc>
        <w:tc>
          <w:tcPr>
            <w:tcW w:w="120" w:type="dxa"/>
            <w:vAlign w:val="bottom"/>
          </w:tcPr>
          <w:p>
            <w:pPr>
              <w:spacing w:after="0"/>
              <w:rPr>
                <w:sz w:val="23"/>
                <w:szCs w:val="23"/>
                <w:color w:val="auto"/>
              </w:rPr>
            </w:pPr>
          </w:p>
        </w:tc>
        <w:tc>
          <w:tcPr>
            <w:tcW w:w="620" w:type="dxa"/>
            <w:vAlign w:val="bottom"/>
          </w:tcPr>
          <w:p>
            <w:pPr>
              <w:jc w:val="right"/>
              <w:ind w:right="34"/>
              <w:spacing w:after="0"/>
              <w:rPr>
                <w:sz w:val="20"/>
                <w:szCs w:val="20"/>
                <w:color w:val="auto"/>
              </w:rPr>
            </w:pPr>
            <w:r>
              <w:rPr>
                <w:rFonts w:ascii="Arial" w:cs="Arial" w:eastAsia="Arial" w:hAnsi="Arial"/>
                <w:sz w:val="17"/>
                <w:szCs w:val="17"/>
                <w:color w:val="auto"/>
              </w:rPr>
              <w:t>0.22</w:t>
            </w:r>
          </w:p>
        </w:tc>
        <w:tc>
          <w:tcPr>
            <w:tcW w:w="0" w:type="dxa"/>
            <w:vAlign w:val="bottom"/>
          </w:tcPr>
          <w:p>
            <w:pPr>
              <w:spacing w:after="0"/>
              <w:rPr>
                <w:sz w:val="1"/>
                <w:szCs w:val="1"/>
                <w:color w:val="auto"/>
              </w:rPr>
            </w:pPr>
          </w:p>
        </w:tc>
      </w:tr>
      <w:tr>
        <w:trPr>
          <w:trHeight w:val="270"/>
        </w:trPr>
        <w:tc>
          <w:tcPr>
            <w:tcW w:w="360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Pension settlements and curtailments </w:t>
            </w:r>
            <w:r>
              <w:rPr>
                <w:rFonts w:ascii="Arial" w:cs="Arial" w:eastAsia="Arial" w:hAnsi="Arial"/>
                <w:sz w:val="25"/>
                <w:szCs w:val="25"/>
                <w:color w:val="auto"/>
                <w:vertAlign w:val="superscript"/>
              </w:rPr>
              <w:t>(4)</w:t>
            </w:r>
          </w:p>
        </w:tc>
        <w:tc>
          <w:tcPr>
            <w:tcW w:w="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0.23</w:t>
            </w:r>
          </w:p>
        </w:tc>
        <w:tc>
          <w:tcPr>
            <w:tcW w:w="1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17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0.13</w:t>
            </w:r>
          </w:p>
        </w:tc>
        <w:tc>
          <w:tcPr>
            <w:tcW w:w="14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0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Acquisition costs </w:t>
            </w:r>
            <w:r>
              <w:rPr>
                <w:rFonts w:ascii="Arial" w:cs="Arial" w:eastAsia="Arial" w:hAnsi="Arial"/>
                <w:sz w:val="25"/>
                <w:szCs w:val="25"/>
                <w:color w:val="auto"/>
                <w:vertAlign w:val="superscript"/>
              </w:rPr>
              <w:t>(5)</w:t>
            </w: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jc w:val="right"/>
              <w:ind w:right="94"/>
              <w:spacing w:after="0"/>
              <w:rPr>
                <w:sz w:val="20"/>
                <w:szCs w:val="20"/>
                <w:color w:val="auto"/>
              </w:rPr>
            </w:pPr>
            <w:r>
              <w:rPr>
                <w:rFonts w:ascii="Arial" w:cs="Arial" w:eastAsia="Arial" w:hAnsi="Arial"/>
                <w:sz w:val="17"/>
                <w:szCs w:val="17"/>
                <w:color w:val="auto"/>
              </w:rPr>
              <w:t>24</w:t>
            </w:r>
          </w:p>
        </w:tc>
        <w:tc>
          <w:tcPr>
            <w:tcW w:w="120" w:type="dxa"/>
            <w:vAlign w:val="bottom"/>
          </w:tcPr>
          <w:p>
            <w:pPr>
              <w:spacing w:after="0"/>
              <w:rPr>
                <w:sz w:val="23"/>
                <w:szCs w:val="23"/>
                <w:color w:val="auto"/>
              </w:rPr>
            </w:pPr>
          </w:p>
        </w:tc>
        <w:tc>
          <w:tcPr>
            <w:tcW w:w="620" w:type="dxa"/>
            <w:vAlign w:val="bottom"/>
          </w:tcPr>
          <w:p>
            <w:pPr>
              <w:jc w:val="right"/>
              <w:ind w:right="34"/>
              <w:spacing w:after="0"/>
              <w:rPr>
                <w:sz w:val="20"/>
                <w:szCs w:val="20"/>
                <w:color w:val="auto"/>
              </w:rPr>
            </w:pPr>
            <w:r>
              <w:rPr>
                <w:rFonts w:ascii="Arial" w:cs="Arial" w:eastAsia="Arial" w:hAnsi="Arial"/>
                <w:sz w:val="17"/>
                <w:szCs w:val="17"/>
                <w:color w:val="auto"/>
              </w:rPr>
              <w:t>0.18</w:t>
            </w:r>
          </w:p>
        </w:tc>
        <w:tc>
          <w:tcPr>
            <w:tcW w:w="0" w:type="dxa"/>
            <w:vAlign w:val="bottom"/>
          </w:tcPr>
          <w:p>
            <w:pPr>
              <w:spacing w:after="0"/>
              <w:rPr>
                <w:sz w:val="1"/>
                <w:szCs w:val="1"/>
                <w:color w:val="auto"/>
              </w:rPr>
            </w:pPr>
          </w:p>
        </w:tc>
      </w:tr>
      <w:tr>
        <w:trPr>
          <w:trHeight w:val="270"/>
        </w:trPr>
        <w:tc>
          <w:tcPr>
            <w:tcW w:w="3600" w:type="dxa"/>
            <w:vAlign w:val="bottom"/>
            <w:shd w:val="clear" w:color="auto" w:fill="CCEEFF"/>
          </w:tcPr>
          <w:p>
            <w:pPr>
              <w:ind w:left="260"/>
              <w:spacing w:after="0" w:line="270" w:lineRule="exact"/>
              <w:rPr>
                <w:sz w:val="20"/>
                <w:szCs w:val="20"/>
                <w:color w:val="auto"/>
              </w:rPr>
            </w:pPr>
            <w:r>
              <w:rPr>
                <w:rFonts w:ascii="Arial" w:cs="Arial" w:eastAsia="Arial" w:hAnsi="Arial"/>
                <w:sz w:val="18"/>
                <w:szCs w:val="18"/>
                <w:color w:val="auto"/>
                <w:w w:val="99"/>
              </w:rPr>
              <w:t xml:space="preserve">Loss from early extinguishment of debt </w:t>
            </w:r>
            <w:r>
              <w:rPr>
                <w:rFonts w:ascii="Arial" w:cs="Arial" w:eastAsia="Arial" w:hAnsi="Arial"/>
                <w:sz w:val="25"/>
                <w:szCs w:val="25"/>
                <w:color w:val="auto"/>
                <w:w w:val="99"/>
                <w:vertAlign w:val="superscript"/>
              </w:rPr>
              <w:t>(6)</w:t>
            </w:r>
          </w:p>
        </w:tc>
        <w:tc>
          <w:tcPr>
            <w:tcW w:w="6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0.04</w:t>
            </w:r>
          </w:p>
        </w:tc>
        <w:tc>
          <w:tcPr>
            <w:tcW w:w="14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00" w:type="dxa"/>
            <w:vAlign w:val="bottom"/>
          </w:tcPr>
          <w:p>
            <w:pPr>
              <w:ind w:left="260"/>
              <w:spacing w:after="0" w:line="270" w:lineRule="exact"/>
              <w:rPr>
                <w:sz w:val="20"/>
                <w:szCs w:val="20"/>
                <w:color w:val="auto"/>
              </w:rPr>
            </w:pPr>
            <w:r>
              <w:rPr>
                <w:rFonts w:ascii="Arial" w:cs="Arial" w:eastAsia="Arial" w:hAnsi="Arial"/>
                <w:sz w:val="18"/>
                <w:szCs w:val="18"/>
                <w:color w:val="auto"/>
              </w:rPr>
              <w:t xml:space="preserve">Income taxes </w:t>
            </w:r>
            <w:r>
              <w:rPr>
                <w:rFonts w:ascii="Arial" w:cs="Arial" w:eastAsia="Arial" w:hAnsi="Arial"/>
                <w:sz w:val="25"/>
                <w:szCs w:val="25"/>
                <w:color w:val="auto"/>
                <w:vertAlign w:val="superscript"/>
              </w:rPr>
              <w:t>(7)</w:t>
            </w: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23"/>
                <w:szCs w:val="23"/>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0.08</w:t>
            </w:r>
          </w:p>
        </w:tc>
        <w:tc>
          <w:tcPr>
            <w:tcW w:w="120" w:type="dxa"/>
            <w:vAlign w:val="bottom"/>
          </w:tcPr>
          <w:p>
            <w:pPr>
              <w:spacing w:after="0"/>
              <w:rPr>
                <w:sz w:val="23"/>
                <w:szCs w:val="23"/>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(0.16)</w:t>
            </w:r>
          </w:p>
        </w:tc>
        <w:tc>
          <w:tcPr>
            <w:tcW w:w="180" w:type="dxa"/>
            <w:vAlign w:val="bottom"/>
          </w:tcPr>
          <w:p>
            <w:pPr>
              <w:spacing w:after="0"/>
              <w:rPr>
                <w:sz w:val="23"/>
                <w:szCs w:val="23"/>
                <w:color w:val="auto"/>
              </w:rPr>
            </w:pPr>
          </w:p>
        </w:tc>
        <w:tc>
          <w:tcPr>
            <w:tcW w:w="620" w:type="dxa"/>
            <w:vAlign w:val="bottom"/>
          </w:tcPr>
          <w:p>
            <w:pPr>
              <w:jc w:val="right"/>
              <w:ind w:right="75"/>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0.01</w:t>
            </w:r>
          </w:p>
        </w:tc>
        <w:tc>
          <w:tcPr>
            <w:tcW w:w="140" w:type="dxa"/>
            <w:vAlign w:val="bottom"/>
          </w:tcPr>
          <w:p>
            <w:pPr>
              <w:spacing w:after="0"/>
              <w:rPr>
                <w:sz w:val="23"/>
                <w:szCs w:val="23"/>
                <w:color w:val="auto"/>
              </w:rPr>
            </w:pPr>
          </w:p>
        </w:tc>
        <w:tc>
          <w:tcPr>
            <w:tcW w:w="620" w:type="dxa"/>
            <w:vAlign w:val="bottom"/>
          </w:tcPr>
          <w:p>
            <w:pPr>
              <w:jc w:val="right"/>
              <w:ind w:right="34"/>
              <w:spacing w:after="0"/>
              <w:rPr>
                <w:sz w:val="20"/>
                <w:szCs w:val="20"/>
                <w:color w:val="auto"/>
              </w:rPr>
            </w:pPr>
            <w:r>
              <w:rPr>
                <w:rFonts w:ascii="Arial" w:cs="Arial" w:eastAsia="Arial" w:hAnsi="Arial"/>
                <w:sz w:val="17"/>
                <w:szCs w:val="17"/>
                <w:color w:val="auto"/>
              </w:rPr>
              <w:t>(33)</w:t>
            </w:r>
          </w:p>
        </w:tc>
        <w:tc>
          <w:tcPr>
            <w:tcW w:w="1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(0.25)</w:t>
            </w:r>
          </w:p>
        </w:tc>
        <w:tc>
          <w:tcPr>
            <w:tcW w:w="0" w:type="dxa"/>
            <w:vAlign w:val="bottom"/>
          </w:tcPr>
          <w:p>
            <w:pPr>
              <w:spacing w:after="0"/>
              <w:rPr>
                <w:sz w:val="1"/>
                <w:szCs w:val="1"/>
                <w:color w:val="auto"/>
              </w:rPr>
            </w:pPr>
          </w:p>
        </w:tc>
      </w:tr>
      <w:tr>
        <w:trPr>
          <w:trHeight w:val="270"/>
        </w:trPr>
        <w:tc>
          <w:tcPr>
            <w:tcW w:w="3600" w:type="dxa"/>
            <w:vAlign w:val="bottom"/>
            <w:shd w:val="clear" w:color="auto" w:fill="CCEEFF"/>
          </w:tcPr>
          <w:p>
            <w:pPr>
              <w:ind w:left="260"/>
              <w:spacing w:after="0" w:line="270" w:lineRule="exact"/>
              <w:rPr>
                <w:sz w:val="20"/>
                <w:szCs w:val="20"/>
                <w:color w:val="auto"/>
              </w:rPr>
            </w:pPr>
            <w:r>
              <w:rPr>
                <w:rFonts w:ascii="Arial" w:cs="Arial" w:eastAsia="Arial" w:hAnsi="Arial"/>
                <w:sz w:val="18"/>
                <w:szCs w:val="18"/>
                <w:color w:val="auto"/>
              </w:rPr>
              <w:t xml:space="preserve">Noncontrolling interests </w:t>
            </w:r>
            <w:r>
              <w:rPr>
                <w:rFonts w:ascii="Arial" w:cs="Arial" w:eastAsia="Arial" w:hAnsi="Arial"/>
                <w:sz w:val="25"/>
                <w:szCs w:val="25"/>
                <w:color w:val="auto"/>
                <w:vertAlign w:val="superscript"/>
              </w:rPr>
              <w:t>(8)</w:t>
            </w:r>
          </w:p>
        </w:tc>
        <w:tc>
          <w:tcPr>
            <w:tcW w:w="6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0.10</w:t>
            </w:r>
          </w:p>
        </w:tc>
        <w:tc>
          <w:tcPr>
            <w:tcW w:w="120" w:type="dxa"/>
            <w:vAlign w:val="bottom"/>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80" w:type="dxa"/>
            <w:vAlign w:val="bottom"/>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17</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0.13</w:t>
            </w:r>
          </w:p>
        </w:tc>
        <w:tc>
          <w:tcPr>
            <w:tcW w:w="140" w:type="dxa"/>
            <w:vAlign w:val="bottom"/>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(0.01)</w:t>
            </w:r>
          </w:p>
        </w:tc>
        <w:tc>
          <w:tcPr>
            <w:tcW w:w="0" w:type="dxa"/>
            <w:vAlign w:val="bottom"/>
          </w:tcPr>
          <w:p>
            <w:pPr>
              <w:spacing w:after="0"/>
              <w:rPr>
                <w:sz w:val="1"/>
                <w:szCs w:val="1"/>
                <w:color w:val="auto"/>
              </w:rPr>
            </w:pPr>
          </w:p>
        </w:tc>
      </w:tr>
      <w:tr>
        <w:trPr>
          <w:trHeight w:val="205"/>
        </w:trPr>
        <w:tc>
          <w:tcPr>
            <w:tcW w:w="3600" w:type="dxa"/>
            <w:vAlign w:val="bottom"/>
          </w:tcPr>
          <w:p>
            <w:pPr>
              <w:ind w:left="20"/>
              <w:spacing w:after="0" w:line="205" w:lineRule="exact"/>
              <w:rPr>
                <w:sz w:val="20"/>
                <w:szCs w:val="20"/>
                <w:color w:val="auto"/>
              </w:rPr>
            </w:pPr>
            <w:r>
              <w:rPr>
                <w:rFonts w:ascii="Arial" w:cs="Arial" w:eastAsia="Arial" w:hAnsi="Arial"/>
                <w:sz w:val="18"/>
                <w:szCs w:val="18"/>
                <w:b w:val="1"/>
                <w:bCs w:val="1"/>
                <w:color w:val="auto"/>
              </w:rPr>
              <w:t>Adjusted net income/diluted earnings per</w:t>
            </w:r>
          </w:p>
        </w:tc>
        <w:tc>
          <w:tcPr>
            <w:tcW w:w="60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88"/>
              </w:rPr>
              <w:t>$ 197</w:t>
            </w:r>
          </w:p>
        </w:tc>
        <w:tc>
          <w:tcPr>
            <w:tcW w:w="140" w:type="dxa"/>
            <w:vAlign w:val="bottom"/>
          </w:tcPr>
          <w:p>
            <w:pPr>
              <w:spacing w:after="0"/>
              <w:rPr>
                <w:sz w:val="17"/>
                <w:szCs w:val="17"/>
                <w:color w:val="auto"/>
              </w:rPr>
            </w:pPr>
          </w:p>
        </w:tc>
        <w:tc>
          <w:tcPr>
            <w:tcW w:w="62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87"/>
              </w:rPr>
              <w:t>$ 1.46</w:t>
            </w:r>
          </w:p>
        </w:tc>
        <w:tc>
          <w:tcPr>
            <w:tcW w:w="120" w:type="dxa"/>
            <w:vAlign w:val="bottom"/>
          </w:tcPr>
          <w:p>
            <w:pPr>
              <w:spacing w:after="0"/>
              <w:rPr>
                <w:sz w:val="17"/>
                <w:szCs w:val="17"/>
                <w:color w:val="auto"/>
              </w:rPr>
            </w:pPr>
          </w:p>
        </w:tc>
        <w:tc>
          <w:tcPr>
            <w:tcW w:w="64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w w:val="93"/>
              </w:rPr>
              <w:t>$ 207</w:t>
            </w:r>
          </w:p>
        </w:tc>
        <w:tc>
          <w:tcPr>
            <w:tcW w:w="120" w:type="dxa"/>
            <w:vAlign w:val="bottom"/>
          </w:tcPr>
          <w:p>
            <w:pPr>
              <w:spacing w:after="0"/>
              <w:rPr>
                <w:sz w:val="17"/>
                <w:szCs w:val="17"/>
                <w:color w:val="auto"/>
              </w:rPr>
            </w:pPr>
          </w:p>
        </w:tc>
        <w:tc>
          <w:tcPr>
            <w:tcW w:w="58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91"/>
              </w:rPr>
              <w:t>$ 1.55</w:t>
            </w:r>
          </w:p>
        </w:tc>
        <w:tc>
          <w:tcPr>
            <w:tcW w:w="180" w:type="dxa"/>
            <w:vAlign w:val="bottom"/>
          </w:tcPr>
          <w:p>
            <w:pPr>
              <w:spacing w:after="0"/>
              <w:rPr>
                <w:sz w:val="17"/>
                <w:szCs w:val="17"/>
                <w:color w:val="auto"/>
              </w:rPr>
            </w:pPr>
          </w:p>
        </w:tc>
        <w:tc>
          <w:tcPr>
            <w:tcW w:w="620" w:type="dxa"/>
            <w:vAlign w:val="bottom"/>
            <w:vMerge w:val="restart"/>
          </w:tcPr>
          <w:p>
            <w:pPr>
              <w:jc w:val="right"/>
              <w:ind w:right="75"/>
              <w:spacing w:after="0"/>
              <w:rPr>
                <w:sz w:val="20"/>
                <w:szCs w:val="20"/>
                <w:color w:val="auto"/>
              </w:rPr>
            </w:pPr>
            <w:r>
              <w:rPr>
                <w:rFonts w:ascii="Arial" w:cs="Arial" w:eastAsia="Arial" w:hAnsi="Arial"/>
                <w:sz w:val="17"/>
                <w:szCs w:val="17"/>
                <w:b w:val="1"/>
                <w:bCs w:val="1"/>
                <w:color w:val="auto"/>
              </w:rPr>
              <w:t>$ 338</w:t>
            </w:r>
          </w:p>
        </w:tc>
        <w:tc>
          <w:tcPr>
            <w:tcW w:w="120" w:type="dxa"/>
            <w:vAlign w:val="bottom"/>
          </w:tcPr>
          <w:p>
            <w:pPr>
              <w:spacing w:after="0"/>
              <w:rPr>
                <w:sz w:val="17"/>
                <w:szCs w:val="17"/>
                <w:color w:val="auto"/>
              </w:rPr>
            </w:pPr>
          </w:p>
        </w:tc>
        <w:tc>
          <w:tcPr>
            <w:tcW w:w="16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46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2.51</w:t>
            </w:r>
          </w:p>
        </w:tc>
        <w:tc>
          <w:tcPr>
            <w:tcW w:w="140" w:type="dxa"/>
            <w:vAlign w:val="bottom"/>
          </w:tcPr>
          <w:p>
            <w:pPr>
              <w:spacing w:after="0"/>
              <w:rPr>
                <w:sz w:val="17"/>
                <w:szCs w:val="17"/>
                <w:color w:val="auto"/>
              </w:rPr>
            </w:pPr>
          </w:p>
        </w:tc>
        <w:tc>
          <w:tcPr>
            <w:tcW w:w="620" w:type="dxa"/>
            <w:vAlign w:val="bottom"/>
            <w:vMerge w:val="restart"/>
          </w:tcPr>
          <w:p>
            <w:pPr>
              <w:jc w:val="right"/>
              <w:ind w:right="94"/>
              <w:spacing w:after="0"/>
              <w:rPr>
                <w:sz w:val="20"/>
                <w:szCs w:val="20"/>
                <w:color w:val="auto"/>
              </w:rPr>
            </w:pPr>
            <w:r>
              <w:rPr>
                <w:rFonts w:ascii="Arial" w:cs="Arial" w:eastAsia="Arial" w:hAnsi="Arial"/>
                <w:sz w:val="17"/>
                <w:szCs w:val="17"/>
                <w:b w:val="1"/>
                <w:bCs w:val="1"/>
                <w:color w:val="auto"/>
                <w:w w:val="98"/>
              </w:rPr>
              <w:t>$ 333</w:t>
            </w:r>
          </w:p>
        </w:tc>
        <w:tc>
          <w:tcPr>
            <w:tcW w:w="120" w:type="dxa"/>
            <w:vAlign w:val="bottom"/>
          </w:tcPr>
          <w:p>
            <w:pPr>
              <w:spacing w:after="0"/>
              <w:rPr>
                <w:sz w:val="17"/>
                <w:szCs w:val="17"/>
                <w:color w:val="auto"/>
              </w:rPr>
            </w:pPr>
          </w:p>
        </w:tc>
        <w:tc>
          <w:tcPr>
            <w:tcW w:w="620" w:type="dxa"/>
            <w:vAlign w:val="bottom"/>
            <w:vMerge w:val="restart"/>
          </w:tcPr>
          <w:p>
            <w:pPr>
              <w:jc w:val="right"/>
              <w:ind w:right="34"/>
              <w:spacing w:after="0"/>
              <w:rPr>
                <w:sz w:val="20"/>
                <w:szCs w:val="20"/>
                <w:color w:val="auto"/>
              </w:rPr>
            </w:pPr>
            <w:r>
              <w:rPr>
                <w:rFonts w:ascii="Arial" w:cs="Arial" w:eastAsia="Arial" w:hAnsi="Arial"/>
                <w:sz w:val="17"/>
                <w:szCs w:val="17"/>
                <w:b w:val="1"/>
                <w:bCs w:val="1"/>
                <w:color w:val="auto"/>
              </w:rPr>
              <w:t>$ 2.49</w:t>
            </w:r>
          </w:p>
        </w:tc>
        <w:tc>
          <w:tcPr>
            <w:tcW w:w="0" w:type="dxa"/>
            <w:vAlign w:val="bottom"/>
          </w:tcPr>
          <w:p>
            <w:pPr>
              <w:spacing w:after="0"/>
              <w:rPr>
                <w:sz w:val="1"/>
                <w:szCs w:val="1"/>
                <w:color w:val="auto"/>
              </w:rPr>
            </w:pPr>
          </w:p>
        </w:tc>
      </w:tr>
      <w:tr>
        <w:trPr>
          <w:trHeight w:val="281"/>
        </w:trPr>
        <w:tc>
          <w:tcPr>
            <w:tcW w:w="36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share</w:t>
            </w:r>
          </w:p>
        </w:tc>
        <w:tc>
          <w:tcPr>
            <w:tcW w:w="600" w:type="dxa"/>
            <w:vAlign w:val="bottom"/>
            <w:tcBorders>
              <w:bottom w:val="single" w:sz="8" w:color="auto"/>
            </w:tcBorders>
            <w:vMerge w:val="continue"/>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6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vMerge w:val="continue"/>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6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vMerge w:val="continue"/>
          </w:tcPr>
          <w:p>
            <w:pPr>
              <w:spacing w:after="0"/>
              <w:rPr>
                <w:sz w:val="24"/>
                <w:szCs w:val="24"/>
                <w:color w:val="auto"/>
              </w:rPr>
            </w:pPr>
          </w:p>
        </w:tc>
        <w:tc>
          <w:tcPr>
            <w:tcW w:w="460" w:type="dxa"/>
            <w:vAlign w:val="bottom"/>
            <w:tcBorders>
              <w:bottom w:val="single" w:sz="8" w:color="auto"/>
            </w:tcBorders>
            <w:vMerge w:val="continue"/>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6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6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36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600" w:type="dxa"/>
            <w:vAlign w:val="bottom"/>
          </w:tcPr>
          <w:p>
            <w:pPr>
              <w:ind w:left="20"/>
              <w:spacing w:after="0"/>
              <w:rPr>
                <w:sz w:val="20"/>
                <w:szCs w:val="20"/>
                <w:color w:val="auto"/>
              </w:rPr>
            </w:pPr>
            <w:r>
              <w:rPr>
                <w:rFonts w:ascii="Arial" w:cs="Arial" w:eastAsia="Arial" w:hAnsi="Arial"/>
                <w:sz w:val="18"/>
                <w:szCs w:val="18"/>
                <w:color w:val="auto"/>
              </w:rPr>
              <w:t>Effective tax rate as reported</w:t>
            </w:r>
          </w:p>
        </w:tc>
        <w:tc>
          <w:tcPr>
            <w:tcW w:w="600" w:type="dxa"/>
            <w:vAlign w:val="bottom"/>
          </w:tcPr>
          <w:p>
            <w:pPr>
              <w:jc w:val="right"/>
              <w:spacing w:after="0"/>
              <w:rPr>
                <w:sz w:val="20"/>
                <w:szCs w:val="20"/>
                <w:color w:val="auto"/>
              </w:rPr>
            </w:pPr>
            <w:r>
              <w:rPr>
                <w:rFonts w:ascii="Arial" w:cs="Arial" w:eastAsia="Arial" w:hAnsi="Arial"/>
                <w:sz w:val="18"/>
                <w:szCs w:val="18"/>
                <w:color w:val="auto"/>
              </w:rPr>
              <w:t>33.8%</w:t>
            </w: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31.1%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26.6%</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36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41"/>
        </w:trPr>
        <w:tc>
          <w:tcPr>
            <w:tcW w:w="3600" w:type="dxa"/>
            <w:vAlign w:val="bottom"/>
          </w:tcPr>
          <w:p>
            <w:pPr>
              <w:ind w:left="20"/>
              <w:spacing w:after="0"/>
              <w:rPr>
                <w:sz w:val="20"/>
                <w:szCs w:val="20"/>
                <w:color w:val="auto"/>
              </w:rPr>
            </w:pPr>
            <w:r>
              <w:rPr>
                <w:rFonts w:ascii="Arial" w:cs="Arial" w:eastAsia="Arial" w:hAnsi="Arial"/>
                <w:sz w:val="18"/>
                <w:szCs w:val="18"/>
                <w:color w:val="auto"/>
              </w:rPr>
              <w:t xml:space="preserve">Adjusted effective tax rate </w:t>
            </w:r>
            <w:r>
              <w:rPr>
                <w:rFonts w:ascii="Arial" w:cs="Arial" w:eastAsia="Arial" w:hAnsi="Arial"/>
                <w:sz w:val="25"/>
                <w:szCs w:val="25"/>
                <w:color w:val="auto"/>
                <w:vertAlign w:val="superscript"/>
              </w:rPr>
              <w:t>(9)</w:t>
            </w:r>
          </w:p>
        </w:tc>
        <w:tc>
          <w:tcPr>
            <w:tcW w:w="600" w:type="dxa"/>
            <w:vAlign w:val="bottom"/>
          </w:tcPr>
          <w:p>
            <w:pPr>
              <w:jc w:val="right"/>
              <w:spacing w:after="0"/>
              <w:rPr>
                <w:sz w:val="20"/>
                <w:szCs w:val="20"/>
                <w:color w:val="auto"/>
              </w:rPr>
            </w:pPr>
            <w:r>
              <w:rPr>
                <w:rFonts w:ascii="Arial" w:cs="Arial" w:eastAsia="Arial" w:hAnsi="Arial"/>
                <w:sz w:val="18"/>
                <w:szCs w:val="18"/>
                <w:color w:val="auto"/>
              </w:rPr>
              <w:t>25.9%</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25.9%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25.5%</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Adjusted net income, adjusted diluted earnings per share and the adjusted effective tax rate are non-GAAP measures and are not meant to be considered in isolation or as a substitute for net income, diluted earnings per share and effective tax rates determined in accordance with U.S. generally accepted accounting principles. The Company believes these non-GAAP measures provide useful information to evaluate the performance of the Company’s ongoing business.</w:t>
      </w:r>
    </w:p>
    <w:p>
      <w:pPr>
        <w:spacing w:after="0" w:line="147" w:lineRule="exact"/>
        <w:rPr>
          <w:sz w:val="20"/>
          <w:szCs w:val="20"/>
          <w:color w:val="auto"/>
        </w:rPr>
      </w:pPr>
    </w:p>
    <w:p>
      <w:pPr>
        <w:ind w:left="340" w:right="140" w:hanging="332"/>
        <w:spacing w:after="0" w:line="25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the second quarter and first six months of 2019, the Company recorded charges of $47 million ($35 million net of tax) and $94 million ($70 million net of tax) for intangibles arising from acquisitions. Also in the second quarter and first six months of 2019, the Company recorded charge of $1 million ($1 million net of tax) and $3 million ($3 million net of tax) for accelerated depreciation related to the planned shutdown of a steel beverage can operation in Spain. In the second quarter and first six months of 2018, the Company recorded charges of $41 million ($30 million net of tax) and $52 million ($38 million net of tax) for intangibles amortization.</w:t>
      </w:r>
    </w:p>
    <w:p>
      <w:pPr>
        <w:spacing w:after="0" w:line="188"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the second quarter of 2018, the Company recorded a charge of $40 million ($29 million net of tax) in cost of products sold for fair value adjustment related to the sale of inventory acquired in its acquisition of Signode.</w:t>
      </w:r>
    </w:p>
    <w:p>
      <w:pPr>
        <w:spacing w:after="0" w:line="170" w:lineRule="exact"/>
        <w:rPr>
          <w:rFonts w:ascii="Arial" w:cs="Arial" w:eastAsia="Arial" w:hAnsi="Arial"/>
          <w:sz w:val="18"/>
          <w:szCs w:val="18"/>
          <w:color w:val="auto"/>
        </w:rPr>
      </w:pPr>
    </w:p>
    <w:p>
      <w:pPr>
        <w:ind w:left="340" w:right="100" w:hanging="332"/>
        <w:spacing w:after="0" w:line="272" w:lineRule="auto"/>
        <w:tabs>
          <w:tab w:leader="none" w:pos="34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 the second quarter and first six months of 2019, the Company recorded net restructuring and other gains of $45 million ($31 million net of tax) and $41 million ($26 million net of tax). The second quarter included a gain of $41 million arising from a favorable court ruling in a lawsuit brought by one of the Company’s Brazilian subsidiaries claiming it was overcharged by the local tax authorities for indirect taxes paid in prior years, and other net gains of $4 million primarily related to asset sales. The first six months of 2019 included gains of $50 million related to the favorable court rulings in Brazil, offset by other net charges of $9 million primarily related to restructuring actions and asset sales. In the second quarter and first six months of 2018, the Company recorded net restructuring and other charges of $16 million ($13 million net of tax) and $29 million ($24 million net of tax) including $19 million and $22 million of transaction costs in connection with its acquisition of Signode.</w:t>
      </w:r>
    </w:p>
    <w:p>
      <w:pPr>
        <w:spacing w:after="0" w:line="177" w:lineRule="exact"/>
        <w:rPr>
          <w:rFonts w:ascii="Arial" w:cs="Arial" w:eastAsia="Arial" w:hAnsi="Arial"/>
          <w:sz w:val="17"/>
          <w:szCs w:val="17"/>
          <w:color w:val="auto"/>
        </w:rPr>
      </w:pPr>
    </w:p>
    <w:p>
      <w:pPr>
        <w:ind w:left="340" w:right="20" w:hanging="332"/>
        <w:spacing w:after="0" w:line="264"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the second quarter of 2019, the Company recorded a charge of $31 million ($26 million net of tax) arising from a pension plan settlement. In the first quarter of 2019, the Company recorded a curtailment gain of $14 million ($12 million net of tax) in connection with the closure of a defined pension plan to future accrual for active members.</w:t>
      </w:r>
    </w:p>
    <w:p>
      <w:pPr>
        <w:sectPr>
          <w:pgSz w:w="11900" w:h="16838" w:orient="portrait"/>
          <w:cols w:equalWidth="0" w:num="1">
            <w:col w:w="11420"/>
          </w:cols>
          <w:pgMar w:left="240" w:top="852"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6 of 10</w:t>
      </w:r>
    </w:p>
    <w:p>
      <w:pPr>
        <w:sectPr>
          <w:pgSz w:w="11900" w:h="16838" w:orient="portrait"/>
          <w:cols w:equalWidth="0" w:num="1">
            <w:col w:w="11420"/>
          </w:cols>
          <w:pgMar w:left="240" w:top="852" w:right="239" w:bottom="1440" w:gutter="0" w:footer="0" w:header="0"/>
          <w:type w:val="continuous"/>
        </w:sectPr>
      </w:pPr>
    </w:p>
    <w:bookmarkStart w:id="11" w:name="page12"/>
    <w:bookmarkEnd w:id="11"/>
    <w:p>
      <w:pPr>
        <w:ind w:left="52"/>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5659755</wp:posOffset>
            </wp:positionH>
            <wp:positionV relativeFrom="paragraph">
              <wp:posOffset>-162560</wp:posOffset>
            </wp:positionV>
            <wp:extent cx="1551940" cy="4972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51940" cy="497205"/>
                    </a:xfrm>
                    <a:prstGeom prst="rect">
                      <a:avLst/>
                    </a:prstGeom>
                    <a:noFill/>
                  </pic:spPr>
                </pic:pic>
              </a:graphicData>
            </a:graphic>
          </wp:anchor>
        </w:drawing>
      </w:r>
    </w:p>
    <w:p>
      <w:pPr>
        <w:spacing w:after="0" w:line="187" w:lineRule="exact"/>
        <w:rPr>
          <w:sz w:val="20"/>
          <w:szCs w:val="20"/>
          <w:color w:val="auto"/>
        </w:rPr>
      </w:pPr>
    </w:p>
    <w:p>
      <w:pPr>
        <w:ind w:left="52"/>
        <w:spacing w:after="0"/>
        <w:rPr>
          <w:sz w:val="20"/>
          <w:szCs w:val="20"/>
          <w:color w:val="auto"/>
        </w:rPr>
      </w:pPr>
      <w:r>
        <w:rPr>
          <w:rFonts w:ascii="Arial" w:cs="Arial" w:eastAsia="Arial" w:hAnsi="Arial"/>
          <w:sz w:val="14"/>
          <w:szCs w:val="14"/>
          <w:color w:val="auto"/>
        </w:rPr>
        <w:t>Corporate Headquarters</w:t>
      </w:r>
    </w:p>
    <w:p>
      <w:pPr>
        <w:spacing w:after="0" w:line="1" w:lineRule="exact"/>
        <w:rPr>
          <w:sz w:val="20"/>
          <w:szCs w:val="20"/>
          <w:color w:val="auto"/>
        </w:rPr>
      </w:pPr>
    </w:p>
    <w:p>
      <w:pPr>
        <w:ind w:left="52"/>
        <w:spacing w:after="0"/>
        <w:rPr>
          <w:sz w:val="20"/>
          <w:szCs w:val="20"/>
          <w:color w:val="auto"/>
        </w:rPr>
      </w:pPr>
      <w:r>
        <w:rPr>
          <w:rFonts w:ascii="Arial" w:cs="Arial" w:eastAsia="Arial" w:hAnsi="Arial"/>
          <w:sz w:val="14"/>
          <w:szCs w:val="14"/>
          <w:color w:val="auto"/>
        </w:rPr>
        <w:t>770 Township Line Road</w:t>
      </w:r>
    </w:p>
    <w:p>
      <w:pPr>
        <w:spacing w:after="0" w:line="1" w:lineRule="exact"/>
        <w:rPr>
          <w:sz w:val="20"/>
          <w:szCs w:val="20"/>
          <w:color w:val="auto"/>
        </w:rPr>
      </w:pPr>
    </w:p>
    <w:p>
      <w:pPr>
        <w:ind w:left="52"/>
        <w:spacing w:after="0"/>
        <w:rPr>
          <w:sz w:val="20"/>
          <w:szCs w:val="20"/>
          <w:color w:val="auto"/>
        </w:rPr>
      </w:pPr>
      <w:r>
        <w:rPr>
          <w:rFonts w:ascii="Arial" w:cs="Arial" w:eastAsia="Arial" w:hAnsi="Arial"/>
          <w:sz w:val="14"/>
          <w:szCs w:val="14"/>
          <w:color w:val="auto"/>
        </w:rPr>
        <w:t>Yardley, PA 19067-4219</w:t>
      </w:r>
    </w:p>
    <w:p>
      <w:pPr>
        <w:spacing w:after="0" w:line="360" w:lineRule="exact"/>
        <w:rPr>
          <w:sz w:val="20"/>
          <w:szCs w:val="20"/>
          <w:color w:val="auto"/>
        </w:rPr>
      </w:pPr>
    </w:p>
    <w:p>
      <w:pPr>
        <w:ind w:left="332" w:right="20" w:hanging="332"/>
        <w:spacing w:after="0" w:line="264" w:lineRule="auto"/>
        <w:tabs>
          <w:tab w:leader="none" w:pos="332"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the first quarter of 2018, the Company recorded a charge of $15 million ($10 million net of tax) for net losses arising from its hedge of the U.S. dollar purchase price of its acquisition of Signode. Also in the first quarter, the Company incurred net charges of $9 million ($7 million net of tax) for pre-acquisition interest carrying costs on borrowings to finance the acquisition.</w:t>
      </w:r>
    </w:p>
    <w:p>
      <w:pPr>
        <w:spacing w:after="0" w:line="181" w:lineRule="exact"/>
        <w:rPr>
          <w:rFonts w:ascii="Arial" w:cs="Arial" w:eastAsia="Arial" w:hAnsi="Arial"/>
          <w:sz w:val="18"/>
          <w:szCs w:val="18"/>
          <w:color w:val="auto"/>
        </w:rPr>
      </w:pPr>
    </w:p>
    <w:p>
      <w:pPr>
        <w:ind w:left="332" w:hanging="332"/>
        <w:spacing w:after="0" w:line="277" w:lineRule="auto"/>
        <w:tabs>
          <w:tab w:leader="none" w:pos="332" w:val="left"/>
        </w:tabs>
        <w:numPr>
          <w:ilvl w:val="0"/>
          <w:numId w:val="5"/>
        </w:numPr>
        <w:rPr>
          <w:rFonts w:ascii="Arial" w:cs="Arial" w:eastAsia="Arial" w:hAnsi="Arial"/>
          <w:sz w:val="16"/>
          <w:szCs w:val="16"/>
          <w:color w:val="auto"/>
        </w:rPr>
      </w:pPr>
      <w:r>
        <w:rPr>
          <w:rFonts w:ascii="Arial" w:cs="Arial" w:eastAsia="Arial" w:hAnsi="Arial"/>
          <w:sz w:val="18"/>
          <w:szCs w:val="18"/>
          <w:color w:val="auto"/>
        </w:rPr>
        <w:t>In the first quarter of 2019, the Company recorded a charge of $6 million ($5 million net of tax) for the write off of deferred financing fees in connection with the repayment of a portion of its term loan.</w:t>
      </w:r>
    </w:p>
    <w:p>
      <w:pPr>
        <w:spacing w:after="0" w:line="170" w:lineRule="exact"/>
        <w:rPr>
          <w:rFonts w:ascii="Arial" w:cs="Arial" w:eastAsia="Arial" w:hAnsi="Arial"/>
          <w:sz w:val="16"/>
          <w:szCs w:val="16"/>
          <w:color w:val="auto"/>
        </w:rPr>
      </w:pPr>
    </w:p>
    <w:p>
      <w:pPr>
        <w:ind w:left="332" w:hanging="332"/>
        <w:spacing w:after="0" w:line="259" w:lineRule="auto"/>
        <w:tabs>
          <w:tab w:leader="none" w:pos="332"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the second quarter and first six months of 2019, the Company recorded income tax benefits of $3 million and $13 million related to the items described above. Also in the second quarter of 2019, the Company recorded a charge of $15 million to settle a tax contingency arising from a transaction that occurred prior to its acquisition of Signode. In the second quarter and first six months of 2018, the Company recorded income tax benefits of $21 million and $33 million related to the items described above.</w:t>
      </w:r>
    </w:p>
    <w:p>
      <w:pPr>
        <w:spacing w:after="0" w:line="186" w:lineRule="exact"/>
        <w:rPr>
          <w:rFonts w:ascii="Arial" w:cs="Arial" w:eastAsia="Arial" w:hAnsi="Arial"/>
          <w:sz w:val="18"/>
          <w:szCs w:val="18"/>
          <w:color w:val="auto"/>
        </w:rPr>
      </w:pPr>
    </w:p>
    <w:p>
      <w:pPr>
        <w:jc w:val="both"/>
        <w:ind w:left="332" w:right="140" w:hanging="332"/>
        <w:spacing w:after="0" w:line="264" w:lineRule="auto"/>
        <w:tabs>
          <w:tab w:leader="none" w:pos="332"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the second quarter and first six months of 2019, the Company recorded noncontrolling interest expense of $14 million and $17 million related to the items described above. In the second quarter and first six months of 2018, the Company recorded noncontrolling interest benefits of $1 million and $1 million related to the items described above.</w:t>
      </w:r>
    </w:p>
    <w:p>
      <w:pPr>
        <w:spacing w:after="0" w:line="181" w:lineRule="exact"/>
        <w:rPr>
          <w:rFonts w:ascii="Arial" w:cs="Arial" w:eastAsia="Arial" w:hAnsi="Arial"/>
          <w:sz w:val="18"/>
          <w:szCs w:val="18"/>
          <w:color w:val="auto"/>
        </w:rPr>
      </w:pPr>
    </w:p>
    <w:p>
      <w:pPr>
        <w:ind w:left="332" w:hanging="332"/>
        <w:spacing w:after="0"/>
        <w:tabs>
          <w:tab w:leader="none" w:pos="332"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Income tax effects on adjusted net income were calculated using the applicable tax rates of the underlying jurisdictions.</w:t>
      </w:r>
    </w:p>
    <w:p>
      <w:pPr>
        <w:spacing w:after="0" w:line="200" w:lineRule="exact"/>
        <w:rPr>
          <w:sz w:val="20"/>
          <w:szCs w:val="20"/>
          <w:color w:val="auto"/>
        </w:rPr>
      </w:pPr>
    </w:p>
    <w:p>
      <w:pPr>
        <w:spacing w:after="0" w:line="268"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Page 7 of 10</w:t>
      </w:r>
    </w:p>
    <w:p>
      <w:pPr>
        <w:sectPr>
          <w:pgSz w:w="11900" w:h="16838" w:orient="portrait"/>
          <w:cols w:equalWidth="0" w:num="1">
            <w:col w:w="11332"/>
          </w:cols>
          <w:pgMar w:left="248" w:top="852" w:right="319" w:bottom="1440" w:gutter="0" w:footer="0" w:header="0"/>
        </w:sectPr>
      </w:pPr>
    </w:p>
    <w:bookmarkStart w:id="12" w:name="page13"/>
    <w:bookmarkEnd w:id="12"/>
    <w:p>
      <w:pPr>
        <w:ind w:left="6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5664835</wp:posOffset>
            </wp:positionH>
            <wp:positionV relativeFrom="paragraph">
              <wp:posOffset>-162560</wp:posOffset>
            </wp:positionV>
            <wp:extent cx="1551940" cy="4972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51940" cy="497205"/>
                    </a:xfrm>
                    <a:prstGeom prst="rect">
                      <a:avLst/>
                    </a:prstGeom>
                    <a:noFill/>
                  </pic:spPr>
                </pic:pic>
              </a:graphicData>
            </a:graphic>
          </wp:anchor>
        </w:drawing>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4"/>
          <w:szCs w:val="14"/>
          <w:color w:val="auto"/>
        </w:rPr>
        <w:t>Corporate Headquarters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770 Township Line Road</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Yardley, PA 19067-4219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431165</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Balance Sheets (Condensed &amp; Unaudited)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1600" w:type="dxa"/>
            <w:vAlign w:val="bottom"/>
          </w:tcPr>
          <w:p>
            <w:pPr>
              <w:spacing w:after="0"/>
              <w:rPr>
                <w:sz w:val="24"/>
                <w:szCs w:val="24"/>
                <w:color w:val="auto"/>
              </w:rPr>
            </w:pPr>
          </w:p>
        </w:tc>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June 30,</w:t>
            </w: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7"/>
              </w:rPr>
              <w:t xml:space="preserve">2019 </w:t>
            </w:r>
            <w:r>
              <w:rPr>
                <w:rFonts w:ascii="Arial" w:cs="Arial" w:eastAsia="Arial" w:hAnsi="Arial"/>
                <w:sz w:val="25"/>
                <w:szCs w:val="25"/>
                <w:b w:val="1"/>
                <w:bCs w:val="1"/>
                <w:color w:val="auto"/>
                <w:w w:val="97"/>
                <w:vertAlign w:val="superscript"/>
              </w:rPr>
              <w:t>(1)</w:t>
            </w:r>
          </w:p>
        </w:tc>
        <w:tc>
          <w:tcPr>
            <w:tcW w:w="7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580" w:type="dxa"/>
            <w:vAlign w:val="bottom"/>
          </w:tcPr>
          <w:p>
            <w:pPr>
              <w:spacing w:after="0"/>
              <w:rPr>
                <w:sz w:val="24"/>
                <w:szCs w:val="24"/>
                <w:color w:val="auto"/>
              </w:rPr>
            </w:pPr>
          </w:p>
        </w:tc>
      </w:tr>
      <w:tr>
        <w:trPr>
          <w:trHeight w:val="244"/>
        </w:trPr>
        <w:tc>
          <w:tcPr>
            <w:tcW w:w="1600" w:type="dxa"/>
            <w:vAlign w:val="bottom"/>
          </w:tcPr>
          <w:p>
            <w:pPr>
              <w:spacing w:after="0"/>
              <w:rPr>
                <w:sz w:val="21"/>
                <w:szCs w:val="21"/>
                <w:color w:val="auto"/>
              </w:rPr>
            </w:pPr>
          </w:p>
        </w:tc>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580" w:type="dxa"/>
            <w:vAlign w:val="bottom"/>
          </w:tcPr>
          <w:p>
            <w:pPr>
              <w:spacing w:after="0"/>
              <w:rPr>
                <w:sz w:val="21"/>
                <w:szCs w:val="21"/>
                <w:color w:val="auto"/>
              </w:rPr>
            </w:pPr>
          </w:p>
        </w:tc>
      </w:tr>
      <w:tr>
        <w:trPr>
          <w:trHeight w:val="243"/>
        </w:trPr>
        <w:tc>
          <w:tcPr>
            <w:tcW w:w="1600" w:type="dxa"/>
            <w:vAlign w:val="bottom"/>
          </w:tcPr>
          <w:p>
            <w:pPr>
              <w:spacing w:after="0"/>
              <w:rPr>
                <w:sz w:val="21"/>
                <w:szCs w:val="21"/>
                <w:color w:val="auto"/>
              </w:rPr>
            </w:pPr>
          </w:p>
        </w:tc>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1600" w:type="dxa"/>
            <w:vAlign w:val="bottom"/>
          </w:tcPr>
          <w:p>
            <w:pPr>
              <w:spacing w:after="0"/>
              <w:rPr>
                <w:sz w:val="2"/>
                <w:szCs w:val="2"/>
                <w:color w:val="auto"/>
              </w:rPr>
            </w:pPr>
          </w:p>
        </w:tc>
        <w:tc>
          <w:tcPr>
            <w:tcW w:w="5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1600" w:type="dxa"/>
            <w:vAlign w:val="bottom"/>
          </w:tcPr>
          <w:p>
            <w:pPr>
              <w:spacing w:after="0"/>
              <w:rPr>
                <w:sz w:val="21"/>
                <w:szCs w:val="21"/>
                <w:color w:val="auto"/>
              </w:rPr>
            </w:pPr>
          </w:p>
        </w:tc>
        <w:tc>
          <w:tcPr>
            <w:tcW w:w="5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7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580" w:type="dxa"/>
            <w:vAlign w:val="bottom"/>
          </w:tcPr>
          <w:p>
            <w:pPr>
              <w:spacing w:after="0"/>
              <w:rPr>
                <w:sz w:val="21"/>
                <w:szCs w:val="21"/>
                <w:color w:val="auto"/>
              </w:rPr>
            </w:pPr>
          </w:p>
        </w:tc>
      </w:tr>
      <w:tr>
        <w:trPr>
          <w:trHeight w:val="243"/>
        </w:trPr>
        <w:tc>
          <w:tcPr>
            <w:tcW w:w="1600" w:type="dxa"/>
            <w:vAlign w:val="bottom"/>
          </w:tcPr>
          <w:p>
            <w:pPr>
              <w:spacing w:after="0"/>
              <w:rPr>
                <w:sz w:val="21"/>
                <w:szCs w:val="21"/>
                <w:color w:val="auto"/>
              </w:rPr>
            </w:pPr>
          </w:p>
        </w:tc>
        <w:tc>
          <w:tcPr>
            <w:tcW w:w="5040" w:type="dxa"/>
            <w:vAlign w:val="bottom"/>
          </w:tcPr>
          <w:p>
            <w:pPr>
              <w:ind w:left="160"/>
              <w:spacing w:after="0"/>
              <w:rPr>
                <w:sz w:val="20"/>
                <w:szCs w:val="20"/>
                <w:color w:val="auto"/>
              </w:rPr>
            </w:pPr>
            <w:r>
              <w:rPr>
                <w:rFonts w:ascii="Arial" w:cs="Arial" w:eastAsia="Arial" w:hAnsi="Arial"/>
                <w:sz w:val="18"/>
                <w:szCs w:val="18"/>
                <w:color w:val="auto"/>
              </w:rPr>
              <w:t>Receivables, net</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1,830</w:t>
            </w: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1,790</w:t>
            </w:r>
          </w:p>
        </w:tc>
        <w:tc>
          <w:tcPr>
            <w:tcW w:w="1580" w:type="dxa"/>
            <w:vAlign w:val="bottom"/>
          </w:tcPr>
          <w:p>
            <w:pPr>
              <w:spacing w:after="0"/>
              <w:rPr>
                <w:sz w:val="21"/>
                <w:szCs w:val="21"/>
                <w:color w:val="auto"/>
              </w:rPr>
            </w:pPr>
          </w:p>
        </w:tc>
      </w:tr>
      <w:tr>
        <w:trPr>
          <w:trHeight w:val="27"/>
        </w:trPr>
        <w:tc>
          <w:tcPr>
            <w:tcW w:w="1600" w:type="dxa"/>
            <w:vAlign w:val="bottom"/>
          </w:tcPr>
          <w:p>
            <w:pPr>
              <w:spacing w:after="0"/>
              <w:rPr>
                <w:sz w:val="2"/>
                <w:szCs w:val="2"/>
                <w:color w:val="auto"/>
              </w:rPr>
            </w:pPr>
          </w:p>
        </w:tc>
        <w:tc>
          <w:tcPr>
            <w:tcW w:w="5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1600" w:type="dxa"/>
            <w:vAlign w:val="bottom"/>
          </w:tcPr>
          <w:p>
            <w:pPr>
              <w:spacing w:after="0"/>
              <w:rPr>
                <w:sz w:val="21"/>
                <w:szCs w:val="21"/>
                <w:color w:val="auto"/>
              </w:rPr>
            </w:pPr>
          </w:p>
        </w:tc>
        <w:tc>
          <w:tcPr>
            <w:tcW w:w="5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1,837</w:t>
            </w:r>
          </w:p>
        </w:tc>
        <w:tc>
          <w:tcPr>
            <w:tcW w:w="7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1,737</w:t>
            </w:r>
          </w:p>
        </w:tc>
        <w:tc>
          <w:tcPr>
            <w:tcW w:w="1580" w:type="dxa"/>
            <w:vAlign w:val="bottom"/>
          </w:tcPr>
          <w:p>
            <w:pPr>
              <w:spacing w:after="0"/>
              <w:rPr>
                <w:sz w:val="21"/>
                <w:szCs w:val="21"/>
                <w:color w:val="auto"/>
              </w:rPr>
            </w:pPr>
          </w:p>
        </w:tc>
      </w:tr>
      <w:tr>
        <w:trPr>
          <w:trHeight w:val="243"/>
        </w:trPr>
        <w:tc>
          <w:tcPr>
            <w:tcW w:w="1600" w:type="dxa"/>
            <w:vAlign w:val="bottom"/>
          </w:tcPr>
          <w:p>
            <w:pPr>
              <w:spacing w:after="0"/>
              <w:rPr>
                <w:sz w:val="21"/>
                <w:szCs w:val="21"/>
                <w:color w:val="auto"/>
              </w:rPr>
            </w:pPr>
          </w:p>
        </w:tc>
        <w:tc>
          <w:tcPr>
            <w:tcW w:w="504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205</w:t>
            </w: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330</w:t>
            </w:r>
          </w:p>
        </w:tc>
        <w:tc>
          <w:tcPr>
            <w:tcW w:w="1580" w:type="dxa"/>
            <w:vAlign w:val="bottom"/>
          </w:tcPr>
          <w:p>
            <w:pPr>
              <w:spacing w:after="0"/>
              <w:rPr>
                <w:sz w:val="21"/>
                <w:szCs w:val="21"/>
                <w:color w:val="auto"/>
              </w:rPr>
            </w:pPr>
          </w:p>
        </w:tc>
      </w:tr>
      <w:tr>
        <w:trPr>
          <w:trHeight w:val="27"/>
        </w:trPr>
        <w:tc>
          <w:tcPr>
            <w:tcW w:w="1600" w:type="dxa"/>
            <w:vAlign w:val="bottom"/>
          </w:tcPr>
          <w:p>
            <w:pPr>
              <w:spacing w:after="0"/>
              <w:rPr>
                <w:sz w:val="2"/>
                <w:szCs w:val="2"/>
                <w:color w:val="auto"/>
              </w:rPr>
            </w:pPr>
          </w:p>
        </w:tc>
        <w:tc>
          <w:tcPr>
            <w:tcW w:w="50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580" w:type="dxa"/>
            <w:vAlign w:val="bottom"/>
          </w:tcPr>
          <w:p>
            <w:pPr>
              <w:spacing w:after="0"/>
              <w:rPr>
                <w:sz w:val="2"/>
                <w:szCs w:val="2"/>
                <w:color w:val="auto"/>
              </w:rPr>
            </w:pPr>
          </w:p>
        </w:tc>
      </w:tr>
      <w:tr>
        <w:trPr>
          <w:trHeight w:val="264"/>
        </w:trPr>
        <w:tc>
          <w:tcPr>
            <w:tcW w:w="1600" w:type="dxa"/>
            <w:vAlign w:val="bottom"/>
          </w:tcPr>
          <w:p>
            <w:pPr>
              <w:spacing w:after="0"/>
              <w:rPr>
                <w:sz w:val="22"/>
                <w:szCs w:val="22"/>
                <w:color w:val="auto"/>
              </w:rPr>
            </w:pPr>
          </w:p>
        </w:tc>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Total current assets</w:t>
            </w: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4,214</w:t>
            </w:r>
          </w:p>
        </w:tc>
        <w:tc>
          <w:tcPr>
            <w:tcW w:w="7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4,155</w:t>
            </w:r>
          </w:p>
        </w:tc>
        <w:tc>
          <w:tcPr>
            <w:tcW w:w="1580" w:type="dxa"/>
            <w:vAlign w:val="bottom"/>
          </w:tcPr>
          <w:p>
            <w:pPr>
              <w:spacing w:after="0"/>
              <w:rPr>
                <w:sz w:val="22"/>
                <w:szCs w:val="22"/>
                <w:color w:val="auto"/>
              </w:rPr>
            </w:pPr>
          </w:p>
        </w:tc>
      </w:tr>
      <w:tr>
        <w:trPr>
          <w:trHeight w:val="264"/>
        </w:trPr>
        <w:tc>
          <w:tcPr>
            <w:tcW w:w="1600" w:type="dxa"/>
            <w:vAlign w:val="bottom"/>
          </w:tcPr>
          <w:p>
            <w:pPr>
              <w:spacing w:after="0"/>
              <w:rPr>
                <w:sz w:val="22"/>
                <w:szCs w:val="22"/>
                <w:color w:val="auto"/>
              </w:rPr>
            </w:pPr>
          </w:p>
        </w:tc>
        <w:tc>
          <w:tcPr>
            <w:tcW w:w="504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7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580" w:type="dxa"/>
            <w:vAlign w:val="bottom"/>
          </w:tcPr>
          <w:p>
            <w:pPr>
              <w:spacing w:after="0"/>
              <w:rPr>
                <w:sz w:val="22"/>
                <w:szCs w:val="22"/>
                <w:color w:val="auto"/>
              </w:rPr>
            </w:pPr>
          </w:p>
        </w:tc>
      </w:tr>
      <w:tr>
        <w:trPr>
          <w:trHeight w:val="250"/>
        </w:trPr>
        <w:tc>
          <w:tcPr>
            <w:tcW w:w="1600" w:type="dxa"/>
            <w:vAlign w:val="bottom"/>
          </w:tcPr>
          <w:p>
            <w:pPr>
              <w:spacing w:after="0"/>
              <w:rPr>
                <w:sz w:val="21"/>
                <w:szCs w:val="21"/>
                <w:color w:val="auto"/>
              </w:rPr>
            </w:pPr>
          </w:p>
        </w:tc>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 and intangible assets, net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6,554</w:t>
            </w:r>
          </w:p>
        </w:tc>
        <w:tc>
          <w:tcPr>
            <w:tcW w:w="7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6,741</w:t>
            </w:r>
          </w:p>
        </w:tc>
        <w:tc>
          <w:tcPr>
            <w:tcW w:w="1580" w:type="dxa"/>
            <w:vAlign w:val="bottom"/>
          </w:tcPr>
          <w:p>
            <w:pPr>
              <w:spacing w:after="0"/>
              <w:rPr>
                <w:sz w:val="21"/>
                <w:szCs w:val="21"/>
                <w:color w:val="auto"/>
              </w:rPr>
            </w:pPr>
          </w:p>
        </w:tc>
      </w:tr>
      <w:tr>
        <w:trPr>
          <w:trHeight w:val="243"/>
        </w:trPr>
        <w:tc>
          <w:tcPr>
            <w:tcW w:w="1600" w:type="dxa"/>
            <w:vAlign w:val="bottom"/>
          </w:tcPr>
          <w:p>
            <w:pPr>
              <w:spacing w:after="0"/>
              <w:rPr>
                <w:sz w:val="21"/>
                <w:szCs w:val="21"/>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3,761</w:t>
            </w: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3,688</w:t>
            </w:r>
          </w:p>
        </w:tc>
        <w:tc>
          <w:tcPr>
            <w:tcW w:w="1580" w:type="dxa"/>
            <w:vAlign w:val="bottom"/>
          </w:tcPr>
          <w:p>
            <w:pPr>
              <w:spacing w:after="0"/>
              <w:rPr>
                <w:sz w:val="21"/>
                <w:szCs w:val="21"/>
                <w:color w:val="auto"/>
              </w:rPr>
            </w:pPr>
          </w:p>
        </w:tc>
      </w:tr>
      <w:tr>
        <w:trPr>
          <w:trHeight w:val="27"/>
        </w:trPr>
        <w:tc>
          <w:tcPr>
            <w:tcW w:w="1600" w:type="dxa"/>
            <w:vAlign w:val="bottom"/>
          </w:tcPr>
          <w:p>
            <w:pPr>
              <w:spacing w:after="0"/>
              <w:rPr>
                <w:sz w:val="2"/>
                <w:szCs w:val="2"/>
                <w:color w:val="auto"/>
              </w:rPr>
            </w:pPr>
          </w:p>
        </w:tc>
        <w:tc>
          <w:tcPr>
            <w:tcW w:w="5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1600" w:type="dxa"/>
            <w:vAlign w:val="bottom"/>
          </w:tcPr>
          <w:p>
            <w:pPr>
              <w:spacing w:after="0"/>
              <w:rPr>
                <w:sz w:val="23"/>
                <w:szCs w:val="23"/>
                <w:color w:val="auto"/>
              </w:rPr>
            </w:pPr>
          </w:p>
        </w:tc>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7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1580" w:type="dxa"/>
            <w:vAlign w:val="bottom"/>
          </w:tcPr>
          <w:p>
            <w:pPr>
              <w:spacing w:after="0"/>
              <w:rPr>
                <w:sz w:val="23"/>
                <w:szCs w:val="23"/>
                <w:color w:val="auto"/>
              </w:rPr>
            </w:pPr>
          </w:p>
        </w:tc>
      </w:tr>
      <w:tr>
        <w:trPr>
          <w:trHeight w:val="297"/>
        </w:trPr>
        <w:tc>
          <w:tcPr>
            <w:tcW w:w="1600" w:type="dxa"/>
            <w:vAlign w:val="bottom"/>
          </w:tcPr>
          <w:p>
            <w:pPr>
              <w:spacing w:after="0"/>
              <w:rPr>
                <w:sz w:val="24"/>
                <w:szCs w:val="24"/>
                <w:color w:val="auto"/>
              </w:rPr>
            </w:pPr>
          </w:p>
        </w:tc>
        <w:tc>
          <w:tcPr>
            <w:tcW w:w="5040" w:type="dxa"/>
            <w:vAlign w:val="bottom"/>
            <w:tcBorders>
              <w:bottom w:val="single" w:sz="8" w:color="CCEEFF"/>
            </w:tcBorders>
          </w:tcPr>
          <w:p>
            <w:pPr>
              <w:ind w:left="380"/>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15,572</w:t>
            </w:r>
          </w:p>
        </w:tc>
        <w:tc>
          <w:tcPr>
            <w:tcW w:w="7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15,360</w:t>
            </w:r>
          </w:p>
        </w:tc>
        <w:tc>
          <w:tcPr>
            <w:tcW w:w="1580" w:type="dxa"/>
            <w:vAlign w:val="bottom"/>
          </w:tcPr>
          <w:p>
            <w:pPr>
              <w:spacing w:after="0"/>
              <w:rPr>
                <w:sz w:val="24"/>
                <w:szCs w:val="24"/>
                <w:color w:val="auto"/>
              </w:rPr>
            </w:pPr>
          </w:p>
        </w:tc>
      </w:tr>
      <w:tr>
        <w:trPr>
          <w:trHeight w:val="257"/>
        </w:trPr>
        <w:tc>
          <w:tcPr>
            <w:tcW w:w="1600" w:type="dxa"/>
            <w:vAlign w:val="bottom"/>
          </w:tcPr>
          <w:p>
            <w:pPr>
              <w:spacing w:after="0"/>
              <w:rPr>
                <w:sz w:val="22"/>
                <w:szCs w:val="22"/>
                <w:color w:val="auto"/>
              </w:rPr>
            </w:pPr>
          </w:p>
        </w:tc>
        <w:tc>
          <w:tcPr>
            <w:tcW w:w="50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580" w:type="dxa"/>
            <w:vAlign w:val="bottom"/>
          </w:tcPr>
          <w:p>
            <w:pPr>
              <w:spacing w:after="0"/>
              <w:rPr>
                <w:sz w:val="22"/>
                <w:szCs w:val="22"/>
                <w:color w:val="auto"/>
              </w:rPr>
            </w:pPr>
          </w:p>
        </w:tc>
      </w:tr>
      <w:tr>
        <w:trPr>
          <w:trHeight w:val="270"/>
        </w:trPr>
        <w:tc>
          <w:tcPr>
            <w:tcW w:w="1600" w:type="dxa"/>
            <w:vAlign w:val="bottom"/>
          </w:tcPr>
          <w:p>
            <w:pPr>
              <w:spacing w:after="0"/>
              <w:rPr>
                <w:sz w:val="23"/>
                <w:szCs w:val="23"/>
                <w:color w:val="auto"/>
              </w:rPr>
            </w:pPr>
          </w:p>
        </w:tc>
        <w:tc>
          <w:tcPr>
            <w:tcW w:w="50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50"/>
        </w:trPr>
        <w:tc>
          <w:tcPr>
            <w:tcW w:w="1600" w:type="dxa"/>
            <w:vAlign w:val="bottom"/>
          </w:tcPr>
          <w:p>
            <w:pPr>
              <w:spacing w:after="0"/>
              <w:rPr>
                <w:sz w:val="21"/>
                <w:szCs w:val="21"/>
                <w:color w:val="auto"/>
              </w:rPr>
            </w:pPr>
          </w:p>
        </w:tc>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580" w:type="dxa"/>
            <w:vAlign w:val="bottom"/>
          </w:tcPr>
          <w:p>
            <w:pPr>
              <w:spacing w:after="0"/>
              <w:rPr>
                <w:sz w:val="21"/>
                <w:szCs w:val="21"/>
                <w:color w:val="auto"/>
              </w:rPr>
            </w:pPr>
          </w:p>
        </w:tc>
      </w:tr>
      <w:tr>
        <w:trPr>
          <w:trHeight w:val="243"/>
        </w:trPr>
        <w:tc>
          <w:tcPr>
            <w:tcW w:w="1600" w:type="dxa"/>
            <w:vAlign w:val="bottom"/>
          </w:tcPr>
          <w:p>
            <w:pPr>
              <w:spacing w:after="0"/>
              <w:rPr>
                <w:sz w:val="21"/>
                <w:szCs w:val="21"/>
                <w:color w:val="auto"/>
              </w:rPr>
            </w:pPr>
          </w:p>
        </w:tc>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1600" w:type="dxa"/>
            <w:vAlign w:val="bottom"/>
          </w:tcPr>
          <w:p>
            <w:pPr>
              <w:spacing w:after="0"/>
              <w:rPr>
                <w:sz w:val="2"/>
                <w:szCs w:val="2"/>
                <w:color w:val="auto"/>
              </w:rPr>
            </w:pPr>
          </w:p>
        </w:tc>
        <w:tc>
          <w:tcPr>
            <w:tcW w:w="5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1600" w:type="dxa"/>
            <w:vAlign w:val="bottom"/>
          </w:tcPr>
          <w:p>
            <w:pPr>
              <w:spacing w:after="0"/>
              <w:rPr>
                <w:sz w:val="21"/>
                <w:szCs w:val="21"/>
                <w:color w:val="auto"/>
              </w:rPr>
            </w:pPr>
          </w:p>
        </w:tc>
        <w:tc>
          <w:tcPr>
            <w:tcW w:w="5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Short-term debt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7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580" w:type="dxa"/>
            <w:vAlign w:val="bottom"/>
          </w:tcPr>
          <w:p>
            <w:pPr>
              <w:spacing w:after="0"/>
              <w:rPr>
                <w:sz w:val="21"/>
                <w:szCs w:val="21"/>
                <w:color w:val="auto"/>
              </w:rPr>
            </w:pPr>
          </w:p>
        </w:tc>
      </w:tr>
      <w:tr>
        <w:trPr>
          <w:trHeight w:val="243"/>
        </w:trPr>
        <w:tc>
          <w:tcPr>
            <w:tcW w:w="1600" w:type="dxa"/>
            <w:vAlign w:val="bottom"/>
          </w:tcPr>
          <w:p>
            <w:pPr>
              <w:spacing w:after="0"/>
              <w:rPr>
                <w:sz w:val="21"/>
                <w:szCs w:val="21"/>
                <w:color w:val="auto"/>
              </w:rPr>
            </w:pPr>
          </w:p>
        </w:tc>
        <w:tc>
          <w:tcPr>
            <w:tcW w:w="5040" w:type="dxa"/>
            <w:vAlign w:val="bottom"/>
          </w:tcPr>
          <w:p>
            <w:pPr>
              <w:ind w:left="160"/>
              <w:spacing w:after="0"/>
              <w:rPr>
                <w:sz w:val="20"/>
                <w:szCs w:val="20"/>
                <w:color w:val="auto"/>
              </w:rPr>
            </w:pPr>
            <w:r>
              <w:rPr>
                <w:rFonts w:ascii="Arial" w:cs="Arial" w:eastAsia="Arial" w:hAnsi="Arial"/>
                <w:sz w:val="18"/>
                <w:szCs w:val="18"/>
                <w:color w:val="auto"/>
              </w:rPr>
              <w:t>Current maturities of long-term debt</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88</w:t>
            </w: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w:t>
            </w:r>
          </w:p>
        </w:tc>
        <w:tc>
          <w:tcPr>
            <w:tcW w:w="1580" w:type="dxa"/>
            <w:vAlign w:val="bottom"/>
          </w:tcPr>
          <w:p>
            <w:pPr>
              <w:spacing w:after="0"/>
              <w:rPr>
                <w:sz w:val="21"/>
                <w:szCs w:val="21"/>
                <w:color w:val="auto"/>
              </w:rPr>
            </w:pPr>
          </w:p>
        </w:tc>
      </w:tr>
      <w:tr>
        <w:trPr>
          <w:trHeight w:val="27"/>
        </w:trPr>
        <w:tc>
          <w:tcPr>
            <w:tcW w:w="1600" w:type="dxa"/>
            <w:vAlign w:val="bottom"/>
          </w:tcPr>
          <w:p>
            <w:pPr>
              <w:spacing w:after="0"/>
              <w:rPr>
                <w:sz w:val="2"/>
                <w:szCs w:val="2"/>
                <w:color w:val="auto"/>
              </w:rPr>
            </w:pPr>
          </w:p>
        </w:tc>
        <w:tc>
          <w:tcPr>
            <w:tcW w:w="5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1600" w:type="dxa"/>
            <w:vAlign w:val="bottom"/>
          </w:tcPr>
          <w:p>
            <w:pPr>
              <w:spacing w:after="0"/>
              <w:rPr>
                <w:sz w:val="23"/>
                <w:szCs w:val="23"/>
                <w:color w:val="auto"/>
              </w:rPr>
            </w:pPr>
          </w:p>
        </w:tc>
        <w:tc>
          <w:tcPr>
            <w:tcW w:w="5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Accounts payable and accrued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3,385</w:t>
            </w:r>
          </w:p>
        </w:tc>
        <w:tc>
          <w:tcPr>
            <w:tcW w:w="7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3,414</w:t>
            </w:r>
          </w:p>
        </w:tc>
        <w:tc>
          <w:tcPr>
            <w:tcW w:w="1580" w:type="dxa"/>
            <w:vAlign w:val="bottom"/>
          </w:tcPr>
          <w:p>
            <w:pPr>
              <w:spacing w:after="0"/>
              <w:rPr>
                <w:sz w:val="23"/>
                <w:szCs w:val="23"/>
                <w:color w:val="auto"/>
              </w:rPr>
            </w:pPr>
          </w:p>
        </w:tc>
      </w:tr>
      <w:tr>
        <w:trPr>
          <w:trHeight w:val="237"/>
        </w:trPr>
        <w:tc>
          <w:tcPr>
            <w:tcW w:w="1600" w:type="dxa"/>
            <w:vAlign w:val="bottom"/>
          </w:tcPr>
          <w:p>
            <w:pPr>
              <w:spacing w:after="0"/>
              <w:rPr>
                <w:sz w:val="20"/>
                <w:szCs w:val="20"/>
                <w:color w:val="auto"/>
              </w:rPr>
            </w:pPr>
          </w:p>
        </w:tc>
        <w:tc>
          <w:tcPr>
            <w:tcW w:w="5040" w:type="dxa"/>
            <w:vAlign w:val="bottom"/>
          </w:tcPr>
          <w:p>
            <w:pPr>
              <w:ind w:left="380"/>
              <w:spacing w:after="0"/>
              <w:rPr>
                <w:sz w:val="20"/>
                <w:szCs w:val="20"/>
                <w:color w:val="auto"/>
              </w:rPr>
            </w:pPr>
            <w:r>
              <w:rPr>
                <w:rFonts w:ascii="Arial" w:cs="Arial" w:eastAsia="Arial" w:hAnsi="Arial"/>
                <w:sz w:val="18"/>
                <w:szCs w:val="18"/>
                <w:b w:val="1"/>
                <w:bCs w:val="1"/>
                <w:color w:val="auto"/>
              </w:rPr>
              <w:t>Total current liabilities</w:t>
            </w: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3,608</w:t>
            </w:r>
          </w:p>
        </w:tc>
        <w:tc>
          <w:tcPr>
            <w:tcW w:w="7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3,529</w:t>
            </w:r>
          </w:p>
        </w:tc>
        <w:tc>
          <w:tcPr>
            <w:tcW w:w="1580" w:type="dxa"/>
            <w:vAlign w:val="bottom"/>
          </w:tcPr>
          <w:p>
            <w:pPr>
              <w:spacing w:after="0"/>
              <w:rPr>
                <w:sz w:val="20"/>
                <w:szCs w:val="20"/>
                <w:color w:val="auto"/>
              </w:rPr>
            </w:pPr>
          </w:p>
        </w:tc>
      </w:tr>
      <w:tr>
        <w:trPr>
          <w:trHeight w:val="27"/>
        </w:trPr>
        <w:tc>
          <w:tcPr>
            <w:tcW w:w="1600" w:type="dxa"/>
            <w:vAlign w:val="bottom"/>
          </w:tcPr>
          <w:p>
            <w:pPr>
              <w:spacing w:after="0"/>
              <w:rPr>
                <w:sz w:val="2"/>
                <w:szCs w:val="2"/>
                <w:color w:val="auto"/>
              </w:rPr>
            </w:pPr>
          </w:p>
        </w:tc>
        <w:tc>
          <w:tcPr>
            <w:tcW w:w="50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580" w:type="dxa"/>
            <w:vAlign w:val="bottom"/>
          </w:tcPr>
          <w:p>
            <w:pPr>
              <w:spacing w:after="0"/>
              <w:rPr>
                <w:sz w:val="2"/>
                <w:szCs w:val="2"/>
                <w:color w:val="auto"/>
              </w:rPr>
            </w:pPr>
          </w:p>
        </w:tc>
      </w:tr>
      <w:tr>
        <w:trPr>
          <w:trHeight w:val="264"/>
        </w:trPr>
        <w:tc>
          <w:tcPr>
            <w:tcW w:w="1600" w:type="dxa"/>
            <w:vAlign w:val="bottom"/>
          </w:tcPr>
          <w:p>
            <w:pPr>
              <w:spacing w:after="0"/>
              <w:rPr>
                <w:sz w:val="22"/>
                <w:szCs w:val="22"/>
                <w:color w:val="auto"/>
              </w:rPr>
            </w:pPr>
          </w:p>
        </w:tc>
        <w:tc>
          <w:tcPr>
            <w:tcW w:w="50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580" w:type="dxa"/>
            <w:vAlign w:val="bottom"/>
          </w:tcPr>
          <w:p>
            <w:pPr>
              <w:spacing w:after="0"/>
              <w:rPr>
                <w:sz w:val="22"/>
                <w:szCs w:val="22"/>
                <w:color w:val="auto"/>
              </w:rPr>
            </w:pPr>
          </w:p>
        </w:tc>
      </w:tr>
      <w:tr>
        <w:trPr>
          <w:trHeight w:val="243"/>
        </w:trPr>
        <w:tc>
          <w:tcPr>
            <w:tcW w:w="1600" w:type="dxa"/>
            <w:vAlign w:val="bottom"/>
          </w:tcPr>
          <w:p>
            <w:pPr>
              <w:spacing w:after="0"/>
              <w:rPr>
                <w:sz w:val="21"/>
                <w:szCs w:val="21"/>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Long-term debt, excluding current maturities</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8,549</w:t>
            </w: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9,236</w:t>
            </w:r>
          </w:p>
        </w:tc>
        <w:tc>
          <w:tcPr>
            <w:tcW w:w="1580" w:type="dxa"/>
            <w:vAlign w:val="bottom"/>
          </w:tcPr>
          <w:p>
            <w:pPr>
              <w:spacing w:after="0"/>
              <w:rPr>
                <w:sz w:val="21"/>
                <w:szCs w:val="21"/>
                <w:color w:val="auto"/>
              </w:rPr>
            </w:pPr>
          </w:p>
        </w:tc>
      </w:tr>
      <w:tr>
        <w:trPr>
          <w:trHeight w:val="27"/>
        </w:trPr>
        <w:tc>
          <w:tcPr>
            <w:tcW w:w="1600" w:type="dxa"/>
            <w:vAlign w:val="bottom"/>
          </w:tcPr>
          <w:p>
            <w:pPr>
              <w:spacing w:after="0"/>
              <w:rPr>
                <w:sz w:val="2"/>
                <w:szCs w:val="2"/>
                <w:color w:val="auto"/>
              </w:rPr>
            </w:pPr>
          </w:p>
        </w:tc>
        <w:tc>
          <w:tcPr>
            <w:tcW w:w="5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1600" w:type="dxa"/>
            <w:vAlign w:val="bottom"/>
          </w:tcPr>
          <w:p>
            <w:pPr>
              <w:spacing w:after="0"/>
              <w:rPr>
                <w:sz w:val="21"/>
                <w:szCs w:val="21"/>
                <w:color w:val="auto"/>
              </w:rPr>
            </w:pPr>
          </w:p>
        </w:tc>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1,709</w:t>
            </w:r>
          </w:p>
        </w:tc>
        <w:tc>
          <w:tcPr>
            <w:tcW w:w="7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1,458</w:t>
            </w:r>
          </w:p>
        </w:tc>
        <w:tc>
          <w:tcPr>
            <w:tcW w:w="1580" w:type="dxa"/>
            <w:vAlign w:val="bottom"/>
          </w:tcPr>
          <w:p>
            <w:pPr>
              <w:spacing w:after="0"/>
              <w:rPr>
                <w:sz w:val="21"/>
                <w:szCs w:val="21"/>
                <w:color w:val="auto"/>
              </w:rPr>
            </w:pPr>
          </w:p>
        </w:tc>
      </w:tr>
      <w:tr>
        <w:trPr>
          <w:trHeight w:val="270"/>
        </w:trPr>
        <w:tc>
          <w:tcPr>
            <w:tcW w:w="1600" w:type="dxa"/>
            <w:vAlign w:val="bottom"/>
          </w:tcPr>
          <w:p>
            <w:pPr>
              <w:spacing w:after="0"/>
              <w:rPr>
                <w:sz w:val="23"/>
                <w:szCs w:val="23"/>
                <w:color w:val="auto"/>
              </w:rPr>
            </w:pPr>
          </w:p>
        </w:tc>
        <w:tc>
          <w:tcPr>
            <w:tcW w:w="50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50"/>
        </w:trPr>
        <w:tc>
          <w:tcPr>
            <w:tcW w:w="1600" w:type="dxa"/>
            <w:vAlign w:val="bottom"/>
          </w:tcPr>
          <w:p>
            <w:pPr>
              <w:spacing w:after="0"/>
              <w:rPr>
                <w:sz w:val="21"/>
                <w:szCs w:val="21"/>
                <w:color w:val="auto"/>
              </w:rPr>
            </w:pPr>
          </w:p>
        </w:tc>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7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580" w:type="dxa"/>
            <w:vAlign w:val="bottom"/>
          </w:tcPr>
          <w:p>
            <w:pPr>
              <w:spacing w:after="0"/>
              <w:rPr>
                <w:sz w:val="21"/>
                <w:szCs w:val="21"/>
                <w:color w:val="auto"/>
              </w:rPr>
            </w:pPr>
          </w:p>
        </w:tc>
      </w:tr>
      <w:tr>
        <w:trPr>
          <w:trHeight w:val="243"/>
        </w:trPr>
        <w:tc>
          <w:tcPr>
            <w:tcW w:w="1600" w:type="dxa"/>
            <w:vAlign w:val="bottom"/>
          </w:tcPr>
          <w:p>
            <w:pPr>
              <w:spacing w:after="0"/>
              <w:rPr>
                <w:sz w:val="21"/>
                <w:szCs w:val="21"/>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Crown Holdings shareholders' equity</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1,300</w:t>
            </w: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784</w:t>
            </w:r>
          </w:p>
        </w:tc>
        <w:tc>
          <w:tcPr>
            <w:tcW w:w="1580" w:type="dxa"/>
            <w:vAlign w:val="bottom"/>
          </w:tcPr>
          <w:p>
            <w:pPr>
              <w:spacing w:after="0"/>
              <w:rPr>
                <w:sz w:val="21"/>
                <w:szCs w:val="21"/>
                <w:color w:val="auto"/>
              </w:rPr>
            </w:pPr>
          </w:p>
        </w:tc>
      </w:tr>
      <w:tr>
        <w:trPr>
          <w:trHeight w:val="27"/>
        </w:trPr>
        <w:tc>
          <w:tcPr>
            <w:tcW w:w="1600" w:type="dxa"/>
            <w:vAlign w:val="bottom"/>
          </w:tcPr>
          <w:p>
            <w:pPr>
              <w:spacing w:after="0"/>
              <w:rPr>
                <w:sz w:val="2"/>
                <w:szCs w:val="2"/>
                <w:color w:val="auto"/>
              </w:rPr>
            </w:pPr>
          </w:p>
        </w:tc>
        <w:tc>
          <w:tcPr>
            <w:tcW w:w="50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580" w:type="dxa"/>
            <w:vAlign w:val="bottom"/>
          </w:tcPr>
          <w:p>
            <w:pPr>
              <w:spacing w:after="0"/>
              <w:rPr>
                <w:sz w:val="2"/>
                <w:szCs w:val="2"/>
                <w:color w:val="auto"/>
              </w:rPr>
            </w:pPr>
          </w:p>
        </w:tc>
      </w:tr>
      <w:tr>
        <w:trPr>
          <w:trHeight w:val="264"/>
        </w:trPr>
        <w:tc>
          <w:tcPr>
            <w:tcW w:w="1600" w:type="dxa"/>
            <w:vAlign w:val="bottom"/>
          </w:tcPr>
          <w:p>
            <w:pPr>
              <w:spacing w:after="0"/>
              <w:rPr>
                <w:sz w:val="22"/>
                <w:szCs w:val="22"/>
                <w:color w:val="auto"/>
              </w:rPr>
            </w:pPr>
          </w:p>
        </w:tc>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1,706</w:t>
            </w:r>
          </w:p>
        </w:tc>
        <w:tc>
          <w:tcPr>
            <w:tcW w:w="7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1580" w:type="dxa"/>
            <w:vAlign w:val="bottom"/>
          </w:tcPr>
          <w:p>
            <w:pPr>
              <w:spacing w:after="0"/>
              <w:rPr>
                <w:sz w:val="22"/>
                <w:szCs w:val="22"/>
                <w:color w:val="auto"/>
              </w:rPr>
            </w:pPr>
          </w:p>
        </w:tc>
      </w:tr>
      <w:tr>
        <w:trPr>
          <w:trHeight w:val="257"/>
        </w:trPr>
        <w:tc>
          <w:tcPr>
            <w:tcW w:w="1600" w:type="dxa"/>
            <w:vAlign w:val="bottom"/>
          </w:tcPr>
          <w:p>
            <w:pPr>
              <w:spacing w:after="0"/>
              <w:rPr>
                <w:sz w:val="22"/>
                <w:szCs w:val="22"/>
                <w:color w:val="auto"/>
              </w:rPr>
            </w:pPr>
          </w:p>
        </w:tc>
        <w:tc>
          <w:tcPr>
            <w:tcW w:w="5040" w:type="dxa"/>
            <w:vAlign w:val="bottom"/>
          </w:tcPr>
          <w:p>
            <w:pPr>
              <w:ind w:left="380"/>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15,572</w:t>
            </w:r>
          </w:p>
        </w:tc>
        <w:tc>
          <w:tcPr>
            <w:tcW w:w="7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15,360</w:t>
            </w:r>
          </w:p>
        </w:tc>
        <w:tc>
          <w:tcPr>
            <w:tcW w:w="1580" w:type="dxa"/>
            <w:vAlign w:val="bottom"/>
          </w:tcPr>
          <w:p>
            <w:pPr>
              <w:spacing w:after="0"/>
              <w:rPr>
                <w:sz w:val="22"/>
                <w:szCs w:val="22"/>
                <w:color w:val="auto"/>
              </w:rPr>
            </w:pPr>
          </w:p>
        </w:tc>
      </w:tr>
      <w:tr>
        <w:trPr>
          <w:trHeight w:val="20"/>
        </w:trPr>
        <w:tc>
          <w:tcPr>
            <w:tcW w:w="160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534"/>
        </w:trPr>
        <w:tc>
          <w:tcPr>
            <w:tcW w:w="1600" w:type="dxa"/>
            <w:vAlign w:val="bottom"/>
            <w:tcBorders>
              <w:bottom w:val="single" w:sz="8" w:color="9A9A9A"/>
            </w:tcBorders>
          </w:tcPr>
          <w:p>
            <w:pPr>
              <w:spacing w:after="0"/>
              <w:rPr>
                <w:sz w:val="24"/>
                <w:szCs w:val="24"/>
                <w:color w:val="auto"/>
              </w:rPr>
            </w:pPr>
          </w:p>
        </w:tc>
        <w:tc>
          <w:tcPr>
            <w:tcW w:w="50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340" w:right="440" w:hanging="332"/>
        <w:spacing w:after="0" w:line="264"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 January 1, 2019, the Company adopted new lease accounting guidance resulting in increases in other non-current assets and other non-current liabilities of $220. Prior period amounts have not been recast and continue to be reported in accordance with accounting guidance in effect for those periods.</w:t>
      </w:r>
    </w:p>
    <w:p>
      <w:pPr>
        <w:sectPr>
          <w:pgSz w:w="11900" w:h="16838" w:orient="portrait"/>
          <w:cols w:equalWidth="0" w:num="1">
            <w:col w:w="11420"/>
          </w:cols>
          <w:pgMar w:left="240" w:top="85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8 of 10</w:t>
      </w:r>
    </w:p>
    <w:p>
      <w:pPr>
        <w:sectPr>
          <w:pgSz w:w="11900" w:h="16838" w:orient="portrait"/>
          <w:cols w:equalWidth="0" w:num="1">
            <w:col w:w="11420"/>
          </w:cols>
          <w:pgMar w:left="240" w:top="852" w:right="239" w:bottom="1440" w:gutter="0" w:footer="0" w:header="0"/>
          <w:type w:val="continuous"/>
        </w:sectPr>
      </w:pPr>
    </w:p>
    <w:bookmarkStart w:id="13" w:name="page14"/>
    <w:bookmarkEnd w:id="13"/>
    <w:p>
      <w:pPr>
        <w:spacing w:after="0" w:line="36" w:lineRule="exact"/>
        <w:rPr>
          <w:sz w:val="20"/>
          <w:szCs w:val="20"/>
          <w:color w:val="auto"/>
        </w:rPr>
      </w:pPr>
    </w:p>
    <w:p>
      <w:pPr>
        <w:ind w:left="6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5664835</wp:posOffset>
            </wp:positionH>
            <wp:positionV relativeFrom="paragraph">
              <wp:posOffset>-162560</wp:posOffset>
            </wp:positionV>
            <wp:extent cx="1551940" cy="4972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51940" cy="497205"/>
                    </a:xfrm>
                    <a:prstGeom prst="rect">
                      <a:avLst/>
                    </a:prstGeom>
                    <a:noFill/>
                  </pic:spPr>
                </pic:pic>
              </a:graphicData>
            </a:graphic>
          </wp:anchor>
        </w:drawing>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4"/>
          <w:szCs w:val="14"/>
          <w:color w:val="auto"/>
        </w:rPr>
        <w:t>Corporate Headquarters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770 Township Line Road</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Yardley, PA 19067-4219</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Cash Flows (Condensed &amp;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millions)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20" w:type="dxa"/>
            <w:vAlign w:val="bottom"/>
          </w:tcPr>
          <w:p>
            <w:pPr>
              <w:spacing w:after="0"/>
              <w:rPr>
                <w:sz w:val="19"/>
                <w:szCs w:val="19"/>
                <w:color w:val="auto"/>
              </w:rPr>
            </w:pPr>
          </w:p>
        </w:tc>
        <w:tc>
          <w:tcPr>
            <w:tcW w:w="4780" w:type="dxa"/>
            <w:vAlign w:val="bottom"/>
          </w:tcPr>
          <w:p>
            <w:pPr>
              <w:ind w:left="20"/>
              <w:spacing w:after="0"/>
              <w:rPr>
                <w:sz w:val="20"/>
                <w:szCs w:val="20"/>
                <w:color w:val="auto"/>
              </w:rPr>
            </w:pPr>
            <w:r>
              <w:rPr>
                <w:rFonts w:ascii="Arial" w:cs="Arial" w:eastAsia="Arial" w:hAnsi="Arial"/>
                <w:sz w:val="17"/>
                <w:szCs w:val="17"/>
                <w:b w:val="1"/>
                <w:bCs w:val="1"/>
                <w:color w:val="auto"/>
              </w:rPr>
              <w:t>Six months ended June 30,</w:t>
            </w:r>
          </w:p>
        </w:tc>
        <w:tc>
          <w:tcPr>
            <w:tcW w:w="260" w:type="dxa"/>
            <w:vAlign w:val="bottom"/>
          </w:tcPr>
          <w:p>
            <w:pPr>
              <w:spacing w:after="0"/>
              <w:rPr>
                <w:sz w:val="19"/>
                <w:szCs w:val="19"/>
                <w:color w:val="auto"/>
              </w:rPr>
            </w:pPr>
          </w:p>
        </w:tc>
        <w:tc>
          <w:tcPr>
            <w:tcW w:w="860" w:type="dxa"/>
            <w:vAlign w:val="bottom"/>
          </w:tcPr>
          <w:p>
            <w:pPr>
              <w:jc w:val="right"/>
              <w:ind w:right="295"/>
              <w:spacing w:after="0"/>
              <w:rPr>
                <w:sz w:val="20"/>
                <w:szCs w:val="20"/>
                <w:color w:val="auto"/>
              </w:rPr>
            </w:pPr>
            <w:r>
              <w:rPr>
                <w:rFonts w:ascii="Arial" w:cs="Arial" w:eastAsia="Arial" w:hAnsi="Arial"/>
                <w:sz w:val="17"/>
                <w:szCs w:val="17"/>
                <w:b w:val="1"/>
                <w:bCs w:val="1"/>
                <w:color w:val="auto"/>
              </w:rPr>
              <w:t>2019</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295"/>
              <w:spacing w:after="0"/>
              <w:rPr>
                <w:sz w:val="20"/>
                <w:szCs w:val="20"/>
                <w:color w:val="auto"/>
              </w:rPr>
            </w:pPr>
            <w:r>
              <w:rPr>
                <w:rFonts w:ascii="Arial" w:cs="Arial" w:eastAsia="Arial" w:hAnsi="Arial"/>
                <w:sz w:val="17"/>
                <w:szCs w:val="17"/>
                <w:b w:val="1"/>
                <w:bCs w:val="1"/>
                <w:color w:val="auto"/>
              </w:rPr>
              <w:t>2018</w:t>
            </w:r>
          </w:p>
        </w:tc>
        <w:tc>
          <w:tcPr>
            <w:tcW w:w="2020" w:type="dxa"/>
            <w:vAlign w:val="bottom"/>
          </w:tcPr>
          <w:p>
            <w:pPr>
              <w:spacing w:after="0"/>
              <w:rPr>
                <w:sz w:val="19"/>
                <w:szCs w:val="19"/>
                <w:color w:val="auto"/>
              </w:rPr>
            </w:pPr>
          </w:p>
        </w:tc>
      </w:tr>
      <w:tr>
        <w:trPr>
          <w:trHeight w:val="31"/>
        </w:trPr>
        <w:tc>
          <w:tcPr>
            <w:tcW w:w="20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20" w:type="dxa"/>
            <w:vAlign w:val="bottom"/>
          </w:tcPr>
          <w:p>
            <w:pPr>
              <w:spacing w:after="0"/>
              <w:rPr>
                <w:sz w:val="2"/>
                <w:szCs w:val="2"/>
                <w:color w:val="auto"/>
              </w:rPr>
            </w:pPr>
          </w:p>
        </w:tc>
      </w:tr>
      <w:tr>
        <w:trPr>
          <w:trHeight w:val="169"/>
        </w:trPr>
        <w:tc>
          <w:tcPr>
            <w:tcW w:w="20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250"/>
        </w:trPr>
        <w:tc>
          <w:tcPr>
            <w:tcW w:w="2020" w:type="dxa"/>
            <w:vAlign w:val="bottom"/>
          </w:tcPr>
          <w:p>
            <w:pPr>
              <w:spacing w:after="0"/>
              <w:rPr>
                <w:sz w:val="21"/>
                <w:szCs w:val="21"/>
                <w:color w:val="auto"/>
              </w:rPr>
            </w:pPr>
          </w:p>
        </w:tc>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020" w:type="dxa"/>
            <w:vAlign w:val="bottom"/>
          </w:tcPr>
          <w:p>
            <w:pPr>
              <w:spacing w:after="0"/>
              <w:rPr>
                <w:sz w:val="21"/>
                <w:szCs w:val="21"/>
                <w:color w:val="auto"/>
              </w:rPr>
            </w:pPr>
          </w:p>
        </w:tc>
      </w:tr>
      <w:tr>
        <w:trPr>
          <w:trHeight w:val="239"/>
        </w:trPr>
        <w:tc>
          <w:tcPr>
            <w:tcW w:w="2020" w:type="dxa"/>
            <w:vAlign w:val="bottom"/>
          </w:tcPr>
          <w:p>
            <w:pPr>
              <w:spacing w:after="0"/>
              <w:rPr>
                <w:sz w:val="20"/>
                <w:szCs w:val="20"/>
                <w:color w:val="auto"/>
              </w:rPr>
            </w:pPr>
          </w:p>
        </w:tc>
        <w:tc>
          <w:tcPr>
            <w:tcW w:w="4780" w:type="dxa"/>
            <w:vAlign w:val="bottom"/>
          </w:tcPr>
          <w:p>
            <w:pPr>
              <w:ind w:left="160"/>
              <w:spacing w:after="0"/>
              <w:rPr>
                <w:sz w:val="20"/>
                <w:szCs w:val="20"/>
                <w:color w:val="auto"/>
              </w:rPr>
            </w:pPr>
            <w:r>
              <w:rPr>
                <w:rFonts w:ascii="Arial" w:cs="Arial" w:eastAsia="Arial" w:hAnsi="Arial"/>
                <w:sz w:val="17"/>
                <w:szCs w:val="17"/>
                <w:color w:val="auto"/>
              </w:rPr>
              <w:t>Net income</w:t>
            </w: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305</w:t>
            </w:r>
          </w:p>
        </w:tc>
        <w:tc>
          <w:tcPr>
            <w:tcW w:w="360" w:type="dxa"/>
            <w:vAlign w:val="bottom"/>
          </w:tcPr>
          <w:p>
            <w:pPr>
              <w:spacing w:after="0"/>
              <w:rPr>
                <w:sz w:val="20"/>
                <w:szCs w:val="20"/>
                <w:color w:val="auto"/>
              </w:rPr>
            </w:pP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260</w:t>
            </w:r>
          </w:p>
        </w:tc>
        <w:tc>
          <w:tcPr>
            <w:tcW w:w="2020" w:type="dxa"/>
            <w:vAlign w:val="bottom"/>
          </w:tcPr>
          <w:p>
            <w:pPr>
              <w:spacing w:after="0"/>
              <w:rPr>
                <w:sz w:val="20"/>
                <w:szCs w:val="20"/>
                <w:color w:val="auto"/>
              </w:rPr>
            </w:pPr>
          </w:p>
        </w:tc>
      </w:tr>
      <w:tr>
        <w:trPr>
          <w:trHeight w:val="31"/>
        </w:trPr>
        <w:tc>
          <w:tcPr>
            <w:tcW w:w="20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2020" w:type="dxa"/>
            <w:vAlign w:val="bottom"/>
          </w:tcPr>
          <w:p>
            <w:pPr>
              <w:spacing w:after="0"/>
              <w:rPr>
                <w:sz w:val="21"/>
                <w:szCs w:val="21"/>
                <w:color w:val="auto"/>
              </w:rPr>
            </w:pPr>
          </w:p>
        </w:tc>
        <w:tc>
          <w:tcPr>
            <w:tcW w:w="4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245</w:t>
            </w: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178</w:t>
            </w:r>
          </w:p>
        </w:tc>
        <w:tc>
          <w:tcPr>
            <w:tcW w:w="2020" w:type="dxa"/>
            <w:vAlign w:val="bottom"/>
          </w:tcPr>
          <w:p>
            <w:pPr>
              <w:spacing w:after="0"/>
              <w:rPr>
                <w:sz w:val="21"/>
                <w:szCs w:val="21"/>
                <w:color w:val="auto"/>
              </w:rPr>
            </w:pPr>
          </w:p>
        </w:tc>
      </w:tr>
      <w:tr>
        <w:trPr>
          <w:trHeight w:val="239"/>
        </w:trPr>
        <w:tc>
          <w:tcPr>
            <w:tcW w:w="2020" w:type="dxa"/>
            <w:vAlign w:val="bottom"/>
          </w:tcPr>
          <w:p>
            <w:pPr>
              <w:spacing w:after="0"/>
              <w:rPr>
                <w:sz w:val="20"/>
                <w:szCs w:val="20"/>
                <w:color w:val="auto"/>
              </w:rPr>
            </w:pPr>
          </w:p>
        </w:tc>
        <w:tc>
          <w:tcPr>
            <w:tcW w:w="4780" w:type="dxa"/>
            <w:vAlign w:val="bottom"/>
          </w:tcPr>
          <w:p>
            <w:pPr>
              <w:ind w:left="160"/>
              <w:spacing w:after="0"/>
              <w:rPr>
                <w:sz w:val="20"/>
                <w:szCs w:val="20"/>
                <w:color w:val="auto"/>
              </w:rPr>
            </w:pPr>
            <w:r>
              <w:rPr>
                <w:rFonts w:ascii="Arial" w:cs="Arial" w:eastAsia="Arial" w:hAnsi="Arial"/>
                <w:sz w:val="17"/>
                <w:szCs w:val="17"/>
                <w:color w:val="auto"/>
              </w:rPr>
              <w:t>Restructuring and other</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(41)</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29</w:t>
            </w:r>
          </w:p>
        </w:tc>
        <w:tc>
          <w:tcPr>
            <w:tcW w:w="2020" w:type="dxa"/>
            <w:vAlign w:val="bottom"/>
          </w:tcPr>
          <w:p>
            <w:pPr>
              <w:spacing w:after="0"/>
              <w:rPr>
                <w:sz w:val="20"/>
                <w:szCs w:val="20"/>
                <w:color w:val="auto"/>
              </w:rPr>
            </w:pPr>
          </w:p>
        </w:tc>
      </w:tr>
      <w:tr>
        <w:trPr>
          <w:trHeight w:val="31"/>
        </w:trPr>
        <w:tc>
          <w:tcPr>
            <w:tcW w:w="20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2020" w:type="dxa"/>
            <w:vAlign w:val="bottom"/>
          </w:tcPr>
          <w:p>
            <w:pPr>
              <w:spacing w:after="0"/>
              <w:rPr>
                <w:sz w:val="21"/>
                <w:szCs w:val="21"/>
                <w:color w:val="auto"/>
              </w:rPr>
            </w:pPr>
          </w:p>
        </w:tc>
        <w:tc>
          <w:tcPr>
            <w:tcW w:w="4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Pension expense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40</w:t>
            </w: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2020" w:type="dxa"/>
            <w:vAlign w:val="bottom"/>
          </w:tcPr>
          <w:p>
            <w:pPr>
              <w:spacing w:after="0"/>
              <w:rPr>
                <w:sz w:val="21"/>
                <w:szCs w:val="21"/>
                <w:color w:val="auto"/>
              </w:rPr>
            </w:pPr>
          </w:p>
        </w:tc>
      </w:tr>
      <w:tr>
        <w:trPr>
          <w:trHeight w:val="239"/>
        </w:trPr>
        <w:tc>
          <w:tcPr>
            <w:tcW w:w="2020" w:type="dxa"/>
            <w:vAlign w:val="bottom"/>
          </w:tcPr>
          <w:p>
            <w:pPr>
              <w:spacing w:after="0"/>
              <w:rPr>
                <w:sz w:val="20"/>
                <w:szCs w:val="20"/>
                <w:color w:val="auto"/>
              </w:rPr>
            </w:pPr>
          </w:p>
        </w:tc>
        <w:tc>
          <w:tcPr>
            <w:tcW w:w="4780" w:type="dxa"/>
            <w:vAlign w:val="bottom"/>
          </w:tcPr>
          <w:p>
            <w:pPr>
              <w:ind w:left="160"/>
              <w:spacing w:after="0"/>
              <w:rPr>
                <w:sz w:val="20"/>
                <w:szCs w:val="20"/>
                <w:color w:val="auto"/>
              </w:rPr>
            </w:pPr>
            <w:r>
              <w:rPr>
                <w:rFonts w:ascii="Arial" w:cs="Arial" w:eastAsia="Arial" w:hAnsi="Arial"/>
                <w:sz w:val="17"/>
                <w:szCs w:val="17"/>
                <w:color w:val="auto"/>
              </w:rPr>
              <w:t>Pension contributions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(9)</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(10)</w:t>
            </w:r>
          </w:p>
        </w:tc>
        <w:tc>
          <w:tcPr>
            <w:tcW w:w="2020" w:type="dxa"/>
            <w:vAlign w:val="bottom"/>
          </w:tcPr>
          <w:p>
            <w:pPr>
              <w:spacing w:after="0"/>
              <w:rPr>
                <w:sz w:val="20"/>
                <w:szCs w:val="20"/>
                <w:color w:val="auto"/>
              </w:rPr>
            </w:pPr>
          </w:p>
        </w:tc>
      </w:tr>
      <w:tr>
        <w:trPr>
          <w:trHeight w:val="31"/>
        </w:trPr>
        <w:tc>
          <w:tcPr>
            <w:tcW w:w="20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2020" w:type="dxa"/>
            <w:vAlign w:val="bottom"/>
          </w:tcPr>
          <w:p>
            <w:pPr>
              <w:spacing w:after="0"/>
              <w:rPr>
                <w:sz w:val="21"/>
                <w:szCs w:val="21"/>
                <w:color w:val="auto"/>
              </w:rPr>
            </w:pPr>
          </w:p>
        </w:tc>
        <w:tc>
          <w:tcPr>
            <w:tcW w:w="4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Stock-based compensation</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16</w:t>
            </w: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2020" w:type="dxa"/>
            <w:vAlign w:val="bottom"/>
          </w:tcPr>
          <w:p>
            <w:pPr>
              <w:spacing w:after="0"/>
              <w:rPr>
                <w:sz w:val="21"/>
                <w:szCs w:val="21"/>
                <w:color w:val="auto"/>
              </w:rPr>
            </w:pPr>
          </w:p>
        </w:tc>
      </w:tr>
      <w:tr>
        <w:trPr>
          <w:trHeight w:val="239"/>
        </w:trPr>
        <w:tc>
          <w:tcPr>
            <w:tcW w:w="2020" w:type="dxa"/>
            <w:vAlign w:val="bottom"/>
          </w:tcPr>
          <w:p>
            <w:pPr>
              <w:spacing w:after="0"/>
              <w:rPr>
                <w:sz w:val="20"/>
                <w:szCs w:val="20"/>
                <w:color w:val="auto"/>
              </w:rPr>
            </w:pPr>
          </w:p>
        </w:tc>
        <w:tc>
          <w:tcPr>
            <w:tcW w:w="4780" w:type="dxa"/>
            <w:vAlign w:val="bottom"/>
          </w:tcPr>
          <w:p>
            <w:pPr>
              <w:ind w:left="160"/>
              <w:spacing w:after="0"/>
              <w:rPr>
                <w:sz w:val="20"/>
                <w:szCs w:val="20"/>
                <w:color w:val="auto"/>
              </w:rPr>
            </w:pPr>
            <w:r>
              <w:rPr>
                <w:rFonts w:ascii="Arial" w:cs="Arial" w:eastAsia="Arial" w:hAnsi="Arial"/>
                <w:sz w:val="17"/>
                <w:szCs w:val="17"/>
                <w:color w:val="auto"/>
              </w:rPr>
              <w:t>Working capital changes and other</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(783)</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(963)</w:t>
            </w:r>
          </w:p>
        </w:tc>
        <w:tc>
          <w:tcPr>
            <w:tcW w:w="2020" w:type="dxa"/>
            <w:vAlign w:val="bottom"/>
          </w:tcPr>
          <w:p>
            <w:pPr>
              <w:spacing w:after="0"/>
              <w:rPr>
                <w:sz w:val="20"/>
                <w:szCs w:val="20"/>
                <w:color w:val="auto"/>
              </w:rPr>
            </w:pPr>
          </w:p>
        </w:tc>
      </w:tr>
      <w:tr>
        <w:trPr>
          <w:trHeight w:val="31"/>
        </w:trPr>
        <w:tc>
          <w:tcPr>
            <w:tcW w:w="2020" w:type="dxa"/>
            <w:vAlign w:val="bottom"/>
          </w:tcPr>
          <w:p>
            <w:pPr>
              <w:spacing w:after="0"/>
              <w:rPr>
                <w:sz w:val="2"/>
                <w:szCs w:val="2"/>
                <w:color w:val="auto"/>
              </w:rPr>
            </w:pPr>
          </w:p>
        </w:tc>
        <w:tc>
          <w:tcPr>
            <w:tcW w:w="4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2020" w:type="dxa"/>
            <w:vAlign w:val="bottom"/>
          </w:tcPr>
          <w:p>
            <w:pPr>
              <w:spacing w:after="0"/>
              <w:rPr>
                <w:sz w:val="21"/>
                <w:szCs w:val="21"/>
                <w:color w:val="auto"/>
              </w:rPr>
            </w:pPr>
          </w:p>
        </w:tc>
        <w:tc>
          <w:tcPr>
            <w:tcW w:w="4780" w:type="dxa"/>
            <w:vAlign w:val="bottom"/>
            <w:shd w:val="clear" w:color="auto" w:fill="CCEEFF"/>
          </w:tcPr>
          <w:p>
            <w:pPr>
              <w:ind w:left="460"/>
              <w:spacing w:after="0" w:line="250" w:lineRule="exact"/>
              <w:rPr>
                <w:sz w:val="20"/>
                <w:szCs w:val="20"/>
                <w:color w:val="auto"/>
              </w:rPr>
            </w:pPr>
            <w:r>
              <w:rPr>
                <w:rFonts w:ascii="Arial" w:cs="Arial" w:eastAsia="Arial" w:hAnsi="Arial"/>
                <w:sz w:val="17"/>
                <w:szCs w:val="17"/>
                <w:b w:val="1"/>
                <w:bCs w:val="1"/>
                <w:color w:val="auto"/>
              </w:rPr>
              <w:t xml:space="preserve">Net cash used for operating activities </w:t>
            </w:r>
            <w:r>
              <w:rPr>
                <w:rFonts w:ascii="Arial" w:cs="Arial" w:eastAsia="Arial" w:hAnsi="Arial"/>
                <w:sz w:val="28"/>
                <w:szCs w:val="28"/>
                <w:b w:val="1"/>
                <w:bCs w:val="1"/>
                <w:color w:val="auto"/>
                <w:vertAlign w:val="superscript"/>
              </w:rPr>
              <w:t>(1)</w:t>
            </w: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(227)</w:t>
            </w:r>
          </w:p>
        </w:tc>
        <w:tc>
          <w:tcPr>
            <w:tcW w:w="36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(492)</w:t>
            </w:r>
          </w:p>
        </w:tc>
        <w:tc>
          <w:tcPr>
            <w:tcW w:w="2020" w:type="dxa"/>
            <w:vAlign w:val="bottom"/>
          </w:tcPr>
          <w:p>
            <w:pPr>
              <w:spacing w:after="0"/>
              <w:rPr>
                <w:sz w:val="21"/>
                <w:szCs w:val="21"/>
                <w:color w:val="auto"/>
              </w:rPr>
            </w:pPr>
          </w:p>
        </w:tc>
      </w:tr>
      <w:tr>
        <w:trPr>
          <w:trHeight w:val="169"/>
        </w:trPr>
        <w:tc>
          <w:tcPr>
            <w:tcW w:w="20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250"/>
        </w:trPr>
        <w:tc>
          <w:tcPr>
            <w:tcW w:w="2020" w:type="dxa"/>
            <w:vAlign w:val="bottom"/>
          </w:tcPr>
          <w:p>
            <w:pPr>
              <w:spacing w:after="0"/>
              <w:rPr>
                <w:sz w:val="21"/>
                <w:szCs w:val="21"/>
                <w:color w:val="auto"/>
              </w:rPr>
            </w:pPr>
          </w:p>
        </w:tc>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020" w:type="dxa"/>
            <w:vAlign w:val="bottom"/>
          </w:tcPr>
          <w:p>
            <w:pPr>
              <w:spacing w:after="0"/>
              <w:rPr>
                <w:sz w:val="21"/>
                <w:szCs w:val="21"/>
                <w:color w:val="auto"/>
              </w:rPr>
            </w:pPr>
          </w:p>
        </w:tc>
      </w:tr>
      <w:tr>
        <w:trPr>
          <w:trHeight w:val="239"/>
        </w:trPr>
        <w:tc>
          <w:tcPr>
            <w:tcW w:w="2020" w:type="dxa"/>
            <w:vAlign w:val="bottom"/>
          </w:tcPr>
          <w:p>
            <w:pPr>
              <w:spacing w:after="0"/>
              <w:rPr>
                <w:sz w:val="20"/>
                <w:szCs w:val="20"/>
                <w:color w:val="auto"/>
              </w:rPr>
            </w:pPr>
          </w:p>
        </w:tc>
        <w:tc>
          <w:tcPr>
            <w:tcW w:w="4780" w:type="dxa"/>
            <w:vAlign w:val="bottom"/>
          </w:tcPr>
          <w:p>
            <w:pPr>
              <w:ind w:left="160"/>
              <w:spacing w:after="0"/>
              <w:rPr>
                <w:sz w:val="20"/>
                <w:szCs w:val="20"/>
                <w:color w:val="auto"/>
              </w:rPr>
            </w:pPr>
            <w:r>
              <w:rPr>
                <w:rFonts w:ascii="Arial" w:cs="Arial" w:eastAsia="Arial" w:hAnsi="Arial"/>
                <w:sz w:val="17"/>
                <w:szCs w:val="17"/>
                <w:color w:val="auto"/>
              </w:rPr>
              <w:t>Capital expenditures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(154)</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(200)</w:t>
            </w:r>
          </w:p>
        </w:tc>
        <w:tc>
          <w:tcPr>
            <w:tcW w:w="2020" w:type="dxa"/>
            <w:vAlign w:val="bottom"/>
          </w:tcPr>
          <w:p>
            <w:pPr>
              <w:spacing w:after="0"/>
              <w:rPr>
                <w:sz w:val="20"/>
                <w:szCs w:val="20"/>
                <w:color w:val="auto"/>
              </w:rPr>
            </w:pPr>
          </w:p>
        </w:tc>
      </w:tr>
      <w:tr>
        <w:trPr>
          <w:trHeight w:val="31"/>
        </w:trPr>
        <w:tc>
          <w:tcPr>
            <w:tcW w:w="20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2020" w:type="dxa"/>
            <w:vAlign w:val="bottom"/>
          </w:tcPr>
          <w:p>
            <w:pPr>
              <w:spacing w:after="0"/>
              <w:rPr>
                <w:sz w:val="21"/>
                <w:szCs w:val="21"/>
                <w:color w:val="auto"/>
              </w:rPr>
            </w:pPr>
          </w:p>
        </w:tc>
        <w:tc>
          <w:tcPr>
            <w:tcW w:w="4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Beneficial interest in transferred receivables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335</w:t>
            </w:r>
          </w:p>
        </w:tc>
        <w:tc>
          <w:tcPr>
            <w:tcW w:w="2020" w:type="dxa"/>
            <w:vAlign w:val="bottom"/>
          </w:tcPr>
          <w:p>
            <w:pPr>
              <w:spacing w:after="0"/>
              <w:rPr>
                <w:sz w:val="21"/>
                <w:szCs w:val="21"/>
                <w:color w:val="auto"/>
              </w:rPr>
            </w:pPr>
          </w:p>
        </w:tc>
      </w:tr>
      <w:tr>
        <w:trPr>
          <w:trHeight w:val="239"/>
        </w:trPr>
        <w:tc>
          <w:tcPr>
            <w:tcW w:w="2020" w:type="dxa"/>
            <w:vAlign w:val="bottom"/>
          </w:tcPr>
          <w:p>
            <w:pPr>
              <w:spacing w:after="0"/>
              <w:rPr>
                <w:sz w:val="20"/>
                <w:szCs w:val="20"/>
                <w:color w:val="auto"/>
              </w:rPr>
            </w:pPr>
          </w:p>
        </w:tc>
        <w:tc>
          <w:tcPr>
            <w:tcW w:w="4780" w:type="dxa"/>
            <w:vAlign w:val="bottom"/>
          </w:tcPr>
          <w:p>
            <w:pPr>
              <w:ind w:left="140"/>
              <w:spacing w:after="0"/>
              <w:rPr>
                <w:sz w:val="20"/>
                <w:szCs w:val="20"/>
                <w:color w:val="auto"/>
              </w:rPr>
            </w:pPr>
            <w:r>
              <w:rPr>
                <w:rFonts w:ascii="Arial" w:cs="Arial" w:eastAsia="Arial" w:hAnsi="Arial"/>
                <w:sz w:val="17"/>
                <w:szCs w:val="17"/>
                <w:color w:val="auto"/>
              </w:rPr>
              <w:t>Acquisition of business, net of cash acquired</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(3,907)</w:t>
            </w:r>
          </w:p>
        </w:tc>
        <w:tc>
          <w:tcPr>
            <w:tcW w:w="2020" w:type="dxa"/>
            <w:vAlign w:val="bottom"/>
          </w:tcPr>
          <w:p>
            <w:pPr>
              <w:spacing w:after="0"/>
              <w:rPr>
                <w:sz w:val="20"/>
                <w:szCs w:val="20"/>
                <w:color w:val="auto"/>
              </w:rPr>
            </w:pPr>
          </w:p>
        </w:tc>
      </w:tr>
      <w:tr>
        <w:trPr>
          <w:trHeight w:val="31"/>
        </w:trPr>
        <w:tc>
          <w:tcPr>
            <w:tcW w:w="20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2020" w:type="dxa"/>
            <w:vAlign w:val="bottom"/>
          </w:tcPr>
          <w:p>
            <w:pPr>
              <w:spacing w:after="0"/>
              <w:rPr>
                <w:sz w:val="21"/>
                <w:szCs w:val="21"/>
                <w:color w:val="auto"/>
              </w:rPr>
            </w:pPr>
          </w:p>
        </w:tc>
        <w:tc>
          <w:tcPr>
            <w:tcW w:w="4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Proceeds from sale of assets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w:t>
            </w: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2020" w:type="dxa"/>
            <w:vAlign w:val="bottom"/>
          </w:tcPr>
          <w:p>
            <w:pPr>
              <w:spacing w:after="0"/>
              <w:rPr>
                <w:sz w:val="21"/>
                <w:szCs w:val="21"/>
                <w:color w:val="auto"/>
              </w:rPr>
            </w:pPr>
          </w:p>
        </w:tc>
      </w:tr>
      <w:tr>
        <w:trPr>
          <w:trHeight w:val="239"/>
        </w:trPr>
        <w:tc>
          <w:tcPr>
            <w:tcW w:w="2020" w:type="dxa"/>
            <w:vAlign w:val="bottom"/>
          </w:tcPr>
          <w:p>
            <w:pPr>
              <w:spacing w:after="0"/>
              <w:rPr>
                <w:sz w:val="20"/>
                <w:szCs w:val="20"/>
                <w:color w:val="auto"/>
              </w:rPr>
            </w:pPr>
          </w:p>
        </w:tc>
        <w:tc>
          <w:tcPr>
            <w:tcW w:w="4780" w:type="dxa"/>
            <w:vAlign w:val="bottom"/>
          </w:tcPr>
          <w:p>
            <w:pPr>
              <w:ind w:left="160"/>
              <w:spacing w:after="0"/>
              <w:rPr>
                <w:sz w:val="20"/>
                <w:szCs w:val="20"/>
                <w:color w:val="auto"/>
              </w:rPr>
            </w:pPr>
            <w:r>
              <w:rPr>
                <w:rFonts w:ascii="Arial" w:cs="Arial" w:eastAsia="Arial" w:hAnsi="Arial"/>
                <w:sz w:val="17"/>
                <w:szCs w:val="17"/>
                <w:color w:val="auto"/>
              </w:rPr>
              <w:t>Other</w:t>
            </w:r>
          </w:p>
        </w:tc>
        <w:tc>
          <w:tcPr>
            <w:tcW w:w="260" w:type="dxa"/>
            <w:vAlign w:val="bottom"/>
          </w:tcPr>
          <w:p>
            <w:pPr>
              <w:spacing w:after="0"/>
              <w:rPr>
                <w:sz w:val="20"/>
                <w:szCs w:val="20"/>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6</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(25)</w:t>
            </w:r>
          </w:p>
        </w:tc>
        <w:tc>
          <w:tcPr>
            <w:tcW w:w="2020" w:type="dxa"/>
            <w:vAlign w:val="bottom"/>
          </w:tcPr>
          <w:p>
            <w:pPr>
              <w:spacing w:after="0"/>
              <w:rPr>
                <w:sz w:val="20"/>
                <w:szCs w:val="20"/>
                <w:color w:val="auto"/>
              </w:rPr>
            </w:pPr>
          </w:p>
        </w:tc>
      </w:tr>
      <w:tr>
        <w:trPr>
          <w:trHeight w:val="31"/>
        </w:trPr>
        <w:tc>
          <w:tcPr>
            <w:tcW w:w="2020" w:type="dxa"/>
            <w:vAlign w:val="bottom"/>
          </w:tcPr>
          <w:p>
            <w:pPr>
              <w:spacing w:after="0"/>
              <w:rPr>
                <w:sz w:val="2"/>
                <w:szCs w:val="2"/>
                <w:color w:val="auto"/>
              </w:rPr>
            </w:pPr>
          </w:p>
        </w:tc>
        <w:tc>
          <w:tcPr>
            <w:tcW w:w="4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2020" w:type="dxa"/>
            <w:vAlign w:val="bottom"/>
          </w:tcPr>
          <w:p>
            <w:pPr>
              <w:spacing w:after="0"/>
              <w:rPr>
                <w:sz w:val="21"/>
                <w:szCs w:val="21"/>
                <w:color w:val="auto"/>
              </w:rPr>
            </w:pPr>
          </w:p>
        </w:tc>
        <w:tc>
          <w:tcPr>
            <w:tcW w:w="47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7"/>
                <w:szCs w:val="17"/>
                <w:b w:val="1"/>
                <w:bCs w:val="1"/>
                <w:color w:val="auto"/>
              </w:rPr>
              <w:t>Net cash used for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(137)</w:t>
            </w: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(3,792)</w:t>
            </w:r>
          </w:p>
        </w:tc>
        <w:tc>
          <w:tcPr>
            <w:tcW w:w="2020" w:type="dxa"/>
            <w:vAlign w:val="bottom"/>
          </w:tcPr>
          <w:p>
            <w:pPr>
              <w:spacing w:after="0"/>
              <w:rPr>
                <w:sz w:val="21"/>
                <w:szCs w:val="21"/>
                <w:color w:val="auto"/>
              </w:rPr>
            </w:pPr>
          </w:p>
        </w:tc>
      </w:tr>
      <w:tr>
        <w:trPr>
          <w:trHeight w:val="169"/>
        </w:trPr>
        <w:tc>
          <w:tcPr>
            <w:tcW w:w="20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020" w:type="dxa"/>
            <w:vAlign w:val="bottom"/>
          </w:tcPr>
          <w:p>
            <w:pPr>
              <w:spacing w:after="0"/>
              <w:rPr>
                <w:sz w:val="14"/>
                <w:szCs w:val="14"/>
                <w:color w:val="auto"/>
              </w:rPr>
            </w:pPr>
          </w:p>
        </w:tc>
      </w:tr>
      <w:tr>
        <w:trPr>
          <w:trHeight w:val="250"/>
        </w:trPr>
        <w:tc>
          <w:tcPr>
            <w:tcW w:w="2020" w:type="dxa"/>
            <w:vAlign w:val="bottom"/>
          </w:tcPr>
          <w:p>
            <w:pPr>
              <w:spacing w:after="0"/>
              <w:rPr>
                <w:sz w:val="21"/>
                <w:szCs w:val="21"/>
                <w:color w:val="auto"/>
              </w:rPr>
            </w:pPr>
          </w:p>
        </w:tc>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020" w:type="dxa"/>
            <w:vAlign w:val="bottom"/>
          </w:tcPr>
          <w:p>
            <w:pPr>
              <w:spacing w:after="0"/>
              <w:rPr>
                <w:sz w:val="21"/>
                <w:szCs w:val="21"/>
                <w:color w:val="auto"/>
              </w:rPr>
            </w:pPr>
          </w:p>
        </w:tc>
      </w:tr>
      <w:tr>
        <w:trPr>
          <w:trHeight w:val="239"/>
        </w:trPr>
        <w:tc>
          <w:tcPr>
            <w:tcW w:w="2020" w:type="dxa"/>
            <w:vAlign w:val="bottom"/>
          </w:tcPr>
          <w:p>
            <w:pPr>
              <w:spacing w:after="0"/>
              <w:rPr>
                <w:sz w:val="20"/>
                <w:szCs w:val="20"/>
                <w:color w:val="auto"/>
              </w:rPr>
            </w:pPr>
          </w:p>
        </w:tc>
        <w:tc>
          <w:tcPr>
            <w:tcW w:w="4780" w:type="dxa"/>
            <w:vAlign w:val="bottom"/>
          </w:tcPr>
          <w:p>
            <w:pPr>
              <w:ind w:left="160"/>
              <w:spacing w:after="0"/>
              <w:rPr>
                <w:sz w:val="20"/>
                <w:szCs w:val="20"/>
                <w:color w:val="auto"/>
              </w:rPr>
            </w:pPr>
            <w:r>
              <w:rPr>
                <w:rFonts w:ascii="Arial" w:cs="Arial" w:eastAsia="Arial" w:hAnsi="Arial"/>
                <w:sz w:val="17"/>
                <w:szCs w:val="17"/>
                <w:color w:val="auto"/>
              </w:rPr>
              <w:t>Net change in debt</w:t>
            </w:r>
          </w:p>
        </w:tc>
        <w:tc>
          <w:tcPr>
            <w:tcW w:w="260" w:type="dxa"/>
            <w:vAlign w:val="bottom"/>
          </w:tcPr>
          <w:p>
            <w:pPr>
              <w:spacing w:after="0"/>
              <w:rPr>
                <w:sz w:val="20"/>
                <w:szCs w:val="20"/>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130</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4,246</w:t>
            </w:r>
          </w:p>
        </w:tc>
        <w:tc>
          <w:tcPr>
            <w:tcW w:w="2020" w:type="dxa"/>
            <w:vAlign w:val="bottom"/>
          </w:tcPr>
          <w:p>
            <w:pPr>
              <w:spacing w:after="0"/>
              <w:rPr>
                <w:sz w:val="20"/>
                <w:szCs w:val="20"/>
                <w:color w:val="auto"/>
              </w:rPr>
            </w:pPr>
          </w:p>
        </w:tc>
      </w:tr>
      <w:tr>
        <w:trPr>
          <w:trHeight w:val="31"/>
        </w:trPr>
        <w:tc>
          <w:tcPr>
            <w:tcW w:w="20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2020" w:type="dxa"/>
            <w:vAlign w:val="bottom"/>
          </w:tcPr>
          <w:p>
            <w:pPr>
              <w:spacing w:after="0"/>
              <w:rPr>
                <w:sz w:val="21"/>
                <w:szCs w:val="21"/>
                <w:color w:val="auto"/>
              </w:rPr>
            </w:pPr>
          </w:p>
        </w:tc>
        <w:tc>
          <w:tcPr>
            <w:tcW w:w="4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Dividends paid to noncontrolling interests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2020" w:type="dxa"/>
            <w:vAlign w:val="bottom"/>
          </w:tcPr>
          <w:p>
            <w:pPr>
              <w:spacing w:after="0"/>
              <w:rPr>
                <w:sz w:val="21"/>
                <w:szCs w:val="21"/>
                <w:color w:val="auto"/>
              </w:rPr>
            </w:pPr>
          </w:p>
        </w:tc>
      </w:tr>
      <w:tr>
        <w:trPr>
          <w:trHeight w:val="239"/>
        </w:trPr>
        <w:tc>
          <w:tcPr>
            <w:tcW w:w="2020" w:type="dxa"/>
            <w:vAlign w:val="bottom"/>
          </w:tcPr>
          <w:p>
            <w:pPr>
              <w:spacing w:after="0"/>
              <w:rPr>
                <w:sz w:val="20"/>
                <w:szCs w:val="20"/>
                <w:color w:val="auto"/>
              </w:rPr>
            </w:pPr>
          </w:p>
        </w:tc>
        <w:tc>
          <w:tcPr>
            <w:tcW w:w="4780" w:type="dxa"/>
            <w:vAlign w:val="bottom"/>
          </w:tcPr>
          <w:p>
            <w:pPr>
              <w:ind w:left="160"/>
              <w:spacing w:after="0"/>
              <w:rPr>
                <w:sz w:val="20"/>
                <w:szCs w:val="20"/>
                <w:color w:val="auto"/>
              </w:rPr>
            </w:pPr>
            <w:r>
              <w:rPr>
                <w:rFonts w:ascii="Arial" w:cs="Arial" w:eastAsia="Arial" w:hAnsi="Arial"/>
                <w:sz w:val="17"/>
                <w:szCs w:val="17"/>
                <w:color w:val="auto"/>
              </w:rPr>
              <w:t>Common stock repurchased</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w:t>
            </w:r>
          </w:p>
        </w:tc>
        <w:tc>
          <w:tcPr>
            <w:tcW w:w="2020" w:type="dxa"/>
            <w:vAlign w:val="bottom"/>
          </w:tcPr>
          <w:p>
            <w:pPr>
              <w:spacing w:after="0"/>
              <w:rPr>
                <w:sz w:val="20"/>
                <w:szCs w:val="20"/>
                <w:color w:val="auto"/>
              </w:rPr>
            </w:pPr>
          </w:p>
        </w:tc>
      </w:tr>
      <w:tr>
        <w:trPr>
          <w:trHeight w:val="31"/>
        </w:trPr>
        <w:tc>
          <w:tcPr>
            <w:tcW w:w="20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2020" w:type="dxa"/>
            <w:vAlign w:val="bottom"/>
          </w:tcPr>
          <w:p>
            <w:pPr>
              <w:spacing w:after="0"/>
              <w:rPr>
                <w:sz w:val="21"/>
                <w:szCs w:val="21"/>
                <w:color w:val="auto"/>
              </w:rPr>
            </w:pPr>
          </w:p>
        </w:tc>
        <w:tc>
          <w:tcPr>
            <w:tcW w:w="4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Debt issue costs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2020" w:type="dxa"/>
            <w:vAlign w:val="bottom"/>
          </w:tcPr>
          <w:p>
            <w:pPr>
              <w:spacing w:after="0"/>
              <w:rPr>
                <w:sz w:val="21"/>
                <w:szCs w:val="21"/>
                <w:color w:val="auto"/>
              </w:rPr>
            </w:pPr>
          </w:p>
        </w:tc>
      </w:tr>
      <w:tr>
        <w:trPr>
          <w:trHeight w:val="239"/>
        </w:trPr>
        <w:tc>
          <w:tcPr>
            <w:tcW w:w="2020" w:type="dxa"/>
            <w:vAlign w:val="bottom"/>
          </w:tcPr>
          <w:p>
            <w:pPr>
              <w:spacing w:after="0"/>
              <w:rPr>
                <w:sz w:val="20"/>
                <w:szCs w:val="20"/>
                <w:color w:val="auto"/>
              </w:rPr>
            </w:pPr>
          </w:p>
        </w:tc>
        <w:tc>
          <w:tcPr>
            <w:tcW w:w="4780" w:type="dxa"/>
            <w:vAlign w:val="bottom"/>
          </w:tcPr>
          <w:p>
            <w:pPr>
              <w:ind w:left="160"/>
              <w:spacing w:after="0"/>
              <w:rPr>
                <w:sz w:val="20"/>
                <w:szCs w:val="20"/>
                <w:color w:val="auto"/>
              </w:rPr>
            </w:pPr>
            <w:r>
              <w:rPr>
                <w:rFonts w:ascii="Arial" w:cs="Arial" w:eastAsia="Arial" w:hAnsi="Arial"/>
                <w:sz w:val="17"/>
                <w:szCs w:val="17"/>
                <w:color w:val="auto"/>
              </w:rPr>
              <w:t>Other, net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(18)</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w:t>
            </w:r>
          </w:p>
        </w:tc>
        <w:tc>
          <w:tcPr>
            <w:tcW w:w="2020" w:type="dxa"/>
            <w:vAlign w:val="bottom"/>
          </w:tcPr>
          <w:p>
            <w:pPr>
              <w:spacing w:after="0"/>
              <w:rPr>
                <w:sz w:val="20"/>
                <w:szCs w:val="20"/>
                <w:color w:val="auto"/>
              </w:rPr>
            </w:pPr>
          </w:p>
        </w:tc>
      </w:tr>
      <w:tr>
        <w:trPr>
          <w:trHeight w:val="31"/>
        </w:trPr>
        <w:tc>
          <w:tcPr>
            <w:tcW w:w="2020" w:type="dxa"/>
            <w:vAlign w:val="bottom"/>
          </w:tcPr>
          <w:p>
            <w:pPr>
              <w:spacing w:after="0"/>
              <w:rPr>
                <w:sz w:val="2"/>
                <w:szCs w:val="2"/>
                <w:color w:val="auto"/>
              </w:rPr>
            </w:pPr>
          </w:p>
        </w:tc>
        <w:tc>
          <w:tcPr>
            <w:tcW w:w="4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2020" w:type="dxa"/>
            <w:vAlign w:val="bottom"/>
          </w:tcPr>
          <w:p>
            <w:pPr>
              <w:spacing w:after="0"/>
              <w:rPr>
                <w:sz w:val="21"/>
                <w:szCs w:val="21"/>
                <w:color w:val="auto"/>
              </w:rPr>
            </w:pPr>
          </w:p>
        </w:tc>
        <w:tc>
          <w:tcPr>
            <w:tcW w:w="47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7"/>
                <w:szCs w:val="17"/>
                <w:b w:val="1"/>
                <w:bCs w:val="1"/>
                <w:color w:val="auto"/>
              </w:rPr>
              <w:t>Net cash provided by 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99</w:t>
            </w: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4,162</w:t>
            </w:r>
          </w:p>
        </w:tc>
        <w:tc>
          <w:tcPr>
            <w:tcW w:w="2020" w:type="dxa"/>
            <w:vAlign w:val="bottom"/>
          </w:tcPr>
          <w:p>
            <w:pPr>
              <w:spacing w:after="0"/>
              <w:rPr>
                <w:sz w:val="21"/>
                <w:szCs w:val="21"/>
                <w:color w:val="auto"/>
              </w:rPr>
            </w:pPr>
          </w:p>
        </w:tc>
      </w:tr>
      <w:tr>
        <w:trPr>
          <w:trHeight w:val="169"/>
        </w:trPr>
        <w:tc>
          <w:tcPr>
            <w:tcW w:w="20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020" w:type="dxa"/>
            <w:vAlign w:val="bottom"/>
          </w:tcPr>
          <w:p>
            <w:pPr>
              <w:spacing w:after="0"/>
              <w:rPr>
                <w:sz w:val="14"/>
                <w:szCs w:val="14"/>
                <w:color w:val="auto"/>
              </w:rPr>
            </w:pPr>
          </w:p>
        </w:tc>
      </w:tr>
      <w:tr>
        <w:trPr>
          <w:trHeight w:val="270"/>
        </w:trPr>
        <w:tc>
          <w:tcPr>
            <w:tcW w:w="2020" w:type="dxa"/>
            <w:vAlign w:val="bottom"/>
          </w:tcPr>
          <w:p>
            <w:pPr>
              <w:spacing w:after="0"/>
              <w:rPr>
                <w:sz w:val="23"/>
                <w:szCs w:val="23"/>
                <w:color w:val="auto"/>
              </w:rPr>
            </w:pPr>
          </w:p>
        </w:tc>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Effect of exchange rate changes on cash and cash equivalents</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w:t>
            </w:r>
          </w:p>
        </w:tc>
        <w:tc>
          <w:tcPr>
            <w:tcW w:w="3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2020" w:type="dxa"/>
            <w:vAlign w:val="bottom"/>
          </w:tcPr>
          <w:p>
            <w:pPr>
              <w:spacing w:after="0"/>
              <w:rPr>
                <w:sz w:val="23"/>
                <w:szCs w:val="23"/>
                <w:color w:val="auto"/>
              </w:rPr>
            </w:pPr>
          </w:p>
        </w:tc>
      </w:tr>
      <w:tr>
        <w:trPr>
          <w:trHeight w:val="250"/>
        </w:trPr>
        <w:tc>
          <w:tcPr>
            <w:tcW w:w="2020" w:type="dxa"/>
            <w:vAlign w:val="bottom"/>
          </w:tcPr>
          <w:p>
            <w:pPr>
              <w:spacing w:after="0"/>
              <w:rPr>
                <w:sz w:val="21"/>
                <w:szCs w:val="21"/>
                <w:color w:val="auto"/>
              </w:rPr>
            </w:pPr>
          </w:p>
        </w:tc>
        <w:tc>
          <w:tcPr>
            <w:tcW w:w="478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2020" w:type="dxa"/>
            <w:vAlign w:val="bottom"/>
          </w:tcPr>
          <w:p>
            <w:pPr>
              <w:spacing w:after="0"/>
              <w:rPr>
                <w:sz w:val="21"/>
                <w:szCs w:val="21"/>
                <w:color w:val="auto"/>
              </w:rPr>
            </w:pPr>
          </w:p>
        </w:tc>
      </w:tr>
      <w:tr>
        <w:trPr>
          <w:trHeight w:val="250"/>
        </w:trPr>
        <w:tc>
          <w:tcPr>
            <w:tcW w:w="2020" w:type="dxa"/>
            <w:vAlign w:val="bottom"/>
          </w:tcPr>
          <w:p>
            <w:pPr>
              <w:spacing w:after="0"/>
              <w:rPr>
                <w:sz w:val="21"/>
                <w:szCs w:val="21"/>
                <w:color w:val="auto"/>
              </w:rPr>
            </w:pPr>
          </w:p>
        </w:tc>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change in cash and 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(262)</w:t>
            </w: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(128)</w:t>
            </w:r>
          </w:p>
        </w:tc>
        <w:tc>
          <w:tcPr>
            <w:tcW w:w="2020" w:type="dxa"/>
            <w:vAlign w:val="bottom"/>
          </w:tcPr>
          <w:p>
            <w:pPr>
              <w:spacing w:after="0"/>
              <w:rPr>
                <w:sz w:val="21"/>
                <w:szCs w:val="21"/>
                <w:color w:val="auto"/>
              </w:rPr>
            </w:pPr>
          </w:p>
        </w:tc>
      </w:tr>
      <w:tr>
        <w:trPr>
          <w:trHeight w:val="239"/>
        </w:trPr>
        <w:tc>
          <w:tcPr>
            <w:tcW w:w="2020" w:type="dxa"/>
            <w:vAlign w:val="bottom"/>
          </w:tcPr>
          <w:p>
            <w:pPr>
              <w:spacing w:after="0"/>
              <w:rPr>
                <w:sz w:val="20"/>
                <w:szCs w:val="20"/>
                <w:color w:val="auto"/>
              </w:rPr>
            </w:pPr>
          </w:p>
        </w:tc>
        <w:tc>
          <w:tcPr>
            <w:tcW w:w="4780" w:type="dxa"/>
            <w:vAlign w:val="bottom"/>
          </w:tcPr>
          <w:p>
            <w:pPr>
              <w:ind w:left="20"/>
              <w:spacing w:after="0"/>
              <w:rPr>
                <w:sz w:val="20"/>
                <w:szCs w:val="20"/>
                <w:color w:val="auto"/>
              </w:rPr>
            </w:pPr>
            <w:r>
              <w:rPr>
                <w:rFonts w:ascii="Arial" w:cs="Arial" w:eastAsia="Arial" w:hAnsi="Arial"/>
                <w:sz w:val="17"/>
                <w:szCs w:val="17"/>
                <w:color w:val="auto"/>
              </w:rPr>
              <w:t>Cash and cash equivalents at January 1</w:t>
            </w:r>
          </w:p>
        </w:tc>
        <w:tc>
          <w:tcPr>
            <w:tcW w:w="260" w:type="dxa"/>
            <w:vAlign w:val="bottom"/>
          </w:tcPr>
          <w:p>
            <w:pPr>
              <w:spacing w:after="0"/>
              <w:rPr>
                <w:sz w:val="20"/>
                <w:szCs w:val="20"/>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659</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435</w:t>
            </w:r>
          </w:p>
        </w:tc>
        <w:tc>
          <w:tcPr>
            <w:tcW w:w="2020" w:type="dxa"/>
            <w:vAlign w:val="bottom"/>
          </w:tcPr>
          <w:p>
            <w:pPr>
              <w:spacing w:after="0"/>
              <w:rPr>
                <w:sz w:val="20"/>
                <w:szCs w:val="20"/>
                <w:color w:val="auto"/>
              </w:rPr>
            </w:pPr>
          </w:p>
        </w:tc>
      </w:tr>
      <w:tr>
        <w:trPr>
          <w:trHeight w:val="31"/>
        </w:trPr>
        <w:tc>
          <w:tcPr>
            <w:tcW w:w="2020" w:type="dxa"/>
            <w:vAlign w:val="bottom"/>
          </w:tcPr>
          <w:p>
            <w:pPr>
              <w:spacing w:after="0"/>
              <w:rPr>
                <w:sz w:val="2"/>
                <w:szCs w:val="2"/>
                <w:color w:val="auto"/>
              </w:rPr>
            </w:pPr>
          </w:p>
        </w:tc>
        <w:tc>
          <w:tcPr>
            <w:tcW w:w="4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2020" w:type="dxa"/>
            <w:vAlign w:val="bottom"/>
          </w:tcPr>
          <w:p>
            <w:pPr>
              <w:spacing w:after="0"/>
              <w:rPr>
                <w:sz w:val="21"/>
                <w:szCs w:val="21"/>
                <w:color w:val="auto"/>
              </w:rPr>
            </w:pPr>
          </w:p>
        </w:tc>
        <w:tc>
          <w:tcPr>
            <w:tcW w:w="47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020" w:type="dxa"/>
            <w:vAlign w:val="bottom"/>
          </w:tcPr>
          <w:p>
            <w:pPr>
              <w:spacing w:after="0"/>
              <w:rPr>
                <w:sz w:val="21"/>
                <w:szCs w:val="21"/>
                <w:color w:val="auto"/>
              </w:rPr>
            </w:pPr>
          </w:p>
        </w:tc>
      </w:tr>
      <w:tr>
        <w:trPr>
          <w:trHeight w:val="257"/>
        </w:trPr>
        <w:tc>
          <w:tcPr>
            <w:tcW w:w="2020" w:type="dxa"/>
            <w:vAlign w:val="bottom"/>
          </w:tcPr>
          <w:p>
            <w:pPr>
              <w:spacing w:after="0"/>
              <w:rPr>
                <w:sz w:val="22"/>
                <w:szCs w:val="22"/>
                <w:color w:val="auto"/>
              </w:rPr>
            </w:pPr>
          </w:p>
        </w:tc>
        <w:tc>
          <w:tcPr>
            <w:tcW w:w="4780" w:type="dxa"/>
            <w:vAlign w:val="bottom"/>
          </w:tcPr>
          <w:p>
            <w:pPr>
              <w:ind w:left="20"/>
              <w:spacing w:after="0" w:line="257" w:lineRule="exact"/>
              <w:rPr>
                <w:sz w:val="20"/>
                <w:szCs w:val="20"/>
                <w:color w:val="auto"/>
              </w:rPr>
            </w:pPr>
            <w:r>
              <w:rPr>
                <w:rFonts w:ascii="Arial" w:cs="Arial" w:eastAsia="Arial" w:hAnsi="Arial"/>
                <w:sz w:val="17"/>
                <w:szCs w:val="17"/>
                <w:b w:val="1"/>
                <w:bCs w:val="1"/>
                <w:color w:val="auto"/>
              </w:rPr>
              <w:t xml:space="preserve">Cash and cash equivalents at June 30 </w:t>
            </w:r>
            <w:r>
              <w:rPr>
                <w:rFonts w:ascii="Arial" w:cs="Arial" w:eastAsia="Arial" w:hAnsi="Arial"/>
                <w:sz w:val="28"/>
                <w:szCs w:val="28"/>
                <w:b w:val="1"/>
                <w:bCs w:val="1"/>
                <w:color w:val="auto"/>
                <w:vertAlign w:val="superscript"/>
              </w:rPr>
              <w:t>(2)</w:t>
            </w:r>
          </w:p>
        </w:tc>
        <w:tc>
          <w:tcPr>
            <w:tcW w:w="2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w:t>
            </w:r>
          </w:p>
        </w:tc>
        <w:tc>
          <w:tcPr>
            <w:tcW w:w="8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397</w:t>
            </w:r>
          </w:p>
        </w:tc>
        <w:tc>
          <w:tcPr>
            <w:tcW w:w="360" w:type="dxa"/>
            <w:vAlign w:val="bottom"/>
          </w:tcPr>
          <w:p>
            <w:pPr>
              <w:spacing w:after="0"/>
              <w:rPr>
                <w:sz w:val="22"/>
                <w:szCs w:val="22"/>
                <w:color w:val="auto"/>
              </w:rPr>
            </w:pPr>
          </w:p>
        </w:tc>
        <w:tc>
          <w:tcPr>
            <w:tcW w:w="2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w w:val="84"/>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307</w:t>
            </w:r>
          </w:p>
        </w:tc>
        <w:tc>
          <w:tcPr>
            <w:tcW w:w="2020" w:type="dxa"/>
            <w:vAlign w:val="bottom"/>
          </w:tcPr>
          <w:p>
            <w:pPr>
              <w:spacing w:after="0"/>
              <w:rPr>
                <w:sz w:val="22"/>
                <w:szCs w:val="22"/>
                <w:color w:val="auto"/>
              </w:rPr>
            </w:pPr>
          </w:p>
        </w:tc>
      </w:tr>
      <w:tr>
        <w:trPr>
          <w:trHeight w:val="20"/>
        </w:trPr>
        <w:tc>
          <w:tcPr>
            <w:tcW w:w="20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96"/>
        </w:trPr>
        <w:tc>
          <w:tcPr>
            <w:tcW w:w="2020" w:type="dxa"/>
            <w:vAlign w:val="bottom"/>
            <w:tcBorders>
              <w:bottom w:val="single" w:sz="8" w:color="9A9A9A"/>
            </w:tcBorders>
          </w:tcPr>
          <w:p>
            <w:pPr>
              <w:spacing w:after="0"/>
              <w:rPr>
                <w:sz w:val="8"/>
                <w:szCs w:val="8"/>
                <w:color w:val="auto"/>
              </w:rPr>
            </w:pPr>
          </w:p>
        </w:tc>
        <w:tc>
          <w:tcPr>
            <w:tcW w:w="47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0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74" w:lineRule="exact"/>
        <w:rPr>
          <w:sz w:val="20"/>
          <w:szCs w:val="20"/>
          <w:color w:val="auto"/>
        </w:rPr>
      </w:pPr>
    </w:p>
    <w:p>
      <w:pPr>
        <w:jc w:val="both"/>
        <w:ind w:left="400" w:right="60" w:hanging="324"/>
        <w:spacing w:after="0" w:line="264" w:lineRule="auto"/>
        <w:tabs>
          <w:tab w:leader="none" w:pos="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free cash flow is defined by the Company as net cash used for operating activities plus beneficial interest in transferred receivables less capital expenditures and certain other items. A reconciliation from net cash used for operating activities to adjusted free cash flow for the three and six months ended June 30, 2019 and 2018 follows.</w:t>
      </w:r>
    </w:p>
    <w:p>
      <w:pPr>
        <w:spacing w:after="0" w:line="181" w:lineRule="exact"/>
        <w:rPr>
          <w:rFonts w:ascii="Arial" w:cs="Arial" w:eastAsia="Arial" w:hAnsi="Arial"/>
          <w:sz w:val="18"/>
          <w:szCs w:val="18"/>
          <w:color w:val="auto"/>
        </w:rPr>
      </w:pPr>
    </w:p>
    <w:p>
      <w:pPr>
        <w:ind w:left="400" w:hanging="324"/>
        <w:spacing w:after="0"/>
        <w:tabs>
          <w:tab w:leader="none" w:pos="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Cash and cash equivalents includes $55 and $9 of restricted cash at June 30, 2019 and 2018.</w:t>
      </w:r>
    </w:p>
    <w:p>
      <w:pPr>
        <w:spacing w:after="0" w:line="175" w:lineRule="exact"/>
        <w:rPr>
          <w:sz w:val="20"/>
          <w:szCs w:val="20"/>
          <w:color w:val="auto"/>
        </w:rPr>
      </w:pPr>
    </w:p>
    <w:tbl>
      <w:tblPr>
        <w:tblLayout w:type="fixed"/>
        <w:tblInd w:w="1660" w:type="dxa"/>
        <w:tblCellMar>
          <w:top w:w="0" w:type="dxa"/>
          <w:left w:w="0" w:type="dxa"/>
          <w:bottom w:w="0" w:type="dxa"/>
          <w:right w:w="0" w:type="dxa"/>
        </w:tblCellMar>
      </w:tblPr>
      <w:tr>
        <w:trPr>
          <w:trHeight w:val="222"/>
        </w:trPr>
        <w:tc>
          <w:tcPr>
            <w:tcW w:w="3260" w:type="dxa"/>
            <w:vAlign w:val="bottom"/>
          </w:tcPr>
          <w:p>
            <w:pPr>
              <w:spacing w:after="0"/>
              <w:rPr>
                <w:sz w:val="19"/>
                <w:szCs w:val="19"/>
                <w:color w:val="auto"/>
              </w:rPr>
            </w:pPr>
          </w:p>
        </w:tc>
        <w:tc>
          <w:tcPr>
            <w:tcW w:w="2780" w:type="dxa"/>
            <w:vAlign w:val="bottom"/>
            <w:gridSpan w:val="6"/>
          </w:tcPr>
          <w:p>
            <w:pPr>
              <w:ind w:left="460"/>
              <w:spacing w:after="0"/>
              <w:rPr>
                <w:sz w:val="20"/>
                <w:szCs w:val="20"/>
                <w:color w:val="auto"/>
              </w:rPr>
            </w:pPr>
            <w:r>
              <w:rPr>
                <w:rFonts w:ascii="Arial" w:cs="Arial" w:eastAsia="Arial" w:hAnsi="Arial"/>
                <w:sz w:val="17"/>
                <w:szCs w:val="17"/>
                <w:b w:val="1"/>
                <w:bCs w:val="1"/>
                <w:color w:val="auto"/>
              </w:rPr>
              <w:t>Three Months Ended</w:t>
            </w:r>
          </w:p>
        </w:tc>
        <w:tc>
          <w:tcPr>
            <w:tcW w:w="200" w:type="dxa"/>
            <w:vAlign w:val="bottom"/>
          </w:tcPr>
          <w:p>
            <w:pPr>
              <w:spacing w:after="0"/>
              <w:rPr>
                <w:sz w:val="19"/>
                <w:szCs w:val="19"/>
                <w:color w:val="auto"/>
              </w:rPr>
            </w:pPr>
          </w:p>
        </w:tc>
        <w:tc>
          <w:tcPr>
            <w:tcW w:w="2040" w:type="dxa"/>
            <w:vAlign w:val="bottom"/>
            <w:gridSpan w:val="4"/>
          </w:tcPr>
          <w:p>
            <w:pPr>
              <w:jc w:val="right"/>
              <w:ind w:right="355"/>
              <w:spacing w:after="0"/>
              <w:rPr>
                <w:sz w:val="20"/>
                <w:szCs w:val="20"/>
                <w:color w:val="auto"/>
              </w:rPr>
            </w:pPr>
            <w:r>
              <w:rPr>
                <w:rFonts w:ascii="Arial" w:cs="Arial" w:eastAsia="Arial" w:hAnsi="Arial"/>
                <w:sz w:val="17"/>
                <w:szCs w:val="17"/>
                <w:b w:val="1"/>
                <w:bCs w:val="1"/>
                <w:color w:val="auto"/>
              </w:rPr>
              <w:t>Six Months Ended</w:t>
            </w:r>
          </w:p>
        </w:tc>
        <w:tc>
          <w:tcPr>
            <w:tcW w:w="0" w:type="dxa"/>
            <w:vAlign w:val="bottom"/>
          </w:tcPr>
          <w:p>
            <w:pPr>
              <w:spacing w:after="0"/>
              <w:rPr>
                <w:sz w:val="1"/>
                <w:szCs w:val="1"/>
                <w:color w:val="auto"/>
              </w:rPr>
            </w:pPr>
          </w:p>
        </w:tc>
      </w:tr>
      <w:tr>
        <w:trPr>
          <w:trHeight w:val="270"/>
        </w:trPr>
        <w:tc>
          <w:tcPr>
            <w:tcW w:w="32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40" w:type="dxa"/>
            <w:vAlign w:val="bottom"/>
            <w:gridSpan w:val="3"/>
          </w:tcPr>
          <w:p>
            <w:pPr>
              <w:jc w:val="right"/>
              <w:ind w:right="15"/>
              <w:spacing w:after="0"/>
              <w:rPr>
                <w:sz w:val="20"/>
                <w:szCs w:val="20"/>
                <w:color w:val="auto"/>
              </w:rPr>
            </w:pPr>
            <w:r>
              <w:rPr>
                <w:rFonts w:ascii="Arial" w:cs="Arial" w:eastAsia="Arial" w:hAnsi="Arial"/>
                <w:sz w:val="17"/>
                <w:szCs w:val="17"/>
                <w:b w:val="1"/>
                <w:bCs w:val="1"/>
                <w:color w:val="auto"/>
              </w:rPr>
              <w:t>June 30,</w:t>
            </w:r>
          </w:p>
        </w:tc>
        <w:tc>
          <w:tcPr>
            <w:tcW w:w="8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gridSpan w:val="3"/>
          </w:tcPr>
          <w:p>
            <w:pPr>
              <w:jc w:val="right"/>
              <w:spacing w:after="0"/>
              <w:rPr>
                <w:sz w:val="20"/>
                <w:szCs w:val="20"/>
                <w:color w:val="auto"/>
              </w:rPr>
            </w:pPr>
            <w:r>
              <w:rPr>
                <w:rFonts w:ascii="Arial" w:cs="Arial" w:eastAsia="Arial" w:hAnsi="Arial"/>
                <w:sz w:val="17"/>
                <w:szCs w:val="17"/>
                <w:b w:val="1"/>
                <w:bCs w:val="1"/>
                <w:color w:val="auto"/>
              </w:rPr>
              <w:t>June 30,</w:t>
            </w: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
        </w:trPr>
        <w:tc>
          <w:tcPr>
            <w:tcW w:w="32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2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7"/>
                <w:szCs w:val="17"/>
                <w:b w:val="1"/>
                <w:bCs w:val="1"/>
                <w:color w:val="auto"/>
              </w:rPr>
              <w:t>2019</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295"/>
              <w:spacing w:after="0"/>
              <w:rPr>
                <w:sz w:val="20"/>
                <w:szCs w:val="20"/>
                <w:color w:val="auto"/>
              </w:rPr>
            </w:pPr>
            <w:r>
              <w:rPr>
                <w:rFonts w:ascii="Arial" w:cs="Arial" w:eastAsia="Arial" w:hAnsi="Arial"/>
                <w:sz w:val="17"/>
                <w:szCs w:val="17"/>
                <w:b w:val="1"/>
                <w:bCs w:val="1"/>
                <w:color w:val="auto"/>
              </w:rPr>
              <w:t>2018</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234"/>
              <w:spacing w:after="0"/>
              <w:rPr>
                <w:sz w:val="20"/>
                <w:szCs w:val="20"/>
                <w:color w:val="auto"/>
              </w:rPr>
            </w:pPr>
            <w:r>
              <w:rPr>
                <w:rFonts w:ascii="Arial" w:cs="Arial" w:eastAsia="Arial" w:hAnsi="Arial"/>
                <w:sz w:val="17"/>
                <w:szCs w:val="17"/>
                <w:b w:val="1"/>
                <w:bCs w:val="1"/>
                <w:color w:val="auto"/>
              </w:rPr>
              <w:t>2019</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235"/>
              <w:spacing w:after="0"/>
              <w:rPr>
                <w:sz w:val="20"/>
                <w:szCs w:val="20"/>
                <w:color w:val="auto"/>
              </w:rPr>
            </w:pPr>
            <w:r>
              <w:rPr>
                <w:rFonts w:ascii="Arial" w:cs="Arial" w:eastAsia="Arial" w:hAnsi="Arial"/>
                <w:sz w:val="17"/>
                <w:szCs w:val="17"/>
                <w:b w:val="1"/>
                <w:bCs w:val="1"/>
                <w:color w:val="auto"/>
              </w:rPr>
              <w:t>2018</w:t>
            </w:r>
          </w:p>
        </w:tc>
        <w:tc>
          <w:tcPr>
            <w:tcW w:w="0" w:type="dxa"/>
            <w:vAlign w:val="bottom"/>
          </w:tcPr>
          <w:p>
            <w:pPr>
              <w:spacing w:after="0"/>
              <w:rPr>
                <w:sz w:val="1"/>
                <w:szCs w:val="1"/>
                <w:color w:val="auto"/>
              </w:rPr>
            </w:pPr>
          </w:p>
        </w:tc>
      </w:tr>
      <w:tr>
        <w:trPr>
          <w:trHeight w:val="31"/>
        </w:trPr>
        <w:tc>
          <w:tcPr>
            <w:tcW w:w="32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cash from operating activities</w:t>
            </w:r>
          </w:p>
        </w:tc>
        <w:tc>
          <w:tcPr>
            <w:tcW w:w="720" w:type="dxa"/>
            <w:vAlign w:val="bottom"/>
            <w:tcBorders>
              <w:bottom w:val="single" w:sz="8" w:color="CCEEFF"/>
            </w:tcBorders>
            <w:shd w:val="clear" w:color="auto" w:fill="CCEEFF"/>
          </w:tcPr>
          <w:p>
            <w:pPr>
              <w:jc w:val="right"/>
              <w:ind w:right="535"/>
              <w:spacing w:after="0"/>
              <w:rPr>
                <w:sz w:val="20"/>
                <w:szCs w:val="20"/>
                <w:color w:val="auto"/>
              </w:rPr>
            </w:pPr>
            <w:r>
              <w:rPr>
                <w:rFonts w:ascii="Arial" w:cs="Arial" w:eastAsia="Arial" w:hAnsi="Arial"/>
                <w:sz w:val="17"/>
                <w:szCs w:val="17"/>
                <w:b w:val="1"/>
                <w:bCs w:val="1"/>
                <w:color w:val="auto"/>
                <w:w w:val="84"/>
              </w:rPr>
              <w:t>$</w:t>
            </w:r>
          </w:p>
        </w:tc>
        <w:tc>
          <w:tcPr>
            <w:tcW w:w="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w w:val="84"/>
              </w:rPr>
              <w:t>439</w:t>
            </w:r>
          </w:p>
        </w:tc>
        <w:tc>
          <w:tcPr>
            <w:tcW w:w="3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w:t>
            </w: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259</w:t>
            </w:r>
          </w:p>
        </w:tc>
        <w:tc>
          <w:tcPr>
            <w:tcW w:w="3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w w:val="84"/>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(227)</w:t>
            </w:r>
          </w:p>
        </w:tc>
        <w:tc>
          <w:tcPr>
            <w:tcW w:w="3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w w:val="84"/>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(492)</w:t>
            </w:r>
          </w:p>
        </w:tc>
        <w:tc>
          <w:tcPr>
            <w:tcW w:w="0" w:type="dxa"/>
            <w:vAlign w:val="bottom"/>
          </w:tcPr>
          <w:p>
            <w:pPr>
              <w:spacing w:after="0"/>
              <w:rPr>
                <w:sz w:val="1"/>
                <w:szCs w:val="1"/>
                <w:color w:val="auto"/>
              </w:rPr>
            </w:pPr>
          </w:p>
        </w:tc>
      </w:tr>
      <w:tr>
        <w:trPr>
          <w:trHeight w:val="212"/>
        </w:trPr>
        <w:tc>
          <w:tcPr>
            <w:tcW w:w="3260" w:type="dxa"/>
            <w:vAlign w:val="bottom"/>
          </w:tcPr>
          <w:p>
            <w:pPr>
              <w:ind w:left="20"/>
              <w:spacing w:after="0"/>
              <w:rPr>
                <w:sz w:val="20"/>
                <w:szCs w:val="20"/>
                <w:color w:val="auto"/>
              </w:rPr>
            </w:pPr>
            <w:r>
              <w:rPr>
                <w:rFonts w:ascii="Arial" w:cs="Arial" w:eastAsia="Arial" w:hAnsi="Arial"/>
                <w:sz w:val="17"/>
                <w:szCs w:val="17"/>
                <w:color w:val="auto"/>
                <w:w w:val="97"/>
              </w:rPr>
              <w:t>Beneficial interest in transferred receivables</w:t>
            </w: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vMerge w:val="restart"/>
          </w:tcPr>
          <w:p>
            <w:pPr>
              <w:jc w:val="right"/>
              <w:ind w:right="15"/>
              <w:spacing w:after="0"/>
              <w:rPr>
                <w:sz w:val="20"/>
                <w:szCs w:val="20"/>
                <w:color w:val="auto"/>
              </w:rPr>
            </w:pPr>
            <w:r>
              <w:rPr>
                <w:rFonts w:ascii="Arial" w:cs="Arial" w:eastAsia="Arial" w:hAnsi="Arial"/>
                <w:sz w:val="17"/>
                <w:szCs w:val="17"/>
                <w:color w:val="auto"/>
              </w:rPr>
              <w:t>160</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vMerge w:val="restart"/>
          </w:tcPr>
          <w:p>
            <w:pPr>
              <w:jc w:val="right"/>
              <w:ind w:right="15"/>
              <w:spacing w:after="0"/>
              <w:rPr>
                <w:sz w:val="20"/>
                <w:szCs w:val="20"/>
                <w:color w:val="auto"/>
              </w:rPr>
            </w:pPr>
            <w:r>
              <w:rPr>
                <w:rFonts w:ascii="Arial" w:cs="Arial" w:eastAsia="Arial" w:hAnsi="Arial"/>
                <w:sz w:val="17"/>
                <w:szCs w:val="17"/>
                <w:color w:val="auto"/>
              </w:rPr>
              <w:t>335</w:t>
            </w:r>
          </w:p>
        </w:tc>
        <w:tc>
          <w:tcPr>
            <w:tcW w:w="0" w:type="dxa"/>
            <w:vAlign w:val="bottom"/>
          </w:tcPr>
          <w:p>
            <w:pPr>
              <w:spacing w:after="0"/>
              <w:rPr>
                <w:sz w:val="1"/>
                <w:szCs w:val="1"/>
                <w:color w:val="auto"/>
              </w:rPr>
            </w:pPr>
          </w:p>
        </w:tc>
      </w:tr>
      <w:tr>
        <w:trPr>
          <w:trHeight w:val="181"/>
        </w:trPr>
        <w:tc>
          <w:tcPr>
            <w:tcW w:w="3260" w:type="dxa"/>
            <w:vAlign w:val="bottom"/>
          </w:tcPr>
          <w:p>
            <w:pPr>
              <w:ind w:left="20"/>
              <w:spacing w:after="0"/>
              <w:rPr>
                <w:sz w:val="20"/>
                <w:szCs w:val="20"/>
                <w:color w:val="auto"/>
              </w:rPr>
            </w:pPr>
            <w:r>
              <w:rPr>
                <w:rFonts w:ascii="Arial" w:cs="Arial" w:eastAsia="Arial" w:hAnsi="Arial"/>
                <w:sz w:val="14"/>
                <w:szCs w:val="14"/>
                <w:color w:val="auto"/>
              </w:rPr>
              <w:t>(3)</w:t>
            </w: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3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Acquisition costs</w:t>
            </w:r>
          </w:p>
        </w:tc>
        <w:tc>
          <w:tcPr>
            <w:tcW w:w="7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19</w:t>
            </w:r>
          </w:p>
        </w:tc>
        <w:tc>
          <w:tcPr>
            <w:tcW w:w="3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19"/>
        </w:trPr>
        <w:tc>
          <w:tcPr>
            <w:tcW w:w="3260" w:type="dxa"/>
            <w:vAlign w:val="bottom"/>
          </w:tcPr>
          <w:p>
            <w:pPr>
              <w:ind w:left="20"/>
              <w:spacing w:after="0"/>
              <w:rPr>
                <w:sz w:val="20"/>
                <w:szCs w:val="20"/>
                <w:color w:val="auto"/>
              </w:rPr>
            </w:pPr>
            <w:r>
              <w:rPr>
                <w:rFonts w:ascii="Arial" w:cs="Arial" w:eastAsia="Arial" w:hAnsi="Arial"/>
                <w:sz w:val="17"/>
                <w:szCs w:val="17"/>
                <w:color w:val="auto"/>
              </w:rPr>
              <w:t>Adjusted cash from operating activities</w:t>
            </w:r>
          </w:p>
        </w:tc>
        <w:tc>
          <w:tcPr>
            <w:tcW w:w="72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w w:val="84"/>
              </w:rPr>
              <w:t>439</w:t>
            </w:r>
          </w:p>
        </w:tc>
        <w:tc>
          <w:tcPr>
            <w:tcW w:w="3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438</w:t>
            </w: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(227)</w:t>
            </w:r>
          </w:p>
        </w:tc>
        <w:tc>
          <w:tcPr>
            <w:tcW w:w="3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(135)</w:t>
            </w:r>
          </w:p>
        </w:tc>
        <w:tc>
          <w:tcPr>
            <w:tcW w:w="0" w:type="dxa"/>
            <w:vAlign w:val="bottom"/>
          </w:tcPr>
          <w:p>
            <w:pPr>
              <w:spacing w:after="0"/>
              <w:rPr>
                <w:sz w:val="1"/>
                <w:szCs w:val="1"/>
                <w:color w:val="auto"/>
              </w:rPr>
            </w:pPr>
          </w:p>
        </w:tc>
      </w:tr>
      <w:tr>
        <w:trPr>
          <w:trHeight w:val="31"/>
        </w:trPr>
        <w:tc>
          <w:tcPr>
            <w:tcW w:w="3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60" w:type="dxa"/>
            <w:vAlign w:val="bottom"/>
            <w:shd w:val="clear" w:color="auto" w:fill="CCEEFF"/>
          </w:tcPr>
          <w:p>
            <w:pPr>
              <w:ind w:left="20"/>
              <w:spacing w:after="0" w:line="270" w:lineRule="exact"/>
              <w:rPr>
                <w:sz w:val="20"/>
                <w:szCs w:val="20"/>
                <w:color w:val="auto"/>
              </w:rPr>
            </w:pPr>
            <w:r>
              <w:rPr>
                <w:rFonts w:ascii="Arial" w:cs="Arial" w:eastAsia="Arial" w:hAnsi="Arial"/>
                <w:sz w:val="17"/>
                <w:szCs w:val="17"/>
                <w:color w:val="auto"/>
              </w:rPr>
              <w:t xml:space="preserve">Interest included in investing activities </w:t>
            </w:r>
            <w:r>
              <w:rPr>
                <w:rFonts w:ascii="Arial" w:cs="Arial" w:eastAsia="Arial" w:hAnsi="Arial"/>
                <w:sz w:val="28"/>
                <w:szCs w:val="28"/>
                <w:color w:val="auto"/>
                <w:vertAlign w:val="superscript"/>
              </w:rPr>
              <w:t>(4)</w:t>
            </w:r>
          </w:p>
        </w:tc>
        <w:tc>
          <w:tcPr>
            <w:tcW w:w="7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w:t>
            </w:r>
          </w:p>
        </w:tc>
        <w:tc>
          <w:tcPr>
            <w:tcW w:w="3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3260" w:type="dxa"/>
            <w:vAlign w:val="bottom"/>
          </w:tcPr>
          <w:p>
            <w:pPr>
              <w:ind w:left="20"/>
              <w:spacing w:after="0"/>
              <w:rPr>
                <w:sz w:val="20"/>
                <w:szCs w:val="20"/>
                <w:color w:val="auto"/>
              </w:rPr>
            </w:pPr>
            <w:r>
              <w:rPr>
                <w:rFonts w:ascii="Arial" w:cs="Arial" w:eastAsia="Arial" w:hAnsi="Arial"/>
                <w:sz w:val="17"/>
                <w:szCs w:val="17"/>
                <w:color w:val="auto"/>
              </w:rPr>
              <w:t>Capital expenditures</w:t>
            </w:r>
          </w:p>
        </w:tc>
        <w:tc>
          <w:tcPr>
            <w:tcW w:w="7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w w:val="99"/>
              </w:rPr>
              <w:t>(79)</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(108)</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(154)</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(200)</w:t>
            </w:r>
          </w:p>
        </w:tc>
        <w:tc>
          <w:tcPr>
            <w:tcW w:w="0" w:type="dxa"/>
            <w:vAlign w:val="bottom"/>
          </w:tcPr>
          <w:p>
            <w:pPr>
              <w:spacing w:after="0"/>
              <w:rPr>
                <w:sz w:val="1"/>
                <w:szCs w:val="1"/>
                <w:color w:val="auto"/>
              </w:rPr>
            </w:pPr>
          </w:p>
        </w:tc>
      </w:tr>
      <w:tr>
        <w:trPr>
          <w:trHeight w:val="31"/>
        </w:trPr>
        <w:tc>
          <w:tcPr>
            <w:tcW w:w="32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Adjusted free cash flow</w:t>
            </w:r>
          </w:p>
        </w:tc>
        <w:tc>
          <w:tcPr>
            <w:tcW w:w="720" w:type="dxa"/>
            <w:vAlign w:val="bottom"/>
            <w:tcBorders>
              <w:bottom w:val="single" w:sz="8" w:color="auto"/>
            </w:tcBorders>
            <w:shd w:val="clear" w:color="auto" w:fill="CCEEFF"/>
          </w:tcPr>
          <w:p>
            <w:pPr>
              <w:jc w:val="right"/>
              <w:ind w:right="535"/>
              <w:spacing w:after="0"/>
              <w:rPr>
                <w:sz w:val="20"/>
                <w:szCs w:val="20"/>
                <w:color w:val="auto"/>
              </w:rPr>
            </w:pPr>
            <w:r>
              <w:rPr>
                <w:rFonts w:ascii="Arial" w:cs="Arial" w:eastAsia="Arial" w:hAnsi="Arial"/>
                <w:sz w:val="17"/>
                <w:szCs w:val="17"/>
                <w:b w:val="1"/>
                <w:bCs w:val="1"/>
                <w:color w:val="auto"/>
                <w:w w:val="84"/>
              </w:rPr>
              <w:t>$</w:t>
            </w:r>
          </w:p>
        </w:tc>
        <w:tc>
          <w:tcPr>
            <w:tcW w:w="3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w w:val="84"/>
              </w:rPr>
              <w:t>360</w:t>
            </w:r>
          </w:p>
        </w:tc>
        <w:tc>
          <w:tcPr>
            <w:tcW w:w="3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w:t>
            </w:r>
          </w:p>
        </w:tc>
        <w:tc>
          <w:tcPr>
            <w:tcW w:w="8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330</w:t>
            </w:r>
          </w:p>
        </w:tc>
        <w:tc>
          <w:tcPr>
            <w:tcW w:w="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w w:val="84"/>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(375)</w:t>
            </w:r>
          </w:p>
        </w:tc>
        <w:tc>
          <w:tcPr>
            <w:tcW w:w="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w w:val="8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(335)</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360" w:hanging="264"/>
        <w:spacing w:after="0" w:line="277"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Subsequent to amendments to the Company’s receivables securitization program during the third quarter of 2018, certain activity that was previously reported as investing activity is now reported as operating activity.</w:t>
      </w:r>
    </w:p>
    <w:p>
      <w:pPr>
        <w:sectPr>
          <w:pgSz w:w="11900" w:h="16875" w:orient="portrait"/>
          <w:cols w:equalWidth="0" w:num="1">
            <w:col w:w="11420"/>
          </w:cols>
          <w:pgMar w:left="240" w:top="852" w:right="239" w:bottom="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(4) Interest benefit of cross-currency swap included in investing activities.</w:t>
      </w:r>
    </w:p>
    <w:p>
      <w:pPr>
        <w:spacing w:after="0" w:line="252" w:lineRule="exact"/>
        <w:rPr>
          <w:sz w:val="20"/>
          <w:szCs w:val="20"/>
          <w:color w:val="auto"/>
        </w:rPr>
      </w:pPr>
    </w:p>
    <w:p>
      <w:pPr>
        <w:jc w:val="right"/>
        <w:ind w:right="4059"/>
        <w:spacing w:after="0"/>
        <w:rPr>
          <w:sz w:val="20"/>
          <w:szCs w:val="20"/>
          <w:color w:val="auto"/>
        </w:rPr>
      </w:pPr>
      <w:r>
        <w:rPr>
          <w:rFonts w:ascii="Arial" w:cs="Arial" w:eastAsia="Arial" w:hAnsi="Arial"/>
          <w:sz w:val="18"/>
          <w:szCs w:val="18"/>
          <w:color w:val="auto"/>
        </w:rPr>
        <w:t>Page 9 of 10</w:t>
      </w:r>
    </w:p>
    <w:p>
      <w:pPr>
        <w:sectPr>
          <w:pgSz w:w="11900" w:h="16838" w:orient="portrait"/>
          <w:cols w:equalWidth="0" w:num="1">
            <w:col w:w="10139"/>
          </w:cols>
          <w:pgMar w:left="320" w:top="341" w:right="1440" w:bottom="1440" w:gutter="0" w:footer="0" w:header="0"/>
        </w:sectPr>
      </w:pPr>
    </w:p>
    <w:bookmarkStart w:id="15" w:name="page16"/>
    <w:bookmarkEnd w:id="15"/>
    <w:p>
      <w:pPr>
        <w:ind w:left="6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5664835</wp:posOffset>
            </wp:positionH>
            <wp:positionV relativeFrom="paragraph">
              <wp:posOffset>-162560</wp:posOffset>
            </wp:positionV>
            <wp:extent cx="1551940" cy="4972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551940" cy="497205"/>
                    </a:xfrm>
                    <a:prstGeom prst="rect">
                      <a:avLst/>
                    </a:prstGeom>
                    <a:noFill/>
                  </pic:spPr>
                </pic:pic>
              </a:graphicData>
            </a:graphic>
          </wp:anchor>
        </w:drawing>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4"/>
          <w:szCs w:val="14"/>
          <w:color w:val="auto"/>
        </w:rPr>
        <w:t>Corporate Headquarters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770 Township Line Road</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Yardley, PA 19067-4219</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Consolidated Supplemental Data (Unaudited)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74"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Impact of Foreign Currency Translation by Segment</w:t>
      </w:r>
      <w:r>
        <w:rPr>
          <w:rFonts w:ascii="Arial" w:cs="Arial" w:eastAsia="Arial" w:hAnsi="Arial"/>
          <w:sz w:val="18"/>
          <w:szCs w:val="18"/>
          <w:b w:val="1"/>
          <w:bCs w:val="1"/>
          <w:color w:val="auto"/>
        </w:rPr>
        <w:t xml:space="preserve"> </w:t>
      </w:r>
      <w:r>
        <w:rPr>
          <w:rFonts w:ascii="Arial" w:cs="Arial" w:eastAsia="Arial" w:hAnsi="Arial"/>
          <w:sz w:val="25"/>
          <w:szCs w:val="25"/>
          <w:b w:val="1"/>
          <w:bCs w:val="1"/>
          <w:color w:val="auto"/>
          <w:vertAlign w:val="superscript"/>
        </w:rPr>
        <w:t>(1)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60" w:type="dxa"/>
            <w:vAlign w:val="bottom"/>
          </w:tcPr>
          <w:p>
            <w:pPr>
              <w:spacing w:after="0"/>
              <w:rPr>
                <w:sz w:val="20"/>
                <w:szCs w:val="20"/>
                <w:color w:val="auto"/>
              </w:rPr>
            </w:pPr>
          </w:p>
        </w:tc>
        <w:tc>
          <w:tcPr>
            <w:tcW w:w="3240" w:type="dxa"/>
            <w:vAlign w:val="bottom"/>
            <w:gridSpan w:val="6"/>
          </w:tcPr>
          <w:p>
            <w:pPr>
              <w:ind w:left="180"/>
              <w:spacing w:after="0"/>
              <w:rPr>
                <w:sz w:val="20"/>
                <w:szCs w:val="20"/>
                <w:color w:val="auto"/>
              </w:rPr>
            </w:pPr>
            <w:r>
              <w:rPr>
                <w:rFonts w:ascii="Arial" w:cs="Arial" w:eastAsia="Arial" w:hAnsi="Arial"/>
                <w:sz w:val="18"/>
                <w:szCs w:val="18"/>
                <w:b w:val="1"/>
                <w:bCs w:val="1"/>
                <w:color w:val="auto"/>
              </w:rPr>
              <w:t>Three Months Ended June 30, 2019</w:t>
            </w:r>
          </w:p>
        </w:tc>
        <w:tc>
          <w:tcPr>
            <w:tcW w:w="200" w:type="dxa"/>
            <w:vAlign w:val="bottom"/>
          </w:tcPr>
          <w:p>
            <w:pPr>
              <w:spacing w:after="0"/>
              <w:rPr>
                <w:sz w:val="20"/>
                <w:szCs w:val="20"/>
                <w:color w:val="auto"/>
              </w:rPr>
            </w:pPr>
          </w:p>
        </w:tc>
        <w:tc>
          <w:tcPr>
            <w:tcW w:w="286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auto"/>
                <w:w w:val="92"/>
              </w:rPr>
              <w:t>Six Months Ended June 30, 2019</w:t>
            </w:r>
          </w:p>
        </w:tc>
      </w:tr>
      <w:tr>
        <w:trPr>
          <w:trHeight w:val="27"/>
        </w:trPr>
        <w:tc>
          <w:tcPr>
            <w:tcW w:w="25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r>
      <w:tr>
        <w:trPr>
          <w:trHeight w:val="237"/>
        </w:trPr>
        <w:tc>
          <w:tcPr>
            <w:tcW w:w="25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Net Sales</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3"/>
          </w:tcPr>
          <w:p>
            <w:pPr>
              <w:ind w:left="80"/>
              <w:spacing w:after="0"/>
              <w:rPr>
                <w:sz w:val="20"/>
                <w:szCs w:val="20"/>
                <w:color w:val="auto"/>
              </w:rPr>
            </w:pPr>
            <w:r>
              <w:rPr>
                <w:rFonts w:ascii="Arial" w:cs="Arial" w:eastAsia="Arial" w:hAnsi="Arial"/>
                <w:sz w:val="18"/>
                <w:szCs w:val="18"/>
                <w:b w:val="1"/>
                <w:bCs w:val="1"/>
                <w:color w:val="auto"/>
              </w:rPr>
              <w:t>Segment Income</w:t>
            </w:r>
          </w:p>
        </w:tc>
        <w:tc>
          <w:tcPr>
            <w:tcW w:w="200" w:type="dxa"/>
            <w:vAlign w:val="bottom"/>
          </w:tcPr>
          <w:p>
            <w:pPr>
              <w:spacing w:after="0"/>
              <w:rPr>
                <w:sz w:val="20"/>
                <w:szCs w:val="20"/>
                <w:color w:val="auto"/>
              </w:rPr>
            </w:pPr>
          </w:p>
        </w:tc>
        <w:tc>
          <w:tcPr>
            <w:tcW w:w="1420" w:type="dxa"/>
            <w:vAlign w:val="bottom"/>
            <w:gridSpan w:val="2"/>
          </w:tcPr>
          <w:p>
            <w:pPr>
              <w:ind w:left="180"/>
              <w:spacing w:after="0"/>
              <w:rPr>
                <w:sz w:val="20"/>
                <w:szCs w:val="20"/>
                <w:color w:val="auto"/>
              </w:rPr>
            </w:pPr>
            <w:r>
              <w:rPr>
                <w:rFonts w:ascii="Arial" w:cs="Arial" w:eastAsia="Arial" w:hAnsi="Arial"/>
                <w:sz w:val="18"/>
                <w:szCs w:val="18"/>
                <w:b w:val="1"/>
                <w:bCs w:val="1"/>
                <w:color w:val="auto"/>
              </w:rPr>
              <w:t>Net Sales</w:t>
            </w:r>
          </w:p>
        </w:tc>
        <w:tc>
          <w:tcPr>
            <w:tcW w:w="144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Segment Income</w:t>
            </w:r>
          </w:p>
        </w:tc>
      </w:tr>
      <w:tr>
        <w:trPr>
          <w:trHeight w:val="27"/>
        </w:trPr>
        <w:tc>
          <w:tcPr>
            <w:tcW w:w="25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2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Americas Beverage</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2560" w:type="dxa"/>
            <w:vAlign w:val="bottom"/>
          </w:tcPr>
          <w:p>
            <w:pPr>
              <w:ind w:left="40"/>
              <w:spacing w:after="0"/>
              <w:rPr>
                <w:sz w:val="20"/>
                <w:szCs w:val="20"/>
                <w:color w:val="auto"/>
              </w:rPr>
            </w:pPr>
            <w:r>
              <w:rPr>
                <w:rFonts w:ascii="Arial" w:cs="Arial" w:eastAsia="Arial" w:hAnsi="Arial"/>
                <w:sz w:val="18"/>
                <w:szCs w:val="18"/>
                <w:color w:val="auto"/>
              </w:rPr>
              <w:t>European Beverage</w:t>
            </w:r>
          </w:p>
        </w:tc>
        <w:tc>
          <w:tcPr>
            <w:tcW w:w="110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3"/>
              </w:rPr>
              <w:t>(19)</w:t>
            </w: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2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2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European Food</w:t>
            </w: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(28)</w:t>
            </w: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2560" w:type="dxa"/>
            <w:vAlign w:val="bottom"/>
          </w:tcPr>
          <w:p>
            <w:pPr>
              <w:ind w:left="40"/>
              <w:spacing w:after="0"/>
              <w:rPr>
                <w:sz w:val="20"/>
                <w:szCs w:val="20"/>
                <w:color w:val="auto"/>
              </w:rPr>
            </w:pPr>
            <w:r>
              <w:rPr>
                <w:rFonts w:ascii="Arial" w:cs="Arial" w:eastAsia="Arial" w:hAnsi="Arial"/>
                <w:sz w:val="18"/>
                <w:szCs w:val="18"/>
                <w:color w:val="auto"/>
              </w:rPr>
              <w:t>Asia Pacific</w:t>
            </w:r>
          </w:p>
        </w:tc>
        <w:tc>
          <w:tcPr>
            <w:tcW w:w="110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2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2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Transit Packaging</w:t>
            </w: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(18)</w:t>
            </w: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2560" w:type="dxa"/>
            <w:vAlign w:val="bottom"/>
          </w:tcPr>
          <w:p>
            <w:pPr>
              <w:ind w:left="40"/>
              <w:spacing w:after="0"/>
              <w:rPr>
                <w:sz w:val="20"/>
                <w:szCs w:val="20"/>
                <w:color w:val="auto"/>
              </w:rPr>
            </w:pPr>
            <w:r>
              <w:rPr>
                <w:rFonts w:ascii="Arial" w:cs="Arial" w:eastAsia="Arial" w:hAnsi="Arial"/>
                <w:sz w:val="18"/>
                <w:szCs w:val="18"/>
                <w:color w:val="auto"/>
              </w:rPr>
              <w:t>Corporate and Non-Reportable</w:t>
            </w:r>
          </w:p>
        </w:tc>
        <w:tc>
          <w:tcPr>
            <w:tcW w:w="110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25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9"/>
        </w:trPr>
        <w:tc>
          <w:tcPr>
            <w:tcW w:w="25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b w:val="1"/>
                <w:bCs w:val="1"/>
                <w:color w:val="auto"/>
                <w:w w:val="99"/>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(80)</w:t>
            </w:r>
          </w:p>
        </w:tc>
        <w:tc>
          <w:tcPr>
            <w:tcW w:w="1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1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(180)</w:t>
            </w:r>
          </w:p>
        </w:tc>
        <w:tc>
          <w:tcPr>
            <w:tcW w:w="1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740" w:hanging="408"/>
        <w:spacing w:after="0" w:line="302" w:lineRule="auto"/>
        <w:tabs>
          <w:tab w:leader="none" w:pos="7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impact of foreign currency translation represents the difference between actual current year U.S. dollar results and pro forma amounts assuming constant foreign currency exchange rates for translation in both periods. In order to compute the difference, the Company compares actual U.S. dollar results to an amount calculated by multiplying or dividing, as appropriate, the current U.S. dollar results by current year average foreign exchange rates and then multiplying or dividing, as appropriate, those amounts by the applicable prior year average foreign exchange rates.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Comparative Results for Transit Packaging</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3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Revenue</w:t>
            </w: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Segment Income</w:t>
            </w:r>
          </w:p>
        </w:tc>
        <w:tc>
          <w:tcPr>
            <w:tcW w:w="5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w w:val="86"/>
              </w:rPr>
              <w:t xml:space="preserve">Depreciation </w:t>
            </w:r>
            <w:r>
              <w:rPr>
                <w:rFonts w:ascii="Arial" w:cs="Arial" w:eastAsia="Arial" w:hAnsi="Arial"/>
                <w:sz w:val="25"/>
                <w:szCs w:val="25"/>
                <w:b w:val="1"/>
                <w:bCs w:val="1"/>
                <w:color w:val="auto"/>
                <w:w w:val="86"/>
                <w:vertAlign w:val="superscript"/>
              </w:rPr>
              <w:t>(2)</w:t>
            </w:r>
          </w:p>
        </w:tc>
        <w:tc>
          <w:tcPr>
            <w:tcW w:w="580" w:type="dxa"/>
            <w:vAlign w:val="bottom"/>
            <w:tcBorders>
              <w:bottom w:val="single" w:sz="8" w:color="auto"/>
            </w:tcBorders>
          </w:tcPr>
          <w:p>
            <w:pPr>
              <w:spacing w:after="0"/>
              <w:rPr>
                <w:sz w:val="24"/>
                <w:szCs w:val="24"/>
                <w:color w:val="auto"/>
              </w:rPr>
            </w:pPr>
          </w:p>
        </w:tc>
      </w:tr>
      <w:tr>
        <w:trPr>
          <w:trHeight w:val="237"/>
        </w:trPr>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b w:val="1"/>
                <w:bCs w:val="1"/>
                <w:color w:val="auto"/>
                <w:w w:val="94"/>
              </w:rPr>
              <w:t>2019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2018</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2017</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2019</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2018</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2017</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jc w:val="right"/>
              <w:ind w:right="70"/>
              <w:spacing w:after="0"/>
              <w:rPr>
                <w:sz w:val="20"/>
                <w:szCs w:val="20"/>
                <w:color w:val="auto"/>
              </w:rPr>
            </w:pPr>
            <w:r>
              <w:rPr>
                <w:rFonts w:ascii="Arial" w:cs="Arial" w:eastAsia="Arial" w:hAnsi="Arial"/>
                <w:sz w:val="18"/>
                <w:szCs w:val="18"/>
                <w:b w:val="1"/>
                <w:bCs w:val="1"/>
                <w:color w:val="auto"/>
                <w:w w:val="89"/>
              </w:rPr>
              <w:t>2019</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b w:val="1"/>
                <w:bCs w:val="1"/>
                <w:color w:val="auto"/>
                <w:w w:val="94"/>
              </w:rPr>
              <w:t>2018</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b w:val="1"/>
                <w:bCs w:val="1"/>
                <w:color w:val="auto"/>
                <w:w w:val="94"/>
              </w:rPr>
              <w:t>2017</w:t>
            </w:r>
          </w:p>
        </w:tc>
      </w:tr>
      <w:tr>
        <w:trPr>
          <w:trHeight w:val="27"/>
        </w:trPr>
        <w:tc>
          <w:tcPr>
            <w:tcW w:w="3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7"/>
        </w:trPr>
        <w:tc>
          <w:tcPr>
            <w:tcW w:w="380" w:type="dxa"/>
            <w:vAlign w:val="bottom"/>
          </w:tcPr>
          <w:p>
            <w:pPr>
              <w:ind w:left="40"/>
              <w:spacing w:after="0"/>
              <w:rPr>
                <w:sz w:val="20"/>
                <w:szCs w:val="20"/>
                <w:color w:val="auto"/>
              </w:rPr>
            </w:pPr>
            <w:r>
              <w:rPr>
                <w:rFonts w:ascii="Arial" w:cs="Arial" w:eastAsia="Arial" w:hAnsi="Arial"/>
                <w:sz w:val="18"/>
                <w:szCs w:val="18"/>
                <w:color w:val="auto"/>
              </w:rPr>
              <w:t>Q1</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569</w:t>
            </w:r>
          </w:p>
        </w:tc>
        <w:tc>
          <w:tcPr>
            <w:tcW w:w="1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588</w:t>
            </w:r>
          </w:p>
        </w:tc>
        <w:tc>
          <w:tcPr>
            <w:tcW w:w="1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526</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73</w:t>
            </w: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79</w:t>
            </w:r>
          </w:p>
        </w:tc>
        <w:tc>
          <w:tcPr>
            <w:tcW w:w="1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76</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15</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Q2</w:t>
            </w: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380" w:type="dxa"/>
            <w:vAlign w:val="bottom"/>
          </w:tcPr>
          <w:p>
            <w:pPr>
              <w:ind w:left="40"/>
              <w:spacing w:after="0"/>
              <w:rPr>
                <w:sz w:val="20"/>
                <w:szCs w:val="20"/>
                <w:color w:val="auto"/>
              </w:rPr>
            </w:pPr>
            <w:r>
              <w:rPr>
                <w:rFonts w:ascii="Arial" w:cs="Arial" w:eastAsia="Arial" w:hAnsi="Arial"/>
                <w:sz w:val="18"/>
                <w:szCs w:val="18"/>
                <w:color w:val="auto"/>
              </w:rPr>
              <w:t>Q3</w:t>
            </w: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585</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565</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81</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82</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70"/>
        </w:trPr>
        <w:tc>
          <w:tcPr>
            <w:tcW w:w="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Q4</w:t>
            </w:r>
          </w:p>
        </w:tc>
        <w:tc>
          <w:tcPr>
            <w:tcW w:w="1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1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1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7"/>
        </w:trPr>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2,388</w:t>
            </w:r>
          </w:p>
        </w:tc>
        <w:tc>
          <w:tcPr>
            <w:tcW w:w="16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2,232</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334</w:t>
            </w:r>
          </w:p>
        </w:tc>
        <w:tc>
          <w:tcPr>
            <w:tcW w:w="16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320</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gridSpan w:val="2"/>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56</w:t>
            </w:r>
          </w:p>
        </w:tc>
        <w:tc>
          <w:tcPr>
            <w:tcW w:w="1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50</w:t>
            </w:r>
          </w:p>
        </w:tc>
      </w:tr>
      <w:tr>
        <w:trPr>
          <w:trHeight w:val="27"/>
        </w:trPr>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0"/>
        </w:trPr>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740" w:hanging="408"/>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Amount of depreciation expense included in segment income.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60" w:type="dxa"/>
            <w:vAlign w:val="bottom"/>
            <w:gridSpan w:val="2"/>
          </w:tcPr>
          <w:p>
            <w:pPr>
              <w:spacing w:after="0"/>
              <w:rPr>
                <w:sz w:val="20"/>
                <w:szCs w:val="20"/>
                <w:color w:val="auto"/>
              </w:rPr>
            </w:pPr>
            <w:r>
              <w:rPr>
                <w:rFonts w:ascii="Arial" w:cs="Arial" w:eastAsia="Arial" w:hAnsi="Arial"/>
                <w:sz w:val="18"/>
                <w:szCs w:val="18"/>
                <w:b w:val="1"/>
                <w:bCs w:val="1"/>
                <w:color w:val="auto"/>
              </w:rPr>
              <w:t>Reconciliation of Adjusted EBITDA</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399"/>
        </w:trPr>
        <w:tc>
          <w:tcPr>
            <w:tcW w:w="278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YTD</w:t>
            </w:r>
          </w:p>
        </w:tc>
        <w:tc>
          <w:tcPr>
            <w:tcW w:w="200" w:type="dxa"/>
            <w:vAlign w:val="bottom"/>
          </w:tcPr>
          <w:p>
            <w:pPr>
              <w:spacing w:after="0"/>
              <w:rPr>
                <w:sz w:val="24"/>
                <w:szCs w:val="24"/>
                <w:color w:val="auto"/>
              </w:rPr>
            </w:pPr>
          </w:p>
        </w:tc>
        <w:tc>
          <w:tcPr>
            <w:tcW w:w="146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YTD</w:t>
            </w:r>
          </w:p>
        </w:tc>
        <w:tc>
          <w:tcPr>
            <w:tcW w:w="280" w:type="dxa"/>
            <w:vAlign w:val="bottom"/>
          </w:tcPr>
          <w:p>
            <w:pPr>
              <w:spacing w:after="0"/>
              <w:rPr>
                <w:sz w:val="24"/>
                <w:szCs w:val="24"/>
                <w:color w:val="auto"/>
              </w:rPr>
            </w:pPr>
          </w:p>
        </w:tc>
        <w:tc>
          <w:tcPr>
            <w:tcW w:w="1600" w:type="dxa"/>
            <w:vAlign w:val="bottom"/>
            <w:gridSpan w:val="2"/>
          </w:tcPr>
          <w:p>
            <w:pPr>
              <w:ind w:left="140"/>
              <w:spacing w:after="0"/>
              <w:rPr>
                <w:sz w:val="20"/>
                <w:szCs w:val="20"/>
                <w:color w:val="auto"/>
              </w:rPr>
            </w:pPr>
            <w:r>
              <w:rPr>
                <w:rFonts w:ascii="Arial" w:cs="Arial" w:eastAsia="Arial" w:hAnsi="Arial"/>
                <w:sz w:val="18"/>
                <w:szCs w:val="18"/>
                <w:b w:val="1"/>
                <w:bCs w:val="1"/>
                <w:color w:val="auto"/>
              </w:rPr>
              <w:t>Full Year</w:t>
            </w:r>
          </w:p>
        </w:tc>
        <w:tc>
          <w:tcPr>
            <w:tcW w:w="240" w:type="dxa"/>
            <w:vAlign w:val="bottom"/>
          </w:tcPr>
          <w:p>
            <w:pPr>
              <w:spacing w:after="0"/>
              <w:rPr>
                <w:sz w:val="24"/>
                <w:szCs w:val="24"/>
                <w:color w:val="auto"/>
              </w:rPr>
            </w:pPr>
          </w:p>
        </w:tc>
        <w:tc>
          <w:tcPr>
            <w:tcW w:w="2200" w:type="dxa"/>
            <w:vAlign w:val="bottom"/>
          </w:tcPr>
          <w:p>
            <w:pPr>
              <w:jc w:val="right"/>
              <w:ind w:right="270"/>
              <w:spacing w:after="0"/>
              <w:rPr>
                <w:sz w:val="20"/>
                <w:szCs w:val="20"/>
                <w:color w:val="auto"/>
              </w:rPr>
            </w:pPr>
            <w:r>
              <w:rPr>
                <w:rFonts w:ascii="Arial" w:cs="Arial" w:eastAsia="Arial" w:hAnsi="Arial"/>
                <w:sz w:val="18"/>
                <w:szCs w:val="18"/>
                <w:b w:val="1"/>
                <w:bCs w:val="1"/>
                <w:color w:val="auto"/>
                <w:w w:val="96"/>
              </w:rPr>
              <w:t>Twelve Months Ended</w:t>
            </w:r>
          </w:p>
        </w:tc>
      </w:tr>
      <w:tr>
        <w:trPr>
          <w:trHeight w:val="270"/>
        </w:trPr>
        <w:tc>
          <w:tcPr>
            <w:tcW w:w="27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0" w:type="dxa"/>
            <w:vAlign w:val="bottom"/>
          </w:tcPr>
          <w:p>
            <w:pPr>
              <w:jc w:val="right"/>
              <w:ind w:right="610"/>
              <w:spacing w:after="0"/>
              <w:rPr>
                <w:sz w:val="20"/>
                <w:szCs w:val="20"/>
                <w:color w:val="auto"/>
              </w:rPr>
            </w:pPr>
            <w:r>
              <w:rPr>
                <w:rFonts w:ascii="Arial" w:cs="Arial" w:eastAsia="Arial" w:hAnsi="Arial"/>
                <w:sz w:val="18"/>
                <w:szCs w:val="18"/>
                <w:b w:val="1"/>
                <w:bCs w:val="1"/>
                <w:color w:val="auto"/>
              </w:rPr>
              <w:t>June 30, 2019</w:t>
            </w:r>
          </w:p>
        </w:tc>
      </w:tr>
      <w:tr>
        <w:trPr>
          <w:trHeight w:val="27"/>
        </w:trPr>
        <w:tc>
          <w:tcPr>
            <w:tcW w:w="278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r>
      <w:tr>
        <w:trPr>
          <w:trHeight w:val="244"/>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645</w:t>
            </w: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513</w:t>
            </w:r>
          </w:p>
        </w:tc>
        <w:tc>
          <w:tcPr>
            <w:tcW w:w="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1,096</w:t>
            </w:r>
          </w:p>
        </w:tc>
        <w:tc>
          <w:tcPr>
            <w:tcW w:w="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2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1,228</w:t>
            </w:r>
          </w:p>
        </w:tc>
      </w:tr>
      <w:tr>
        <w:trPr>
          <w:trHeight w:val="243"/>
        </w:trPr>
        <w:tc>
          <w:tcPr>
            <w:tcW w:w="3460" w:type="dxa"/>
            <w:vAlign w:val="bottom"/>
            <w:gridSpan w:val="2"/>
          </w:tcPr>
          <w:p>
            <w:pPr>
              <w:ind w:left="40"/>
              <w:spacing w:after="0"/>
              <w:rPr>
                <w:sz w:val="20"/>
                <w:szCs w:val="20"/>
                <w:color w:val="auto"/>
              </w:rPr>
            </w:pPr>
            <w:r>
              <w:rPr>
                <w:rFonts w:ascii="Arial" w:cs="Arial" w:eastAsia="Arial" w:hAnsi="Arial"/>
                <w:sz w:val="18"/>
                <w:szCs w:val="18"/>
                <w:color w:val="auto"/>
              </w:rPr>
              <w:t>Add:</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0" w:type="dxa"/>
            <w:vAlign w:val="bottom"/>
          </w:tcPr>
          <w:p>
            <w:pPr>
              <w:spacing w:after="0"/>
              <w:rPr>
                <w:sz w:val="21"/>
                <w:szCs w:val="21"/>
                <w:color w:val="auto"/>
              </w:rPr>
            </w:pPr>
          </w:p>
        </w:tc>
      </w:tr>
      <w:tr>
        <w:trPr>
          <w:trHeight w:val="27"/>
        </w:trPr>
        <w:tc>
          <w:tcPr>
            <w:tcW w:w="27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50"/>
        </w:trPr>
        <w:tc>
          <w:tcPr>
            <w:tcW w:w="34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Intangibles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w:t>
            </w: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c>
          <w:tcPr>
            <w:tcW w:w="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w:t>
            </w:r>
          </w:p>
        </w:tc>
        <w:tc>
          <w:tcPr>
            <w:tcW w:w="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w:t>
            </w:r>
          </w:p>
        </w:tc>
      </w:tr>
      <w:tr>
        <w:trPr>
          <w:trHeight w:val="243"/>
        </w:trPr>
        <w:tc>
          <w:tcPr>
            <w:tcW w:w="3460" w:type="dxa"/>
            <w:vAlign w:val="bottom"/>
            <w:gridSpan w:val="2"/>
          </w:tcPr>
          <w:p>
            <w:pPr>
              <w:ind w:left="180"/>
              <w:spacing w:after="0"/>
              <w:rPr>
                <w:sz w:val="20"/>
                <w:szCs w:val="20"/>
                <w:color w:val="auto"/>
              </w:rPr>
            </w:pPr>
            <w:r>
              <w:rPr>
                <w:rFonts w:ascii="Arial" w:cs="Arial" w:eastAsia="Arial" w:hAnsi="Arial"/>
                <w:sz w:val="18"/>
                <w:szCs w:val="18"/>
                <w:color w:val="auto"/>
              </w:rPr>
              <w:t>Fair value adjustment to inventory</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0" w:type="dxa"/>
            <w:vAlign w:val="bottom"/>
          </w:tcPr>
          <w:p>
            <w:pPr>
              <w:spacing w:after="0"/>
              <w:rPr>
                <w:sz w:val="21"/>
                <w:szCs w:val="21"/>
                <w:color w:val="auto"/>
              </w:rPr>
            </w:pPr>
          </w:p>
        </w:tc>
      </w:tr>
      <w:tr>
        <w:trPr>
          <w:trHeight w:val="27"/>
        </w:trPr>
        <w:tc>
          <w:tcPr>
            <w:tcW w:w="27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70"/>
        </w:trPr>
        <w:tc>
          <w:tcPr>
            <w:tcW w:w="34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Provision for restructuring and other</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3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3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c>
          <w:tcPr>
            <w:tcW w:w="3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2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37"/>
        </w:trPr>
        <w:tc>
          <w:tcPr>
            <w:tcW w:w="3460" w:type="dxa"/>
            <w:vAlign w:val="bottom"/>
            <w:gridSpan w:val="2"/>
          </w:tcPr>
          <w:p>
            <w:pPr>
              <w:ind w:left="40"/>
              <w:spacing w:after="0"/>
              <w:rPr>
                <w:sz w:val="20"/>
                <w:szCs w:val="20"/>
                <w:color w:val="auto"/>
              </w:rPr>
            </w:pPr>
            <w:r>
              <w:rPr>
                <w:rFonts w:ascii="Arial" w:cs="Arial" w:eastAsia="Arial" w:hAnsi="Arial"/>
                <w:sz w:val="18"/>
                <w:szCs w:val="18"/>
                <w:color w:val="auto"/>
              </w:rPr>
              <w:t>Segment income</w:t>
            </w: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701</w:t>
            </w:r>
          </w:p>
        </w:tc>
        <w:tc>
          <w:tcPr>
            <w:tcW w:w="3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634</w:t>
            </w:r>
          </w:p>
        </w:tc>
        <w:tc>
          <w:tcPr>
            <w:tcW w:w="3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1,328</w:t>
            </w:r>
          </w:p>
        </w:tc>
        <w:tc>
          <w:tcPr>
            <w:tcW w:w="3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1,395</w:t>
            </w:r>
          </w:p>
        </w:tc>
      </w:tr>
      <w:tr>
        <w:trPr>
          <w:trHeight w:val="27"/>
        </w:trPr>
        <w:tc>
          <w:tcPr>
            <w:tcW w:w="27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50"/>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pension and postretirement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c>
          <w:tcPr>
            <w:tcW w:w="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r>
      <w:tr>
        <w:trPr>
          <w:trHeight w:val="243"/>
        </w:trPr>
        <w:tc>
          <w:tcPr>
            <w:tcW w:w="3460" w:type="dxa"/>
            <w:vAlign w:val="bottom"/>
            <w:gridSpan w:val="2"/>
          </w:tcPr>
          <w:p>
            <w:pPr>
              <w:ind w:left="40"/>
              <w:spacing w:after="0"/>
              <w:rPr>
                <w:sz w:val="20"/>
                <w:szCs w:val="20"/>
                <w:color w:val="auto"/>
              </w:rPr>
            </w:pPr>
            <w:r>
              <w:rPr>
                <w:rFonts w:ascii="Arial" w:cs="Arial" w:eastAsia="Arial" w:hAnsi="Arial"/>
                <w:sz w:val="18"/>
                <w:szCs w:val="18"/>
                <w:color w:val="auto"/>
              </w:rPr>
              <w:t>Depreciation</w:t>
            </w: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148</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126</w:t>
            </w: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277</w:t>
            </w: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0" w:type="dxa"/>
            <w:vAlign w:val="bottom"/>
          </w:tcPr>
          <w:p>
            <w:pPr>
              <w:jc w:val="right"/>
              <w:ind w:right="10"/>
              <w:spacing w:after="0"/>
              <w:rPr>
                <w:sz w:val="20"/>
                <w:szCs w:val="20"/>
                <w:color w:val="auto"/>
              </w:rPr>
            </w:pPr>
            <w:r>
              <w:rPr>
                <w:rFonts w:ascii="Arial" w:cs="Arial" w:eastAsia="Arial" w:hAnsi="Arial"/>
                <w:sz w:val="18"/>
                <w:szCs w:val="18"/>
                <w:color w:val="auto"/>
              </w:rPr>
              <w:t>299</w:t>
            </w:r>
          </w:p>
        </w:tc>
      </w:tr>
      <w:tr>
        <w:trPr>
          <w:trHeight w:val="27"/>
        </w:trPr>
        <w:tc>
          <w:tcPr>
            <w:tcW w:w="278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r>
      <w:tr>
        <w:trPr>
          <w:trHeight w:val="257"/>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Adjusted EBITDA</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855</w:t>
            </w:r>
          </w:p>
        </w:tc>
        <w:tc>
          <w:tcPr>
            <w:tcW w:w="3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794</w:t>
            </w:r>
          </w:p>
        </w:tc>
        <w:tc>
          <w:tcPr>
            <w:tcW w:w="3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1,672</w:t>
            </w:r>
          </w:p>
        </w:tc>
        <w:tc>
          <w:tcPr>
            <w:tcW w:w="3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2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1,733</w:t>
            </w:r>
          </w:p>
        </w:tc>
      </w:tr>
      <w:tr>
        <w:trPr>
          <w:trHeight w:val="20"/>
        </w:trPr>
        <w:tc>
          <w:tcPr>
            <w:tcW w:w="2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852" w:right="239" w:bottom="144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Page 10 of 10</w:t>
      </w:r>
    </w:p>
    <w:sectPr>
      <w:pgSz w:w="11900" w:h="16838" w:orient="portrait"/>
      <w:cols w:equalWidth="0" w:num="1">
        <w:col w:w="11420"/>
      </w:cols>
      <w:pgMar w:left="240" w:top="852"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1)"/>
      <w:numFmt w:val="decimal"/>
      <w:start w:val="2"/>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decimal"/>
      <w:start w:val="5"/>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1)"/>
      <w:numFmt w:val="decimal"/>
      <w:start w:val="3"/>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2019-12-28T10:26:08Z</dcterms:created>
  <dcterms:modified xsi:type="dcterms:W3CDTF">2019-12-28T10:26:08Z</dcterms:modified>
</cp:coreProperties>
</file>