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ind w:left="460" w:right="280" w:hanging="434"/>
        <w:spacing w:after="0" w:line="23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September 30, 2021</w:t>
      </w:r>
    </w:p>
    <w:p>
      <w:pPr>
        <w:spacing w:after="0" w:line="220" w:lineRule="exact"/>
        <w:rPr>
          <w:sz w:val="24"/>
          <w:szCs w:val="24"/>
          <w:color w:val="auto"/>
        </w:rPr>
      </w:pPr>
    </w:p>
    <w:p>
      <w:pPr>
        <w:ind w:left="460" w:right="280" w:hanging="434"/>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9"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FOR THE TRANSITION PERIOD FROM ____ TO ____</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000-50189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CROWN HOLDINGS,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020" w:type="dxa"/>
            <w:vAlign w:val="bottom"/>
          </w:tcPr>
          <w:p>
            <w:pPr>
              <w:jc w:val="center"/>
              <w:ind w:left="1160"/>
              <w:spacing w:after="0"/>
              <w:rPr>
                <w:sz w:val="20"/>
                <w:szCs w:val="20"/>
                <w:color w:val="auto"/>
              </w:rPr>
            </w:pPr>
            <w:r>
              <w:rPr>
                <w:rFonts w:ascii="Arial" w:cs="Arial" w:eastAsia="Arial" w:hAnsi="Arial"/>
                <w:sz w:val="18"/>
                <w:szCs w:val="18"/>
                <w:b w:val="1"/>
                <w:bCs w:val="1"/>
                <w:color w:val="auto"/>
                <w:w w:val="88"/>
              </w:rPr>
              <w:t>Pennsylvania</w:t>
            </w: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980" w:type="dxa"/>
            <w:vAlign w:val="bottom"/>
          </w:tcPr>
          <w:p>
            <w:pPr>
              <w:jc w:val="right"/>
              <w:ind w:right="521"/>
              <w:spacing w:after="0"/>
              <w:rPr>
                <w:sz w:val="20"/>
                <w:szCs w:val="20"/>
                <w:color w:val="auto"/>
              </w:rPr>
            </w:pPr>
            <w:r>
              <w:rPr>
                <w:rFonts w:ascii="Arial" w:cs="Arial" w:eastAsia="Arial" w:hAnsi="Arial"/>
                <w:sz w:val="18"/>
                <w:szCs w:val="18"/>
                <w:b w:val="1"/>
                <w:bCs w:val="1"/>
                <w:color w:val="auto"/>
              </w:rPr>
              <w:t>75-3099507</w:t>
            </w:r>
          </w:p>
        </w:tc>
      </w:tr>
      <w:tr>
        <w:trPr>
          <w:trHeight w:val="144"/>
        </w:trPr>
        <w:tc>
          <w:tcPr>
            <w:tcW w:w="3020" w:type="dxa"/>
            <w:vAlign w:val="bottom"/>
          </w:tcPr>
          <w:p>
            <w:pPr>
              <w:jc w:val="center"/>
              <w:ind w:left="114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980" w:type="dxa"/>
            <w:vAlign w:val="bottom"/>
          </w:tcPr>
          <w:p>
            <w:pPr>
              <w:jc w:val="center"/>
              <w:ind w:right="21"/>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98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Identification No.)</w:t>
            </w:r>
          </w:p>
        </w:tc>
      </w:tr>
      <w:tr>
        <w:trPr>
          <w:trHeight w:val="493"/>
        </w:trPr>
        <w:tc>
          <w:tcPr>
            <w:tcW w:w="4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770 Township Line Road</w:t>
            </w:r>
          </w:p>
        </w:tc>
        <w:tc>
          <w:tcPr>
            <w:tcW w:w="800" w:type="dxa"/>
            <w:vAlign w:val="bottom"/>
          </w:tcPr>
          <w:p>
            <w:pPr>
              <w:ind w:left="140"/>
              <w:spacing w:after="0"/>
              <w:rPr>
                <w:sz w:val="20"/>
                <w:szCs w:val="20"/>
                <w:color w:val="auto"/>
              </w:rPr>
            </w:pPr>
            <w:r>
              <w:rPr>
                <w:rFonts w:ascii="Arial" w:cs="Arial" w:eastAsia="Arial" w:hAnsi="Arial"/>
                <w:sz w:val="18"/>
                <w:szCs w:val="18"/>
                <w:b w:val="1"/>
                <w:bCs w:val="1"/>
                <w:color w:val="auto"/>
                <w:w w:val="98"/>
              </w:rPr>
              <w:t>Yardley</w:t>
            </w:r>
          </w:p>
        </w:tc>
        <w:tc>
          <w:tcPr>
            <w:tcW w:w="2720" w:type="dxa"/>
            <w:vAlign w:val="bottom"/>
          </w:tcPr>
          <w:p>
            <w:pPr>
              <w:ind w:left="640"/>
              <w:spacing w:after="0"/>
              <w:rPr>
                <w:sz w:val="20"/>
                <w:szCs w:val="20"/>
                <w:color w:val="auto"/>
              </w:rPr>
            </w:pPr>
            <w:r>
              <w:rPr>
                <w:rFonts w:ascii="Arial" w:cs="Arial" w:eastAsia="Arial" w:hAnsi="Arial"/>
                <w:sz w:val="18"/>
                <w:szCs w:val="18"/>
                <w:b w:val="1"/>
                <w:bCs w:val="1"/>
                <w:color w:val="auto"/>
              </w:rPr>
              <w:t>PA</w:t>
            </w:r>
          </w:p>
        </w:tc>
        <w:tc>
          <w:tcPr>
            <w:tcW w:w="1980" w:type="dxa"/>
            <w:vAlign w:val="bottom"/>
          </w:tcPr>
          <w:p>
            <w:pPr>
              <w:jc w:val="right"/>
              <w:ind w:right="741"/>
              <w:spacing w:after="0"/>
              <w:rPr>
                <w:sz w:val="20"/>
                <w:szCs w:val="20"/>
                <w:color w:val="auto"/>
              </w:rPr>
            </w:pPr>
            <w:r>
              <w:rPr>
                <w:rFonts w:ascii="Arial" w:cs="Arial" w:eastAsia="Arial" w:hAnsi="Arial"/>
                <w:sz w:val="18"/>
                <w:szCs w:val="18"/>
                <w:b w:val="1"/>
                <w:bCs w:val="1"/>
                <w:color w:val="auto"/>
              </w:rPr>
              <w:t>19067</w:t>
            </w:r>
          </w:p>
        </w:tc>
      </w:tr>
      <w:tr>
        <w:trPr>
          <w:trHeight w:val="186"/>
        </w:trPr>
        <w:tc>
          <w:tcPr>
            <w:tcW w:w="4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9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3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20" w:type="dxa"/>
            <w:vAlign w:val="bottom"/>
          </w:tcPr>
          <w:p>
            <w:pPr>
              <w:jc w:val="right"/>
              <w:ind w:right="1550"/>
              <w:spacing w:after="0"/>
              <w:rPr>
                <w:sz w:val="20"/>
                <w:szCs w:val="20"/>
                <w:color w:val="auto"/>
              </w:rPr>
            </w:pPr>
            <w:r>
              <w:rPr>
                <w:rFonts w:ascii="Arial" w:cs="Arial" w:eastAsia="Arial" w:hAnsi="Arial"/>
                <w:sz w:val="18"/>
                <w:szCs w:val="18"/>
                <w:b w:val="1"/>
                <w:bCs w:val="1"/>
                <w:color w:val="auto"/>
                <w:w w:val="94"/>
              </w:rPr>
              <w:t>215-698-5100</w:t>
            </w:r>
          </w:p>
        </w:tc>
        <w:tc>
          <w:tcPr>
            <w:tcW w:w="1980" w:type="dxa"/>
            <w:vAlign w:val="bottom"/>
          </w:tcPr>
          <w:p>
            <w:pPr>
              <w:spacing w:after="0"/>
              <w:rPr>
                <w:sz w:val="24"/>
                <w:szCs w:val="24"/>
                <w:color w:val="auto"/>
              </w:rPr>
            </w:pPr>
          </w:p>
        </w:tc>
      </w:tr>
      <w:tr>
        <w:trPr>
          <w:trHeight w:val="166"/>
        </w:trPr>
        <w:tc>
          <w:tcPr>
            <w:tcW w:w="3020" w:type="dxa"/>
            <w:vAlign w:val="bottom"/>
          </w:tcPr>
          <w:p>
            <w:pPr>
              <w:spacing w:after="0"/>
              <w:rPr>
                <w:sz w:val="14"/>
                <w:szCs w:val="14"/>
                <w:color w:val="auto"/>
              </w:rPr>
            </w:pPr>
          </w:p>
        </w:tc>
        <w:tc>
          <w:tcPr>
            <w:tcW w:w="4760" w:type="dxa"/>
            <w:vAlign w:val="bottom"/>
            <w:gridSpan w:val="3"/>
          </w:tcPr>
          <w:p>
            <w:pPr>
              <w:ind w:left="10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980" w:type="dxa"/>
            <w:vAlign w:val="bottom"/>
          </w:tcPr>
          <w:p>
            <w:pPr>
              <w:spacing w:after="0"/>
              <w:rPr>
                <w:sz w:val="14"/>
                <w:szCs w:val="14"/>
                <w:color w:val="auto"/>
              </w:rPr>
            </w:pPr>
          </w:p>
        </w:tc>
      </w:tr>
      <w:tr>
        <w:trPr>
          <w:trHeight w:val="182"/>
        </w:trPr>
        <w:tc>
          <w:tcPr>
            <w:tcW w:w="3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520" w:type="dxa"/>
            <w:vAlign w:val="bottom"/>
            <w:gridSpan w:val="2"/>
          </w:tcPr>
          <w:p>
            <w:pPr>
              <w:jc w:val="right"/>
              <w:ind w:right="1350"/>
              <w:spacing w:after="0"/>
              <w:rPr>
                <w:sz w:val="20"/>
                <w:szCs w:val="20"/>
                <w:color w:val="auto"/>
              </w:rPr>
            </w:pPr>
            <w:r>
              <w:rPr>
                <w:rFonts w:ascii="Arial" w:cs="Arial" w:eastAsia="Arial" w:hAnsi="Arial"/>
                <w:sz w:val="14"/>
                <w:szCs w:val="14"/>
                <w:color w:val="auto"/>
              </w:rPr>
              <w:t>____________________</w:t>
            </w:r>
          </w:p>
        </w:tc>
        <w:tc>
          <w:tcPr>
            <w:tcW w:w="1980" w:type="dxa"/>
            <w:vAlign w:val="bottom"/>
          </w:tcPr>
          <w:p>
            <w:pPr>
              <w:spacing w:after="0"/>
              <w:rPr>
                <w:sz w:val="15"/>
                <w:szCs w:val="15"/>
                <w:color w:val="auto"/>
              </w:rPr>
            </w:pPr>
          </w:p>
        </w:tc>
      </w:tr>
      <w:tr>
        <w:trPr>
          <w:trHeight w:val="276"/>
        </w:trPr>
        <w:tc>
          <w:tcPr>
            <w:tcW w:w="778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980" w:type="dxa"/>
            <w:vAlign w:val="bottom"/>
          </w:tcPr>
          <w:p>
            <w:pPr>
              <w:spacing w:after="0"/>
              <w:rPr>
                <w:sz w:val="24"/>
                <w:szCs w:val="24"/>
                <w:color w:val="auto"/>
              </w:rPr>
            </w:pPr>
          </w:p>
        </w:tc>
      </w:tr>
      <w:tr>
        <w:trPr>
          <w:trHeight w:val="327"/>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Trading Symbols</w:t>
            </w:r>
          </w:p>
        </w:tc>
        <w:tc>
          <w:tcPr>
            <w:tcW w:w="352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Name of each exchange on which registered</w:t>
            </w:r>
          </w:p>
        </w:tc>
        <w:tc>
          <w:tcPr>
            <w:tcW w:w="1980" w:type="dxa"/>
            <w:vAlign w:val="bottom"/>
            <w:tcBorders>
              <w:bottom w:val="single" w:sz="8" w:color="auto"/>
            </w:tcBorders>
          </w:tcPr>
          <w:p>
            <w:pPr>
              <w:spacing w:after="0"/>
              <w:rPr>
                <w:sz w:val="24"/>
                <w:szCs w:val="24"/>
                <w:color w:val="auto"/>
              </w:rPr>
            </w:pPr>
          </w:p>
        </w:tc>
      </w:tr>
      <w:tr>
        <w:trPr>
          <w:trHeight w:val="206"/>
        </w:trPr>
        <w:tc>
          <w:tcPr>
            <w:tcW w:w="302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240" w:type="dxa"/>
            <w:vAlign w:val="bottom"/>
          </w:tcPr>
          <w:p>
            <w:pPr>
              <w:spacing w:after="0"/>
              <w:rPr>
                <w:sz w:val="20"/>
                <w:szCs w:val="20"/>
                <w:color w:val="auto"/>
              </w:rPr>
            </w:pPr>
            <w:r>
              <w:rPr>
                <w:rFonts w:ascii="Arial" w:cs="Arial" w:eastAsia="Arial" w:hAnsi="Arial"/>
                <w:sz w:val="16"/>
                <w:szCs w:val="16"/>
                <w:color w:val="auto"/>
              </w:rPr>
              <w:t>CCK</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7"/>
                <w:szCs w:val="17"/>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240" w:type="dxa"/>
            <w:vAlign w:val="bottom"/>
          </w:tcPr>
          <w:p>
            <w:pPr>
              <w:spacing w:after="0"/>
              <w:rPr>
                <w:sz w:val="20"/>
                <w:szCs w:val="20"/>
                <w:color w:val="auto"/>
              </w:rPr>
            </w:pPr>
            <w:r>
              <w:rPr>
                <w:rFonts w:ascii="Arial" w:cs="Arial" w:eastAsia="Arial" w:hAnsi="Arial"/>
                <w:sz w:val="16"/>
                <w:szCs w:val="16"/>
                <w:color w:val="auto"/>
              </w:rPr>
              <w:t>CCK26</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240" w:type="dxa"/>
            <w:vAlign w:val="bottom"/>
          </w:tcPr>
          <w:p>
            <w:pPr>
              <w:spacing w:after="0"/>
              <w:rPr>
                <w:sz w:val="20"/>
                <w:szCs w:val="20"/>
                <w:color w:val="auto"/>
              </w:rPr>
            </w:pPr>
            <w:r>
              <w:rPr>
                <w:rFonts w:ascii="Arial" w:cs="Arial" w:eastAsia="Arial" w:hAnsi="Arial"/>
                <w:sz w:val="16"/>
                <w:szCs w:val="16"/>
                <w:color w:val="auto"/>
              </w:rPr>
              <w:t>CCK96</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bl>
    <w:p>
      <w:pPr>
        <w:spacing w:after="0" w:line="104"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and posted pursuant to Rule 405 of Regulation S-T (§ 232.405 of this chapter) during the preceding 12 months (or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003" w:right="339" w:bottom="1440" w:gutter="0" w:footer="0" w:header="0"/>
        </w:sectPr>
      </w:pPr>
    </w:p>
    <w:p>
      <w:pPr>
        <w:spacing w:after="0" w:line="23"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4">
            <w:col w:w="1560" w:space="620"/>
            <w:col w:w="4660" w:space="720"/>
            <w:col w:w="2500" w:space="720"/>
            <w:col w:w="460"/>
          </w:cols>
          <w:pgMar w:left="320" w:top="1003" w:right="339" w:bottom="1440" w:gutter="0" w:footer="0" w:header="0"/>
          <w:type w:val="continuous"/>
        </w:sectPr>
      </w:pPr>
    </w:p>
    <w:p>
      <w:pPr>
        <w:spacing w:after="0" w:line="30"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460" w:space="720"/>
            <w:col w:w="4660" w:space="720"/>
            <w:col w:w="2500" w:space="720"/>
            <w:col w:w="460"/>
          </w:cols>
          <w:pgMar w:left="320" w:top="1003"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49" w:lineRule="exact"/>
        <w:rPr>
          <w:sz w:val="24"/>
          <w:szCs w:val="24"/>
          <w:color w:val="auto"/>
        </w:rPr>
      </w:pPr>
    </w:p>
    <w:p>
      <w:pPr>
        <w:spacing w:after="0" w:line="18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080" w:val="left"/>
          <w:tab w:leader="none" w:pos="7720" w:val="left"/>
        </w:tabs>
        <w:rPr>
          <w:sz w:val="20"/>
          <w:szCs w:val="20"/>
          <w:color w:val="auto"/>
        </w:rPr>
      </w:pPr>
      <w:r>
        <w:rPr>
          <w:rFonts w:ascii="Arial" w:cs="Arial" w:eastAsia="Arial" w:hAnsi="Arial"/>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There were 127,867,833 shares of Common Stock outstanding as of November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tbl>
      <w:tblPr>
        <w:tblLayout w:type="fixed"/>
        <w:tblInd w:w="160" w:type="dxa"/>
        <w:tblCellMar>
          <w:top w:w="0" w:type="dxa"/>
          <w:left w:w="0" w:type="dxa"/>
          <w:bottom w:w="0" w:type="dxa"/>
          <w:right w:w="0" w:type="dxa"/>
        </w:tblCellMar>
      </w:tblPr>
      <w:tr>
        <w:trPr>
          <w:trHeight w:val="234"/>
        </w:trPr>
        <w:tc>
          <w:tcPr>
            <w:tcW w:w="6300" w:type="dxa"/>
            <w:vAlign w:val="bottom"/>
            <w:gridSpan w:val="2"/>
          </w:tcPr>
          <w:p>
            <w:pPr>
              <w:jc w:val="center"/>
              <w:ind w:left="4530"/>
              <w:spacing w:after="0"/>
              <w:rPr>
                <w:sz w:val="20"/>
                <w:szCs w:val="20"/>
                <w:color w:val="auto"/>
              </w:rPr>
            </w:pPr>
            <w:r>
              <w:rPr>
                <w:rFonts w:ascii="Arial" w:cs="Arial" w:eastAsia="Arial" w:hAnsi="Arial"/>
                <w:sz w:val="18"/>
                <w:szCs w:val="18"/>
                <w:b w:val="1"/>
                <w:bCs w:val="1"/>
                <w:color w:val="auto"/>
                <w:w w:val="91"/>
              </w:rPr>
              <w:t>Crown Holdings, Inc.</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7240" w:type="dxa"/>
            <w:vAlign w:val="bottom"/>
            <w:gridSpan w:val="4"/>
          </w:tcPr>
          <w:p>
            <w:pPr>
              <w:jc w:val="center"/>
              <w:ind w:left="3590"/>
              <w:spacing w:after="0"/>
              <w:rPr>
                <w:sz w:val="20"/>
                <w:szCs w:val="20"/>
                <w:color w:val="auto"/>
              </w:rPr>
            </w:pPr>
            <w:r>
              <w:rPr>
                <w:rFonts w:ascii="Arial" w:cs="Arial" w:eastAsia="Arial" w:hAnsi="Arial"/>
                <w:sz w:val="18"/>
                <w:szCs w:val="18"/>
                <w:b w:val="1"/>
                <w:bCs w:val="1"/>
                <w:color w:val="auto"/>
              </w:rPr>
              <w:t>PART I – FINANCIAL INFORMATION</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700" w:type="dxa"/>
            <w:vAlign w:val="bottom"/>
            <w:gridSpan w:val="7"/>
          </w:tcPr>
          <w:p>
            <w:pPr>
              <w:jc w:val="center"/>
              <w:ind w:left="213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40" w:type="dxa"/>
            <w:vAlign w:val="bottom"/>
            <w:gridSpan w:val="4"/>
          </w:tcPr>
          <w:p>
            <w:pPr>
              <w:jc w:val="center"/>
              <w:ind w:left="3590"/>
              <w:spacing w:after="0"/>
              <w:rPr>
                <w:sz w:val="20"/>
                <w:szCs w:val="20"/>
                <w:color w:val="auto"/>
              </w:rPr>
            </w:pPr>
            <w:r>
              <w:rPr>
                <w:rFonts w:ascii="Arial" w:cs="Arial" w:eastAsia="Arial" w:hAnsi="Arial"/>
                <w:sz w:val="18"/>
                <w:szCs w:val="18"/>
                <w:b w:val="1"/>
                <w:bCs w:val="1"/>
                <w:color w:val="auto"/>
                <w:w w:val="90"/>
              </w:rPr>
              <w:t>(In millions except per share data)</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tcPr>
          <w:p>
            <w:pPr>
              <w:jc w:val="center"/>
              <w:ind w:left="483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1"/>
                <w:szCs w:val="21"/>
                <w:color w:val="auto"/>
              </w:rPr>
            </w:pPr>
          </w:p>
        </w:tc>
        <w:tc>
          <w:tcPr>
            <w:tcW w:w="20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jc w:val="center"/>
              <w:ind w:right="74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8,340</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Arial" w:cs="Arial" w:eastAsia="Arial" w:hAnsi="Arial"/>
                <w:sz w:val="18"/>
                <w:szCs w:val="18"/>
                <w:color w:val="auto"/>
              </w:rPr>
              <w:t>Cost of products sold, excluding depreciation and amortization</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Arial" w:cs="Arial" w:eastAsia="Arial" w:hAnsi="Arial"/>
                <w:sz w:val="18"/>
                <w:szCs w:val="18"/>
                <w:color w:val="auto"/>
              </w:rPr>
              <w:t>Selling and administrative expense</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pension and postretirement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0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00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3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 before taxes</w:t>
            </w:r>
          </w:p>
        </w:tc>
        <w:tc>
          <w:tcPr>
            <w:tcW w:w="3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earnings in affiliates</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Net income from continuing operations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 income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Net income from continuing operations attributable to noncontrolling interests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75"/>
        </w:trPr>
        <w:tc>
          <w:tcPr>
            <w:tcW w:w="6000" w:type="dxa"/>
            <w:vAlign w:val="bottom"/>
          </w:tcPr>
          <w:p>
            <w:pPr>
              <w:ind w:left="340"/>
              <w:spacing w:after="0" w:line="176" w:lineRule="exact"/>
              <w:rPr>
                <w:sz w:val="20"/>
                <w:szCs w:val="20"/>
                <w:color w:val="auto"/>
              </w:rPr>
            </w:pPr>
            <w:r>
              <w:rPr>
                <w:rFonts w:ascii="Arial" w:cs="Arial" w:eastAsia="Arial" w:hAnsi="Arial"/>
                <w:sz w:val="18"/>
                <w:szCs w:val="18"/>
                <w:color w:val="auto"/>
              </w:rPr>
              <w:t>Net income from discontinued operations attributable to noncontrolling</w:t>
            </w:r>
          </w:p>
        </w:tc>
        <w:tc>
          <w:tcPr>
            <w:tcW w:w="300" w:type="dxa"/>
            <w:vAlign w:val="bottom"/>
          </w:tcPr>
          <w:p>
            <w:pPr>
              <w:spacing w:after="0"/>
              <w:rPr>
                <w:sz w:val="15"/>
                <w:szCs w:val="15"/>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 attributable to Crown Holdings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Net (loss) / income from discontinued operations attributable to Crown Holdings</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Basic earnings per common share from continuing operations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4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Diluted earnings per common share from continuing operations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4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 w:name="page3"/>
    <w:bookmarkEnd w:id="2"/>
    <w:tbl>
      <w:tblPr>
        <w:tblLayout w:type="fixed"/>
        <w:tblInd w:w="160" w:type="dxa"/>
        <w:tblCellMar>
          <w:top w:w="0" w:type="dxa"/>
          <w:left w:w="0" w:type="dxa"/>
          <w:bottom w:w="0" w:type="dxa"/>
          <w:right w:w="0" w:type="dxa"/>
        </w:tblCellMar>
      </w:tblPr>
      <w:tr>
        <w:trPr>
          <w:trHeight w:val="234"/>
        </w:trPr>
        <w:tc>
          <w:tcPr>
            <w:tcW w:w="6300" w:type="dxa"/>
            <w:vAlign w:val="bottom"/>
            <w:gridSpan w:val="2"/>
          </w:tcPr>
          <w:p>
            <w:pPr>
              <w:jc w:val="center"/>
              <w:ind w:left="4530"/>
              <w:spacing w:after="0"/>
              <w:rPr>
                <w:sz w:val="20"/>
                <w:szCs w:val="20"/>
                <w:color w:val="auto"/>
              </w:rPr>
            </w:pPr>
            <w:r>
              <w:rPr>
                <w:rFonts w:ascii="Arial" w:cs="Arial" w:eastAsia="Arial" w:hAnsi="Arial"/>
                <w:sz w:val="18"/>
                <w:szCs w:val="18"/>
                <w:b w:val="1"/>
                <w:bCs w:val="1"/>
                <w:color w:val="auto"/>
                <w:w w:val="91"/>
              </w:rPr>
              <w:t>Crown Holdings, Inc.</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913"/>
        </w:trPr>
        <w:tc>
          <w:tcPr>
            <w:tcW w:w="8700" w:type="dxa"/>
            <w:vAlign w:val="bottom"/>
            <w:gridSpan w:val="7"/>
          </w:tcPr>
          <w:p>
            <w:pPr>
              <w:jc w:val="center"/>
              <w:ind w:left="213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6000" w:type="dxa"/>
            <w:vAlign w:val="bottom"/>
          </w:tcPr>
          <w:p>
            <w:pPr>
              <w:jc w:val="center"/>
              <w:ind w:left="4850"/>
              <w:spacing w:after="0"/>
              <w:rPr>
                <w:sz w:val="20"/>
                <w:szCs w:val="20"/>
                <w:color w:val="auto"/>
              </w:rPr>
            </w:pPr>
            <w:r>
              <w:rPr>
                <w:rFonts w:ascii="Arial" w:cs="Arial" w:eastAsia="Arial" w:hAnsi="Arial"/>
                <w:sz w:val="18"/>
                <w:szCs w:val="18"/>
                <w:b w:val="1"/>
                <w:bCs w:val="1"/>
                <w:color w:val="auto"/>
                <w:w w:val="93"/>
              </w:rPr>
              <w:t>(In millions)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6000" w:type="dxa"/>
            <w:vAlign w:val="bottom"/>
          </w:tcPr>
          <w:p>
            <w:pPr>
              <w:jc w:val="center"/>
              <w:ind w:left="483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2"/>
        </w:trPr>
        <w:tc>
          <w:tcPr>
            <w:tcW w:w="6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1"/>
                <w:szCs w:val="21"/>
                <w:color w:val="auto"/>
              </w:rPr>
            </w:pPr>
          </w:p>
        </w:tc>
        <w:tc>
          <w:tcPr>
            <w:tcW w:w="20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8"/>
              </w:rPr>
              <w:t>Nine Months Ended</w:t>
            </w:r>
          </w:p>
        </w:tc>
      </w:tr>
      <w:tr>
        <w:trPr>
          <w:trHeight w:val="234"/>
        </w:trPr>
        <w:tc>
          <w:tcPr>
            <w:tcW w:w="6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jc w:val="center"/>
              <w:ind w:right="74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0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50"/>
        </w:trPr>
        <w:tc>
          <w:tcPr>
            <w:tcW w:w="6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 (loss), net of tax:</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2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other postretirement benefits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Derivatives qualifying as hedges</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60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 other comprehensive income / (loss)</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50"/>
        </w:trPr>
        <w:tc>
          <w:tcPr>
            <w:tcW w:w="6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adjustments attributable to noncontrolling interests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3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1"/>
              </w:rPr>
              <w:t>Crown Holdings, Inc.</w:t>
            </w: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913"/>
        </w:trPr>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gridSpan w:val="4"/>
          </w:tcPr>
          <w:p>
            <w:pPr>
              <w:jc w:val="center"/>
              <w:ind w:right="1440"/>
              <w:spacing w:after="0"/>
              <w:rPr>
                <w:sz w:val="20"/>
                <w:szCs w:val="20"/>
                <w:color w:val="auto"/>
              </w:rPr>
            </w:pPr>
            <w:r>
              <w:rPr>
                <w:rFonts w:ascii="Arial" w:cs="Arial" w:eastAsia="Arial" w:hAnsi="Arial"/>
                <w:sz w:val="18"/>
                <w:szCs w:val="18"/>
                <w:b w:val="1"/>
                <w:bCs w:val="1"/>
                <w:color w:val="auto"/>
                <w:w w:val="96"/>
              </w:rPr>
              <w:t>CONSOLIDATED BALANCE SHEETS (Condensed)</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93"/>
              </w:rPr>
              <w:t>(In millions)</w:t>
            </w: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1"/>
              </w:rPr>
              <w:t>(Unaudited)</w:t>
            </w: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3"/>
        </w:trPr>
        <w:tc>
          <w:tcPr>
            <w:tcW w:w="2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7"/>
                <w:szCs w:val="17"/>
                <w:color w:val="auto"/>
              </w:rPr>
            </w:pP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w w:val="92"/>
              </w:rPr>
              <w:t>December 31,</w:t>
            </w:r>
          </w:p>
        </w:tc>
      </w:tr>
      <w:tr>
        <w:trPr>
          <w:trHeight w:val="229"/>
        </w:trPr>
        <w:tc>
          <w:tcPr>
            <w:tcW w:w="29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09"/>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54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assets</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30"/>
        </w:trPr>
        <w:tc>
          <w:tcPr>
            <w:tcW w:w="3540" w:type="dxa"/>
            <w:vAlign w:val="bottom"/>
            <w:gridSpan w:val="3"/>
          </w:tcPr>
          <w:p>
            <w:pPr>
              <w:ind w:left="360"/>
              <w:spacing w:after="0"/>
              <w:rPr>
                <w:sz w:val="20"/>
                <w:szCs w:val="20"/>
                <w:color w:val="auto"/>
              </w:rPr>
            </w:pPr>
            <w:r>
              <w:rPr>
                <w:rFonts w:ascii="Arial" w:cs="Arial" w:eastAsia="Arial" w:hAnsi="Arial"/>
                <w:sz w:val="18"/>
                <w:szCs w:val="18"/>
                <w:color w:val="auto"/>
              </w:rPr>
              <w:t>Receivables, net</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1,522</w:t>
            </w:r>
          </w:p>
        </w:tc>
      </w:tr>
      <w:tr>
        <w:trPr>
          <w:trHeight w:val="229"/>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29"/>
        </w:trPr>
        <w:tc>
          <w:tcPr>
            <w:tcW w:w="3540" w:type="dxa"/>
            <w:vAlign w:val="bottom"/>
            <w:gridSpan w:val="3"/>
          </w:tcPr>
          <w:p>
            <w:pPr>
              <w:ind w:left="360"/>
              <w:spacing w:after="0"/>
              <w:rPr>
                <w:sz w:val="20"/>
                <w:szCs w:val="20"/>
                <w:color w:val="auto"/>
              </w:rPr>
            </w:pPr>
            <w:r>
              <w:rPr>
                <w:rFonts w:ascii="Arial" w:cs="Arial" w:eastAsia="Arial" w:hAnsi="Arial"/>
                <w:sz w:val="18"/>
                <w:szCs w:val="18"/>
                <w:color w:val="auto"/>
                <w:w w:val="92"/>
              </w:rPr>
              <w:t>Prepaid expenses and other current assets</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assets held for sale</w:t>
            </w:r>
          </w:p>
        </w:tc>
        <w:tc>
          <w:tcPr>
            <w:tcW w:w="36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23"/>
        </w:trPr>
        <w:tc>
          <w:tcPr>
            <w:tcW w:w="354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3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6,105</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w:t>
            </w:r>
          </w:p>
        </w:tc>
      </w:tr>
      <w:tr>
        <w:trPr>
          <w:trHeight w:val="250"/>
        </w:trPr>
        <w:tc>
          <w:tcPr>
            <w:tcW w:w="29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0"/>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3,146</w:t>
            </w:r>
          </w:p>
        </w:tc>
      </w:tr>
      <w:tr>
        <w:trPr>
          <w:trHeight w:val="229"/>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r>
      <w:tr>
        <w:trPr>
          <w:trHeight w:val="229"/>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Property, plant and equipment, net</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3,652</w:t>
            </w:r>
          </w:p>
        </w:tc>
      </w:tr>
      <w:tr>
        <w:trPr>
          <w:trHeight w:val="23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net</w:t>
            </w:r>
          </w:p>
        </w:tc>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Other non-current assets</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29"/>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Non-current assets held for sale</w:t>
            </w:r>
          </w:p>
        </w:tc>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r>
      <w:tr>
        <w:trPr>
          <w:trHeight w:val="223"/>
        </w:trPr>
        <w:tc>
          <w:tcPr>
            <w:tcW w:w="3540" w:type="dxa"/>
            <w:vAlign w:val="bottom"/>
            <w:gridSpan w:val="3"/>
          </w:tcPr>
          <w:p>
            <w:pPr>
              <w:ind w:left="680"/>
              <w:spacing w:after="0"/>
              <w:rPr>
                <w:sz w:val="20"/>
                <w:szCs w:val="20"/>
                <w:color w:val="auto"/>
              </w:rPr>
            </w:pPr>
            <w:r>
              <w:rPr>
                <w:rFonts w:ascii="Arial" w:cs="Arial" w:eastAsia="Arial" w:hAnsi="Arial"/>
                <w:sz w:val="18"/>
                <w:szCs w:val="18"/>
                <w:b w:val="1"/>
                <w:bCs w:val="1"/>
                <w:color w:val="auto"/>
              </w:rPr>
              <w:t>Total</w:t>
            </w:r>
          </w:p>
        </w:tc>
        <w:tc>
          <w:tcPr>
            <w:tcW w:w="36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16,006</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16,691</w:t>
            </w: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54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540" w:type="dxa"/>
            <w:vAlign w:val="bottom"/>
            <w:gridSpan w:val="3"/>
          </w:tcPr>
          <w:p>
            <w:pPr>
              <w:ind w:left="360"/>
              <w:spacing w:after="0"/>
              <w:rPr>
                <w:sz w:val="20"/>
                <w:szCs w:val="20"/>
                <w:color w:val="auto"/>
              </w:rPr>
            </w:pPr>
            <w:r>
              <w:rPr>
                <w:rFonts w:ascii="Arial" w:cs="Arial" w:eastAsia="Arial" w:hAnsi="Arial"/>
                <w:sz w:val="18"/>
                <w:szCs w:val="18"/>
                <w:color w:val="auto"/>
              </w:rPr>
              <w:t>Short-term debt</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3540" w:type="dxa"/>
            <w:vAlign w:val="bottom"/>
            <w:gridSpan w:val="3"/>
          </w:tcPr>
          <w:p>
            <w:pPr>
              <w:ind w:left="360"/>
              <w:spacing w:after="0"/>
              <w:rPr>
                <w:sz w:val="20"/>
                <w:szCs w:val="20"/>
                <w:color w:val="auto"/>
              </w:rPr>
            </w:pPr>
            <w:r>
              <w:rPr>
                <w:rFonts w:ascii="Arial" w:cs="Arial" w:eastAsia="Arial" w:hAnsi="Arial"/>
                <w:sz w:val="18"/>
                <w:szCs w:val="18"/>
                <w:color w:val="auto"/>
                <w:w w:val="92"/>
              </w:rPr>
              <w:t>Current portion of operating lease liabilities</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r>
      <w:tr>
        <w:trPr>
          <w:trHeight w:val="230"/>
        </w:trPr>
        <w:tc>
          <w:tcPr>
            <w:tcW w:w="3540" w:type="dxa"/>
            <w:vAlign w:val="bottom"/>
            <w:gridSpan w:val="3"/>
          </w:tcPr>
          <w:p>
            <w:pPr>
              <w:ind w:left="360"/>
              <w:spacing w:after="0"/>
              <w:rPr>
                <w:sz w:val="20"/>
                <w:szCs w:val="20"/>
                <w:color w:val="auto"/>
              </w:rPr>
            </w:pPr>
            <w:r>
              <w:rPr>
                <w:rFonts w:ascii="Arial" w:cs="Arial" w:eastAsia="Arial" w:hAnsi="Arial"/>
                <w:sz w:val="18"/>
                <w:szCs w:val="18"/>
                <w:color w:val="auto"/>
              </w:rPr>
              <w:t>Accrued liabilities</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946</w:t>
            </w:r>
          </w:p>
        </w:tc>
      </w:tr>
      <w:tr>
        <w:trPr>
          <w:trHeight w:val="230"/>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liabilities held for sale</w:t>
            </w:r>
          </w:p>
        </w:tc>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23"/>
        </w:trPr>
        <w:tc>
          <w:tcPr>
            <w:tcW w:w="354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36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5,535</w:t>
            </w:r>
          </w:p>
        </w:tc>
        <w:tc>
          <w:tcPr>
            <w:tcW w:w="4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4,282</w:t>
            </w:r>
          </w:p>
        </w:tc>
      </w:tr>
      <w:tr>
        <w:trPr>
          <w:trHeight w:val="250"/>
        </w:trPr>
        <w:tc>
          <w:tcPr>
            <w:tcW w:w="29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29"/>
        </w:trPr>
        <w:tc>
          <w:tcPr>
            <w:tcW w:w="3540" w:type="dxa"/>
            <w:vAlign w:val="bottom"/>
            <w:gridSpan w:val="3"/>
          </w:tcPr>
          <w:p>
            <w:pPr>
              <w:ind w:left="20"/>
              <w:spacing w:after="0"/>
              <w:rPr>
                <w:sz w:val="20"/>
                <w:szCs w:val="20"/>
                <w:color w:val="auto"/>
              </w:rPr>
            </w:pPr>
            <w:r>
              <w:rPr>
                <w:rFonts w:ascii="Arial" w:cs="Arial" w:eastAsia="Arial" w:hAnsi="Arial"/>
                <w:sz w:val="18"/>
                <w:szCs w:val="18"/>
                <w:color w:val="auto"/>
                <w:w w:val="99"/>
              </w:rPr>
              <w:t>Long-term debt, excluding current maturities</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6,034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8,023</w:t>
            </w:r>
          </w:p>
        </w:tc>
      </w:tr>
      <w:tr>
        <w:trPr>
          <w:trHeight w:val="23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3"/>
              </w:rPr>
              <w:t>Non-current portion of operating lease liabilities</w:t>
            </w:r>
          </w:p>
        </w:tc>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Postretirement and pension liabilities</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29"/>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Non-current liabilities held for sale</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0"/>
        </w:trPr>
        <w:tc>
          <w:tcPr>
            <w:tcW w:w="3540" w:type="dxa"/>
            <w:vAlign w:val="bottom"/>
            <w:gridSpan w:val="3"/>
            <w:shd w:val="clear" w:color="auto" w:fill="CCEEFF"/>
          </w:tcPr>
          <w:p>
            <w:pPr>
              <w:ind w:left="20"/>
              <w:spacing w:after="0" w:line="189" w:lineRule="exact"/>
              <w:rPr>
                <w:rFonts w:ascii="Arial" w:cs="Arial" w:eastAsia="Arial" w:hAnsi="Arial"/>
                <w:sz w:val="18"/>
                <w:szCs w:val="18"/>
                <w:color w:val="auto"/>
                <w:w w:val="93"/>
              </w:rPr>
            </w:pPr>
            <w:r>
              <w:rPr>
                <w:rFonts w:ascii="Arial" w:cs="Arial" w:eastAsia="Arial" w:hAnsi="Arial"/>
                <w:sz w:val="18"/>
                <w:szCs w:val="18"/>
                <w:color w:val="auto"/>
                <w:w w:val="93"/>
              </w:rPr>
              <w:t xml:space="preserve">Commitments and contingent liabilities </w:t>
            </w:r>
            <w:r>
              <w:rPr>
                <w:rFonts w:ascii="Arial" w:cs="Arial" w:eastAsia="Arial" w:hAnsi="Arial"/>
                <w:sz w:val="18"/>
                <w:szCs w:val="18"/>
                <w:i w:val="1"/>
                <w:iCs w:val="1"/>
                <w:color w:val="auto"/>
                <w:w w:val="93"/>
              </w:rPr>
              <w:t>(</w:t>
            </w:r>
            <w:hyperlink w:anchor="page13">
              <w:r>
                <w:rPr>
                  <w:rFonts w:ascii="Arial" w:cs="Arial" w:eastAsia="Arial" w:hAnsi="Arial"/>
                  <w:sz w:val="18"/>
                  <w:szCs w:val="18"/>
                  <w:i w:val="1"/>
                  <w:iCs w:val="1"/>
                  <w:color w:val="0000FF"/>
                  <w:w w:val="93"/>
                </w:rPr>
                <w:t>Note J</w:t>
              </w:r>
            </w:hyperlink>
            <w:r>
              <w:rPr>
                <w:rFonts w:ascii="Arial" w:cs="Arial" w:eastAsia="Arial" w:hAnsi="Arial"/>
                <w:sz w:val="18"/>
                <w:szCs w:val="18"/>
                <w:i w:val="1"/>
                <w:iCs w:val="1"/>
                <w:color w:val="auto"/>
                <w:w w:val="93"/>
              </w:rPr>
              <w:t>)</w:t>
            </w:r>
          </w:p>
        </w:tc>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9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46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443</w:t>
            </w:r>
          </w:p>
        </w:tc>
        <w:tc>
          <w:tcPr>
            <w:tcW w:w="4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406</w:t>
            </w:r>
          </w:p>
        </w:tc>
      </w:tr>
      <w:tr>
        <w:trPr>
          <w:trHeight w:val="23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Crown Holdings shareholders’ equity</w:t>
            </w:r>
          </w:p>
        </w:tc>
        <w:tc>
          <w:tcPr>
            <w:tcW w:w="36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r>
      <w:tr>
        <w:trPr>
          <w:trHeight w:val="223"/>
        </w:trPr>
        <w:tc>
          <w:tcPr>
            <w:tcW w:w="354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b w:val="1"/>
                <w:bCs w:val="1"/>
                <w:color w:val="auto"/>
              </w:rPr>
              <w:t>Total equity</w:t>
            </w:r>
          </w:p>
        </w:tc>
        <w:tc>
          <w:tcPr>
            <w:tcW w:w="3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w:t>
            </w:r>
          </w:p>
        </w:tc>
      </w:tr>
      <w:tr>
        <w:trPr>
          <w:trHeight w:val="248"/>
        </w:trPr>
        <w:tc>
          <w:tcPr>
            <w:tcW w:w="35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w:t>
            </w:r>
          </w:p>
        </w:tc>
        <w:tc>
          <w:tcPr>
            <w:tcW w:w="3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16,006</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16,691</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4" w:name="page5"/>
    <w:bookmarkEnd w:id="4"/>
    <w:tbl>
      <w:tblPr>
        <w:tblLayout w:type="fixed"/>
        <w:tblInd w:w="100" w:type="dxa"/>
        <w:tblCellMar>
          <w:top w:w="0" w:type="dxa"/>
          <w:left w:w="0" w:type="dxa"/>
          <w:bottom w:w="0" w:type="dxa"/>
          <w:right w:w="0" w:type="dxa"/>
        </w:tblCellMar>
      </w:tblPr>
      <w:tr>
        <w:trPr>
          <w:trHeight w:val="234"/>
        </w:trPr>
        <w:tc>
          <w:tcPr>
            <w:tcW w:w="8200" w:type="dxa"/>
            <w:vAlign w:val="bottom"/>
          </w:tcPr>
          <w:p>
            <w:pPr>
              <w:jc w:val="center"/>
              <w:ind w:left="2750"/>
              <w:spacing w:after="0"/>
              <w:rPr>
                <w:sz w:val="20"/>
                <w:szCs w:val="20"/>
                <w:color w:val="auto"/>
              </w:rPr>
            </w:pPr>
            <w:r>
              <w:rPr>
                <w:rFonts w:ascii="Arial" w:cs="Arial" w:eastAsia="Arial" w:hAnsi="Arial"/>
                <w:sz w:val="18"/>
                <w:szCs w:val="18"/>
                <w:b w:val="1"/>
                <w:bCs w:val="1"/>
                <w:color w:val="auto"/>
                <w:w w:val="91"/>
              </w:rPr>
              <w:t>Crown Holdings, Inc.</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846"/>
        </w:trPr>
        <w:tc>
          <w:tcPr>
            <w:tcW w:w="8200" w:type="dxa"/>
            <w:vAlign w:val="bottom"/>
          </w:tcPr>
          <w:p>
            <w:pPr>
              <w:jc w:val="center"/>
              <w:ind w:left="2750"/>
              <w:spacing w:after="0"/>
              <w:rPr>
                <w:sz w:val="20"/>
                <w:szCs w:val="20"/>
                <w:color w:val="auto"/>
              </w:rPr>
            </w:pPr>
            <w:r>
              <w:rPr>
                <w:rFonts w:ascii="Arial" w:cs="Arial" w:eastAsia="Arial" w:hAnsi="Arial"/>
                <w:sz w:val="18"/>
                <w:szCs w:val="18"/>
                <w:b w:val="1"/>
                <w:bCs w:val="1"/>
                <w:color w:val="auto"/>
                <w:w w:val="96"/>
              </w:rPr>
              <w:t>CONSOLIDATED STATEMENTS OF CASH FLOWS (Condensed)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8200" w:type="dxa"/>
            <w:vAlign w:val="bottom"/>
          </w:tcPr>
          <w:p>
            <w:pPr>
              <w:jc w:val="center"/>
              <w:ind w:left="2770"/>
              <w:spacing w:after="0"/>
              <w:rPr>
                <w:sz w:val="20"/>
                <w:szCs w:val="20"/>
                <w:color w:val="auto"/>
              </w:rPr>
            </w:pPr>
            <w:r>
              <w:rPr>
                <w:rFonts w:ascii="Arial" w:cs="Arial" w:eastAsia="Arial" w:hAnsi="Arial"/>
                <w:sz w:val="18"/>
                <w:szCs w:val="18"/>
                <w:b w:val="1"/>
                <w:bCs w:val="1"/>
                <w:color w:val="auto"/>
                <w:w w:val="93"/>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8200" w:type="dxa"/>
            <w:vAlign w:val="bottom"/>
          </w:tcPr>
          <w:p>
            <w:pPr>
              <w:jc w:val="center"/>
              <w:ind w:left="275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2"/>
        </w:trPr>
        <w:tc>
          <w:tcPr>
            <w:tcW w:w="8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r>
      <w:tr>
        <w:trPr>
          <w:trHeight w:val="223"/>
        </w:trPr>
        <w:tc>
          <w:tcPr>
            <w:tcW w:w="8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2020</w:t>
            </w:r>
          </w:p>
        </w:tc>
      </w:tr>
      <w:tr>
        <w:trPr>
          <w:trHeight w:val="21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549</w:t>
            </w:r>
          </w:p>
        </w:tc>
        <w:tc>
          <w:tcPr>
            <w:tcW w:w="4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Loss on sale of discontinued businesses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Restructuring and 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Pension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Pension contributions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Working capital changes and 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r>
      <w:tr>
        <w:trPr>
          <w:trHeight w:val="223"/>
        </w:trPr>
        <w:tc>
          <w:tcPr>
            <w:tcW w:w="820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09"/>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Net investment hedge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sale of discontinued operations, net of cash disposed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Proceeds from sale of property, plant and equipment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Arial" w:cs="Arial" w:eastAsia="Arial" w:hAnsi="Arial"/>
                <w:sz w:val="18"/>
                <w:szCs w:val="18"/>
                <w:b w:val="1"/>
                <w:bCs w:val="1"/>
                <w:color w:val="auto"/>
              </w:rPr>
              <w:t>Net cash provided by / (used for) investing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r>
      <w:tr>
        <w:trPr>
          <w:trHeight w:val="20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Net change in revolving credit facility and short-term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long-term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exchange derivatives related to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Payments of finance leases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Contributions from noncontrolling interests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Dividends paid to shareholders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Common stock issued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 repurchased</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Arial" w:cs="Arial" w:eastAsia="Arial" w:hAnsi="Arial"/>
                <w:sz w:val="18"/>
                <w:szCs w:val="18"/>
                <w:b w:val="1"/>
                <w:bCs w:val="1"/>
                <w:color w:val="auto"/>
              </w:rPr>
              <w:t>Net cash (used for) / provided by financing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1,089</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January 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September 30</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4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7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center"/>
              <w:ind w:right="52"/>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1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8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Crown</w:t>
            </w:r>
          </w:p>
        </w:tc>
        <w:tc>
          <w:tcPr>
            <w:tcW w:w="1040" w:type="dxa"/>
            <w:vAlign w:val="bottom"/>
            <w:gridSpan w:val="3"/>
            <w:vMerge w:val="continue"/>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6"/>
                <w:szCs w:val="16"/>
                <w:color w:val="auto"/>
              </w:rPr>
            </w:pPr>
          </w:p>
        </w:tc>
        <w:tc>
          <w:tcPr>
            <w:tcW w:w="720" w:type="dxa"/>
            <w:vAlign w:val="bottom"/>
          </w:tcPr>
          <w:p>
            <w:pPr>
              <w:jc w:val="right"/>
              <w:ind w:right="15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37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Dividends paid to shareholders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Common stock issued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shareholders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196"/>
        </w:trPr>
        <w:tc>
          <w:tcPr>
            <w:tcW w:w="37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June 30, 2021</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4,724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2,262</w:t>
            </w:r>
          </w:p>
        </w:tc>
        <w:tc>
          <w:tcPr>
            <w:tcW w:w="80" w:type="dxa"/>
            <w:vAlign w:val="bottom"/>
          </w:tcPr>
          <w:p>
            <w:pPr>
              <w:spacing w:after="0"/>
              <w:rPr>
                <w:sz w:val="17"/>
                <w:szCs w:val="17"/>
                <w:color w:val="auto"/>
              </w:rPr>
            </w:pPr>
          </w:p>
        </w:tc>
        <w:tc>
          <w:tcPr>
            <w:tcW w:w="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462</w:t>
            </w:r>
          </w:p>
        </w:tc>
        <w:tc>
          <w:tcPr>
            <w:tcW w:w="80" w:type="dxa"/>
            <w:vAlign w:val="bottom"/>
          </w:tcPr>
          <w:p>
            <w:pPr>
              <w:spacing w:after="0"/>
              <w:rPr>
                <w:sz w:val="17"/>
                <w:szCs w:val="17"/>
                <w:color w:val="auto"/>
              </w:rPr>
            </w:pPr>
          </w:p>
        </w:tc>
        <w:tc>
          <w:tcPr>
            <w:tcW w:w="1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Other comprehensive income / (loss)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shareholders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Disposition of subsidiary with noncontrolling</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interests</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amount disposed in 2021 relates to discontinued operations. See </w:t>
      </w:r>
      <w:hyperlink w:anchor="page8">
        <w:r>
          <w:rPr>
            <w:rFonts w:ascii="Arial" w:cs="Arial" w:eastAsia="Arial" w:hAnsi="Arial"/>
            <w:sz w:val="16"/>
            <w:szCs w:val="16"/>
            <w:u w:val="single" w:color="auto"/>
            <w:color w:val="0000FF"/>
          </w:rPr>
          <w:t>Note C</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details.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44"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SHAREHOLDERS’ EQUITY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28"/>
        </w:trPr>
        <w:tc>
          <w:tcPr>
            <w:tcW w:w="3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center"/>
              <w:ind w:right="52"/>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1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8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Crown</w:t>
            </w:r>
          </w:p>
        </w:tc>
        <w:tc>
          <w:tcPr>
            <w:tcW w:w="1060" w:type="dxa"/>
            <w:vAlign w:val="bottom"/>
            <w:gridSpan w:val="3"/>
            <w:vMerge w:val="continue"/>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37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June 30, 2020</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4,173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214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b w:val="1"/>
                <w:bCs w:val="1"/>
                <w:color w:val="auto"/>
              </w:rPr>
              <w:t>Balance at September 30,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of Information Furnished</w:t>
      </w:r>
    </w:p>
    <w:p>
      <w:pPr>
        <w:spacing w:after="0" w:line="256" w:lineRule="exact"/>
        <w:rPr>
          <w:rFonts w:ascii="Arial" w:cs="Arial" w:eastAsia="Arial" w:hAnsi="Arial"/>
          <w:sz w:val="18"/>
          <w:szCs w:val="18"/>
          <w:b w:val="1"/>
          <w:bCs w:val="1"/>
          <w:color w:val="auto"/>
        </w:rPr>
      </w:pPr>
    </w:p>
    <w:p>
      <w:pPr>
        <w:jc w:val="both"/>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September 30, 2021 and the results of its operations for the three and nine months ended September 30, 2021 and 2020 and of its cash flows for the nine months ended September 30, 2021 and 2020.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205"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2020.</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Reporting Developments</w:t>
      </w:r>
    </w:p>
    <w:p>
      <w:pPr>
        <w:spacing w:after="0" w:line="256"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January 1, 2021, the Company adopted new guidance to simplify the accounting for income taxes by, among other things, reducing complexity in the interim-period accounting for year-to-date loss limitations and changes in tax laws. The guidance did not have a material impact on the Company's consolidated financial statements.</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256" w:lineRule="exact"/>
        <w:rPr>
          <w:sz w:val="20"/>
          <w:szCs w:val="20"/>
          <w:color w:val="auto"/>
        </w:rPr>
      </w:pPr>
    </w:p>
    <w:p>
      <w:pPr>
        <w:jc w:val="both"/>
        <w:ind w:left="660"/>
        <w:spacing w:after="0" w:line="255" w:lineRule="auto"/>
        <w:rPr>
          <w:rFonts w:ascii="Arial" w:cs="Arial" w:eastAsia="Arial" w:hAnsi="Arial"/>
          <w:sz w:val="18"/>
          <w:szCs w:val="18"/>
          <w:color w:val="0000FF"/>
        </w:rPr>
      </w:pPr>
      <w:r>
        <w:rPr>
          <w:rFonts w:ascii="Arial" w:cs="Arial" w:eastAsia="Arial" w:hAnsi="Arial"/>
          <w:sz w:val="18"/>
          <w:szCs w:val="18"/>
          <w:color w:val="auto"/>
        </w:rPr>
        <w:t xml:space="preserve">On August 31, 2021, the Company completed the sale (the “Transaction”) of its European Tinplate business (the “Business”) to Kouti B.V., an affiliate of KPS Capital Partners LP. The Business comprised the Company’s European Food segment and its European Aerosol and Promotional Packaging reporting unit which was previously reported in the Company's other segments. The Company received pre-tax proceeds of approximately €1.9 billion ($2.3 billion) from the Transaction and retained a 20% minority interest in the Business. Proceeds from the Transaction are being used to fund capital projects, repurchase Company stock and to redeem certain of the Company's senior notes as further described in </w:t>
      </w:r>
      <w:hyperlink w:anchor="page19">
        <w:r>
          <w:rPr>
            <w:rFonts w:ascii="Arial" w:cs="Arial" w:eastAsia="Arial" w:hAnsi="Arial"/>
            <w:sz w:val="18"/>
            <w:szCs w:val="18"/>
            <w:u w:val="single" w:color="auto"/>
            <w:color w:val="0000FF"/>
          </w:rPr>
          <w:t>Note L</w:t>
        </w:r>
      </w:hyperlink>
      <w:r>
        <w:rPr>
          <w:rFonts w:ascii="Arial" w:cs="Arial" w:eastAsia="Arial" w:hAnsi="Arial"/>
          <w:sz w:val="18"/>
          <w:szCs w:val="18"/>
          <w:color w:val="000000"/>
        </w:rPr>
        <w:t>.</w:t>
      </w:r>
    </w:p>
    <w:p>
      <w:pPr>
        <w:spacing w:after="0" w:line="219"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The Company recorded a pre-tax loss of $89 upon disposal, which included the reclassification of a loss of $553 of currency translation adjustments from accumulated other comprehensive income. The Company also recorded income tax charges of $84 related to taxable gains on the sale of the Business.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Major components of net (loss) / income from discontinued operations were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860" w:type="dxa"/>
            <w:vAlign w:val="bottom"/>
            <w:gridSpan w:val="4"/>
          </w:tcPr>
          <w:p>
            <w:pPr>
              <w:ind w:left="4140"/>
              <w:spacing w:after="0"/>
              <w:rPr>
                <w:sz w:val="20"/>
                <w:szCs w:val="20"/>
                <w:color w:val="auto"/>
              </w:rPr>
            </w:pPr>
            <w:r>
              <w:rPr>
                <w:rFonts w:ascii="Arial" w:cs="Arial" w:eastAsia="Arial" w:hAnsi="Arial"/>
                <w:sz w:val="18"/>
                <w:szCs w:val="18"/>
                <w:b w:val="1"/>
                <w:bCs w:val="1"/>
                <w:color w:val="auto"/>
                <w:w w:val="94"/>
              </w:rPr>
              <w:t>Crown Holdings, Inc.</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5"/>
        </w:trPr>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w w:val="91"/>
              </w:rPr>
              <w:t>Cost of products sold, excluding depreciation and amortization</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discontinued businesses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before tax</w:t>
            </w: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 income from discontinued operations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76"/>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rPr>
              <w:t>Net income from discontinued operations attributable to</w:t>
            </w:r>
          </w:p>
        </w:tc>
        <w:tc>
          <w:tcPr>
            <w:tcW w:w="220" w:type="dxa"/>
            <w:vAlign w:val="bottom"/>
          </w:tcPr>
          <w:p>
            <w:pPr>
              <w:spacing w:after="0"/>
              <w:rPr>
                <w:sz w:val="15"/>
                <w:szCs w:val="15"/>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5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Net (loss) / income from discontinued operations attributable</w:t>
            </w: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to Crown Holdings</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Major classes of assets and liabilities of the Business classified as held for sale at December 31, 2020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1"/>
              </w:rPr>
              <w:t>December 31, 2020</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1,447</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net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 and pension liabilities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Non-current portion of operating lease liabilities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Total liabilities held for sale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r>
      <w:tr>
        <w:trPr>
          <w:trHeight w:val="20"/>
        </w:trPr>
        <w:tc>
          <w:tcPr>
            <w:tcW w:w="7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excludes assets held for sale unrelated to the Business that are not material for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980" w:top="121" w:right="10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The capital expenditures of the Business were as follows:</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57"/>
        </w:trPr>
        <w:tc>
          <w:tcPr>
            <w:tcW w:w="5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September 30, 2021</w:t>
            </w:r>
          </w:p>
        </w:tc>
        <w:tc>
          <w:tcPr>
            <w:tcW w:w="160" w:type="dxa"/>
            <w:vAlign w:val="bottom"/>
          </w:tcPr>
          <w:p>
            <w:pPr>
              <w:spacing w:after="0"/>
              <w:rPr>
                <w:sz w:val="22"/>
                <w:szCs w:val="22"/>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w w:val="90"/>
              </w:rPr>
              <w:t>September 30, 2020</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32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will account for the retained minority interest in the Business under the equity method. The Company's share of income of the Business was $3 for the three and nine months ended September 30, 2021 and is reported in Equity earnings in affiliates in the Consolidated Statement of Operations.</w:t>
      </w:r>
    </w:p>
    <w:p>
      <w:pPr>
        <w:spacing w:after="0" w:line="200" w:lineRule="exact"/>
        <w:rPr>
          <w:sz w:val="20"/>
          <w:szCs w:val="20"/>
          <w:color w:val="auto"/>
        </w:rPr>
      </w:pPr>
    </w:p>
    <w:p>
      <w:pPr>
        <w:spacing w:after="0" w:line="250"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Cash Equivalents, and Restricted Cash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cash equivalents, and restricted cash included in the Company's Consolidated Balance Sheets and Statement of Cash Flows were as follows:</w:t>
      </w:r>
    </w:p>
    <w:p>
      <w:pPr>
        <w:spacing w:after="0" w:line="31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September 30, 2021</w:t>
            </w:r>
          </w:p>
        </w:tc>
        <w:tc>
          <w:tcPr>
            <w:tcW w:w="180" w:type="dxa"/>
            <w:vAlign w:val="bottom"/>
          </w:tcPr>
          <w:p>
            <w:pPr>
              <w:spacing w:after="0"/>
              <w:rPr>
                <w:sz w:val="20"/>
                <w:szCs w:val="20"/>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color w:val="auto"/>
                <w:w w:val="91"/>
              </w:rPr>
              <w:t>December 31, 2020</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70"/>
        </w:trPr>
        <w:tc>
          <w:tcPr>
            <w:tcW w:w="5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restricted cash</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58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segregated by certain of the Company's receivables securitization agreements.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4"/>
          </w:tcPr>
          <w:p>
            <w:pPr>
              <w:spacing w:after="0"/>
              <w:rPr>
                <w:sz w:val="20"/>
                <w:szCs w:val="20"/>
                <w:color w:val="auto"/>
              </w:rPr>
            </w:pPr>
            <w:r>
              <w:rPr>
                <w:rFonts w:ascii="Arial" w:cs="Arial" w:eastAsia="Arial" w:hAnsi="Arial"/>
                <w:sz w:val="18"/>
                <w:szCs w:val="18"/>
                <w:b w:val="1"/>
                <w:bCs w:val="1"/>
                <w:color w:val="auto"/>
              </w:rPr>
              <w:t>E.  Receivables</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520"/>
        </w:trPr>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September 30, 2021</w:t>
            </w:r>
          </w:p>
        </w:tc>
        <w:tc>
          <w:tcPr>
            <w:tcW w:w="160" w:type="dxa"/>
            <w:vAlign w:val="bottom"/>
          </w:tcPr>
          <w:p>
            <w:pPr>
              <w:spacing w:after="0"/>
              <w:rPr>
                <w:sz w:val="24"/>
                <w:szCs w:val="24"/>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w w:val="92"/>
              </w:rPr>
              <w:t>December 31, 2020</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7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allowance for credit losses</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7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288</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7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r>
      <w:tr>
        <w:trPr>
          <w:trHeight w:val="20"/>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35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Inventories are stated at the lower of cost or net realizable value, with cost principally determined under the first-in first-out ("FIFO") or average cost method.</w:t>
      </w:r>
    </w:p>
    <w:p>
      <w:pPr>
        <w:spacing w:after="0" w:line="200" w:lineRule="exact"/>
        <w:rPr>
          <w:sz w:val="20"/>
          <w:szCs w:val="20"/>
          <w:color w:val="auto"/>
        </w:rPr>
      </w:pP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September 30, 2021</w:t>
            </w:r>
          </w:p>
        </w:tc>
        <w:tc>
          <w:tcPr>
            <w:tcW w:w="160" w:type="dxa"/>
            <w:vAlign w:val="bottom"/>
          </w:tcPr>
          <w:p>
            <w:pPr>
              <w:spacing w:after="0"/>
              <w:rPr>
                <w:sz w:val="20"/>
                <w:szCs w:val="20"/>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w w:val="92"/>
              </w:rPr>
              <w:t>December 31, 2020</w:t>
            </w:r>
          </w:p>
        </w:tc>
      </w:tr>
      <w:tr>
        <w:trPr>
          <w:trHeight w:val="223"/>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7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113</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3"/>
        </w:trPr>
        <w:tc>
          <w:tcPr>
            <w:tcW w:w="53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7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r>
      <w:tr>
        <w:trPr>
          <w:trHeight w:val="21"/>
        </w:trPr>
        <w:tc>
          <w:tcPr>
            <w:tcW w:w="5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September 30, 2021</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9"/>
              </w:rPr>
              <w:t>December 31, 2020</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8"/>
                <w:szCs w:val="18"/>
                <w:color w:val="auto"/>
                <w:w w:val="91"/>
              </w:rPr>
              <w:t>Gross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80"/>
              <w:spacing w:after="0" w:line="169"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8"/>
                <w:szCs w:val="18"/>
                <w:color w:val="auto"/>
              </w:rPr>
              <w:t>Gross</w:t>
            </w:r>
          </w:p>
        </w:tc>
        <w:tc>
          <w:tcPr>
            <w:tcW w:w="180" w:type="dxa"/>
            <w:vAlign w:val="bottom"/>
          </w:tcPr>
          <w:p>
            <w:pPr>
              <w:spacing w:after="0"/>
              <w:rPr>
                <w:sz w:val="14"/>
                <w:szCs w:val="14"/>
                <w:color w:val="auto"/>
              </w:rPr>
            </w:pPr>
          </w:p>
        </w:tc>
        <w:tc>
          <w:tcPr>
            <w:tcW w:w="1500" w:type="dxa"/>
            <w:vAlign w:val="bottom"/>
            <w:gridSpan w:val="2"/>
          </w:tcPr>
          <w:p>
            <w:pPr>
              <w:jc w:val="center"/>
              <w:ind w:right="380"/>
              <w:spacing w:after="0" w:line="169" w:lineRule="exact"/>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4"/>
                <w:szCs w:val="14"/>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amortization</w:t>
            </w:r>
          </w:p>
        </w:tc>
        <w:tc>
          <w:tcPr>
            <w:tcW w:w="2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amortization</w:t>
            </w: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Long term supply contracts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income from continuing operations for the three and nine months ended September 30, 2021 and 2020 included amortization expense of $42, $125, $41 and $121, respectively.</w:t>
      </w:r>
    </w:p>
    <w:p>
      <w:pPr>
        <w:spacing w:after="0" w:line="200" w:lineRule="exact"/>
        <w:rPr>
          <w:sz w:val="20"/>
          <w:szCs w:val="20"/>
          <w:color w:val="auto"/>
        </w:rPr>
      </w:pPr>
    </w:p>
    <w:p>
      <w:pPr>
        <w:spacing w:after="0" w:line="236"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and Other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restructuring and other items as follows: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2060" w:type="dxa"/>
            <w:vAlign w:val="bottom"/>
            <w:gridSpan w:val="4"/>
          </w:tcPr>
          <w:p>
            <w:pPr>
              <w:jc w:val="right"/>
              <w:ind w:right="3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458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23"/>
        </w:trPr>
        <w:tc>
          <w:tcPr>
            <w:tcW w:w="45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 costs</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3"/>
              </w:rPr>
              <w:t>(49)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Asset impairments and sales</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(13)</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center"/>
              <w:ind w:left="370"/>
              <w:spacing w:after="0"/>
              <w:rPr>
                <w:sz w:val="20"/>
                <w:szCs w:val="20"/>
                <w:color w:val="auto"/>
              </w:rPr>
            </w:pPr>
            <w:r>
              <w:rPr>
                <w:rFonts w:ascii="Arial" w:cs="Arial" w:eastAsia="Arial" w:hAnsi="Arial"/>
                <w:sz w:val="18"/>
                <w:szCs w:val="18"/>
                <w:color w:val="auto"/>
                <w:w w:val="93"/>
              </w:rPr>
              <w:t>(14)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7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9"/>
              </w:rPr>
              <w:t>21</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171"/>
        </w:trPr>
        <w:tc>
          <w:tcPr>
            <w:tcW w:w="4580" w:type="dxa"/>
            <w:vAlign w:val="bottom"/>
          </w:tcPr>
          <w:p>
            <w:pPr>
              <w:spacing w:after="0"/>
              <w:rPr>
                <w:sz w:val="14"/>
                <w:szCs w:val="14"/>
                <w:color w:val="auto"/>
              </w:rPr>
            </w:pPr>
          </w:p>
        </w:tc>
        <w:tc>
          <w:tcPr>
            <w:tcW w:w="720" w:type="dxa"/>
            <w:vAlign w:val="bottom"/>
          </w:tcPr>
          <w:p>
            <w:pPr>
              <w:jc w:val="right"/>
              <w:ind w:right="530"/>
              <w:spacing w:after="0" w:line="170"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170" w:lineRule="exact"/>
              <w:rPr>
                <w:sz w:val="20"/>
                <w:szCs w:val="20"/>
                <w:color w:val="auto"/>
              </w:rPr>
            </w:pPr>
            <w:r>
              <w:rPr>
                <w:rFonts w:ascii="Arial" w:cs="Arial" w:eastAsia="Arial" w:hAnsi="Arial"/>
                <w:sz w:val="18"/>
                <w:szCs w:val="18"/>
                <w:color w:val="auto"/>
                <w:w w:val="93"/>
              </w:rPr>
              <w:t>(11)</w:t>
            </w:r>
          </w:p>
        </w:tc>
        <w:tc>
          <w:tcPr>
            <w:tcW w:w="220" w:type="dxa"/>
            <w:vAlign w:val="bottom"/>
          </w:tcPr>
          <w:p>
            <w:pPr>
              <w:spacing w:after="0"/>
              <w:rPr>
                <w:sz w:val="14"/>
                <w:szCs w:val="14"/>
                <w:color w:val="auto"/>
              </w:rPr>
            </w:pPr>
          </w:p>
        </w:tc>
        <w:tc>
          <w:tcPr>
            <w:tcW w:w="780" w:type="dxa"/>
            <w:vAlign w:val="bottom"/>
          </w:tcPr>
          <w:p>
            <w:pPr>
              <w:jc w:val="right"/>
              <w:ind w:right="570"/>
              <w:spacing w:after="0" w:line="170" w:lineRule="exact"/>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line="170" w:lineRule="exact"/>
              <w:rPr>
                <w:sz w:val="20"/>
                <w:szCs w:val="20"/>
                <w:color w:val="auto"/>
              </w:rPr>
            </w:pPr>
            <w:r>
              <w:rPr>
                <w:rFonts w:ascii="Arial" w:cs="Arial" w:eastAsia="Arial" w:hAnsi="Arial"/>
                <w:sz w:val="18"/>
                <w:szCs w:val="18"/>
                <w:color w:val="auto"/>
                <w:w w:val="99"/>
              </w:rPr>
              <w:t>11</w:t>
            </w:r>
          </w:p>
        </w:tc>
        <w:tc>
          <w:tcPr>
            <w:tcW w:w="220" w:type="dxa"/>
            <w:vAlign w:val="bottom"/>
          </w:tcPr>
          <w:p>
            <w:pPr>
              <w:spacing w:after="0"/>
              <w:rPr>
                <w:sz w:val="14"/>
                <w:szCs w:val="14"/>
                <w:color w:val="auto"/>
              </w:rPr>
            </w:pPr>
          </w:p>
        </w:tc>
        <w:tc>
          <w:tcPr>
            <w:tcW w:w="240" w:type="dxa"/>
            <w:vAlign w:val="bottom"/>
          </w:tcPr>
          <w:p>
            <w:pPr>
              <w:jc w:val="right"/>
              <w:ind w:right="30"/>
              <w:spacing w:after="0" w:line="170" w:lineRule="exact"/>
              <w:rPr>
                <w:sz w:val="20"/>
                <w:szCs w:val="20"/>
                <w:color w:val="auto"/>
              </w:rPr>
            </w:pPr>
            <w:r>
              <w:rPr>
                <w:rFonts w:ascii="Arial" w:cs="Arial" w:eastAsia="Arial" w:hAnsi="Arial"/>
                <w:sz w:val="18"/>
                <w:szCs w:val="18"/>
                <w:color w:val="auto"/>
                <w:w w:val="99"/>
              </w:rPr>
              <w:t>$</w:t>
            </w:r>
          </w:p>
        </w:tc>
        <w:tc>
          <w:tcPr>
            <w:tcW w:w="840" w:type="dxa"/>
            <w:vAlign w:val="bottom"/>
          </w:tcPr>
          <w:p>
            <w:pPr>
              <w:jc w:val="center"/>
              <w:ind w:left="370"/>
              <w:spacing w:after="0" w:line="170" w:lineRule="exact"/>
              <w:rPr>
                <w:sz w:val="20"/>
                <w:szCs w:val="20"/>
                <w:color w:val="auto"/>
              </w:rPr>
            </w:pPr>
            <w:r>
              <w:rPr>
                <w:rFonts w:ascii="Arial" w:cs="Arial" w:eastAsia="Arial" w:hAnsi="Arial"/>
                <w:sz w:val="18"/>
                <w:szCs w:val="18"/>
                <w:color w:val="auto"/>
                <w:w w:val="93"/>
              </w:rPr>
              <w:t>(42)</w:t>
            </w:r>
          </w:p>
        </w:tc>
        <w:tc>
          <w:tcPr>
            <w:tcW w:w="220" w:type="dxa"/>
            <w:vAlign w:val="bottom"/>
          </w:tcPr>
          <w:p>
            <w:pPr>
              <w:spacing w:after="0"/>
              <w:rPr>
                <w:sz w:val="14"/>
                <w:szCs w:val="14"/>
                <w:color w:val="auto"/>
              </w:rPr>
            </w:pPr>
          </w:p>
        </w:tc>
        <w:tc>
          <w:tcPr>
            <w:tcW w:w="240" w:type="dxa"/>
            <w:vAlign w:val="bottom"/>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70" w:lineRule="exact"/>
              <w:rPr>
                <w:sz w:val="20"/>
                <w:szCs w:val="20"/>
                <w:color w:val="auto"/>
              </w:rPr>
            </w:pPr>
            <w:r>
              <w:rPr>
                <w:rFonts w:ascii="Arial" w:cs="Arial" w:eastAsia="Arial" w:hAnsi="Arial"/>
                <w:sz w:val="18"/>
                <w:szCs w:val="18"/>
                <w:color w:val="auto"/>
              </w:rPr>
              <w:t>20</w:t>
            </w:r>
          </w:p>
        </w:tc>
      </w:tr>
    </w:tbl>
    <w:p>
      <w:pPr>
        <w:ind w:left="10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-97790</wp:posOffset>
            </wp:positionV>
            <wp:extent cx="314579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34290"/>
                    </a:xfrm>
                    <a:prstGeom prst="rect">
                      <a:avLst/>
                    </a:prstGeom>
                    <a:noFill/>
                  </pic:spPr>
                </pic:pic>
              </a:graphicData>
            </a:graphic>
          </wp:anchor>
        </w:drawing>
      </w:r>
    </w:p>
    <w:p>
      <w:pPr>
        <w:spacing w:after="0" w:line="230"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For the nine months ended September 30, 2021, other income includes gains of $30 arising from favorable court rulings in lawsuits brought by certain of the Company's Brazilian subsidiaries asserting they were overcharged by the local tax authorities for indirect taxes paid in prior years.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nine months ended September 30, 2021, asset impairment and sales includes gains on various asset sales.</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three and nine months ended September 30, 2021 and 2020, restructuring primarily included charges related to internal reorganizations within the Transit Packaging division and headcount reductions across segments.</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At September 30, 2021, the Company had restructuring accruals of $7, primarily related to headcount reductions in its European and Transit Packaging divisions. The Company expects to pay these amounts over the next twelve months.</w:t>
      </w:r>
    </w:p>
    <w:p>
      <w:pPr>
        <w:spacing w:after="0" w:line="200" w:lineRule="exact"/>
        <w:rPr>
          <w:sz w:val="20"/>
          <w:szCs w:val="20"/>
          <w:color w:val="auto"/>
        </w:rPr>
      </w:pPr>
    </w:p>
    <w:p>
      <w:pPr>
        <w:spacing w:after="0" w:line="236"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Asbestos-Related Liabilities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1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1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the Company paid $10 to settle asbestos claims and pay related legal and defense costs and had claims activity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60" w:type="dxa"/>
            <w:vAlign w:val="bottom"/>
          </w:tcPr>
          <w:p>
            <w:pPr>
              <w:ind w:left="940"/>
              <w:spacing w:after="0"/>
              <w:rPr>
                <w:sz w:val="20"/>
                <w:szCs w:val="20"/>
                <w:color w:val="auto"/>
              </w:rPr>
            </w:pPr>
            <w:r>
              <w:rPr>
                <w:rFonts w:ascii="Arial" w:cs="Arial" w:eastAsia="Arial" w:hAnsi="Arial"/>
                <w:sz w:val="18"/>
                <w:szCs w:val="18"/>
                <w:color w:val="auto"/>
                <w:w w:val="88"/>
              </w:rPr>
              <w:t>1,400</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5"/>
              </w:rPr>
              <w:t>(500)</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56,900</w:t>
            </w:r>
          </w:p>
        </w:tc>
      </w:tr>
      <w:tr>
        <w:trPr>
          <w:trHeight w:val="20"/>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fourth quarter of each year, the Company performs an analysis of outstanding claims and categorizes these claims by year of exposure and state filed. As of December 31, 2020, the Company's outstanding claims were: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1360" w:type="dxa"/>
            <w:vAlign w:val="bottom"/>
          </w:tcPr>
          <w:p>
            <w:pPr>
              <w:spacing w:after="0"/>
              <w:rPr>
                <w:sz w:val="19"/>
                <w:szCs w:val="19"/>
                <w:color w:val="auto"/>
              </w:rPr>
            </w:pPr>
          </w:p>
        </w:tc>
      </w:tr>
      <w:tr>
        <w:trPr>
          <w:trHeight w:val="230"/>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Texas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Pennsylvania</w:t>
            </w: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states that have enacted asbestos legislation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29"/>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states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outstanding claims in each period exclude approximately 19,000 inactive claims. Due to the passage of time, the Company considers it unlikely that the plaintiffs in these cases will pursue further action against the Company. The</w:t>
      </w:r>
    </w:p>
    <w:p>
      <w:pPr>
        <w:spacing w:after="0" w:line="200" w:lineRule="exact"/>
        <w:rPr>
          <w:sz w:val="20"/>
          <w:szCs w:val="20"/>
          <w:color w:val="auto"/>
        </w:rPr>
      </w:pPr>
    </w:p>
    <w:p>
      <w:pPr>
        <w:spacing w:after="0" w:line="30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exclusion of these inactive claims had no effect on the calculation of the Company’s accrual as the claims were filed in states, as described above, where the Company’s liability is limited by statute.</w:t>
      </w:r>
    </w:p>
    <w:p>
      <w:pPr>
        <w:spacing w:after="0" w:line="197"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5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21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December 31, the percentage of outstanding claims related to claimants alleging serious diseases (primarily mesothelioma and other malignancies) were as follows:</w:t>
      </w: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3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5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Pre-1964 claims in states without asbestos legislation</w:t>
            </w:r>
          </w:p>
        </w:tc>
        <w:tc>
          <w:tcPr>
            <w:tcW w:w="1460" w:type="dxa"/>
            <w:vAlign w:val="bottom"/>
          </w:tcPr>
          <w:p>
            <w:pPr>
              <w:jc w:val="right"/>
              <w:spacing w:after="0"/>
              <w:rPr>
                <w:sz w:val="20"/>
                <w:szCs w:val="20"/>
                <w:color w:val="auto"/>
              </w:rPr>
            </w:pPr>
            <w:r>
              <w:rPr>
                <w:rFonts w:ascii="Arial" w:cs="Arial" w:eastAsia="Arial" w:hAnsi="Arial"/>
                <w:sz w:val="18"/>
                <w:szCs w:val="18"/>
                <w:color w:val="auto"/>
              </w:rPr>
              <w:t>41 %</w:t>
            </w:r>
          </w:p>
        </w:tc>
        <w:tc>
          <w:tcPr>
            <w:tcW w:w="5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41 %</w:t>
            </w:r>
          </w:p>
        </w:tc>
      </w:tr>
    </w:tbl>
    <w:p>
      <w:pPr>
        <w:spacing w:after="0" w:line="32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September 30, 2021.</w:t>
      </w:r>
    </w:p>
    <w:p>
      <w:pPr>
        <w:spacing w:after="0" w:line="211"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As of September 30, 2021, the Company’s accrual for pending and future asbestos-related claims and related legal costs was $241, including $191 for unasserted claims. The Company determines its accrual without limitation to a specific time period.</w:t>
      </w:r>
    </w:p>
    <w:p>
      <w:pPr>
        <w:spacing w:after="0" w:line="197"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81% of the claims outstanding at the end of 2020),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00" w:lineRule="exact"/>
        <w:rPr>
          <w:sz w:val="20"/>
          <w:szCs w:val="20"/>
          <w:color w:val="auto"/>
        </w:rPr>
      </w:pPr>
    </w:p>
    <w:p>
      <w:pPr>
        <w:spacing w:after="0" w:line="23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along with others in most cases, has been identified by the U.S. Environmental Protection Agency or a comparable state environmental agency as a Potentially Responsible Party (“PRP”) at a number of sites and has recorded aggregate accruals of $10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22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has also recorded aggregate accruals of $6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2017, U.S. Customs and Border Protection (“CBP”) at the Port of Milwaukee issued a penalty notification alleging that certain of the Company’s subsidiaries intentionally misclassified the importation of certain goods into the U.S. during the period 2004-2009. CBP initially assessed a penalty of $18. The Company has acknowledged to CBP that the goods were misclassified and has paid all related duties. The Company has asserted that the misclassification was unintentional and disputes the penalty assessment. CBP has brought suit in the U.S. Court of International Trade seeking enforcement of the initial penalty against the Company. At the present time, based on the information available, the Company does not believe that a loss for the alleged intentional misclassification is probable. There can be no assurance the Company will be successful in contesting the assessed penalty.</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On October 7, 2021, the French </w:t>
      </w:r>
      <w:r>
        <w:rPr>
          <w:rFonts w:ascii="Arial" w:cs="Arial" w:eastAsia="Arial" w:hAnsi="Arial"/>
          <w:sz w:val="16"/>
          <w:szCs w:val="16"/>
          <w:i w:val="1"/>
          <w:iCs w:val="1"/>
          <w:color w:val="auto"/>
        </w:rPr>
        <w:t>Autorité de la concurrence</w:t>
      </w:r>
      <w:r>
        <w:rPr>
          <w:rFonts w:ascii="Arial" w:cs="Arial" w:eastAsia="Arial" w:hAnsi="Arial"/>
          <w:sz w:val="16"/>
          <w:szCs w:val="16"/>
          <w:color w:val="auto"/>
        </w:rPr>
        <w:t xml:space="preserv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If the FCA finds that the Company or its subsidiaries violated competition law, the FCA may levy fines. Proceedings with respect to this matter are ongoing and the Company is unable to predict the ultimate outcome including the amount of fines, if any, that may be levied by the FCA. The Company intends to vigorously defend against the allegations in the statement of objections.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and its subsidiaries are also subject to various other lawsuits and claims with respect to governmental,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various commitments to purchase materials, supplies and utilities as part of the ordinary course of business. The Company’s basic raw materials for its products are steel and aluminum, both of which are purchased from multiple sources. The Company is subject to fluctuations in the cost of these raw materials and has periodically adjusted its selling prices to reflect these movements. There can be no assurance that the Company will be able to fully recover any increases or fluctuations in raw material costs from its customers. The Company also has commitments for standby letters of credit and for purchases of capital assets.</w:t>
      </w:r>
    </w:p>
    <w:p>
      <w:pPr>
        <w:spacing w:after="0" w:line="200" w:lineRule="exact"/>
        <w:rPr>
          <w:sz w:val="20"/>
          <w:szCs w:val="20"/>
          <w:color w:val="auto"/>
        </w:rPr>
      </w:pPr>
    </w:p>
    <w:p>
      <w:pPr>
        <w:spacing w:after="0" w:line="3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At September 30, 2021,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0" w:lineRule="exact"/>
        <w:rPr>
          <w:sz w:val="20"/>
          <w:szCs w:val="20"/>
          <w:color w:val="auto"/>
        </w:rPr>
      </w:pPr>
    </w:p>
    <w:p>
      <w:pPr>
        <w:spacing w:after="0" w:line="250"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and Other Financial Instruments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Fair Value Measurements</w:t>
      </w:r>
    </w:p>
    <w:p>
      <w:pPr>
        <w:spacing w:after="0" w:line="252"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Under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203"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15" w:lineRule="exact"/>
        <w:rPr>
          <w:sz w:val="20"/>
          <w:szCs w:val="20"/>
          <w:color w:val="auto"/>
        </w:rPr>
      </w:pPr>
    </w:p>
    <w:p>
      <w:pPr>
        <w:jc w:val="both"/>
        <w:ind w:left="6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hyperlink w:anchor="page19">
        <w:r>
          <w:rPr>
            <w:rFonts w:ascii="Arial" w:cs="Arial" w:eastAsia="Arial" w:hAnsi="Arial"/>
            <w:sz w:val="18"/>
            <w:szCs w:val="18"/>
            <w:u w:val="single" w:color="auto"/>
            <w:color w:val="0000FF"/>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fair value disclosures related to debt.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9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15"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an anticipated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until the anticipated transaction becomes probable of not occurring. When the Company discontinues hedge accounting because it is no longer probable that an anticipated transaction will occur in the originally specified period, changes to the fair value accumulated in other comprehensive income are recognized immediately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2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Cash Flow Hedges</w:t>
      </w:r>
    </w:p>
    <w:p>
      <w:pPr>
        <w:spacing w:after="0" w:line="252" w:lineRule="exact"/>
        <w:rPr>
          <w:sz w:val="20"/>
          <w:szCs w:val="20"/>
          <w:color w:val="auto"/>
        </w:rPr>
      </w:pPr>
    </w:p>
    <w:p>
      <w:pPr>
        <w:jc w:val="both"/>
        <w:ind w:left="460"/>
        <w:spacing w:after="0" w:line="275" w:lineRule="auto"/>
        <w:rPr>
          <w:sz w:val="20"/>
          <w:szCs w:val="20"/>
          <w:color w:val="auto"/>
        </w:rPr>
      </w:pPr>
      <w:r>
        <w:rPr>
          <w:rFonts w:ascii="Arial" w:cs="Arial" w:eastAsia="Arial" w:hAnsi="Arial"/>
          <w:sz w:val="17"/>
          <w:szCs w:val="17"/>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September 30, 2021 mature between one and twenty months.</w:t>
      </w:r>
    </w:p>
    <w:p>
      <w:pPr>
        <w:spacing w:after="0" w:line="203"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Company uses commodity forward contracts to hedge anticipated purchases of various commodities, including aluminum, fuel oil and natural gas, and these exposures are hedged by a central treasury unit.</w:t>
      </w:r>
    </w:p>
    <w:p>
      <w:pPr>
        <w:spacing w:after="0" w:line="197"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color w:val="auto"/>
        </w:rPr>
        <w:t>The Company also designates certain foreign exchange contracts as cash flow hedges of anticipated foreign currency denominated sales or purchases. The Company manages these risks at the operating unit level. Foreign currency risk is generally hedged with the related commodity price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uses interest rate swaps to convert interest on floating rate debt to a fixed-rate.</w:t>
      </w:r>
    </w:p>
    <w:p>
      <w:pPr>
        <w:spacing w:after="0" w:line="252"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8"/>
                <w:szCs w:val="18"/>
                <w:color w:val="auto"/>
                <w:w w:val="94"/>
              </w:rPr>
              <w:t>Amount of gain/(loss)</w:t>
            </w:r>
          </w:p>
        </w:tc>
        <w:tc>
          <w:tcPr>
            <w:tcW w:w="200" w:type="dxa"/>
            <w:vAlign w:val="bottom"/>
          </w:tcPr>
          <w:p>
            <w:pPr>
              <w:spacing w:after="0"/>
              <w:rPr>
                <w:sz w:val="17"/>
                <w:szCs w:val="17"/>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Amount of gain/(loss)</w:t>
            </w:r>
          </w:p>
        </w:tc>
      </w:tr>
      <w:tr>
        <w:trPr>
          <w:trHeight w:val="229"/>
        </w:trPr>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8"/>
                <w:szCs w:val="18"/>
                <w:color w:val="auto"/>
                <w:w w:val="91"/>
              </w:rPr>
              <w:t>recognized in OCI</w:t>
            </w:r>
          </w:p>
        </w:tc>
        <w:tc>
          <w:tcPr>
            <w:tcW w:w="200" w:type="dxa"/>
            <w:vAlign w:val="bottom"/>
          </w:tcPr>
          <w:p>
            <w:pPr>
              <w:spacing w:after="0"/>
              <w:rPr>
                <w:sz w:val="19"/>
                <w:szCs w:val="19"/>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recognized in OCI</w:t>
            </w:r>
          </w:p>
        </w:tc>
      </w:tr>
      <w:tr>
        <w:trPr>
          <w:trHeight w:val="169"/>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4"/>
          </w:tcPr>
          <w:p>
            <w:pPr>
              <w:jc w:val="center"/>
              <w:ind w:right="110"/>
              <w:spacing w:after="0" w:line="169" w:lineRule="exact"/>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gridSpan w:val="4"/>
          </w:tcPr>
          <w:p>
            <w:pPr>
              <w:jc w:val="center"/>
              <w:ind w:right="170"/>
              <w:spacing w:after="0" w:line="169" w:lineRule="exact"/>
              <w:rPr>
                <w:sz w:val="20"/>
                <w:szCs w:val="20"/>
                <w:color w:val="auto"/>
              </w:rPr>
            </w:pPr>
            <w:r>
              <w:rPr>
                <w:rFonts w:ascii="Arial" w:cs="Arial" w:eastAsia="Arial" w:hAnsi="Arial"/>
                <w:sz w:val="18"/>
                <w:szCs w:val="18"/>
                <w:color w:val="auto"/>
                <w:w w:val="91"/>
              </w:rPr>
              <w:t>Nine Months Ended</w:t>
            </w:r>
          </w:p>
        </w:tc>
        <w:tc>
          <w:tcPr>
            <w:tcW w:w="100" w:type="dxa"/>
            <w:vAlign w:val="bottom"/>
          </w:tcPr>
          <w:p>
            <w:pPr>
              <w:spacing w:after="0"/>
              <w:rPr>
                <w:sz w:val="14"/>
                <w:szCs w:val="14"/>
                <w:color w:val="auto"/>
              </w:rPr>
            </w:pPr>
          </w:p>
        </w:tc>
      </w:tr>
      <w:tr>
        <w:trPr>
          <w:trHeight w:val="230"/>
        </w:trPr>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19"/>
                <w:szCs w:val="19"/>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8"/>
                <w:szCs w:val="18"/>
                <w:color w:val="auto"/>
                <w:w w:val="88"/>
              </w:rPr>
              <w:t>September 30,</w:t>
            </w:r>
          </w:p>
        </w:tc>
      </w:tr>
      <w:tr>
        <w:trPr>
          <w:trHeight w:val="223"/>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19"/>
                <w:szCs w:val="19"/>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9"/>
              </w:rPr>
              <w:t>(2)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Interest Rate</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r>
        <w:trPr>
          <w:trHeight w:val="223"/>
        </w:trPr>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8"/>
                <w:szCs w:val="18"/>
                <w:color w:val="auto"/>
                <w:w w:val="94"/>
              </w:rPr>
              <w:t>Amount of gain/(loss)</w:t>
            </w:r>
          </w:p>
        </w:tc>
        <w:tc>
          <w:tcPr>
            <w:tcW w:w="200" w:type="dxa"/>
            <w:vAlign w:val="bottom"/>
          </w:tcPr>
          <w:p>
            <w:pPr>
              <w:spacing w:after="0"/>
              <w:rPr>
                <w:sz w:val="24"/>
                <w:szCs w:val="2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Amount of gain/(loss)</w:t>
            </w:r>
          </w:p>
        </w:tc>
      </w:tr>
      <w:tr>
        <w:trPr>
          <w:trHeight w:val="175"/>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6"/>
          </w:tcPr>
          <w:p>
            <w:pPr>
              <w:jc w:val="center"/>
              <w:ind w:right="120"/>
              <w:spacing w:after="0" w:line="176" w:lineRule="exact"/>
              <w:rPr>
                <w:sz w:val="20"/>
                <w:szCs w:val="20"/>
                <w:color w:val="auto"/>
              </w:rPr>
            </w:pPr>
            <w:r>
              <w:rPr>
                <w:rFonts w:ascii="Arial" w:cs="Arial" w:eastAsia="Arial" w:hAnsi="Arial"/>
                <w:sz w:val="18"/>
                <w:szCs w:val="18"/>
                <w:color w:val="auto"/>
                <w:w w:val="94"/>
              </w:rPr>
              <w:t>reclassified from AOCI into</w:t>
            </w:r>
          </w:p>
        </w:tc>
        <w:tc>
          <w:tcPr>
            <w:tcW w:w="2280" w:type="dxa"/>
            <w:vAlign w:val="bottom"/>
            <w:gridSpan w:val="6"/>
          </w:tcPr>
          <w:p>
            <w:pPr>
              <w:jc w:val="center"/>
              <w:ind w:right="100"/>
              <w:spacing w:after="0" w:line="176" w:lineRule="exact"/>
              <w:rPr>
                <w:sz w:val="20"/>
                <w:szCs w:val="20"/>
                <w:color w:val="auto"/>
              </w:rPr>
            </w:pPr>
            <w:r>
              <w:rPr>
                <w:rFonts w:ascii="Arial" w:cs="Arial" w:eastAsia="Arial" w:hAnsi="Arial"/>
                <w:sz w:val="18"/>
                <w:szCs w:val="18"/>
                <w:color w:val="auto"/>
                <w:w w:val="94"/>
              </w:rPr>
              <w:t>reclassified from AOCI into</w:t>
            </w:r>
          </w:p>
        </w:tc>
      </w:tr>
      <w:tr>
        <w:trPr>
          <w:trHeight w:val="230"/>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income</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center"/>
              <w:ind w:left="470"/>
              <w:spacing w:after="0"/>
              <w:rPr>
                <w:sz w:val="20"/>
                <w:szCs w:val="20"/>
                <w:color w:val="auto"/>
              </w:rPr>
            </w:pPr>
            <w:r>
              <w:rPr>
                <w:rFonts w:ascii="Arial" w:cs="Arial" w:eastAsia="Arial" w:hAnsi="Arial"/>
                <w:sz w:val="18"/>
                <w:szCs w:val="18"/>
                <w:color w:val="auto"/>
                <w:w w:val="92"/>
              </w:rPr>
              <w:t>income</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2072640</wp:posOffset>
            </wp:positionH>
            <wp:positionV relativeFrom="paragraph">
              <wp:posOffset>0</wp:posOffset>
            </wp:positionV>
            <wp:extent cx="2837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ectPr>
          <w:pgSz w:w="11900" w:h="16838" w:orient="portrait"/>
          <w:cols w:equalWidth="0" w:num="1">
            <w:col w:w="11040"/>
          </w:cols>
          <w:pgMar w:left="520" w:top="121" w:right="339" w:bottom="1440" w:gutter="0" w:footer="0" w:header="0"/>
        </w:sectPr>
      </w:pPr>
    </w:p>
    <w:p>
      <w:pPr>
        <w:spacing w:after="0" w:line="12" w:lineRule="exact"/>
        <w:rPr>
          <w:sz w:val="20"/>
          <w:szCs w:val="20"/>
          <w:color w:val="auto"/>
        </w:rPr>
      </w:pPr>
    </w:p>
    <w:p>
      <w:pPr>
        <w:jc w:val="center"/>
        <w:ind w:left="3540"/>
        <w:spacing w:after="0"/>
        <w:rPr>
          <w:sz w:val="20"/>
          <w:szCs w:val="20"/>
          <w:color w:val="auto"/>
        </w:rPr>
      </w:pPr>
      <w:r>
        <w:rPr>
          <w:rFonts w:ascii="Arial" w:cs="Arial" w:eastAsia="Arial" w:hAnsi="Arial"/>
          <w:sz w:val="16"/>
          <w:szCs w:val="16"/>
          <w:color w:val="auto"/>
        </w:rPr>
        <w:t>Three Months Ended</w:t>
      </w:r>
    </w:p>
    <w:p>
      <w:pPr>
        <w:spacing w:after="0" w:line="8" w:lineRule="exact"/>
        <w:rPr>
          <w:sz w:val="20"/>
          <w:szCs w:val="20"/>
          <w:color w:val="auto"/>
        </w:rPr>
      </w:pPr>
    </w:p>
    <w:p>
      <w:pPr>
        <w:jc w:val="center"/>
        <w:ind w:left="3540"/>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Nine Months Ended</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September 30,</w:t>
      </w:r>
    </w:p>
    <w:p>
      <w:pPr>
        <w:spacing w:after="0" w:line="7" w:lineRule="exact"/>
        <w:rPr>
          <w:sz w:val="20"/>
          <w:szCs w:val="20"/>
          <w:color w:val="auto"/>
        </w:rPr>
      </w:pPr>
    </w:p>
    <w:p>
      <w:pPr>
        <w:sectPr>
          <w:pgSz w:w="11900" w:h="16838" w:orient="portrait"/>
          <w:cols w:equalWidth="0" w:num="2">
            <w:col w:w="5180" w:space="720"/>
            <w:col w:w="5140"/>
          </w:cols>
          <w:pgMar w:left="520" w:top="121" w:right="339" w:bottom="1440" w:gutter="0" w:footer="0" w:header="0"/>
          <w:type w:val="continuous"/>
        </w:sectPr>
      </w:pPr>
    </w:p>
    <w:tbl>
      <w:tblPr>
        <w:tblLayout w:type="fixed"/>
        <w:tblInd w:w="460" w:type="dxa"/>
        <w:tblCellMar>
          <w:top w:w="0" w:type="dxa"/>
          <w:left w:w="0" w:type="dxa"/>
          <w:bottom w:w="0" w:type="dxa"/>
          <w:right w:w="0" w:type="dxa"/>
        </w:tblCellMar>
      </w:tblPr>
      <w:tr>
        <w:trPr>
          <w:trHeight w:val="155"/>
        </w:trPr>
        <w:tc>
          <w:tcPr>
            <w:tcW w:w="280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in cash flow hedges</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3"/>
                <w:szCs w:val="13"/>
                <w:color w:val="auto"/>
              </w:rPr>
            </w:pPr>
          </w:p>
        </w:tc>
        <w:tc>
          <w:tcPr>
            <w:tcW w:w="3200" w:type="dxa"/>
            <w:vAlign w:val="bottom"/>
          </w:tcPr>
          <w:p>
            <w:pPr>
              <w:ind w:left="200"/>
              <w:spacing w:after="0" w:line="156" w:lineRule="exact"/>
              <w:rPr>
                <w:sz w:val="20"/>
                <w:szCs w:val="20"/>
                <w:color w:val="auto"/>
              </w:rPr>
            </w:pPr>
            <w:r>
              <w:rPr>
                <w:rFonts w:ascii="Arial" w:cs="Arial" w:eastAsia="Arial" w:hAnsi="Arial"/>
                <w:sz w:val="18"/>
                <w:szCs w:val="18"/>
                <w:color w:val="auto"/>
                <w:w w:val="98"/>
              </w:rPr>
              <w:t>Affected line items in the Statement of</w:t>
            </w:r>
          </w:p>
        </w:tc>
        <w:tc>
          <w:tcPr>
            <w:tcW w:w="0" w:type="dxa"/>
            <w:vAlign w:val="bottom"/>
          </w:tcPr>
          <w:p>
            <w:pPr>
              <w:spacing w:after="0"/>
              <w:rPr>
                <w:sz w:val="1"/>
                <w:szCs w:val="1"/>
                <w:color w:val="auto"/>
              </w:rPr>
            </w:pPr>
          </w:p>
        </w:tc>
      </w:tr>
      <w:tr>
        <w:trPr>
          <w:trHeight w:val="230"/>
        </w:trPr>
        <w:tc>
          <w:tcPr>
            <w:tcW w:w="28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ind w:left="120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29"/>
        </w:trPr>
        <w:tc>
          <w:tcPr>
            <w:tcW w:w="2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156"/>
        </w:trPr>
        <w:tc>
          <w:tcPr>
            <w:tcW w:w="2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3"/>
                <w:szCs w:val="13"/>
                <w:color w:val="auto"/>
              </w:rPr>
            </w:pPr>
          </w:p>
        </w:tc>
        <w:tc>
          <w:tcPr>
            <w:tcW w:w="32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Income from continuing operations before</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w:t>
            </w:r>
          </w:p>
        </w:tc>
        <w:tc>
          <w:tcPr>
            <w:tcW w:w="0" w:type="dxa"/>
            <w:vAlign w:val="bottom"/>
          </w:tcPr>
          <w:p>
            <w:pPr>
              <w:spacing w:after="0"/>
              <w:rPr>
                <w:sz w:val="1"/>
                <w:szCs w:val="1"/>
                <w:color w:val="auto"/>
              </w:rPr>
            </w:pPr>
          </w:p>
        </w:tc>
      </w:tr>
      <w:tr>
        <w:trPr>
          <w:trHeight w:val="155"/>
        </w:trPr>
        <w:tc>
          <w:tcPr>
            <w:tcW w:w="2800" w:type="dxa"/>
            <w:vAlign w:val="bottom"/>
            <w:gridSpan w:val="2"/>
            <w:vMerge w:val="restart"/>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3"/>
                <w:szCs w:val="13"/>
                <w:color w:val="auto"/>
              </w:rPr>
            </w:pPr>
          </w:p>
        </w:tc>
        <w:tc>
          <w:tcPr>
            <w:tcW w:w="3200" w:type="dxa"/>
            <w:vAlign w:val="bottom"/>
          </w:tcPr>
          <w:p>
            <w:pPr>
              <w:ind w:left="20"/>
              <w:spacing w:after="0" w:line="156" w:lineRule="exact"/>
              <w:rPr>
                <w:sz w:val="20"/>
                <w:szCs w:val="20"/>
                <w:color w:val="auto"/>
              </w:rPr>
            </w:pPr>
            <w:r>
              <w:rPr>
                <w:rFonts w:ascii="Arial" w:cs="Arial" w:eastAsia="Arial" w:hAnsi="Arial"/>
                <w:sz w:val="18"/>
                <w:szCs w:val="18"/>
                <w:color w:val="auto"/>
              </w:rPr>
              <w:t>Net (loss) / income from discontinued</w:t>
            </w:r>
          </w:p>
        </w:tc>
        <w:tc>
          <w:tcPr>
            <w:tcW w:w="0" w:type="dxa"/>
            <w:vAlign w:val="bottom"/>
          </w:tcPr>
          <w:p>
            <w:pPr>
              <w:spacing w:after="0"/>
              <w:rPr>
                <w:sz w:val="1"/>
                <w:szCs w:val="1"/>
                <w:color w:val="auto"/>
              </w:rPr>
            </w:pPr>
          </w:p>
        </w:tc>
      </w:tr>
      <w:tr>
        <w:trPr>
          <w:trHeight w:val="230"/>
        </w:trPr>
        <w:tc>
          <w:tcPr>
            <w:tcW w:w="28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175"/>
        </w:trPr>
        <w:tc>
          <w:tcPr>
            <w:tcW w:w="28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3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 income from discontinued</w:t>
            </w:r>
          </w:p>
        </w:tc>
        <w:tc>
          <w:tcPr>
            <w:tcW w:w="0" w:type="dxa"/>
            <w:vAlign w:val="bottom"/>
          </w:tcPr>
          <w:p>
            <w:pPr>
              <w:spacing w:after="0"/>
              <w:rPr>
                <w:sz w:val="1"/>
                <w:szCs w:val="1"/>
                <w:color w:val="auto"/>
              </w:rPr>
            </w:pPr>
          </w:p>
        </w:tc>
      </w:tr>
      <w:tr>
        <w:trPr>
          <w:trHeight w:val="230"/>
        </w:trPr>
        <w:tc>
          <w:tcPr>
            <w:tcW w:w="28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23"/>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Total reclassified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21" w:right="339" w:bottom="1440" w:gutter="0" w:footer="0" w:header="0"/>
          <w:type w:val="continuous"/>
        </w:sectPr>
      </w:pPr>
    </w:p>
    <w:bookmarkStart w:id="16" w:name="page17"/>
    <w:bookmarkEnd w:id="16"/>
    <w:p>
      <w:pPr>
        <w:jc w:val="center"/>
        <w:ind w:right="1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53" w:lineRule="exact"/>
        <w:rPr>
          <w:sz w:val="20"/>
          <w:szCs w:val="20"/>
          <w:color w:val="auto"/>
        </w:rPr>
      </w:pPr>
    </w:p>
    <w:p>
      <w:pPr>
        <w:ind w:left="480" w:right="60"/>
        <w:spacing w:after="0" w:line="235" w:lineRule="auto"/>
        <w:rPr>
          <w:sz w:val="20"/>
          <w:szCs w:val="20"/>
          <w:color w:val="auto"/>
        </w:rPr>
      </w:pPr>
      <w:r>
        <w:rPr>
          <w:rFonts w:ascii="Arial" w:cs="Arial" w:eastAsia="Arial" w:hAnsi="Arial"/>
          <w:sz w:val="18"/>
          <w:szCs w:val="18"/>
          <w:color w:val="auto"/>
        </w:rPr>
        <w:t>For the twelve-month period ending September 30, 2022, a net gain of $56 ($46, net of tax) is expected to be reclassified to earnings for commodity and foreign exchange contracts. No material amounts were reclassified during the nine months ended September 30, 2021 and 2020 in connection with anticipated transactions that were considered probable of not occurring.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52" w:lineRule="exact"/>
        <w:rPr>
          <w:sz w:val="20"/>
          <w:szCs w:val="20"/>
          <w:color w:val="auto"/>
        </w:rPr>
      </w:pPr>
    </w:p>
    <w:p>
      <w:pPr>
        <w:jc w:val="both"/>
        <w:ind w:left="480"/>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14" w:lineRule="exact"/>
        <w:rPr>
          <w:sz w:val="20"/>
          <w:szCs w:val="20"/>
          <w:color w:val="auto"/>
        </w:rPr>
      </w:pPr>
    </w:p>
    <w:p>
      <w:pPr>
        <w:jc w:val="both"/>
        <w:ind w:left="480"/>
        <w:spacing w:after="0" w:line="286" w:lineRule="auto"/>
        <w:rPr>
          <w:sz w:val="20"/>
          <w:szCs w:val="20"/>
          <w:color w:val="auto"/>
        </w:rPr>
      </w:pPr>
      <w:r>
        <w:rPr>
          <w:rFonts w:ascii="Arial" w:cs="Arial" w:eastAsia="Arial" w:hAnsi="Arial"/>
          <w:sz w:val="17"/>
          <w:szCs w:val="17"/>
          <w:color w:val="auto"/>
        </w:rPr>
        <w:t>For the three and nine months ended September 30, 2021, the Company recorded gains of $7 and $1 from foreign exchange contracts designated as fair value hedges. For both the three and nine months ended September 30, 2020, the Company recorded gains of $3 and $26 related to these contracts. These adjustments were reported within foreign exchange in the Consolidated Statements of Operations.</w:t>
      </w:r>
    </w:p>
    <w:p>
      <w:pPr>
        <w:spacing w:after="0" w:line="192" w:lineRule="exact"/>
        <w:rPr>
          <w:sz w:val="20"/>
          <w:szCs w:val="20"/>
          <w:color w:val="auto"/>
        </w:rPr>
      </w:pPr>
    </w:p>
    <w:p>
      <w:pPr>
        <w:jc w:val="both"/>
        <w:ind w:left="480"/>
        <w:spacing w:after="0" w:line="296" w:lineRule="auto"/>
        <w:rPr>
          <w:sz w:val="20"/>
          <w:szCs w:val="20"/>
          <w:color w:val="auto"/>
        </w:rPr>
      </w:pPr>
      <w:r>
        <w:rPr>
          <w:rFonts w:ascii="Arial" w:cs="Arial" w:eastAsia="Arial" w:hAnsi="Arial"/>
          <w:sz w:val="16"/>
          <w:szCs w:val="16"/>
          <w:color w:val="auto"/>
        </w:rPr>
        <w:t>Certain derivative financial instruments, including foreign exchange contracts related to intercompany debt, were not designated or did not quality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262"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Pre-tax amounts of</w:t>
            </w:r>
          </w:p>
        </w:tc>
        <w:tc>
          <w:tcPr>
            <w:tcW w:w="2220" w:type="dxa"/>
            <w:vAlign w:val="bottom"/>
            <w:gridSpan w:val="5"/>
          </w:tcPr>
          <w:p>
            <w:pPr>
              <w:jc w:val="center"/>
              <w:spacing w:after="0"/>
              <w:rPr>
                <w:sz w:val="20"/>
                <w:szCs w:val="20"/>
                <w:color w:val="auto"/>
              </w:rPr>
            </w:pPr>
            <w:r>
              <w:rPr>
                <w:rFonts w:ascii="Arial" w:cs="Arial" w:eastAsia="Arial" w:hAnsi="Arial"/>
                <w:sz w:val="18"/>
                <w:szCs w:val="18"/>
                <w:color w:val="auto"/>
                <w:w w:val="90"/>
              </w:rPr>
              <w:t>Pre-tax amounts of gain/(loss)</w:t>
            </w: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5"/>
          </w:tcPr>
          <w:p>
            <w:pPr>
              <w:jc w:val="center"/>
              <w:ind w:right="260"/>
              <w:spacing w:after="0" w:line="176" w:lineRule="exact"/>
              <w:rPr>
                <w:sz w:val="20"/>
                <w:szCs w:val="20"/>
                <w:color w:val="auto"/>
              </w:rPr>
            </w:pPr>
            <w:r>
              <w:rPr>
                <w:rFonts w:ascii="Arial" w:cs="Arial" w:eastAsia="Arial" w:hAnsi="Arial"/>
                <w:sz w:val="18"/>
                <w:szCs w:val="18"/>
                <w:color w:val="auto"/>
                <w:w w:val="91"/>
              </w:rPr>
              <w:t>gain/(loss) recognized in</w:t>
            </w:r>
          </w:p>
        </w:tc>
        <w:tc>
          <w:tcPr>
            <w:tcW w:w="2220" w:type="dxa"/>
            <w:vAlign w:val="bottom"/>
            <w:gridSpan w:val="5"/>
          </w:tcPr>
          <w:p>
            <w:pPr>
              <w:jc w:val="center"/>
              <w:spacing w:after="0" w:line="176" w:lineRule="exact"/>
              <w:rPr>
                <w:sz w:val="20"/>
                <w:szCs w:val="20"/>
                <w:color w:val="auto"/>
              </w:rPr>
            </w:pPr>
            <w:r>
              <w:rPr>
                <w:rFonts w:ascii="Arial" w:cs="Arial" w:eastAsia="Arial" w:hAnsi="Arial"/>
                <w:sz w:val="18"/>
                <w:szCs w:val="18"/>
                <w:color w:val="auto"/>
                <w:w w:val="91"/>
              </w:rPr>
              <w:t>recognized in income on</w:t>
            </w: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8"/>
                <w:szCs w:val="18"/>
                <w:color w:val="auto"/>
                <w:w w:val="92"/>
              </w:rPr>
              <w:t>income on derivative</w:t>
            </w:r>
          </w:p>
        </w:tc>
        <w:tc>
          <w:tcPr>
            <w:tcW w:w="700" w:type="dxa"/>
            <w:vAlign w:val="bottom"/>
          </w:tcPr>
          <w:p>
            <w:pPr>
              <w:spacing w:after="0"/>
              <w:rPr>
                <w:sz w:val="19"/>
                <w:szCs w:val="19"/>
                <w:color w:val="auto"/>
              </w:rPr>
            </w:pPr>
          </w:p>
        </w:tc>
        <w:tc>
          <w:tcPr>
            <w:tcW w:w="1220" w:type="dxa"/>
            <w:vAlign w:val="bottom"/>
            <w:gridSpan w:val="3"/>
          </w:tcPr>
          <w:p>
            <w:pPr>
              <w:jc w:val="center"/>
              <w:ind w:right="330"/>
              <w:spacing w:after="0"/>
              <w:rPr>
                <w:sz w:val="20"/>
                <w:szCs w:val="20"/>
                <w:color w:val="auto"/>
              </w:rPr>
            </w:pPr>
            <w:r>
              <w:rPr>
                <w:rFonts w:ascii="Arial" w:cs="Arial" w:eastAsia="Arial" w:hAnsi="Arial"/>
                <w:sz w:val="18"/>
                <w:szCs w:val="18"/>
                <w:color w:val="auto"/>
                <w:w w:val="93"/>
              </w:rPr>
              <w:t>derivative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gridSpan w:val="4"/>
          </w:tcPr>
          <w:p>
            <w:pPr>
              <w:jc w:val="center"/>
              <w:ind w:right="70"/>
              <w:spacing w:after="0" w:line="169" w:lineRule="exact"/>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4"/>
                <w:szCs w:val="14"/>
                <w:color w:val="auto"/>
              </w:rPr>
            </w:pPr>
          </w:p>
        </w:tc>
        <w:tc>
          <w:tcPr>
            <w:tcW w:w="1920" w:type="dxa"/>
            <w:vAlign w:val="bottom"/>
            <w:tcBorders>
              <w:top w:val="single" w:sz="8" w:color="auto"/>
            </w:tcBorders>
            <w:gridSpan w:val="4"/>
          </w:tcPr>
          <w:p>
            <w:pPr>
              <w:jc w:val="center"/>
              <w:ind w:left="190"/>
              <w:spacing w:after="0" w:line="169" w:lineRule="exact"/>
              <w:rPr>
                <w:sz w:val="20"/>
                <w:szCs w:val="20"/>
                <w:color w:val="auto"/>
              </w:rPr>
            </w:pPr>
            <w:r>
              <w:rPr>
                <w:rFonts w:ascii="Arial" w:cs="Arial" w:eastAsia="Arial" w:hAnsi="Arial"/>
                <w:sz w:val="18"/>
                <w:szCs w:val="18"/>
                <w:color w:val="auto"/>
                <w:w w:val="91"/>
              </w:rPr>
              <w:t>Nine Months Ended</w:t>
            </w:r>
          </w:p>
        </w:tc>
        <w:tc>
          <w:tcPr>
            <w:tcW w:w="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1920" w:type="dxa"/>
            <w:vAlign w:val="bottom"/>
            <w:gridSpan w:val="4"/>
          </w:tcPr>
          <w:p>
            <w:pPr>
              <w:jc w:val="center"/>
              <w:ind w:left="190"/>
              <w:spacing w:after="0"/>
              <w:rPr>
                <w:sz w:val="20"/>
                <w:szCs w:val="20"/>
                <w:color w:val="auto"/>
              </w:rPr>
            </w:pPr>
            <w:r>
              <w:rPr>
                <w:rFonts w:ascii="Arial" w:cs="Arial" w:eastAsia="Arial" w:hAnsi="Arial"/>
                <w:sz w:val="18"/>
                <w:szCs w:val="18"/>
                <w:color w:val="auto"/>
                <w:w w:val="88"/>
              </w:rPr>
              <w:t>September 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vMerge w:val="restart"/>
          </w:tcPr>
          <w:p>
            <w:pPr>
              <w:ind w:left="320"/>
              <w:spacing w:after="0"/>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155"/>
        </w:trPr>
        <w:tc>
          <w:tcPr>
            <w:tcW w:w="316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not designated as hedges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ind w:left="18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ind w:left="1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3"/>
                <w:szCs w:val="13"/>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2020</w:t>
            </w: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ind w:left="32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23"/>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ind w:left="600"/>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0"/>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0" w:type="dxa"/>
            <w:vAlign w:val="bottom"/>
          </w:tcPr>
          <w:p>
            <w:pPr>
              <w:spacing w:after="0"/>
              <w:rPr>
                <w:sz w:val="1"/>
                <w:szCs w:val="1"/>
                <w:color w:val="auto"/>
              </w:rPr>
            </w:pPr>
          </w:p>
        </w:tc>
      </w:tr>
      <w:tr>
        <w:trPr>
          <w:trHeight w:val="175"/>
        </w:trPr>
        <w:tc>
          <w:tcPr>
            <w:tcW w:w="3160" w:type="dxa"/>
            <w:vAlign w:val="bottom"/>
            <w:gridSpan w:val="2"/>
            <w:vMerge w:val="restart"/>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tcPr>
          <w:p>
            <w:pPr>
              <w:spacing w:after="0"/>
              <w:rPr>
                <w:sz w:val="15"/>
                <w:szCs w:val="15"/>
                <w:color w:val="auto"/>
              </w:rPr>
            </w:pPr>
          </w:p>
        </w:tc>
        <w:tc>
          <w:tcPr>
            <w:tcW w:w="100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4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5"/>
                <w:szCs w:val="1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Net (loss) / income from</w:t>
            </w:r>
          </w:p>
        </w:tc>
        <w:tc>
          <w:tcPr>
            <w:tcW w:w="0" w:type="dxa"/>
            <w:vAlign w:val="bottom"/>
          </w:tcPr>
          <w:p>
            <w:pPr>
              <w:spacing w:after="0"/>
              <w:rPr>
                <w:sz w:val="1"/>
                <w:szCs w:val="1"/>
                <w:color w:val="auto"/>
              </w:rPr>
            </w:pPr>
          </w:p>
        </w:tc>
      </w:tr>
      <w:tr>
        <w:trPr>
          <w:trHeight w:val="230"/>
        </w:trPr>
        <w:tc>
          <w:tcPr>
            <w:tcW w:w="3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0"/>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Net Investment Hedges</w:t>
      </w:r>
    </w:p>
    <w:p>
      <w:pPr>
        <w:spacing w:after="0" w:line="252" w:lineRule="exact"/>
        <w:rPr>
          <w:sz w:val="20"/>
          <w:szCs w:val="20"/>
          <w:color w:val="auto"/>
        </w:rPr>
      </w:pPr>
    </w:p>
    <w:p>
      <w:pPr>
        <w:jc w:val="both"/>
        <w:ind w:left="480"/>
        <w:spacing w:after="0" w:line="308" w:lineRule="auto"/>
        <w:rPr>
          <w:sz w:val="20"/>
          <w:szCs w:val="20"/>
          <w:color w:val="auto"/>
        </w:rPr>
      </w:pPr>
      <w:r>
        <w:rPr>
          <w:rFonts w:ascii="Arial" w:cs="Arial" w:eastAsia="Arial" w:hAnsi="Arial"/>
          <w:sz w:val="17"/>
          <w:szCs w:val="17"/>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73" w:lineRule="exact"/>
        <w:rPr>
          <w:sz w:val="20"/>
          <w:szCs w:val="20"/>
          <w:color w:val="auto"/>
        </w:rPr>
      </w:pPr>
    </w:p>
    <w:p>
      <w:pPr>
        <w:jc w:val="both"/>
        <w:ind w:left="480"/>
        <w:spacing w:after="0" w:line="273" w:lineRule="auto"/>
        <w:rPr>
          <w:sz w:val="20"/>
          <w:szCs w:val="20"/>
          <w:color w:val="auto"/>
        </w:rPr>
      </w:pPr>
      <w:r>
        <w:rPr>
          <w:rFonts w:ascii="Arial" w:cs="Arial" w:eastAsia="Arial" w:hAnsi="Arial"/>
          <w:sz w:val="17"/>
          <w:szCs w:val="17"/>
          <w:color w:val="auto"/>
        </w:rPr>
        <w:t>During the three and nine months ended September 30, 2021, the Company recorded gains of $40 ($40, net of tax) and $81 ($81, net of tax) in other comprehensive income for certain debt instruments that are designated as hedges of its net investment in a euro-based subsidiary. During the three and nine months ended September 30, 2020, the Company recorded a loss of $61 ($61, net of tax) in other comprehensive income for these net investment hedges. As of September 30, 2021 and December 31, 2020, cumulative gains of $48 ($71, net of tax) and losses of $33 ($10, net of tax) were recognized in accumulated other comprehensive income related to these net investment hedges and the carrying amount of the hedged net investment was €1,403 ($1,625) at September 30, 2021.</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tables set forth the impact on AOCI from changes in the fair value of derivative instruments designated as net investment hedges.</w:t>
      </w:r>
    </w:p>
    <w:p>
      <w:pPr>
        <w:spacing w:after="0" w:line="200" w:lineRule="exact"/>
        <w:rPr>
          <w:sz w:val="20"/>
          <w:szCs w:val="20"/>
          <w:color w:val="auto"/>
        </w:rPr>
      </w:pPr>
    </w:p>
    <w:p>
      <w:pPr>
        <w:spacing w:after="0" w:line="38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sectPr>
      </w:pPr>
    </w:p>
    <w:bookmarkStart w:id="17" w:name="page18"/>
    <w:bookmarkEnd w:id="17"/>
    <w:p>
      <w:pPr>
        <w:jc w:val="center"/>
        <w:ind w:right="180"/>
        <w:spacing w:after="0"/>
        <w:rPr>
          <w:sz w:val="20"/>
          <w:szCs w:val="20"/>
          <w:color w:val="auto"/>
        </w:rPr>
      </w:pPr>
      <w:r>
        <w:rPr>
          <w:rFonts w:ascii="Arial" w:cs="Arial" w:eastAsia="Arial" w:hAnsi="Arial"/>
          <w:sz w:val="16"/>
          <w:szCs w:val="16"/>
          <w:b w:val="1"/>
          <w:bCs w:val="1"/>
          <w:color w:val="auto"/>
        </w:rPr>
        <w:t>Crown Holdings, Inc.</w:t>
      </w:r>
    </w:p>
    <w:p>
      <w:pPr>
        <w:sectPr>
          <w:pgSz w:w="11900" w:h="16838" w:orient="portrait"/>
          <w:cols w:equalWidth="0" w:num="1">
            <w:col w:w="11060"/>
          </w:cols>
          <w:pgMar w:left="50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5200"/>
        <w:spacing w:after="0"/>
        <w:rPr>
          <w:sz w:val="20"/>
          <w:szCs w:val="20"/>
          <w:color w:val="auto"/>
        </w:rPr>
      </w:pPr>
      <w:r>
        <w:rPr>
          <w:rFonts w:ascii="Arial" w:cs="Arial" w:eastAsia="Arial" w:hAnsi="Arial"/>
          <w:sz w:val="16"/>
          <w:szCs w:val="16"/>
          <w:color w:val="auto"/>
        </w:rPr>
        <w:t>Amount of gain / (loss) recognized</w:t>
      </w:r>
    </w:p>
    <w:p>
      <w:pPr>
        <w:spacing w:after="0" w:line="8"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in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4445</wp:posOffset>
            </wp:positionV>
            <wp:extent cx="16459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5"/>
          <w:szCs w:val="15"/>
          <w:color w:val="auto"/>
        </w:rPr>
        <w:t>Three months ended September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0"/>
        <w:spacing w:after="0"/>
        <w:rPr>
          <w:sz w:val="20"/>
          <w:szCs w:val="20"/>
          <w:color w:val="auto"/>
        </w:rPr>
      </w:pPr>
      <w:r>
        <w:rPr>
          <w:rFonts w:ascii="Arial" w:cs="Arial" w:eastAsia="Arial" w:hAnsi="Arial"/>
          <w:sz w:val="16"/>
          <w:szCs w:val="16"/>
          <w:color w:val="auto"/>
        </w:rPr>
        <w:t>Amount of gain / (loss) recognized</w:t>
      </w:r>
    </w:p>
    <w:p>
      <w:pPr>
        <w:spacing w:after="0" w:line="8"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in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4445</wp:posOffset>
            </wp:positionV>
            <wp:extent cx="1663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Nine months ended September 30,</w:t>
      </w:r>
    </w:p>
    <w:p>
      <w:pPr>
        <w:spacing w:after="0" w:line="46" w:lineRule="exact"/>
        <w:rPr>
          <w:sz w:val="20"/>
          <w:szCs w:val="20"/>
          <w:color w:val="auto"/>
        </w:rPr>
      </w:pPr>
    </w:p>
    <w:p>
      <w:pPr>
        <w:sectPr>
          <w:pgSz w:w="11900" w:h="16838" w:orient="portrait"/>
          <w:cols w:equalWidth="0" w:num="2">
            <w:col w:w="7760" w:space="180"/>
            <w:col w:w="3120"/>
          </w:cols>
          <w:pgMar w:left="500" w:top="121" w:right="339" w:bottom="1440" w:gutter="0" w:footer="0" w:header="0"/>
          <w:type w:val="continuous"/>
        </w:sectPr>
      </w:pPr>
    </w:p>
    <w:tbl>
      <w:tblPr>
        <w:tblLayout w:type="fixed"/>
        <w:tblInd w:w="480" w:type="dxa"/>
        <w:tblCellMar>
          <w:top w:w="0" w:type="dxa"/>
          <w:left w:w="0" w:type="dxa"/>
          <w:bottom w:w="0" w:type="dxa"/>
          <w:right w:w="0" w:type="dxa"/>
        </w:tblCellMar>
      </w:tblPr>
      <w:tr>
        <w:trPr>
          <w:trHeight w:val="223"/>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3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r>
      <w:tr>
        <w:trPr>
          <w:trHeight w:val="223"/>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3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r>
    </w:tbl>
    <w:p>
      <w:pPr>
        <w:spacing w:after="0" w:line="323" w:lineRule="exact"/>
        <w:rPr>
          <w:sz w:val="20"/>
          <w:szCs w:val="20"/>
          <w:color w:val="auto"/>
        </w:rPr>
      </w:pPr>
    </w:p>
    <w:p>
      <w:pPr>
        <w:jc w:val="both"/>
        <w:ind w:left="480"/>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Gains or losses on net investment hedges remain in accumulated other comprehensive income until disposal of the underlying assets.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 and Valuation Hierarchy</w:t>
      </w:r>
    </w:p>
    <w:p>
      <w:pPr>
        <w:spacing w:after="0" w:line="252" w:lineRule="exact"/>
        <w:rPr>
          <w:sz w:val="20"/>
          <w:szCs w:val="20"/>
          <w:color w:val="auto"/>
        </w:rPr>
      </w:pPr>
    </w:p>
    <w:p>
      <w:pPr>
        <w:jc w:val="both"/>
        <w:ind w:left="480"/>
        <w:spacing w:after="0" w:line="263" w:lineRule="auto"/>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 as of September 30, 2021 and December 31, 2020, respectively. The fair values of these financial instruments were reported under Level 2 of the fair value hierarchy.</w:t>
      </w:r>
    </w:p>
    <w:p>
      <w:pPr>
        <w:spacing w:after="0" w:line="220"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rPr>
              <w:t>Balance Sheet</w:t>
            </w:r>
          </w:p>
        </w:tc>
        <w:tc>
          <w:tcPr>
            <w:tcW w:w="12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7"/>
                <w:szCs w:val="17"/>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7"/>
                <w:szCs w:val="17"/>
                <w:color w:val="auto"/>
              </w:rPr>
            </w:pP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Balance Sheet</w:t>
            </w:r>
          </w:p>
        </w:tc>
        <w:tc>
          <w:tcPr>
            <w:tcW w:w="1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7"/>
                <w:szCs w:val="17"/>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rPr>
              <w:t>classification</w:t>
            </w:r>
          </w:p>
        </w:tc>
        <w:tc>
          <w:tcPr>
            <w:tcW w:w="120" w:type="dxa"/>
            <w:vAlign w:val="bottom"/>
          </w:tcPr>
          <w:p>
            <w:pPr>
              <w:spacing w:after="0"/>
              <w:rPr>
                <w:sz w:val="19"/>
                <w:szCs w:val="19"/>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600" w:type="dxa"/>
            <w:vAlign w:val="bottom"/>
            <w:gridSpan w:val="2"/>
          </w:tcPr>
          <w:p>
            <w:pPr>
              <w:ind w:left="280"/>
              <w:spacing w:after="0"/>
              <w:rPr>
                <w:sz w:val="20"/>
                <w:szCs w:val="20"/>
                <w:color w:val="auto"/>
              </w:rPr>
            </w:pPr>
            <w:r>
              <w:rPr>
                <w:rFonts w:ascii="Arial" w:cs="Arial" w:eastAsia="Arial" w:hAnsi="Arial"/>
                <w:sz w:val="18"/>
                <w:szCs w:val="18"/>
                <w:color w:val="auto"/>
              </w:rPr>
              <w:t>classification</w:t>
            </w:r>
          </w:p>
        </w:tc>
        <w:tc>
          <w:tcPr>
            <w:tcW w:w="12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56"/>
        </w:trPr>
        <w:tc>
          <w:tcPr>
            <w:tcW w:w="18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87"/>
              </w:rPr>
              <w:t>Derivatives designated as</w:t>
            </w:r>
          </w:p>
        </w:tc>
        <w:tc>
          <w:tcPr>
            <w:tcW w:w="1320" w:type="dxa"/>
            <w:vAlign w:val="bottom"/>
            <w:tcBorders>
              <w:top w:val="single" w:sz="8" w:color="auto"/>
            </w:tcBorders>
            <w:shd w:val="clear" w:color="auto" w:fill="CCEEFF"/>
          </w:tcPr>
          <w:p>
            <w:pPr>
              <w:ind w:left="60"/>
              <w:spacing w:after="0" w:line="156" w:lineRule="exact"/>
              <w:rPr>
                <w:sz w:val="20"/>
                <w:szCs w:val="20"/>
                <w:color w:val="auto"/>
              </w:rPr>
            </w:pPr>
            <w:r>
              <w:rPr>
                <w:rFonts w:ascii="Arial" w:cs="Arial" w:eastAsia="Arial" w:hAnsi="Arial"/>
                <w:sz w:val="18"/>
                <w:szCs w:val="18"/>
                <w:color w:val="auto"/>
              </w:rPr>
              <w:t>hedging</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40" w:type="dxa"/>
            <w:vAlign w:val="bottom"/>
          </w:tcPr>
          <w:p>
            <w:pPr>
              <w:ind w:left="20"/>
              <w:spacing w:after="0" w:line="169" w:lineRule="exact"/>
              <w:rPr>
                <w:sz w:val="20"/>
                <w:szCs w:val="20"/>
                <w:color w:val="auto"/>
              </w:rPr>
            </w:pPr>
            <w:r>
              <w:rPr>
                <w:rFonts w:ascii="Arial" w:cs="Arial" w:eastAsia="Arial" w:hAnsi="Arial"/>
                <w:sz w:val="18"/>
                <w:szCs w:val="18"/>
                <w:color w:val="auto"/>
              </w:rPr>
              <w:t>Foreign exchange</w:t>
            </w:r>
          </w:p>
        </w:tc>
        <w:tc>
          <w:tcPr>
            <w:tcW w:w="1320" w:type="dxa"/>
            <w:vAlign w:val="bottom"/>
          </w:tcPr>
          <w:p>
            <w:pPr>
              <w:ind w:left="20"/>
              <w:spacing w:after="0" w:line="169" w:lineRule="exact"/>
              <w:rPr>
                <w:sz w:val="20"/>
                <w:szCs w:val="20"/>
                <w:color w:val="auto"/>
              </w:rPr>
            </w:pPr>
            <w:r>
              <w:rPr>
                <w:rFonts w:ascii="Arial" w:cs="Arial" w:eastAsia="Arial" w:hAnsi="Arial"/>
                <w:sz w:val="18"/>
                <w:szCs w:val="18"/>
                <w:color w:val="auto"/>
              </w:rPr>
              <w:t>Other current</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4"/>
                <w:szCs w:val="14"/>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8"/>
                <w:szCs w:val="18"/>
                <w:color w:val="auto"/>
              </w:rPr>
              <w:t>Accrued liabilities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contracts cash flow</w:t>
            </w: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held for sale</w:t>
            </w:r>
          </w:p>
        </w:tc>
        <w:tc>
          <w:tcPr>
            <w:tcW w:w="12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held for sale</w:t>
            </w:r>
          </w:p>
        </w:tc>
        <w:tc>
          <w:tcPr>
            <w:tcW w:w="1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4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Other non-current</w:t>
            </w:r>
          </w:p>
        </w:tc>
        <w:tc>
          <w:tcPr>
            <w:tcW w:w="1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20" w:type="dxa"/>
            <w:vAlign w:val="bottom"/>
          </w:tcPr>
          <w:p>
            <w:pPr>
              <w:spacing w:after="0"/>
              <w:rPr>
                <w:sz w:val="15"/>
                <w:szCs w:val="15"/>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exchange</w:t>
            </w:r>
          </w:p>
        </w:tc>
        <w:tc>
          <w:tcPr>
            <w:tcW w:w="14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current</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fair value</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8"/>
              </w:rPr>
              <w:t>Commodities contracts</w:t>
            </w:r>
          </w:p>
        </w:tc>
        <w:tc>
          <w:tcPr>
            <w:tcW w:w="1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current</w:t>
            </w: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5"/>
                <w:szCs w:val="15"/>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cash flow</w:t>
            </w: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held for sale</w:t>
            </w:r>
          </w:p>
        </w:tc>
        <w:tc>
          <w:tcPr>
            <w:tcW w:w="12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held for sale</w:t>
            </w:r>
          </w:p>
        </w:tc>
        <w:tc>
          <w:tcPr>
            <w:tcW w:w="1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4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Other non-current</w:t>
            </w: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rate contracts</w:t>
            </w:r>
          </w:p>
        </w:tc>
        <w:tc>
          <w:tcPr>
            <w:tcW w:w="14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Other non-current</w:t>
            </w:r>
          </w:p>
        </w:tc>
        <w:tc>
          <w:tcPr>
            <w:tcW w:w="1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Net investment hedge</w:t>
            </w:r>
          </w:p>
        </w:tc>
        <w:tc>
          <w:tcPr>
            <w:tcW w:w="14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Other non-current</w:t>
            </w: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20" w:type="dxa"/>
            <w:vAlign w:val="bottom"/>
          </w:tcPr>
          <w:p>
            <w:pPr>
              <w:spacing w:after="0"/>
              <w:rPr>
                <w:sz w:val="15"/>
                <w:szCs w:val="15"/>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55"/>
        </w:trPr>
        <w:tc>
          <w:tcPr>
            <w:tcW w:w="3260" w:type="dxa"/>
            <w:vAlign w:val="bottom"/>
            <w:gridSpan w:val="3"/>
          </w:tcPr>
          <w:p>
            <w:pPr>
              <w:ind w:left="20"/>
              <w:spacing w:after="0" w:line="156" w:lineRule="exact"/>
              <w:rPr>
                <w:sz w:val="20"/>
                <w:szCs w:val="20"/>
                <w:color w:val="auto"/>
              </w:rPr>
            </w:pPr>
            <w:r>
              <w:rPr>
                <w:rFonts w:ascii="Arial" w:cs="Arial" w:eastAsia="Arial" w:hAnsi="Arial"/>
                <w:sz w:val="18"/>
                <w:szCs w:val="18"/>
                <w:color w:val="auto"/>
              </w:rPr>
              <w:t>Derivatives not designated as hedging</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instruments</w:t>
            </w: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Foreign exchange</w:t>
            </w:r>
          </w:p>
        </w:tc>
        <w:tc>
          <w:tcPr>
            <w:tcW w:w="13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Other current</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5"/>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18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type w:val="continuous"/>
        </w:sectPr>
      </w:pPr>
    </w:p>
    <w:bookmarkStart w:id="18" w:name="page19"/>
    <w:bookmarkEnd w:id="18"/>
    <w:tbl>
      <w:tblPr>
        <w:tblLayout w:type="fixed"/>
        <w:tblInd w:w="66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3940" w:type="dxa"/>
            <w:vAlign w:val="bottom"/>
          </w:tcPr>
          <w:p>
            <w:pPr>
              <w:ind w:left="1500"/>
              <w:spacing w:after="0"/>
              <w:rPr>
                <w:sz w:val="20"/>
                <w:szCs w:val="20"/>
                <w:color w:val="auto"/>
              </w:rPr>
            </w:pPr>
            <w:r>
              <w:rPr>
                <w:rFonts w:ascii="Arial" w:cs="Arial" w:eastAsia="Arial" w:hAnsi="Arial"/>
                <w:sz w:val="18"/>
                <w:szCs w:val="18"/>
                <w:b w:val="1"/>
                <w:bCs w:val="1"/>
                <w:color w:val="auto"/>
              </w:rPr>
              <w:t>Crown Holdings, Inc.</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6580" w:type="dxa"/>
            <w:vAlign w:val="bottom"/>
            <w:gridSpan w:val="2"/>
          </w:tcPr>
          <w:p>
            <w:pPr>
              <w:spacing w:after="0"/>
              <w:rPr>
                <w:sz w:val="20"/>
                <w:szCs w:val="20"/>
                <w:color w:val="auto"/>
              </w:rPr>
            </w:pPr>
            <w:r>
              <w:rPr>
                <w:rFonts w:ascii="Arial" w:cs="Arial" w:eastAsia="Arial" w:hAnsi="Arial"/>
                <w:sz w:val="18"/>
                <w:szCs w:val="18"/>
                <w:color w:val="auto"/>
              </w:rPr>
              <w:t>Fair Value Hedge Carrying Amounts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auto"/>
            </w:tcBorders>
          </w:tcPr>
          <w:p>
            <w:pPr>
              <w:spacing w:after="0"/>
              <w:rPr>
                <w:sz w:val="19"/>
                <w:szCs w:val="19"/>
                <w:color w:val="auto"/>
              </w:rPr>
            </w:pPr>
          </w:p>
        </w:tc>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4"/>
          </w:tcPr>
          <w:p>
            <w:pPr>
              <w:jc w:val="center"/>
              <w:ind w:right="50"/>
              <w:spacing w:after="0"/>
              <w:rPr>
                <w:sz w:val="20"/>
                <w:szCs w:val="20"/>
                <w:color w:val="auto"/>
              </w:rPr>
            </w:pPr>
            <w:r>
              <w:rPr>
                <w:rFonts w:ascii="Arial" w:cs="Arial" w:eastAsia="Arial" w:hAnsi="Arial"/>
                <w:sz w:val="18"/>
                <w:szCs w:val="18"/>
                <w:color w:val="auto"/>
                <w:w w:val="89"/>
              </w:rPr>
              <w:t>Carrying amount of the hedged assets /</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color w:val="auto"/>
                <w:w w:val="96"/>
              </w:rPr>
              <w:t>liabilities</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6580" w:type="dxa"/>
            <w:vAlign w:val="bottom"/>
            <w:gridSpan w:val="2"/>
            <w:vMerge w:val="restart"/>
          </w:tcPr>
          <w:p>
            <w:pPr>
              <w:ind w:left="20"/>
              <w:spacing w:after="0"/>
              <w:rPr>
                <w:sz w:val="20"/>
                <w:szCs w:val="20"/>
                <w:color w:val="auto"/>
              </w:rPr>
            </w:pPr>
            <w:r>
              <w:rPr>
                <w:rFonts w:ascii="Arial" w:cs="Arial" w:eastAsia="Arial" w:hAnsi="Arial"/>
                <w:sz w:val="18"/>
                <w:szCs w:val="18"/>
                <w:color w:val="auto"/>
              </w:rPr>
              <w:t>Line item in the Balance Sheet in which the hedged item is included</w:t>
            </w:r>
          </w:p>
        </w:tc>
        <w:tc>
          <w:tcPr>
            <w:tcW w:w="120" w:type="dxa"/>
            <w:vAlign w:val="bottom"/>
          </w:tcPr>
          <w:p>
            <w:pPr>
              <w:spacing w:after="0"/>
              <w:rPr>
                <w:sz w:val="15"/>
                <w:szCs w:val="15"/>
                <w:color w:val="auto"/>
              </w:rPr>
            </w:pPr>
          </w:p>
        </w:tc>
        <w:tc>
          <w:tcPr>
            <w:tcW w:w="1740" w:type="dxa"/>
            <w:vAlign w:val="bottom"/>
            <w:gridSpan w:val="2"/>
          </w:tcPr>
          <w:p>
            <w:pPr>
              <w:ind w:left="40"/>
              <w:spacing w:after="0" w:line="182" w:lineRule="exact"/>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5"/>
                <w:szCs w:val="15"/>
                <w:color w:val="auto"/>
              </w:rPr>
            </w:pPr>
          </w:p>
        </w:tc>
        <w:tc>
          <w:tcPr>
            <w:tcW w:w="124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September 30, 2021 and December 31, 2020, the cumulative amount of fair value hedging adjustments included in the carrying amount of the hedge assets and liabilities were net gains of $3 and $4.</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tbl>
      <w:tblPr>
        <w:tblLayout w:type="fixed"/>
        <w:tblInd w:w="66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80" w:type="dxa"/>
            <w:vAlign w:val="bottom"/>
          </w:tcPr>
          <w:p>
            <w:pPr>
              <w:jc w:val="center"/>
              <w:ind w:left="450"/>
              <w:spacing w:after="0" w:line="188" w:lineRule="exact"/>
              <w:rPr>
                <w:sz w:val="20"/>
                <w:szCs w:val="20"/>
                <w:color w:val="auto"/>
              </w:rPr>
            </w:pPr>
            <w:r>
              <w:rPr>
                <w:rFonts w:ascii="Arial" w:cs="Arial" w:eastAsia="Arial" w:hAnsi="Arial"/>
                <w:sz w:val="18"/>
                <w:szCs w:val="18"/>
                <w:color w:val="auto"/>
                <w:w w:val="89"/>
              </w:rPr>
              <w:t>Gross amounts recognized in the</w:t>
            </w:r>
          </w:p>
        </w:tc>
        <w:tc>
          <w:tcPr>
            <w:tcW w:w="2540" w:type="dxa"/>
            <w:vAlign w:val="bottom"/>
          </w:tcPr>
          <w:p>
            <w:pPr>
              <w:jc w:val="center"/>
              <w:ind w:right="90"/>
              <w:spacing w:after="0" w:line="188" w:lineRule="exact"/>
              <w:rPr>
                <w:sz w:val="20"/>
                <w:szCs w:val="20"/>
                <w:color w:val="auto"/>
              </w:rPr>
            </w:pPr>
            <w:r>
              <w:rPr>
                <w:rFonts w:ascii="Arial" w:cs="Arial" w:eastAsia="Arial" w:hAnsi="Arial"/>
                <w:sz w:val="18"/>
                <w:szCs w:val="18"/>
                <w:color w:val="auto"/>
                <w:w w:val="89"/>
              </w:rPr>
              <w:t>Gross amounts not offset in the</w:t>
            </w:r>
          </w:p>
        </w:tc>
        <w:tc>
          <w:tcPr>
            <w:tcW w:w="1480" w:type="dxa"/>
            <w:vAlign w:val="bottom"/>
            <w:vMerge w:val="restart"/>
          </w:tcPr>
          <w:p>
            <w:pPr>
              <w:ind w:left="240"/>
              <w:spacing w:after="0"/>
              <w:rPr>
                <w:sz w:val="20"/>
                <w:szCs w:val="20"/>
                <w:color w:val="auto"/>
              </w:rPr>
            </w:pPr>
            <w:r>
              <w:rPr>
                <w:rFonts w:ascii="Arial" w:cs="Arial" w:eastAsia="Arial" w:hAnsi="Arial"/>
                <w:sz w:val="18"/>
                <w:szCs w:val="18"/>
                <w:color w:val="auto"/>
              </w:rPr>
              <w:t>Net amount</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7"/>
              </w:rPr>
              <w:t>Balance Sheet</w:t>
            </w:r>
          </w:p>
        </w:tc>
        <w:tc>
          <w:tcPr>
            <w:tcW w:w="2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Balance Sheet</w:t>
            </w: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0" w:type="dxa"/>
            <w:vAlign w:val="bottom"/>
            <w:gridSpan w:val="3"/>
          </w:tcPr>
          <w:p>
            <w:pPr>
              <w:spacing w:after="0" w:line="182" w:lineRule="exact"/>
              <w:rPr>
                <w:sz w:val="20"/>
                <w:szCs w:val="20"/>
                <w:color w:val="auto"/>
              </w:rPr>
            </w:pPr>
            <w:r>
              <w:rPr>
                <w:rFonts w:ascii="Arial" w:cs="Arial" w:eastAsia="Arial" w:hAnsi="Arial"/>
                <w:sz w:val="18"/>
                <w:szCs w:val="18"/>
                <w:color w:val="auto"/>
              </w:rPr>
              <w:t>Balance at September 30, 2021</w:t>
            </w:r>
          </w:p>
        </w:tc>
        <w:tc>
          <w:tcPr>
            <w:tcW w:w="29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9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$144</w:t>
            </w:r>
          </w:p>
        </w:tc>
        <w:tc>
          <w:tcPr>
            <w:tcW w:w="25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$32</w:t>
            </w:r>
          </w:p>
        </w:tc>
        <w:tc>
          <w:tcPr>
            <w:tcW w:w="14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$112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980" w:type="dxa"/>
            <w:vAlign w:val="bottom"/>
          </w:tcPr>
          <w:p>
            <w:pPr>
              <w:jc w:val="center"/>
              <w:ind w:left="430"/>
              <w:spacing w:after="0"/>
              <w:rPr>
                <w:sz w:val="20"/>
                <w:szCs w:val="20"/>
                <w:color w:val="auto"/>
              </w:rPr>
            </w:pPr>
            <w:r>
              <w:rPr>
                <w:rFonts w:ascii="Arial" w:cs="Arial" w:eastAsia="Arial" w:hAnsi="Arial"/>
                <w:sz w:val="18"/>
                <w:szCs w:val="18"/>
                <w:color w:val="auto"/>
                <w:w w:val="89"/>
              </w:rPr>
              <w:t>64</w:t>
            </w:r>
          </w:p>
        </w:tc>
        <w:tc>
          <w:tcPr>
            <w:tcW w:w="2540" w:type="dxa"/>
            <w:vAlign w:val="bottom"/>
          </w:tcPr>
          <w:p>
            <w:pPr>
              <w:jc w:val="center"/>
              <w:ind w:right="70"/>
              <w:spacing w:after="0"/>
              <w:rPr>
                <w:sz w:val="20"/>
                <w:szCs w:val="20"/>
                <w:color w:val="auto"/>
              </w:rPr>
            </w:pPr>
            <w:r>
              <w:rPr>
                <w:rFonts w:ascii="Arial" w:cs="Arial" w:eastAsia="Arial" w:hAnsi="Arial"/>
                <w:sz w:val="18"/>
                <w:szCs w:val="18"/>
                <w:color w:val="auto"/>
                <w:w w:val="89"/>
              </w:rPr>
              <w:t>32</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gridSpan w:val="3"/>
          </w:tcPr>
          <w:p>
            <w:pPr>
              <w:spacing w:after="0" w:line="189" w:lineRule="exact"/>
              <w:rPr>
                <w:sz w:val="20"/>
                <w:szCs w:val="20"/>
                <w:color w:val="auto"/>
              </w:rPr>
            </w:pPr>
            <w:r>
              <w:rPr>
                <w:rFonts w:ascii="Arial" w:cs="Arial" w:eastAsia="Arial" w:hAnsi="Arial"/>
                <w:sz w:val="18"/>
                <w:szCs w:val="18"/>
                <w:color w:val="auto"/>
              </w:rPr>
              <w:t>Balance at December 31, 2020</w:t>
            </w:r>
          </w:p>
        </w:tc>
        <w:tc>
          <w:tcPr>
            <w:tcW w:w="29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9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9"/>
              </w:rPr>
              <w:t>76</w:t>
            </w:r>
          </w:p>
        </w:tc>
        <w:tc>
          <w:tcPr>
            <w:tcW w:w="25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79"/>
              </w:rPr>
              <w:t>11</w:t>
            </w:r>
          </w:p>
        </w:tc>
        <w:tc>
          <w:tcPr>
            <w:tcW w:w="14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980" w:type="dxa"/>
            <w:vAlign w:val="bottom"/>
          </w:tcPr>
          <w:p>
            <w:pPr>
              <w:jc w:val="center"/>
              <w:ind w:left="430"/>
              <w:spacing w:after="0"/>
              <w:rPr>
                <w:sz w:val="20"/>
                <w:szCs w:val="20"/>
                <w:color w:val="auto"/>
              </w:rPr>
            </w:pPr>
            <w:r>
              <w:rPr>
                <w:rFonts w:ascii="Arial" w:cs="Arial" w:eastAsia="Arial" w:hAnsi="Arial"/>
                <w:sz w:val="18"/>
                <w:szCs w:val="18"/>
                <w:color w:val="auto"/>
                <w:w w:val="89"/>
              </w:rPr>
              <w:t>52</w:t>
            </w:r>
          </w:p>
        </w:tc>
        <w:tc>
          <w:tcPr>
            <w:tcW w:w="2540" w:type="dxa"/>
            <w:vAlign w:val="bottom"/>
          </w:tcPr>
          <w:p>
            <w:pPr>
              <w:jc w:val="center"/>
              <w:ind w:right="90"/>
              <w:spacing w:after="0"/>
              <w:rPr>
                <w:sz w:val="20"/>
                <w:szCs w:val="20"/>
                <w:color w:val="auto"/>
              </w:rPr>
            </w:pPr>
            <w:r>
              <w:rPr>
                <w:rFonts w:ascii="Arial" w:cs="Arial" w:eastAsia="Arial" w:hAnsi="Arial"/>
                <w:sz w:val="18"/>
                <w:szCs w:val="18"/>
                <w:color w:val="auto"/>
                <w:w w:val="79"/>
              </w:rPr>
              <w:t>11</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52" w:lineRule="exact"/>
        <w:rPr>
          <w:sz w:val="20"/>
          <w:szCs w:val="20"/>
          <w:color w:val="auto"/>
        </w:rPr>
      </w:pPr>
    </w:p>
    <w:p>
      <w:pPr>
        <w:ind w:left="660" w:right="220"/>
        <w:spacing w:after="0" w:line="273" w:lineRule="auto"/>
        <w:rPr>
          <w:sz w:val="20"/>
          <w:szCs w:val="20"/>
          <w:color w:val="auto"/>
        </w:rPr>
      </w:pPr>
      <w:r>
        <w:rPr>
          <w:rFonts w:ascii="Arial" w:cs="Arial" w:eastAsia="Arial" w:hAnsi="Arial"/>
          <w:sz w:val="18"/>
          <w:szCs w:val="18"/>
          <w:color w:val="auto"/>
        </w:rPr>
        <w:t>The aggregate U.S. dollar-equivalent notional values of outstanding derivative instruments in the Consolidated Balance Sheets at September 30, 2021 and December 31, 2020 were: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2"/>
          </w:tcPr>
          <w:p>
            <w:pPr>
              <w:ind w:left="40"/>
              <w:spacing w:after="0"/>
              <w:rPr>
                <w:sz w:val="20"/>
                <w:szCs w:val="20"/>
                <w:color w:val="auto"/>
              </w:rPr>
            </w:pPr>
            <w:r>
              <w:rPr>
                <w:rFonts w:ascii="Arial" w:cs="Arial" w:eastAsia="Arial" w:hAnsi="Arial"/>
                <w:sz w:val="18"/>
                <w:szCs w:val="18"/>
                <w:color w:val="auto"/>
              </w:rPr>
              <w:t>September 30, 2021</w:t>
            </w:r>
          </w:p>
        </w:tc>
        <w:tc>
          <w:tcPr>
            <w:tcW w:w="140" w:type="dxa"/>
            <w:vAlign w:val="bottom"/>
          </w:tcPr>
          <w:p>
            <w:pPr>
              <w:spacing w:after="0"/>
              <w:rPr>
                <w:sz w:val="20"/>
                <w:szCs w:val="20"/>
                <w:color w:val="auto"/>
              </w:rPr>
            </w:pP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December 31, 2020</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409</w:t>
            </w: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1,127</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Commodities</w:t>
            </w: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Interest rate</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fair value hedges:</w:t>
            </w: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211</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183</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875</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1,075</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hedges:</w:t>
            </w: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20"/>
                <w:szCs w:val="20"/>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617</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722</w:t>
            </w:r>
          </w:p>
        </w:tc>
        <w:tc>
          <w:tcPr>
            <w:tcW w:w="760" w:type="dxa"/>
            <w:vAlign w:val="bottom"/>
          </w:tcPr>
          <w:p>
            <w:pPr>
              <w:spacing w:after="0"/>
              <w:rPr>
                <w:sz w:val="20"/>
                <w:szCs w:val="20"/>
                <w:color w:val="auto"/>
              </w:rPr>
            </w:pPr>
          </w:p>
        </w:tc>
      </w:tr>
      <w:tr>
        <w:trPr>
          <w:trHeight w:val="863"/>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7"/>
          </w:tcPr>
          <w:p>
            <w:pPr>
              <w:spacing w:after="0"/>
              <w:rPr>
                <w:sz w:val="20"/>
                <w:szCs w:val="20"/>
                <w:color w:val="auto"/>
              </w:rPr>
            </w:pPr>
            <w:r>
              <w:rPr>
                <w:rFonts w:ascii="Arial" w:cs="Arial" w:eastAsia="Arial" w:hAnsi="Arial"/>
                <w:sz w:val="18"/>
                <w:szCs w:val="18"/>
                <w:b w:val="1"/>
                <w:bCs w:val="1"/>
                <w:color w:val="auto"/>
              </w:rPr>
              <w:t>L.  Debt</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660" w:type="dxa"/>
            <w:vAlign w:val="bottom"/>
            <w:gridSpan w:val="7"/>
          </w:tcPr>
          <w:p>
            <w:pPr>
              <w:ind w:left="180"/>
              <w:spacing w:after="0"/>
              <w:rPr>
                <w:sz w:val="20"/>
                <w:szCs w:val="20"/>
                <w:color w:val="auto"/>
              </w:rPr>
            </w:pPr>
            <w:r>
              <w:rPr>
                <w:rFonts w:ascii="Arial" w:cs="Arial" w:eastAsia="Arial" w:hAnsi="Arial"/>
                <w:sz w:val="18"/>
                <w:szCs w:val="18"/>
                <w:color w:val="auto"/>
              </w:rPr>
              <w:t>The Company's outstanding debt was as follows:</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20" w:type="dxa"/>
            <w:vAlign w:val="bottom"/>
            <w:gridSpan w:val="5"/>
          </w:tcPr>
          <w:p>
            <w:pPr>
              <w:ind w:left="480"/>
              <w:spacing w:after="0"/>
              <w:rPr>
                <w:sz w:val="20"/>
                <w:szCs w:val="20"/>
                <w:color w:val="auto"/>
              </w:rPr>
            </w:pPr>
            <w:r>
              <w:rPr>
                <w:rFonts w:ascii="Arial" w:cs="Arial" w:eastAsia="Arial" w:hAnsi="Arial"/>
                <w:sz w:val="18"/>
                <w:szCs w:val="18"/>
                <w:color w:val="auto"/>
              </w:rPr>
              <w:t>September 30, 2021</w:t>
            </w:r>
          </w:p>
        </w:tc>
        <w:tc>
          <w:tcPr>
            <w:tcW w:w="420" w:type="dxa"/>
            <w:vAlign w:val="bottom"/>
          </w:tcPr>
          <w:p>
            <w:pPr>
              <w:spacing w:after="0"/>
              <w:rPr>
                <w:sz w:val="22"/>
                <w:szCs w:val="22"/>
                <w:color w:val="auto"/>
              </w:rPr>
            </w:pPr>
          </w:p>
        </w:tc>
        <w:tc>
          <w:tcPr>
            <w:tcW w:w="2480" w:type="dxa"/>
            <w:vAlign w:val="bottom"/>
            <w:gridSpan w:val="4"/>
          </w:tcPr>
          <w:p>
            <w:pPr>
              <w:jc w:val="right"/>
              <w:ind w:right="49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5"/>
              </w:rPr>
              <w:t>Principal</w:t>
            </w: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4"/>
              </w:rPr>
              <w:t>Carrying</w:t>
            </w:r>
          </w:p>
        </w:tc>
        <w:tc>
          <w:tcPr>
            <w:tcW w:w="3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5"/>
              </w:rPr>
              <w:t>Principal</w:t>
            </w: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6"/>
              </w:rPr>
              <w:t>Carrying</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46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amount</w:t>
            </w:r>
          </w:p>
        </w:tc>
        <w:tc>
          <w:tcPr>
            <w:tcW w:w="4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46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340" w:type="dxa"/>
            <w:vAlign w:val="bottom"/>
            <w:tcBorders>
              <w:top w:val="single" w:sz="8" w:color="CCEEFF"/>
            </w:tcBorders>
            <w:gridSpan w:val="3"/>
            <w:shd w:val="clear" w:color="auto" w:fill="CCEEFF"/>
          </w:tcPr>
          <w:p>
            <w:pPr>
              <w:spacing w:after="0" w:line="149" w:lineRule="exact"/>
              <w:rPr>
                <w:sz w:val="20"/>
                <w:szCs w:val="20"/>
                <w:color w:val="auto"/>
              </w:rPr>
            </w:pPr>
            <w:r>
              <w:rPr>
                <w:rFonts w:ascii="Arial" w:cs="Arial" w:eastAsia="Arial" w:hAnsi="Arial"/>
                <w:sz w:val="17"/>
                <w:szCs w:val="17"/>
                <w:color w:val="auto"/>
              </w:rPr>
              <w:t>Short-term debt</w:t>
            </w:r>
          </w:p>
        </w:tc>
        <w:tc>
          <w:tcPr>
            <w:tcW w:w="4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79</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79</w:t>
            </w: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104</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3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Senior secured borrowings:</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Revolving credit facilities</w:t>
            </w: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Term loan facilities</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340" w:type="dxa"/>
            <w:vAlign w:val="bottom"/>
            <w:gridSpan w:val="3"/>
            <w:shd w:val="clear" w:color="auto" w:fill="CCEEFF"/>
          </w:tcPr>
          <w:p>
            <w:pPr>
              <w:ind w:left="660"/>
              <w:spacing w:after="0" w:line="176" w:lineRule="exact"/>
              <w:rPr>
                <w:sz w:val="20"/>
                <w:szCs w:val="20"/>
                <w:color w:val="auto"/>
              </w:rPr>
            </w:pPr>
            <w:r>
              <w:rPr>
                <w:rFonts w:ascii="Arial" w:cs="Arial" w:eastAsia="Arial" w:hAnsi="Arial"/>
                <w:sz w:val="18"/>
                <w:szCs w:val="18"/>
                <w:color w:val="auto"/>
              </w:rPr>
              <w:t>U.S. dollar at LIBOR + 1.2% due</w:t>
            </w:r>
          </w:p>
        </w:tc>
        <w:tc>
          <w:tcPr>
            <w:tcW w:w="4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29"/>
        </w:trPr>
        <w:tc>
          <w:tcPr>
            <w:tcW w:w="980" w:type="dxa"/>
            <w:vAlign w:val="bottom"/>
            <w:gridSpan w:val="3"/>
          </w:tcPr>
          <w:p>
            <w:pPr>
              <w:spacing w:after="0"/>
              <w:rPr>
                <w:sz w:val="19"/>
                <w:szCs w:val="19"/>
                <w:color w:val="auto"/>
              </w:rPr>
            </w:pPr>
          </w:p>
        </w:tc>
        <w:tc>
          <w:tcPr>
            <w:tcW w:w="1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40" w:type="dxa"/>
            <w:vAlign w:val="bottom"/>
            <w:gridSpan w:val="3"/>
          </w:tcPr>
          <w:p>
            <w:pPr>
              <w:ind w:left="660"/>
              <w:spacing w:after="0" w:line="176" w:lineRule="exact"/>
              <w:rPr>
                <w:sz w:val="20"/>
                <w:szCs w:val="20"/>
                <w:color w:val="auto"/>
              </w:rPr>
            </w:pPr>
            <w:r>
              <w:rPr>
                <w:rFonts w:ascii="Arial" w:cs="Arial" w:eastAsia="Arial" w:hAnsi="Arial"/>
                <w:sz w:val="18"/>
                <w:szCs w:val="18"/>
                <w:color w:val="auto"/>
              </w:rPr>
              <w:t>Euro at EURIBOR + 1.2% due</w:t>
            </w:r>
          </w:p>
        </w:tc>
        <w:tc>
          <w:tcPr>
            <w:tcW w:w="4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357</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2440" w:type="dxa"/>
            <w:vAlign w:val="bottom"/>
            <w:gridSpan w:val="5"/>
          </w:tcPr>
          <w:p>
            <w:pPr>
              <w:ind w:left="1640"/>
              <w:spacing w:after="0" w:line="230" w:lineRule="exact"/>
              <w:rPr>
                <w:sz w:val="20"/>
                <w:szCs w:val="20"/>
                <w:color w:val="auto"/>
              </w:rPr>
            </w:pPr>
            <w:r>
              <w:rPr>
                <w:rFonts w:ascii="Arial" w:cs="Arial" w:eastAsia="Arial" w:hAnsi="Arial"/>
                <w:sz w:val="18"/>
                <w:szCs w:val="18"/>
                <w:color w:val="auto"/>
              </w:rPr>
              <w:t>2024</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€650 at 4.0% due 2022</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753</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752</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 S. dollar at 4.50% due 2023</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€335 at 2.25% due 2023</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€550 at 0.75% due 2023</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€600 at 2.625% due 2024</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€600 at 3.375% due 2025</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U.S. dollar at 4.25% due 2026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U.S. dollar at 4.75% due 2026</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U.S. dollar at 7.375% due 2026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€500 at 2.875% due 2026</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U.S. dollar at 7.50% due 2096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indebtedness in various currencies</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660"/>
              <w:spacing w:after="0"/>
              <w:rPr>
                <w:sz w:val="20"/>
                <w:szCs w:val="20"/>
                <w:color w:val="auto"/>
              </w:rPr>
            </w:pPr>
            <w:r>
              <w:rPr>
                <w:rFonts w:ascii="Arial" w:cs="Arial" w:eastAsia="Arial" w:hAnsi="Arial"/>
                <w:sz w:val="18"/>
                <w:szCs w:val="18"/>
                <w:color w:val="auto"/>
              </w:rPr>
              <w:t>Total long-term debt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7,935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7,896</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8,141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8,090</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3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340" w:type="dxa"/>
            <w:vAlign w:val="bottom"/>
            <w:gridSpan w:val="3"/>
          </w:tcPr>
          <w:p>
            <w:pPr>
              <w:ind w:left="660"/>
              <w:spacing w:after="0" w:line="156" w:lineRule="exact"/>
              <w:rPr>
                <w:sz w:val="20"/>
                <w:szCs w:val="20"/>
                <w:color w:val="auto"/>
              </w:rPr>
            </w:pPr>
            <w:r>
              <w:rPr>
                <w:rFonts w:ascii="Arial" w:cs="Arial" w:eastAsia="Arial" w:hAnsi="Arial"/>
                <w:sz w:val="18"/>
                <w:szCs w:val="18"/>
                <w:color w:val="auto"/>
              </w:rPr>
              <w:t>Total long-term debt, less current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6,070</w:t>
            </w:r>
          </w:p>
        </w:tc>
        <w:tc>
          <w:tcPr>
            <w:tcW w:w="20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6,034</w:t>
            </w:r>
          </w:p>
        </w:tc>
        <w:tc>
          <w:tcPr>
            <w:tcW w:w="3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8,074</w:t>
            </w:r>
          </w:p>
        </w:tc>
        <w:tc>
          <w:tcPr>
            <w:tcW w:w="20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8,023</w:t>
            </w:r>
          </w:p>
        </w:tc>
        <w:tc>
          <w:tcPr>
            <w:tcW w:w="0" w:type="dxa"/>
            <w:vAlign w:val="bottom"/>
          </w:tcPr>
          <w:p>
            <w:pPr>
              <w:spacing w:after="0"/>
              <w:rPr>
                <w:sz w:val="1"/>
                <w:szCs w:val="1"/>
                <w:color w:val="auto"/>
              </w:rPr>
            </w:pPr>
          </w:p>
        </w:tc>
      </w:tr>
      <w:tr>
        <w:trPr>
          <w:trHeight w:val="208"/>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maturities</w:t>
            </w:r>
          </w:p>
        </w:tc>
        <w:tc>
          <w:tcPr>
            <w:tcW w:w="4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€308 and €317 at September 30, 2021 and December 31, 2020</w:t>
      </w:r>
    </w:p>
    <w:p>
      <w:pPr>
        <w:spacing w:after="0" w:line="23"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$8,330 at September 30, 2021 and $8,617 at December 31, 2020.</w:t>
      </w:r>
    </w:p>
    <w:p>
      <w:pPr>
        <w:spacing w:after="0" w:line="21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September 2021, the Company issued an unconditional notice of redemption to redeem all of its €650 ($753 as of September 30, 2021) 4.0% senior notes due 2022 and its $1,000 4.5% senior notes due 2023. The senior notes were redeemed in October 2021. In connection with the redemption, the Company expects to record a loss from early extinguishment of debt of approximately $67 in the fourth quarter of 2021 for premium payments and the write-off of deferred financing fees.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components of net periodic pension and other postretirement benefits costs for the three and nine months ended September 30, 2021 and 2020 were as follows:</w:t>
      </w:r>
    </w:p>
    <w:p>
      <w:pPr>
        <w:spacing w:after="0" w:line="8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gridSpan w:val="11"/>
          </w:tcPr>
          <w:p>
            <w:pPr>
              <w:jc w:val="center"/>
              <w:ind w:right="66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6"/>
          </w:tcPr>
          <w:p>
            <w:pPr>
              <w:jc w:val="center"/>
              <w:ind w:right="150"/>
              <w:spacing w:after="0"/>
              <w:rPr>
                <w:sz w:val="20"/>
                <w:szCs w:val="20"/>
                <w:color w:val="auto"/>
              </w:rPr>
            </w:pPr>
            <w:r>
              <w:rPr>
                <w:rFonts w:ascii="Arial" w:cs="Arial" w:eastAsia="Arial" w:hAnsi="Arial"/>
                <w:sz w:val="18"/>
                <w:szCs w:val="18"/>
                <w:color w:val="auto"/>
                <w:w w:val="91"/>
              </w:rPr>
              <w:t>Nine Months Ended</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11"/>
          </w:tcPr>
          <w:p>
            <w:pPr>
              <w:jc w:val="center"/>
              <w:ind w:right="66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6"/>
          </w:tcPr>
          <w:p>
            <w:pPr>
              <w:jc w:val="center"/>
              <w:ind w:right="15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Arial" w:cs="Arial" w:eastAsia="Arial" w:hAnsi="Arial"/>
                <w:sz w:val="18"/>
                <w:szCs w:val="18"/>
                <w:color w:val="auto"/>
              </w:rPr>
              <w:t>Pension benefits – U.S. plans</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2021</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2021</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2020</w:t>
            </w:r>
          </w:p>
        </w:tc>
        <w:tc>
          <w:tcPr>
            <w:tcW w:w="2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Recognized prior service cost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Net periodic cost</w:t>
            </w:r>
          </w:p>
        </w:tc>
        <w:tc>
          <w:tcPr>
            <w:tcW w:w="2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11"/>
          </w:tcPr>
          <w:p>
            <w:pPr>
              <w:jc w:val="center"/>
              <w:ind w:right="66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6"/>
          </w:tcPr>
          <w:p>
            <w:pPr>
              <w:jc w:val="center"/>
              <w:ind w:right="130"/>
              <w:spacing w:after="0"/>
              <w:rPr>
                <w:sz w:val="20"/>
                <w:szCs w:val="20"/>
                <w:color w:val="auto"/>
              </w:rPr>
            </w:pPr>
            <w:r>
              <w:rPr>
                <w:rFonts w:ascii="Arial" w:cs="Arial" w:eastAsia="Arial" w:hAnsi="Arial"/>
                <w:sz w:val="18"/>
                <w:szCs w:val="18"/>
                <w:color w:val="auto"/>
                <w:w w:val="92"/>
              </w:rPr>
              <w:t>Nine Months Ended</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11"/>
          </w:tcPr>
          <w:p>
            <w:pPr>
              <w:jc w:val="center"/>
              <w:ind w:right="66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6"/>
          </w:tcPr>
          <w:p>
            <w:pPr>
              <w:jc w:val="center"/>
              <w:ind w:right="15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Arial" w:cs="Arial" w:eastAsia="Arial" w:hAnsi="Arial"/>
                <w:sz w:val="18"/>
                <w:szCs w:val="18"/>
                <w:color w:val="auto"/>
              </w:rPr>
              <w:t>Pension benefits – Non-U.S. plans</w:t>
            </w: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2021</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2020</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2021</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2020</w:t>
            </w:r>
          </w:p>
        </w:tc>
        <w:tc>
          <w:tcPr>
            <w:tcW w:w="20" w:type="dxa"/>
            <w:vAlign w:val="bottom"/>
            <w:tcBorders>
              <w:top w:val="single" w:sz="8" w:color="auto"/>
            </w:tcBorders>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Settlement loss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Net periodic cost</w:t>
            </w:r>
          </w:p>
        </w:tc>
        <w:tc>
          <w:tcPr>
            <w:tcW w:w="2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00"/>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11"/>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6"/>
          </w:tcPr>
          <w:p>
            <w:pPr>
              <w:jc w:val="center"/>
              <w:ind w:right="110"/>
              <w:spacing w:after="0"/>
              <w:rPr>
                <w:sz w:val="20"/>
                <w:szCs w:val="20"/>
                <w:color w:val="auto"/>
              </w:rPr>
            </w:pPr>
            <w:r>
              <w:rPr>
                <w:rFonts w:ascii="Arial" w:cs="Arial" w:eastAsia="Arial" w:hAnsi="Arial"/>
                <w:sz w:val="18"/>
                <w:szCs w:val="18"/>
                <w:color w:val="auto"/>
                <w:w w:val="91"/>
              </w:rPr>
              <w:t>Nine Months Ended</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11"/>
          </w:tcPr>
          <w:p>
            <w:pPr>
              <w:jc w:val="center"/>
              <w:ind w:right="62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6"/>
          </w:tcPr>
          <w:p>
            <w:pPr>
              <w:jc w:val="center"/>
              <w:ind w:right="11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Arial" w:cs="Arial" w:eastAsia="Arial" w:hAnsi="Arial"/>
                <w:sz w:val="18"/>
                <w:szCs w:val="18"/>
                <w:color w:val="auto"/>
              </w:rPr>
              <w:t>Other postretirement benefits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2021</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10"/>
              <w:spacing w:after="0" w:line="182" w:lineRule="exact"/>
              <w:rPr>
                <w:sz w:val="20"/>
                <w:szCs w:val="20"/>
                <w:color w:val="auto"/>
              </w:rPr>
            </w:pPr>
            <w:r>
              <w:rPr>
                <w:rFonts w:ascii="Arial" w:cs="Arial" w:eastAsia="Arial" w:hAnsi="Arial"/>
                <w:sz w:val="18"/>
                <w:szCs w:val="18"/>
                <w:color w:val="auto"/>
              </w:rPr>
              <w:t>2020</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2021</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2020</w:t>
            </w:r>
          </w:p>
        </w:tc>
        <w:tc>
          <w:tcPr>
            <w:tcW w:w="20" w:type="dxa"/>
            <w:vAlign w:val="bottom"/>
            <w:tcBorders>
              <w:top w:val="single" w:sz="8" w:color="auto"/>
            </w:tcBorders>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4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4"/>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Recognized prior service credit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Recognized net loss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In the three and nine months ended September 30, 2020, the Company recorded settlement charges related to the payment of lump sum buy-outs to settle certain non-U.S. pension obligations using plan assets.</w:t>
      </w:r>
    </w:p>
    <w:p>
      <w:pPr>
        <w:spacing w:after="0" w:line="184" w:lineRule="exact"/>
        <w:rPr>
          <w:sz w:val="20"/>
          <w:szCs w:val="20"/>
          <w:color w:val="auto"/>
        </w:rPr>
      </w:pPr>
    </w:p>
    <w:p>
      <w:pPr>
        <w:jc w:val="both"/>
        <w:ind w:left="660"/>
        <w:spacing w:after="0" w:line="239" w:lineRule="auto"/>
        <w:rPr>
          <w:sz w:val="20"/>
          <w:szCs w:val="20"/>
          <w:color w:val="auto"/>
        </w:rPr>
      </w:pPr>
      <w:r>
        <w:rPr>
          <w:rFonts w:ascii="Arial" w:cs="Arial" w:eastAsia="Arial" w:hAnsi="Arial"/>
          <w:sz w:val="17"/>
          <w:szCs w:val="17"/>
          <w:color w:val="auto"/>
        </w:rPr>
        <w:t>In October 2021, the trustees of the Company's U.K. defined benefit pension plan (the "Plan") entered into a transaction to fully insure all of its U.K. pension liabilities. The Company made a cash contribution of $271 to enable the Plan to purchase a bulk annuity insurance contract for the benefit of the Plan participants. Subsequent to the purchase of the bulk annuity contract, each of the Plan participants will be issued an individual annuity contract. The issuer of the individual annuity insurance contracts will be solely responsible for paying each participant's benefits in full. Irrevocable transfer of the Plan's obligations is expected to occur in November 2021. The Company expects to record a settlement charge of approximately $1.3 billion in the fourth quarter of 2021. Additionally, the Company expects $175 of the cash contribution to be repaid as the Plan sells its remaining illiquid assets during 2021 and 2022.</w:t>
      </w:r>
    </w:p>
    <w:p>
      <w:pPr>
        <w:spacing w:after="0" w:line="21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components of net periodic cost / (benefit) other than the service cost component are included in other pension and postretirement in the Consolidated Statement of Operations.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information about amounts reclassified from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tbl>
      <w:tblPr>
        <w:tblLayout w:type="fixed"/>
        <w:tblInd w:w="652"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60" w:type="dxa"/>
            <w:vAlign w:val="bottom"/>
            <w:gridSpan w:val="7"/>
          </w:tcPr>
          <w:p>
            <w:pPr>
              <w:ind w:left="40"/>
              <w:spacing w:after="0"/>
              <w:rPr>
                <w:sz w:val="20"/>
                <w:szCs w:val="20"/>
                <w:color w:val="auto"/>
              </w:rPr>
            </w:pPr>
            <w:r>
              <w:rPr>
                <w:rFonts w:ascii="Arial" w:cs="Arial" w:eastAsia="Arial" w:hAnsi="Arial"/>
                <w:sz w:val="18"/>
                <w:szCs w:val="18"/>
                <w:b w:val="1"/>
                <w:bCs w:val="1"/>
                <w:color w:val="auto"/>
              </w:rPr>
              <w:t>Crown Holdings, Inc.</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9"/>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w w:val="92"/>
              </w:rPr>
              <w:t>Three Months Ended</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4"/>
          </w:tcPr>
          <w:p>
            <w:pPr>
              <w:jc w:val="right"/>
              <w:ind w:right="190"/>
              <w:spacing w:after="0"/>
              <w:rPr>
                <w:sz w:val="20"/>
                <w:szCs w:val="20"/>
                <w:color w:val="auto"/>
              </w:rPr>
            </w:pPr>
            <w:r>
              <w:rPr>
                <w:rFonts w:ascii="Arial" w:cs="Arial" w:eastAsia="Arial" w:hAnsi="Arial"/>
                <w:sz w:val="18"/>
                <w:szCs w:val="18"/>
                <w:color w:val="auto"/>
                <w:w w:val="96"/>
              </w:rPr>
              <w:t>Nine Months Ended</w:t>
            </w: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60" w:type="dxa"/>
            <w:vAlign w:val="bottom"/>
            <w:gridSpan w:val="2"/>
            <w:vMerge w:val="restart"/>
          </w:tcPr>
          <w:p>
            <w:pPr>
              <w:ind w:left="360"/>
              <w:spacing w:after="0"/>
              <w:rPr>
                <w:sz w:val="20"/>
                <w:szCs w:val="20"/>
                <w:color w:val="auto"/>
              </w:rPr>
            </w:pPr>
            <w:r>
              <w:rPr>
                <w:rFonts w:ascii="Arial" w:cs="Arial" w:eastAsia="Arial" w:hAnsi="Arial"/>
                <w:sz w:val="18"/>
                <w:szCs w:val="18"/>
                <w:color w:val="auto"/>
              </w:rPr>
              <w:t>Details about accumulated other</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September 30,</w:t>
            </w:r>
          </w:p>
        </w:tc>
        <w:tc>
          <w:tcPr>
            <w:tcW w:w="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20"/>
                <w:szCs w:val="20"/>
                <w:color w:val="auto"/>
              </w:rPr>
            </w:pPr>
          </w:p>
        </w:tc>
        <w:tc>
          <w:tcPr>
            <w:tcW w:w="2340" w:type="dxa"/>
            <w:vAlign w:val="bottom"/>
            <w:vMerge w:val="restart"/>
          </w:tcPr>
          <w:p>
            <w:pPr>
              <w:ind w:left="260"/>
              <w:spacing w:after="0"/>
              <w:rPr>
                <w:sz w:val="20"/>
                <w:szCs w:val="20"/>
                <w:color w:val="auto"/>
              </w:rPr>
            </w:pPr>
            <w:r>
              <w:rPr>
                <w:rFonts w:ascii="Arial" w:cs="Arial" w:eastAsia="Arial" w:hAnsi="Arial"/>
                <w:sz w:val="18"/>
                <w:szCs w:val="18"/>
                <w:color w:val="auto"/>
              </w:rPr>
              <w:t>Affected line items in the</w:t>
            </w:r>
          </w:p>
        </w:tc>
        <w:tc>
          <w:tcPr>
            <w:tcW w:w="0" w:type="dxa"/>
            <w:vAlign w:val="bottom"/>
          </w:tcPr>
          <w:p>
            <w:pPr>
              <w:spacing w:after="0"/>
              <w:rPr>
                <w:sz w:val="1"/>
                <w:szCs w:val="1"/>
                <w:color w:val="auto"/>
              </w:rPr>
            </w:pPr>
          </w:p>
        </w:tc>
      </w:tr>
      <w:tr>
        <w:trPr>
          <w:trHeight w:val="156"/>
        </w:trPr>
        <w:tc>
          <w:tcPr>
            <w:tcW w:w="3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10"/>
              <w:spacing w:after="0"/>
              <w:rPr>
                <w:sz w:val="20"/>
                <w:szCs w:val="20"/>
                <w:color w:val="auto"/>
              </w:rPr>
            </w:pPr>
            <w:r>
              <w:rPr>
                <w:rFonts w:ascii="Arial" w:cs="Arial" w:eastAsia="Arial" w:hAnsi="Arial"/>
                <w:sz w:val="18"/>
                <w:szCs w:val="18"/>
                <w:color w:val="auto"/>
              </w:rPr>
              <w:t>2021</w:t>
            </w:r>
          </w:p>
        </w:tc>
        <w:tc>
          <w:tcPr>
            <w:tcW w:w="140" w:type="dxa"/>
            <w:vAlign w:val="bottom"/>
            <w:vMerge w:val="restart"/>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6"/>
              </w:rPr>
              <w:t>comprehensive income components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169"/>
        </w:trPr>
        <w:tc>
          <w:tcPr>
            <w:tcW w:w="3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Actuarial losses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20" w:type="dxa"/>
            <w:vAlign w:val="bottom"/>
            <w:gridSpan w:val="2"/>
            <w:vMerge w:val="restart"/>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20</w:t>
            </w:r>
          </w:p>
        </w:tc>
        <w:tc>
          <w:tcPr>
            <w:tcW w:w="1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29"/>
        </w:trPr>
        <w:tc>
          <w:tcPr>
            <w:tcW w:w="316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176"/>
        </w:trPr>
        <w:tc>
          <w:tcPr>
            <w:tcW w:w="3160" w:type="dxa"/>
            <w:vAlign w:val="bottom"/>
            <w:gridSpan w:val="2"/>
            <w:vMerge w:val="restart"/>
          </w:tcPr>
          <w:p>
            <w:pPr>
              <w:ind w:left="20"/>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5"/>
                <w:szCs w:val="15"/>
                <w:color w:val="auto"/>
              </w:rPr>
            </w:pPr>
          </w:p>
        </w:tc>
        <w:tc>
          <w:tcPr>
            <w:tcW w:w="2340" w:type="dxa"/>
            <w:vAlign w:val="bottom"/>
          </w:tcPr>
          <w:p>
            <w:pPr>
              <w:ind w:left="20"/>
              <w:spacing w:after="0" w:line="176" w:lineRule="exact"/>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29"/>
        </w:trPr>
        <w:tc>
          <w:tcPr>
            <w:tcW w:w="3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176"/>
        </w:trPr>
        <w:tc>
          <w:tcPr>
            <w:tcW w:w="3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Prior service credit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5"/>
                <w:szCs w:val="15"/>
                <w:color w:val="auto"/>
              </w:rPr>
            </w:pPr>
          </w:p>
        </w:tc>
        <w:tc>
          <w:tcPr>
            <w:tcW w:w="2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29"/>
        </w:trPr>
        <w:tc>
          <w:tcPr>
            <w:tcW w:w="3160" w:type="dxa"/>
            <w:vAlign w:val="bottom"/>
            <w:gridSpan w:val="2"/>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79"/>
              </w:rPr>
              <w:t>20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3"/>
                <w:szCs w:val="13"/>
                <w:color w:val="auto"/>
              </w:rPr>
            </w:pPr>
          </w:p>
        </w:tc>
        <w:tc>
          <w:tcPr>
            <w:tcW w:w="2340" w:type="dxa"/>
            <w:vAlign w:val="bottom"/>
          </w:tcPr>
          <w:p>
            <w:pPr>
              <w:ind w:left="20"/>
              <w:spacing w:after="0" w:line="156" w:lineRule="exact"/>
              <w:rPr>
                <w:sz w:val="20"/>
                <w:szCs w:val="20"/>
                <w:color w:val="auto"/>
              </w:rPr>
            </w:pPr>
            <w:r>
              <w:rPr>
                <w:rFonts w:ascii="Arial" w:cs="Arial" w:eastAsia="Arial" w:hAnsi="Arial"/>
                <w:sz w:val="18"/>
                <w:szCs w:val="18"/>
                <w:color w:val="auto"/>
              </w:rPr>
              <w:t>Income from continuing</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operations before taxes</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79"/>
              </w:rPr>
              <w:t>15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3"/>
                <w:szCs w:val="13"/>
                <w:color w:val="auto"/>
              </w:rPr>
            </w:pPr>
          </w:p>
        </w:tc>
        <w:tc>
          <w:tcPr>
            <w:tcW w:w="2340" w:type="dxa"/>
            <w:vAlign w:val="bottom"/>
          </w:tcPr>
          <w:p>
            <w:pPr>
              <w:ind w:left="20"/>
              <w:spacing w:after="0" w:line="156" w:lineRule="exact"/>
              <w:rPr>
                <w:sz w:val="20"/>
                <w:szCs w:val="20"/>
                <w:color w:val="auto"/>
              </w:rPr>
            </w:pPr>
            <w:r>
              <w:rPr>
                <w:rFonts w:ascii="Arial" w:cs="Arial" w:eastAsia="Arial" w:hAnsi="Arial"/>
                <w:sz w:val="18"/>
                <w:szCs w:val="18"/>
                <w:color w:val="auto"/>
              </w:rPr>
              <w:t>Net income from continuing</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175"/>
        </w:trPr>
        <w:tc>
          <w:tcPr>
            <w:tcW w:w="3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Actuarial losses</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 income from</w:t>
            </w:r>
          </w:p>
        </w:tc>
        <w:tc>
          <w:tcPr>
            <w:tcW w:w="0" w:type="dxa"/>
            <w:vAlign w:val="bottom"/>
          </w:tcPr>
          <w:p>
            <w:pPr>
              <w:spacing w:after="0"/>
              <w:rPr>
                <w:sz w:val="1"/>
                <w:szCs w:val="1"/>
                <w:color w:val="auto"/>
              </w:rPr>
            </w:pPr>
          </w:p>
        </w:tc>
      </w:tr>
      <w:tr>
        <w:trPr>
          <w:trHeight w:val="230"/>
        </w:trPr>
        <w:tc>
          <w:tcPr>
            <w:tcW w:w="3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tcPr>
          <w:p>
            <w:pPr>
              <w:ind w:left="20"/>
              <w:spacing w:after="0" w:line="156" w:lineRule="exact"/>
              <w:rPr>
                <w:sz w:val="20"/>
                <w:szCs w:val="20"/>
                <w:color w:val="auto"/>
              </w:rPr>
            </w:pPr>
            <w:r>
              <w:rPr>
                <w:rFonts w:ascii="Arial" w:cs="Arial" w:eastAsia="Arial" w:hAnsi="Arial"/>
                <w:sz w:val="18"/>
                <w:szCs w:val="18"/>
                <w:color w:val="auto"/>
              </w:rPr>
              <w:t>Net income from continuing</w:t>
            </w:r>
          </w:p>
        </w:tc>
        <w:tc>
          <w:tcPr>
            <w:tcW w:w="0" w:type="dxa"/>
            <w:vAlign w:val="bottom"/>
          </w:tcPr>
          <w:p>
            <w:pPr>
              <w:spacing w:after="0"/>
              <w:rPr>
                <w:sz w:val="1"/>
                <w:szCs w:val="1"/>
                <w:color w:val="auto"/>
              </w:rPr>
            </w:pPr>
          </w:p>
        </w:tc>
      </w:tr>
      <w:tr>
        <w:trPr>
          <w:trHeight w:val="176"/>
        </w:trPr>
        <w:tc>
          <w:tcPr>
            <w:tcW w:w="3160" w:type="dxa"/>
            <w:vAlign w:val="bottom"/>
            <w:gridSpan w:val="2"/>
            <w:vMerge w:val="restart"/>
          </w:tcPr>
          <w:p>
            <w:pPr>
              <w:ind w:left="20"/>
              <w:spacing w:after="0"/>
              <w:rPr>
                <w:sz w:val="20"/>
                <w:szCs w:val="20"/>
                <w:color w:val="auto"/>
              </w:rPr>
            </w:pPr>
            <w:r>
              <w:rPr>
                <w:rFonts w:ascii="Arial" w:cs="Arial" w:eastAsia="Arial" w:hAnsi="Arial"/>
                <w:sz w:val="18"/>
                <w:szCs w:val="18"/>
                <w:color w:val="auto"/>
              </w:rPr>
              <w:t>Total reclassified</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820" w:type="dxa"/>
            <w:vAlign w:val="bottom"/>
            <w:gridSpan w:val="2"/>
            <w:vMerge w:val="restart"/>
          </w:tcPr>
          <w:p>
            <w:pPr>
              <w:jc w:val="right"/>
              <w:ind w:right="49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79"/>
              </w:rPr>
              <w:t>15</w:t>
            </w:r>
          </w:p>
        </w:tc>
        <w:tc>
          <w:tcPr>
            <w:tcW w:w="14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5"/>
                <w:szCs w:val="15"/>
                <w:color w:val="auto"/>
              </w:rPr>
            </w:pPr>
          </w:p>
        </w:tc>
        <w:tc>
          <w:tcPr>
            <w:tcW w:w="2340" w:type="dxa"/>
            <w:vAlign w:val="bottom"/>
          </w:tcPr>
          <w:p>
            <w:pPr>
              <w:ind w:left="20"/>
              <w:spacing w:after="0" w:line="176" w:lineRule="exact"/>
              <w:rPr>
                <w:sz w:val="20"/>
                <w:szCs w:val="20"/>
                <w:color w:val="auto"/>
              </w:rPr>
            </w:pPr>
            <w:r>
              <w:rPr>
                <w:rFonts w:ascii="Arial" w:cs="Arial" w:eastAsia="Arial" w:hAnsi="Arial"/>
                <w:sz w:val="18"/>
                <w:szCs w:val="18"/>
                <w:color w:val="auto"/>
              </w:rPr>
              <w:t>operations attributable to</w:t>
            </w:r>
          </w:p>
        </w:tc>
        <w:tc>
          <w:tcPr>
            <w:tcW w:w="0" w:type="dxa"/>
            <w:vAlign w:val="bottom"/>
          </w:tcPr>
          <w:p>
            <w:pPr>
              <w:spacing w:after="0"/>
              <w:rPr>
                <w:sz w:val="1"/>
                <w:szCs w:val="1"/>
                <w:color w:val="auto"/>
              </w:rPr>
            </w:pPr>
          </w:p>
        </w:tc>
      </w:tr>
      <w:tr>
        <w:trPr>
          <w:trHeight w:val="203"/>
        </w:trPr>
        <w:tc>
          <w:tcPr>
            <w:tcW w:w="316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ind w:left="20"/>
              <w:spacing w:after="0" w:line="202" w:lineRule="exact"/>
              <w:rPr>
                <w:sz w:val="20"/>
                <w:szCs w:val="20"/>
                <w:color w:val="auto"/>
              </w:rPr>
            </w:pPr>
            <w:r>
              <w:rPr>
                <w:rFonts w:ascii="Arial" w:cs="Arial" w:eastAsia="Arial" w:hAnsi="Arial"/>
                <w:sz w:val="18"/>
                <w:szCs w:val="18"/>
                <w:color w:val="auto"/>
              </w:rPr>
              <w:t>Crown Holdings</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52" w:hanging="352"/>
        <w:spacing w:after="0"/>
        <w:tabs>
          <w:tab w:leader="none" w:pos="3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Income</w:t>
      </w:r>
    </w:p>
    <w:p>
      <w:pPr>
        <w:spacing w:after="0" w:line="25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following table provides information about the changes in each component of accumulated other comprehensive income.</w:t>
      </w:r>
    </w:p>
    <w:p>
      <w:pPr>
        <w:spacing w:after="0" w:line="262" w:lineRule="exact"/>
        <w:rPr>
          <w:sz w:val="20"/>
          <w:szCs w:val="20"/>
          <w:color w:val="auto"/>
        </w:rPr>
      </w:pPr>
    </w:p>
    <w:tbl>
      <w:tblPr>
        <w:tblLayout w:type="fixed"/>
        <w:tblInd w:w="652"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Defined</w:t>
            </w:r>
          </w:p>
        </w:tc>
        <w:tc>
          <w:tcPr>
            <w:tcW w:w="140" w:type="dxa"/>
            <w:vAlign w:val="bottom"/>
          </w:tcPr>
          <w:p>
            <w:pPr>
              <w:spacing w:after="0"/>
              <w:rPr>
                <w:sz w:val="17"/>
                <w:szCs w:val="17"/>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1"/>
              </w:rPr>
              <w:t>Foreign</w:t>
            </w:r>
          </w:p>
        </w:tc>
        <w:tc>
          <w:tcPr>
            <w:tcW w:w="1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Gains and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86"/>
              </w:rPr>
              <w:t>losses on</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benefit</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currency</w:t>
            </w: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3"/>
              </w:rPr>
              <w:t>cash flow</w:t>
            </w:r>
          </w:p>
        </w:tc>
        <w:tc>
          <w:tcPr>
            <w:tcW w:w="200" w:type="dxa"/>
            <w:vAlign w:val="bottom"/>
          </w:tcPr>
          <w:p>
            <w:pPr>
              <w:spacing w:after="0"/>
              <w:rPr>
                <w:sz w:val="15"/>
                <w:szCs w:val="15"/>
                <w:color w:val="auto"/>
              </w:rPr>
            </w:pPr>
          </w:p>
        </w:tc>
        <w:tc>
          <w:tcPr>
            <w:tcW w:w="740" w:type="dxa"/>
            <w:vAlign w:val="bottom"/>
            <w:vMerge w:val="restart"/>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plans</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1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hedges</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3"/>
              </w:rPr>
              <w:t>(14)</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left="490"/>
              <w:spacing w:after="0"/>
              <w:rPr>
                <w:sz w:val="20"/>
                <w:szCs w:val="20"/>
                <w:color w:val="auto"/>
              </w:rPr>
            </w:pPr>
            <w:r>
              <w:rPr>
                <w:rFonts w:ascii="Arial" w:cs="Arial" w:eastAsia="Arial" w:hAnsi="Arial"/>
                <w:sz w:val="18"/>
                <w:szCs w:val="18"/>
                <w:color w:val="auto"/>
                <w:w w:val="93"/>
              </w:rPr>
              <w:t>(21)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35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14</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30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(loss) / income before reclassifications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left="490"/>
              <w:spacing w:after="0"/>
              <w:rPr>
                <w:sz w:val="20"/>
                <w:szCs w:val="20"/>
                <w:color w:val="auto"/>
              </w:rPr>
            </w:pPr>
            <w:r>
              <w:rPr>
                <w:rFonts w:ascii="Arial" w:cs="Arial" w:eastAsia="Arial" w:hAnsi="Arial"/>
                <w:sz w:val="18"/>
                <w:szCs w:val="18"/>
                <w:color w:val="auto"/>
                <w:w w:val="89"/>
              </w:rPr>
              <w:t>79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3"/>
              </w:rPr>
              <w:t>(55)</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24</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89"/>
              </w:rPr>
              <w:t>54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5">
        <w:r>
          <w:rPr>
            <w:rFonts w:ascii="Arial" w:cs="Arial" w:eastAsia="Arial" w:hAnsi="Arial"/>
            <w:sz w:val="18"/>
            <w:szCs w:val="18"/>
            <w:u w:val="single" w:color="auto"/>
            <w:color w:val="0000FF"/>
          </w:rPr>
          <w:t>Note 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20">
        <w:r>
          <w:rPr>
            <w:rFonts w:ascii="Arial" w:cs="Arial" w:eastAsia="Arial" w:hAnsi="Arial"/>
            <w:sz w:val="18"/>
            <w:szCs w:val="18"/>
            <w:u w:val="single" w:color="auto"/>
            <w:color w:val="0000FF"/>
          </w:rPr>
          <w:t>Note M</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of amounts related to cash flow hedges and defined benefit plans.</w:t>
      </w:r>
    </w:p>
    <w:p>
      <w:pPr>
        <w:spacing w:after="0" w:line="212" w:lineRule="exact"/>
        <w:rPr>
          <w:sz w:val="20"/>
          <w:szCs w:val="20"/>
          <w:color w:val="auto"/>
        </w:rPr>
      </w:pPr>
    </w:p>
    <w:p>
      <w:pPr>
        <w:ind w:left="652"/>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During the nine months ended September 30, 2021, the Company reclassified foreign currency translation as a result of the sale of the European Tinplate business. See </w:t>
      </w:r>
      <w:hyperlink w:anchor="page22">
        <w:r>
          <w:rPr>
            <w:rFonts w:ascii="Arial" w:cs="Arial" w:eastAsia="Arial" w:hAnsi="Arial"/>
            <w:sz w:val="18"/>
            <w:szCs w:val="18"/>
            <w:u w:val="single" w:color="auto"/>
            <w:color w:val="0000FF"/>
          </w:rPr>
          <w:t>Note C</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ectPr>
          <w:pgSz w:w="11900" w:h="16838" w:orient="portrait"/>
          <w:cols w:equalWidth="0" w:num="1">
            <w:col w:w="11232"/>
          </w:cols>
          <w:pgMar w:left="328"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nine months ended September 30, 2021 and 2020, the Company recognized revenue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5"/>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9"/>
                <w:szCs w:val="19"/>
                <w:color w:val="auto"/>
              </w:rPr>
            </w:pPr>
          </w:p>
        </w:tc>
        <w:tc>
          <w:tcPr>
            <w:tcW w:w="212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5"/>
          </w:tcPr>
          <w:p>
            <w:pPr>
              <w:jc w:val="center"/>
              <w:ind w:right="44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212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23"/>
        </w:trPr>
        <w:tc>
          <w:tcPr>
            <w:tcW w:w="45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 at a point in time</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24">
        <w:r>
          <w:rPr>
            <w:rFonts w:ascii="Arial" w:cs="Arial" w:eastAsia="Arial" w:hAnsi="Arial"/>
            <w:sz w:val="18"/>
            <w:szCs w:val="18"/>
            <w:u w:val="single" w:color="auto"/>
            <w:color w:val="0000FF"/>
          </w:rPr>
          <w:t>Note R</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disaggregation of the Company's revenue.</w:t>
      </w:r>
    </w:p>
    <w:p>
      <w:pPr>
        <w:spacing w:after="0" w:line="19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has applied the practical expedient to exclude disclosure of remaining performance obligations as its binding orders typically have a term of one year or less.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 Assets</w:t>
      </w:r>
    </w:p>
    <w:p>
      <w:pPr>
        <w:spacing w:after="0" w:line="18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recorded contract assets of $34 and $20 in prepaid and other current assets as of September 30, 2021 and December 31, 2020. During the nine months ended September 30, 2021, the Company satisfied performance obligations related to contract assets at December 31, 2020 related to customized work-in-process inventory for the Company's equipment business and also recorded new contract assets related to this business.</w:t>
      </w:r>
    </w:p>
    <w:p>
      <w:pPr>
        <w:spacing w:after="0" w:line="200" w:lineRule="exact"/>
        <w:rPr>
          <w:sz w:val="20"/>
          <w:szCs w:val="20"/>
          <w:color w:val="auto"/>
        </w:rPr>
      </w:pPr>
    </w:p>
    <w:p>
      <w:pPr>
        <w:spacing w:after="0" w:line="253"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243" w:lineRule="exact"/>
        <w:rPr>
          <w:sz w:val="20"/>
          <w:szCs w:val="20"/>
          <w:color w:val="auto"/>
        </w:rPr>
      </w:pPr>
    </w:p>
    <w:p>
      <w:pPr>
        <w:jc w:val="both"/>
        <w:ind w:left="660"/>
        <w:spacing w:after="0"/>
        <w:rPr>
          <w:rFonts w:ascii="Arial" w:cs="Arial" w:eastAsia="Arial" w:hAnsi="Arial"/>
          <w:sz w:val="17"/>
          <w:szCs w:val="17"/>
          <w:color w:val="auto"/>
        </w:rPr>
      </w:pPr>
      <w:r>
        <w:rPr>
          <w:rFonts w:ascii="Arial" w:cs="Arial" w:eastAsia="Arial" w:hAnsi="Arial"/>
          <w:sz w:val="17"/>
          <w:szCs w:val="17"/>
          <w:color w:val="auto"/>
        </w:rPr>
        <w:t xml:space="preserve">For the three and nine months ended September 30, 2021, the Company recorded income tax charges of $11 and $42 in continuing operations for reorganizations and other transactions required to prepare the European Tinplate business for sale. Additionally, for the nine months ended September 30, 2021, the Company also recorded income tax benefits of $8 related to tax law changes in India and the U.K and an income tax charge of $40 to establish a valuation allowance for deferred tax assets related to tax loss carryforwards in France. The Company believes that it is more likely than not that these tax loss carryforwards will not be utilized after the sale of the European Tinplate business. See </w:t>
      </w:r>
      <w:hyperlink w:anchor="page8">
        <w:r>
          <w:rPr>
            <w:rFonts w:ascii="Arial" w:cs="Arial" w:eastAsia="Arial" w:hAnsi="Arial"/>
            <w:sz w:val="17"/>
            <w:szCs w:val="17"/>
            <w:u w:val="single" w:color="auto"/>
            <w:color w:val="0000FF"/>
          </w:rPr>
          <w:t>Note C</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more information regarding the sale of the European Tinplate business.</w:t>
      </w:r>
    </w:p>
    <w:p>
      <w:pPr>
        <w:spacing w:after="0" w:line="204"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For the three and nine months ended September 30, 2020, the Company recorded an income tax charge of $8 related to a tax law change in the U.K. The nine months ended September 30, 2020, also included a benefit of $4 arising from a tax law change in India.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gridSpan w:val="4"/>
          </w:tcPr>
          <w:p>
            <w:pPr>
              <w:spacing w:after="0"/>
              <w:rPr>
                <w:sz w:val="20"/>
                <w:szCs w:val="20"/>
                <w:color w:val="auto"/>
              </w:rPr>
            </w:pPr>
            <w:r>
              <w:rPr>
                <w:rFonts w:ascii="Arial" w:cs="Arial" w:eastAsia="Arial" w:hAnsi="Arial"/>
                <w:sz w:val="18"/>
                <w:szCs w:val="18"/>
                <w:b w:val="1"/>
                <w:bCs w:val="1"/>
                <w:color w:val="auto"/>
              </w:rPr>
              <w:t>Q.  Earnings Per Share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80" w:type="dxa"/>
            <w:vAlign w:val="bottom"/>
            <w:gridSpan w:val="9"/>
          </w:tcPr>
          <w:p>
            <w:pPr>
              <w:spacing w:after="0"/>
              <w:rPr>
                <w:sz w:val="20"/>
                <w:szCs w:val="20"/>
                <w:color w:val="auto"/>
              </w:rPr>
            </w:pPr>
            <w:r>
              <w:rPr>
                <w:rFonts w:ascii="Arial" w:cs="Arial" w:eastAsia="Arial" w:hAnsi="Arial"/>
                <w:sz w:val="18"/>
                <w:szCs w:val="18"/>
                <w:color w:val="auto"/>
                <w:w w:val="91"/>
              </w:rPr>
              <w:t>The following table summarizes the computations of basic and diluted earnings per share attributable to the Company.</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22"/>
                <w:szCs w:val="22"/>
                <w:color w:val="auto"/>
              </w:rPr>
            </w:pPr>
          </w:p>
        </w:tc>
        <w:tc>
          <w:tcPr>
            <w:tcW w:w="2000" w:type="dxa"/>
            <w:vAlign w:val="bottom"/>
            <w:gridSpan w:val="4"/>
          </w:tcPr>
          <w:p>
            <w:pPr>
              <w:jc w:val="right"/>
              <w:ind w:right="310"/>
              <w:spacing w:after="0"/>
              <w:rPr>
                <w:sz w:val="20"/>
                <w:szCs w:val="20"/>
                <w:color w:val="auto"/>
              </w:rPr>
            </w:pPr>
            <w:r>
              <w:rPr>
                <w:rFonts w:ascii="Arial" w:cs="Arial" w:eastAsia="Arial" w:hAnsi="Arial"/>
                <w:sz w:val="18"/>
                <w:szCs w:val="18"/>
                <w:color w:val="auto"/>
                <w:w w:val="99"/>
              </w:rPr>
              <w:t>Nine Months Ended</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8"/>
                <w:szCs w:val="18"/>
                <w:color w:val="auto"/>
                <w:w w:val="88"/>
              </w:rPr>
              <w:t>September 30,</w:t>
            </w:r>
          </w:p>
        </w:tc>
        <w:tc>
          <w:tcPr>
            <w:tcW w:w="260" w:type="dxa"/>
            <w:vAlign w:val="bottom"/>
          </w:tcPr>
          <w:p>
            <w:pPr>
              <w:spacing w:after="0"/>
              <w:rPr>
                <w:sz w:val="20"/>
                <w:szCs w:val="20"/>
                <w:color w:val="auto"/>
              </w:rPr>
            </w:pPr>
          </w:p>
        </w:tc>
        <w:tc>
          <w:tcPr>
            <w:tcW w:w="2000" w:type="dxa"/>
            <w:vAlign w:val="bottom"/>
            <w:gridSpan w:val="4"/>
          </w:tcPr>
          <w:p>
            <w:pPr>
              <w:jc w:val="right"/>
              <w:ind w:right="51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 attributable to Crown Holdings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Net (loss) / income from discontinued operations attributable to Crown</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Holdings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Dilutive restricted stock</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40" w:type="dxa"/>
            <w:vAlign w:val="bottom"/>
            <w:gridSpan w:val="2"/>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Earnings per common share attributable to Crown Holdings: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Basic earnings per common share from discontinued operations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Diluted earnings per common share from discontinued operations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nine months ended September 30, 2021, 0.1 million contingently issuable common shares were excluded from the computation of diluted earnings per share because the effect would be anti-dilutive.</w:t>
      </w:r>
    </w:p>
    <w:p>
      <w:pPr>
        <w:spacing w:after="0" w:line="19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nine months ended September 30, 2020, 0.7 million contingently issuable common shares were excluded from the computation of diluted earnings per share because the effect would be anti-dilutive.</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the three and nine months ended September 30, 2021, the Company declared and paid cash dividends of $0.20 per share and $0.60 per share. Additionally, on October 28, 2021, the Company's Board of Directors declared a dividend of $0.20 per share payable on November 26, 2021 to shareholders of record on November 12, 2021.</w:t>
      </w:r>
    </w:p>
    <w:p>
      <w:pPr>
        <w:spacing w:after="0" w:line="200" w:lineRule="exact"/>
        <w:rPr>
          <w:sz w:val="20"/>
          <w:szCs w:val="20"/>
          <w:color w:val="auto"/>
        </w:rPr>
      </w:pPr>
    </w:p>
    <w:p>
      <w:pPr>
        <w:spacing w:after="0" w:line="250"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provisions for asbestos and restructuring and other, and the impact of fair value adjustments to inventory acquired in an acquisition.</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Segment income should not be considered in isolation or as a substitute for net income prepared in accordance with GAAP and may not be comparable to calculations of similarly titled measures by other companies.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information about the Company's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900" w:type="dxa"/>
            <w:vAlign w:val="bottom"/>
            <w:gridSpan w:val="4"/>
          </w:tcPr>
          <w:p>
            <w:pPr>
              <w:ind w:left="1140"/>
              <w:spacing w:after="0"/>
              <w:rPr>
                <w:sz w:val="20"/>
                <w:szCs w:val="20"/>
                <w:color w:val="auto"/>
              </w:rPr>
            </w:pPr>
            <w:r>
              <w:rPr>
                <w:rFonts w:ascii="Arial" w:cs="Arial" w:eastAsia="Arial" w:hAnsi="Arial"/>
                <w:sz w:val="18"/>
                <w:szCs w:val="18"/>
                <w:b w:val="1"/>
                <w:bCs w:val="1"/>
                <w:color w:val="auto"/>
                <w:w w:val="97"/>
              </w:rPr>
              <w:t>Crown Holdings, Inc.</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810"/>
        </w:trPr>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center"/>
              <w:ind w:right="660"/>
              <w:spacing w:after="0"/>
              <w:rPr>
                <w:sz w:val="20"/>
                <w:szCs w:val="20"/>
                <w:color w:val="auto"/>
              </w:rPr>
            </w:pPr>
            <w:r>
              <w:rPr>
                <w:rFonts w:ascii="Arial" w:cs="Arial" w:eastAsia="Arial" w:hAnsi="Arial"/>
                <w:sz w:val="18"/>
                <w:szCs w:val="18"/>
                <w:color w:val="auto"/>
                <w:w w:val="89"/>
              </w:rPr>
              <w:t>External Sales</w:t>
            </w:r>
          </w:p>
        </w:tc>
        <w:tc>
          <w:tcPr>
            <w:tcW w:w="240" w:type="dxa"/>
            <w:vAlign w:val="bottom"/>
          </w:tcPr>
          <w:p>
            <w:pPr>
              <w:spacing w:after="0"/>
              <w:rPr>
                <w:sz w:val="24"/>
                <w:szCs w:val="24"/>
                <w:color w:val="auto"/>
              </w:rPr>
            </w:pPr>
          </w:p>
        </w:tc>
        <w:tc>
          <w:tcPr>
            <w:tcW w:w="2100" w:type="dxa"/>
            <w:vAlign w:val="bottom"/>
            <w:gridSpan w:val="4"/>
          </w:tcPr>
          <w:p>
            <w:pPr>
              <w:jc w:val="center"/>
              <w:ind w:right="130"/>
              <w:spacing w:after="0"/>
              <w:rPr>
                <w:sz w:val="20"/>
                <w:szCs w:val="20"/>
                <w:color w:val="auto"/>
              </w:rPr>
            </w:pPr>
            <w:r>
              <w:rPr>
                <w:rFonts w:ascii="Arial" w:cs="Arial" w:eastAsia="Arial" w:hAnsi="Arial"/>
                <w:sz w:val="18"/>
                <w:szCs w:val="18"/>
                <w:color w:val="auto"/>
                <w:w w:val="89"/>
              </w:rPr>
              <w:t>External Sales</w:t>
            </w:r>
          </w:p>
        </w:tc>
      </w:tr>
      <w:tr>
        <w:trPr>
          <w:trHeight w:val="222"/>
        </w:trPr>
        <w:tc>
          <w:tcPr>
            <w:tcW w:w="3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gridSpan w:val="4"/>
          </w:tcPr>
          <w:p>
            <w:pPr>
              <w:jc w:val="center"/>
              <w:ind w:right="150"/>
              <w:spacing w:after="0"/>
              <w:rPr>
                <w:sz w:val="20"/>
                <w:szCs w:val="20"/>
                <w:color w:val="auto"/>
              </w:rPr>
            </w:pPr>
            <w:r>
              <w:rPr>
                <w:rFonts w:ascii="Arial" w:cs="Arial" w:eastAsia="Arial" w:hAnsi="Arial"/>
                <w:sz w:val="18"/>
                <w:szCs w:val="18"/>
                <w:color w:val="auto"/>
                <w:w w:val="90"/>
              </w:rPr>
              <w:t>Three Months Ended</w:t>
            </w:r>
          </w:p>
        </w:tc>
        <w:tc>
          <w:tcPr>
            <w:tcW w:w="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3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66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2100" w:type="dxa"/>
            <w:vAlign w:val="bottom"/>
            <w:gridSpan w:val="4"/>
          </w:tcPr>
          <w:p>
            <w:pPr>
              <w:jc w:val="center"/>
              <w:ind w:right="130"/>
              <w:spacing w:after="0"/>
              <w:rPr>
                <w:sz w:val="20"/>
                <w:szCs w:val="20"/>
                <w:color w:val="auto"/>
              </w:rPr>
            </w:pPr>
            <w:r>
              <w:rPr>
                <w:rFonts w:ascii="Arial" w:cs="Arial" w:eastAsia="Arial" w:hAnsi="Arial"/>
                <w:sz w:val="18"/>
                <w:szCs w:val="18"/>
                <w:color w:val="auto"/>
                <w:w w:val="88"/>
              </w:rPr>
              <w:t>September 30,</w:t>
            </w:r>
          </w:p>
        </w:tc>
      </w:tr>
      <w:tr>
        <w:trPr>
          <w:trHeight w:val="223"/>
        </w:trPr>
        <w:tc>
          <w:tcPr>
            <w:tcW w:w="30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1,094</w:t>
            </w: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29"/>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Transit Packaging</w:t>
            </w:r>
          </w:p>
        </w:tc>
        <w:tc>
          <w:tcPr>
            <w:tcW w:w="1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r>
      <w:tr>
        <w:trPr>
          <w:trHeight w:val="22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w:t>
            </w:r>
          </w:p>
        </w:tc>
      </w:tr>
      <w:tr>
        <w:trPr>
          <w:trHeight w:val="229"/>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segments</w:t>
            </w:r>
          </w:p>
        </w:tc>
        <w:tc>
          <w:tcPr>
            <w:tcW w:w="1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primary sources of revenue included in other segments are the Company's food can, aerosol can, and closures businesses in North America, and beverage tooling and equipment operations in the U.S. and U.K.</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040" w:type="dxa"/>
            <w:vAlign w:val="bottom"/>
            <w:tcBorders>
              <w:bottom w:val="single" w:sz="8" w:color="auto"/>
            </w:tcBorders>
            <w:gridSpan w:val="4"/>
          </w:tcPr>
          <w:p>
            <w:pPr>
              <w:jc w:val="center"/>
              <w:ind w:left="230"/>
              <w:spacing w:after="0"/>
              <w:rPr>
                <w:sz w:val="20"/>
                <w:szCs w:val="20"/>
                <w:color w:val="auto"/>
              </w:rPr>
            </w:pPr>
            <w:r>
              <w:rPr>
                <w:rFonts w:ascii="Arial" w:cs="Arial" w:eastAsia="Arial" w:hAnsi="Arial"/>
                <w:sz w:val="18"/>
                <w:szCs w:val="18"/>
                <w:color w:val="auto"/>
                <w:w w:val="87"/>
              </w:rPr>
              <w:t>Intersegment Sales</w:t>
            </w:r>
          </w:p>
        </w:tc>
        <w:tc>
          <w:tcPr>
            <w:tcW w:w="3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8"/>
              </w:rPr>
              <w:t>Intersegment Sales</w:t>
            </w:r>
          </w:p>
        </w:tc>
      </w:tr>
      <w:tr>
        <w:trPr>
          <w:trHeight w:val="222"/>
        </w:trPr>
        <w:tc>
          <w:tcPr>
            <w:tcW w:w="4620" w:type="dxa"/>
            <w:vAlign w:val="bottom"/>
          </w:tcPr>
          <w:p>
            <w:pPr>
              <w:spacing w:after="0"/>
              <w:rPr>
                <w:sz w:val="19"/>
                <w:szCs w:val="19"/>
                <w:color w:val="auto"/>
              </w:rPr>
            </w:pPr>
          </w:p>
        </w:tc>
        <w:tc>
          <w:tcPr>
            <w:tcW w:w="2040" w:type="dxa"/>
            <w:vAlign w:val="bottom"/>
            <w:gridSpan w:val="4"/>
          </w:tcPr>
          <w:p>
            <w:pPr>
              <w:jc w:val="center"/>
              <w:ind w:left="230"/>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4"/>
          </w:tcPr>
          <w:p>
            <w:pPr>
              <w:jc w:val="center"/>
              <w:ind w:right="13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4620" w:type="dxa"/>
            <w:vAlign w:val="bottom"/>
          </w:tcPr>
          <w:p>
            <w:pPr>
              <w:spacing w:after="0"/>
              <w:rPr>
                <w:sz w:val="20"/>
                <w:szCs w:val="20"/>
                <w:color w:val="auto"/>
              </w:rPr>
            </w:pPr>
          </w:p>
        </w:tc>
        <w:tc>
          <w:tcPr>
            <w:tcW w:w="2040" w:type="dxa"/>
            <w:vAlign w:val="bottom"/>
            <w:tcBorders>
              <w:bottom w:val="single" w:sz="8" w:color="auto"/>
            </w:tcBorders>
            <w:gridSpan w:val="4"/>
          </w:tcPr>
          <w:p>
            <w:pPr>
              <w:jc w:val="center"/>
              <w:ind w:left="230"/>
              <w:spacing w:after="0"/>
              <w:rPr>
                <w:sz w:val="20"/>
                <w:szCs w:val="20"/>
                <w:color w:val="auto"/>
              </w:rPr>
            </w:pPr>
            <w:r>
              <w:rPr>
                <w:rFonts w:ascii="Arial" w:cs="Arial" w:eastAsia="Arial" w:hAnsi="Arial"/>
                <w:sz w:val="18"/>
                <w:szCs w:val="18"/>
                <w:color w:val="auto"/>
                <w:w w:val="88"/>
              </w:rPr>
              <w:t>September 30,</w:t>
            </w:r>
          </w:p>
        </w:tc>
        <w:tc>
          <w:tcPr>
            <w:tcW w:w="3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color w:val="auto"/>
                <w:w w:val="88"/>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Beverage</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Transit Packaging</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segments</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Intersegment sales primarily include sales of ends and components used to manufacture cans, such as printed and coated metal, as well as parts and equipment used in the manufacturing process.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198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color w:val="auto"/>
                <w:w w:val="88"/>
              </w:rPr>
              <w:t>Segment Income</w:t>
            </w:r>
          </w:p>
        </w:tc>
        <w:tc>
          <w:tcPr>
            <w:tcW w:w="3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8"/>
              </w:rPr>
              <w:t>Segment Income</w:t>
            </w:r>
          </w:p>
        </w:tc>
      </w:tr>
      <w:tr>
        <w:trPr>
          <w:trHeight w:val="222"/>
        </w:trPr>
        <w:tc>
          <w:tcPr>
            <w:tcW w:w="4620" w:type="dxa"/>
            <w:vAlign w:val="bottom"/>
          </w:tcPr>
          <w:p>
            <w:pPr>
              <w:spacing w:after="0"/>
              <w:rPr>
                <w:sz w:val="19"/>
                <w:szCs w:val="19"/>
                <w:color w:val="auto"/>
              </w:rPr>
            </w:pPr>
          </w:p>
        </w:tc>
        <w:tc>
          <w:tcPr>
            <w:tcW w:w="19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4620" w:type="dxa"/>
            <w:vAlign w:val="bottom"/>
          </w:tcPr>
          <w:p>
            <w:pPr>
              <w:spacing w:after="0"/>
              <w:rPr>
                <w:sz w:val="20"/>
                <w:szCs w:val="20"/>
                <w:color w:val="auto"/>
              </w:rPr>
            </w:pPr>
          </w:p>
        </w:tc>
        <w:tc>
          <w:tcPr>
            <w:tcW w:w="198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color w:val="auto"/>
                <w:w w:val="88"/>
              </w:rPr>
              <w:t>September 30,</w:t>
            </w:r>
          </w:p>
        </w:tc>
        <w:tc>
          <w:tcPr>
            <w:tcW w:w="3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8"/>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Transit Packaging</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381</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382</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of reportable segments to income before income taxes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right="500" w:firstLine="648"/>
        <w:spacing w:after="0" w:line="235" w:lineRule="auto"/>
        <w:rPr>
          <w:sz w:val="20"/>
          <w:szCs w:val="20"/>
          <w:color w:val="auto"/>
        </w:rPr>
      </w:pPr>
      <w:r>
        <w:rPr>
          <w:rFonts w:ascii="Arial" w:cs="Arial" w:eastAsia="Arial" w:hAnsi="Arial"/>
          <w:sz w:val="18"/>
          <w:szCs w:val="18"/>
          <w:color w:val="auto"/>
        </w:rPr>
        <w:t>Segment income of reportable segments</w:t>
      </w:r>
    </w:p>
    <w:p>
      <w:pPr>
        <w:ind w:left="20" w:right="80" w:firstLine="648"/>
        <w:spacing w:after="0" w:line="234" w:lineRule="auto"/>
        <w:rPr>
          <w:sz w:val="20"/>
          <w:szCs w:val="20"/>
          <w:color w:val="auto"/>
        </w:rPr>
      </w:pPr>
      <w:r>
        <w:rPr>
          <w:rFonts w:ascii="Arial" w:cs="Arial" w:eastAsia="Arial" w:hAnsi="Arial"/>
          <w:sz w:val="18"/>
          <w:szCs w:val="18"/>
          <w:color w:val="auto"/>
        </w:rPr>
        <w:t>Segment income of other segments</w:t>
      </w:r>
    </w:p>
    <w:p>
      <w:pPr>
        <w:jc w:val="right"/>
        <w:spacing w:after="0" w:line="222" w:lineRule="auto"/>
        <w:rPr>
          <w:sz w:val="20"/>
          <w:szCs w:val="20"/>
          <w:color w:val="auto"/>
        </w:rPr>
      </w:pPr>
      <w:r>
        <w:rPr>
          <w:rFonts w:ascii="Arial" w:cs="Arial" w:eastAsia="Arial" w:hAnsi="Arial"/>
          <w:sz w:val="18"/>
          <w:szCs w:val="18"/>
          <w:color w:val="auto"/>
        </w:rPr>
        <w:t>Corporate and unallocated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items</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Restructuring and other</w:t>
      </w:r>
    </w:p>
    <w:p>
      <w:pPr>
        <w:spacing w:after="0" w:line="23" w:lineRule="exact"/>
        <w:rPr>
          <w:sz w:val="20"/>
          <w:szCs w:val="20"/>
          <w:color w:val="auto"/>
        </w:rPr>
      </w:pPr>
    </w:p>
    <w:p>
      <w:pPr>
        <w:ind w:left="20" w:right="740" w:firstLine="648"/>
        <w:spacing w:after="0" w:line="234" w:lineRule="auto"/>
        <w:rPr>
          <w:sz w:val="20"/>
          <w:szCs w:val="20"/>
          <w:color w:val="auto"/>
        </w:rPr>
      </w:pPr>
      <w:r>
        <w:rPr>
          <w:rFonts w:ascii="Arial" w:cs="Arial" w:eastAsia="Arial" w:hAnsi="Arial"/>
          <w:sz w:val="18"/>
          <w:szCs w:val="18"/>
          <w:color w:val="auto"/>
        </w:rPr>
        <w:t>Amortization of intangibles</w:t>
      </w:r>
    </w:p>
    <w:p>
      <w:pPr>
        <w:spacing w:after="0" w:line="1" w:lineRule="exact"/>
        <w:rPr>
          <w:sz w:val="20"/>
          <w:szCs w:val="20"/>
          <w:color w:val="auto"/>
        </w:rPr>
      </w:pPr>
    </w:p>
    <w:p>
      <w:pPr>
        <w:ind w:left="20" w:right="580" w:firstLine="648"/>
        <w:spacing w:after="0" w:line="234" w:lineRule="auto"/>
        <w:rPr>
          <w:sz w:val="20"/>
          <w:szCs w:val="20"/>
          <w:color w:val="auto"/>
        </w:rPr>
      </w:pPr>
      <w:r>
        <w:rPr>
          <w:rFonts w:ascii="Arial" w:cs="Arial" w:eastAsia="Arial" w:hAnsi="Arial"/>
          <w:sz w:val="18"/>
          <w:szCs w:val="18"/>
          <w:color w:val="auto"/>
        </w:rPr>
        <w:t>Other pension and postretirement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Foreign exchange</w:t>
      </w:r>
    </w:p>
    <w:p>
      <w:pPr>
        <w:spacing w:after="0" w:line="23" w:lineRule="exact"/>
        <w:rPr>
          <w:sz w:val="20"/>
          <w:szCs w:val="20"/>
          <w:color w:val="auto"/>
        </w:rPr>
      </w:pPr>
    </w:p>
    <w:p>
      <w:pPr>
        <w:ind w:left="20" w:right="140" w:firstLine="648"/>
        <w:spacing w:after="0" w:line="288" w:lineRule="auto"/>
        <w:rPr>
          <w:sz w:val="20"/>
          <w:szCs w:val="20"/>
          <w:color w:val="auto"/>
        </w:rPr>
      </w:pPr>
      <w:r>
        <w:rPr>
          <w:rFonts w:ascii="Arial" w:cs="Arial" w:eastAsia="Arial" w:hAnsi="Arial"/>
          <w:sz w:val="16"/>
          <w:szCs w:val="16"/>
          <w:color w:val="auto"/>
        </w:rPr>
        <w:t>Income from continuing operations before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2980" w:type="dxa"/>
            <w:vAlign w:val="bottom"/>
            <w:gridSpan w:val="5"/>
          </w:tcPr>
          <w:p>
            <w:pPr>
              <w:ind w:left="620"/>
              <w:spacing w:after="0"/>
              <w:rPr>
                <w:sz w:val="20"/>
                <w:szCs w:val="20"/>
                <w:color w:val="auto"/>
              </w:rPr>
            </w:pPr>
            <w:r>
              <w:rPr>
                <w:rFonts w:ascii="Arial" w:cs="Arial" w:eastAsia="Arial" w:hAnsi="Arial"/>
                <w:sz w:val="18"/>
                <w:szCs w:val="18"/>
                <w:b w:val="1"/>
                <w:bCs w:val="1"/>
                <w:color w:val="auto"/>
              </w:rPr>
              <w:t>Crown Holdings, Inc.</w:t>
            </w: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809"/>
        </w:trPr>
        <w:tc>
          <w:tcPr>
            <w:tcW w:w="90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Nine Months Ended</w:t>
            </w:r>
          </w:p>
        </w:tc>
        <w:tc>
          <w:tcPr>
            <w:tcW w:w="800" w:type="dxa"/>
            <w:vAlign w:val="bottom"/>
          </w:tcPr>
          <w:p>
            <w:pPr>
              <w:spacing w:after="0"/>
              <w:rPr>
                <w:sz w:val="24"/>
                <w:szCs w:val="24"/>
                <w:color w:val="auto"/>
              </w:rPr>
            </w:pPr>
          </w:p>
        </w:tc>
      </w:tr>
      <w:tr>
        <w:trPr>
          <w:trHeight w:val="230"/>
        </w:trPr>
        <w:tc>
          <w:tcPr>
            <w:tcW w:w="9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September 30,</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September 30,</w:t>
            </w:r>
          </w:p>
        </w:tc>
        <w:tc>
          <w:tcPr>
            <w:tcW w:w="800" w:type="dxa"/>
            <w:vAlign w:val="bottom"/>
            <w:tcBorders>
              <w:bottom w:val="single" w:sz="8" w:color="auto"/>
            </w:tcBorders>
          </w:tcPr>
          <w:p>
            <w:pPr>
              <w:spacing w:after="0"/>
              <w:rPr>
                <w:sz w:val="20"/>
                <w:szCs w:val="20"/>
                <w:color w:val="auto"/>
              </w:rPr>
            </w:pPr>
          </w:p>
        </w:tc>
      </w:tr>
      <w:tr>
        <w:trPr>
          <w:trHeight w:val="223"/>
        </w:trPr>
        <w:tc>
          <w:tcPr>
            <w:tcW w:w="9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2020</w:t>
            </w:r>
          </w:p>
        </w:tc>
        <w:tc>
          <w:tcPr>
            <w:tcW w:w="2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2020</w:t>
            </w:r>
          </w:p>
        </w:tc>
      </w:tr>
      <w:tr>
        <w:trPr>
          <w:trHeight w:val="304"/>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24"/>
                <w:szCs w:val="24"/>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24"/>
                <w:szCs w:val="24"/>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922</w:t>
            </w:r>
          </w:p>
        </w:tc>
      </w:tr>
      <w:tr>
        <w:trPr>
          <w:trHeight w:val="392"/>
        </w:trPr>
        <w:tc>
          <w:tcPr>
            <w:tcW w:w="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05"/>
        </w:trPr>
        <w:tc>
          <w:tcPr>
            <w:tcW w:w="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05"/>
        </w:trPr>
        <w:tc>
          <w:tcPr>
            <w:tcW w:w="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04"/>
        </w:trPr>
        <w:tc>
          <w:tcPr>
            <w:tcW w:w="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1"/>
        </w:trPr>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24"/>
                <w:szCs w:val="24"/>
                <w:color w:val="auto"/>
              </w:rPr>
            </w:pPr>
          </w:p>
        </w:tc>
        <w:tc>
          <w:tcPr>
            <w:tcW w:w="10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24"/>
                <w:szCs w:val="24"/>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4"/>
                <w:szCs w:val="24"/>
                <w:color w:val="auto"/>
              </w:rPr>
            </w:pPr>
          </w:p>
        </w:tc>
        <w:tc>
          <w:tcPr>
            <w:tcW w:w="9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w:t>
            </w:r>
          </w:p>
        </w:tc>
      </w:tr>
      <w:tr>
        <w:trPr>
          <w:trHeight w:val="68"/>
        </w:trPr>
        <w:tc>
          <w:tcPr>
            <w:tcW w:w="9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-1665605</wp:posOffset>
            </wp:positionH>
            <wp:positionV relativeFrom="paragraph">
              <wp:posOffset>-2142490</wp:posOffset>
            </wp:positionV>
            <wp:extent cx="6540500"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40500" cy="257175"/>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-1628140</wp:posOffset>
            </wp:positionV>
            <wp:extent cx="6540500" cy="257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40500" cy="257175"/>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-1225550</wp:posOffset>
            </wp:positionV>
            <wp:extent cx="6540500" cy="257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40500" cy="257175"/>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-711200</wp:posOffset>
            </wp:positionV>
            <wp:extent cx="654050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40500" cy="146050"/>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-419735</wp:posOffset>
            </wp:positionV>
            <wp:extent cx="654050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40500" cy="145415"/>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2560" w:space="60"/>
            <w:col w:w="7960"/>
          </w:cols>
          <w:pgMar w:left="980" w:top="121" w:right="339" w:bottom="1440" w:gutter="0" w:footer="0" w:header="0"/>
        </w:sectPr>
      </w:pPr>
    </w:p>
    <w:p>
      <w:pPr>
        <w:spacing w:after="0" w:line="1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nine months ended September 30, 2021, intercompany profits of $4 and $8 were eliminated within segment income of other segments.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and nine months ended September 30, 2020, intercompany profits of less than $1 and $5 were eliminated within segment income of other segments.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and unallocated items includes corporate and division administrative costs, technology costs, and unallocated items such as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ind w:left="180" w:right="3680" w:hanging="179"/>
        <w:spacing w:after="0" w:line="282" w:lineRule="auto"/>
        <w:rPr>
          <w:sz w:val="20"/>
          <w:szCs w:val="20"/>
          <w:color w:val="auto"/>
        </w:rPr>
      </w:pPr>
      <w:r>
        <w:rPr>
          <w:rFonts w:ascii="Arial" w:cs="Arial" w:eastAsia="Arial" w:hAnsi="Arial"/>
          <w:sz w:val="18"/>
          <w:szCs w:val="18"/>
          <w:b w:val="1"/>
          <w:bCs w:val="1"/>
          <w:color w:val="auto"/>
        </w:rPr>
        <w:t>Item 2.</w:t>
      </w:r>
      <w:r>
        <w:rPr>
          <w:sz w:val="20"/>
          <w:szCs w:val="20"/>
          <w:color w:val="auto"/>
        </w:rPr>
        <w:t xml:space="preserve"> </w:t>
      </w: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color w:val="auto"/>
        </w:rPr>
        <w:t>(dollars in millions)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following discussion presents management's analysis of the results of operations for the three and nine months ended September 30, 2021 compared to 2020 and changes in financial condition and liquidity from December 31, 2020. This discussion should be read in conjunction with the consolidated financial statements and notes thereto included in the Company's Annual Report on Form 10-K for the year ended December 31, 2020, along with the consolidated financial statements and related notes included in and referred to within this report.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Business Strategy and Trends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Company's strategy is to grow its businesses in targeted growth markets, while improving operations and results in more mature markets through disciplined pricing, cost control and careful capital allocation.</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global beverage can business continues to be a major strategic focus for organic growth. Beverage cans are the world’s most sustainable and recycled beverage packaging and continue to gain market share in new beverage product launches. The Company continues to drive brand differentiation by increasing its ability to offer multiple product sizes.</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For several years, global industry demand for beverage cans has been growing. In North America, beverage can growth has accelerated in recent years mainly due to the outsized portion of new beverage products being introduced in cans versus other packaging formats. In addition, markets such as Brazil, Europe, Mexico and Southeast Asia have also experienced higher volumes and market expansion, although volumes in certain of those markets have been affected by the impact of the coronavirus pandemic. The Company continues to invest in capacity expansion to meet the accelerating demand.</w:t>
      </w:r>
    </w:p>
    <w:p>
      <w:pPr>
        <w:spacing w:after="0" w:line="215" w:lineRule="exact"/>
        <w:rPr>
          <w:sz w:val="20"/>
          <w:szCs w:val="20"/>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Company's primary capital allocation focus has been to reduce leverage, as was successfully accomplished following previous acquisitions, and to begin to return capital to its shareholders. On August 31, 2021, the Company completed the previously announced sale of its European Tinplate business to KPS Capital Partners, LP. The European Tinplate business comprised the Company's European Food segment and its European Aerosol and Promotional Packaging reporting unit which was previously reported in the Company's other segments. The Company received pre-tax proceeds of approximately €1.9 billion ($2.3 billion) from the transaction and retained a 20% ownership stake in the Business. Proceeds from the Transaction are being used to fund capital projects, repurchase Company stock and to redeem certain of the Company's senior notes as further described in </w:t>
      </w:r>
      <w:hyperlink w:anchor="page19">
        <w:r>
          <w:rPr>
            <w:rFonts w:ascii="Arial" w:cs="Arial" w:eastAsia="Arial" w:hAnsi="Arial"/>
            <w:sz w:val="18"/>
            <w:szCs w:val="18"/>
            <w:u w:val="single" w:color="auto"/>
            <w:color w:val="0000FF"/>
          </w:rPr>
          <w:t>Note L</w:t>
        </w:r>
      </w:hyperlink>
      <w:r>
        <w:rPr>
          <w:rFonts w:ascii="Arial" w:cs="Arial" w:eastAsia="Arial" w:hAnsi="Arial"/>
          <w:sz w:val="18"/>
          <w:szCs w:val="18"/>
          <w:color w:val="auto"/>
        </w:rPr>
        <w:t>.</w:t>
      </w:r>
    </w:p>
    <w:p>
      <w:pPr>
        <w:spacing w:after="0" w:line="222"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In response to the ongoing coronavirus pandemic, the Company continues to take actions to ensure the safety of its employees. The Company has increased safety measures in its manufacturing facilities to protect the safety of its employees and the products they produce.</w:t>
      </w:r>
    </w:p>
    <w:p>
      <w:pPr>
        <w:spacing w:after="0" w:line="17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products are a vital part of the support system to its customers and consumers. In addition to manufacturing containers that provide protection for food and beverages, the Company also produces closures for baby food, aerosol containers for cleaning and sanitizing products and numerous other products that provide for the safe and secure transportation of goods.</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working to keep its manufacturing facilities around the world operational and equipped with the resources required to meet continually evolving customer demand by delivering high quality products in a safe and timely manner. The Company is actively monitoring and managing supply chain challenges, including coordinating with its suppliers to identify and mitigate potential areas of risk and manage inventories.</w:t>
      </w:r>
    </w:p>
    <w:p>
      <w:pPr>
        <w:spacing w:after="0" w:line="214" w:lineRule="exact"/>
        <w:rPr>
          <w:sz w:val="20"/>
          <w:szCs w:val="20"/>
          <w:color w:val="auto"/>
        </w:rPr>
      </w:pPr>
    </w:p>
    <w:p>
      <w:pPr>
        <w:jc w:val="both"/>
        <w:ind w:left="660"/>
        <w:spacing w:after="0" w:line="243" w:lineRule="auto"/>
        <w:rPr>
          <w:sz w:val="20"/>
          <w:szCs w:val="20"/>
          <w:color w:val="auto"/>
        </w:rPr>
      </w:pPr>
      <w:r>
        <w:rPr>
          <w:rFonts w:ascii="Arial" w:cs="Arial" w:eastAsia="Arial" w:hAnsi="Arial"/>
          <w:sz w:val="18"/>
          <w:szCs w:val="18"/>
          <w:color w:val="auto"/>
        </w:rPr>
        <w:t>The Company continues to actively elevate its industry-leading commitment to sustainability, which is a core value of the Company. In 2020, the Company debuted Twentyby30, a robust program that outlines twenty measurable environmental, social and governance goals to be completed by 2030 or sooner. In September 2021, the Company joined The Climate Pledge, a commitment to be net-zero carbon across business operations by 2040.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assessing performance, the key performance measure used by the Company is segment income, a non-GAAP measure generally defined by the Company as income from operations adjusted to exclude intangibles amortization charges, provisions for asbestos and restructuring and other, and the impact of fair value adjustments to inventory acquired in an acquisition.</w:t>
      </w:r>
    </w:p>
    <w:p>
      <w:pPr>
        <w:spacing w:after="0" w:line="211"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The foreign currency translation impacts referred to in the discussion below were primarily due to changes in the Mexican peso in the Company's Americas Beverage segment, the euro and pound sterling in the Company's European Beverage segment, the Chinese renminbi in the Company's Asia Pacific segment and the euro in the Company's Transit Packaging segment. The Company calculates the impact of foreign currency translation by multiplying or dividing, as appropriate, current year U.S. dollar results by the current year average foreign exchange rates and then multiplying or dividing, as appropriate, those amounts by the applicable prior year average exchange rates.</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Net Sales and Segment Income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6"/>
        </w:trPr>
        <w:tc>
          <w:tcPr>
            <w:tcW w:w="236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06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2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060" w:type="dxa"/>
            <w:vAlign w:val="bottom"/>
            <w:gridSpan w:val="4"/>
          </w:tcPr>
          <w:p>
            <w:pPr>
              <w:jc w:val="center"/>
              <w:ind w:right="130"/>
              <w:spacing w:after="0"/>
              <w:rPr>
                <w:sz w:val="20"/>
                <w:szCs w:val="20"/>
                <w:color w:val="auto"/>
              </w:rPr>
            </w:pPr>
            <w:r>
              <w:rPr>
                <w:rFonts w:ascii="Arial" w:cs="Arial" w:eastAsia="Arial" w:hAnsi="Arial"/>
                <w:sz w:val="18"/>
                <w:szCs w:val="18"/>
                <w:color w:val="auto"/>
                <w:w w:val="88"/>
              </w:rPr>
              <w:t>September 30,</w:t>
            </w:r>
          </w:p>
        </w:tc>
      </w:tr>
      <w:tr>
        <w:trPr>
          <w:trHeight w:val="223"/>
        </w:trPr>
        <w:tc>
          <w:tcPr>
            <w:tcW w:w="236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w:t>
            </w: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and nine months ended September 30, 2021 compared to 2020</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Net sales increased primarily due to higher sales unit volumes in the Company's beverage can and transit packaging businesses, the pass through of higher material costs and $17 and $153 from the impact of foreign currency translation for the three and nine months ended September 30, 2021.</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Americas Beverage</w:t>
      </w:r>
    </w:p>
    <w:p>
      <w:pPr>
        <w:spacing w:after="0" w:line="256"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have experienced recent growth due to the introduction of new beverage products in cans versus other packaging formats. To meet volume requirements in these markets, the Company began commercial production on a third line at its Nichols, NY facility in June 2020, two lines at its new Bowling Green, Kentucky facility during the second and third quarter of 2021 and a third line at its Olympia, Washington plant in the third quarter of 2021. The Company also announced construction of a new facility in Martinsville, Virginia which is expected to commence operations late in 2022 and a new facility in Mesquite, Nevada which is expected to commence operations in late second quarter of 2023.</w:t>
      </w:r>
    </w:p>
    <w:p>
      <w:pPr>
        <w:spacing w:after="0" w:line="19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Brazil and Mexico, the Company's sales unit volumes have increased in recent years primarily due to market growth driven by increased per capita incomes and consumption, combined with an increased preference for cans over other forms of beverage packaging. A second line at the Company's Rio Verde, Brazil facility is expected to commence operations during the fourth quarter of 2021. The Company has also begun construction of a two-line facility in Uberaba, Brazil which is expected to begin production late in 2022. Additionally, start-up on a second line at the Company's Monterrey, Mexico facility is expected in the first quarter of 2022.</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sales and segment income in the Americas Beverage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5"/>
          </w:tcPr>
          <w:p>
            <w:pPr>
              <w:jc w:val="center"/>
              <w:ind w:right="66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9"/>
                <w:szCs w:val="19"/>
                <w:color w:val="auto"/>
              </w:rPr>
            </w:pPr>
          </w:p>
        </w:tc>
        <w:tc>
          <w:tcPr>
            <w:tcW w:w="210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66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2100" w:type="dxa"/>
            <w:vAlign w:val="bottom"/>
            <w:gridSpan w:val="4"/>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456</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2021 compared to 2020</w:t>
      </w:r>
    </w:p>
    <w:p>
      <w:pPr>
        <w:spacing w:after="0" w:line="252"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Net sales increased primarily due to the pass-through of higher aluminum costs and 4% higher sales unit volumes as higher sales unit volumes in North America and Mexico were partially offset by 15% lower sales unit volumes in Brazil.</w:t>
      </w:r>
    </w:p>
    <w:p>
      <w:pPr>
        <w:spacing w:after="0" w:line="197"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Segment income decreased primarily due to $3 of unfavorable foreign currency translation and higher operating costs that were not fully passed through in selling price, partially offset by increased volumes.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2021 compared to 2020</w:t>
      </w:r>
    </w:p>
    <w:p>
      <w:pPr>
        <w:spacing w:after="0" w:line="252"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Net sales increased primarily due to 10% higher sales unit volumes, the pass-through of higher aluminum costs and $11 from the impact of favorable foreign currency translation.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higher sales unit volumes and improved pricing.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Beverage</w:t>
      </w:r>
    </w:p>
    <w:p>
      <w:pPr>
        <w:spacing w:after="0" w:line="256"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The Company's European Beverage segment manufactures aluminum and steel beverage cans and ends and supplies a variety of customers from its operations throughout Europe, the Middle East and North Africa. In recent years, the Western European beverage can markets have been growing. In the second quarter of 2020, two beverage can lines in the Seville, Spain plant began commercial production of aluminum cans.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Beverage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9"/>
                <w:szCs w:val="19"/>
                <w:color w:val="auto"/>
              </w:rPr>
            </w:pPr>
          </w:p>
        </w:tc>
        <w:tc>
          <w:tcPr>
            <w:tcW w:w="2060" w:type="dxa"/>
            <w:vAlign w:val="bottom"/>
            <w:gridSpan w:val="4"/>
          </w:tcPr>
          <w:p>
            <w:pPr>
              <w:jc w:val="right"/>
              <w:ind w:right="330"/>
              <w:spacing w:after="0"/>
              <w:rPr>
                <w:sz w:val="20"/>
                <w:szCs w:val="20"/>
                <w:color w:val="auto"/>
              </w:rPr>
            </w:pPr>
            <w:r>
              <w:rPr>
                <w:rFonts w:ascii="Arial" w:cs="Arial" w:eastAsia="Arial" w:hAnsi="Arial"/>
                <w:sz w:val="18"/>
                <w:szCs w:val="18"/>
                <w:color w:val="auto"/>
              </w:rPr>
              <w:t>Nine Months Ended</w:t>
            </w:r>
          </w:p>
        </w:tc>
      </w:tr>
      <w:tr>
        <w:trPr>
          <w:trHeight w:val="230"/>
        </w:trPr>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060" w:type="dxa"/>
            <w:vAlign w:val="bottom"/>
            <w:gridSpan w:val="4"/>
          </w:tcPr>
          <w:p>
            <w:pPr>
              <w:jc w:val="right"/>
              <w:ind w:right="530"/>
              <w:spacing w:after="0"/>
              <w:rPr>
                <w:sz w:val="20"/>
                <w:szCs w:val="20"/>
                <w:color w:val="auto"/>
              </w:rPr>
            </w:pPr>
            <w:r>
              <w:rPr>
                <w:rFonts w:ascii="Arial" w:cs="Arial" w:eastAsia="Arial" w:hAnsi="Arial"/>
                <w:sz w:val="18"/>
                <w:szCs w:val="18"/>
                <w:color w:val="auto"/>
              </w:rPr>
              <w:t>September 30,</w:t>
            </w:r>
          </w:p>
        </w:tc>
      </w:tr>
      <w:tr>
        <w:trPr>
          <w:trHeight w:val="223"/>
        </w:trPr>
        <w:tc>
          <w:tcPr>
            <w:tcW w:w="45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2021 compared to 2020</w:t>
      </w:r>
    </w:p>
    <w:p>
      <w:pPr>
        <w:spacing w:after="0" w:line="252"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Net sales increased primarily due to 7% higher sales unit volumes, the pass-through of higher aluminum costs, and $10 from the impact of favorable foreign currency translation.</w:t>
      </w:r>
    </w:p>
    <w:p>
      <w:pPr>
        <w:spacing w:after="0" w:line="197"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Segment income was comparable as higher sales unit volumes were offset by other operating costs that were not fully passed through in selling price.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2021 compared to 2020</w:t>
      </w:r>
    </w:p>
    <w:p>
      <w:pPr>
        <w:spacing w:after="0" w:line="252"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Net sales increased primarily due to 12% higher sales unit volumes, $64 from the impact of favorable foreign currency translation and the pass-through of higher aluminum costs.</w:t>
      </w:r>
    </w:p>
    <w:p>
      <w:pPr>
        <w:spacing w:after="0" w:line="197"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Segment income increased primarily due to higher sales unit volumes and $8 from the impact of favorable foreign currency translation, partially offset by other operating costs that were not fully passed through in selling price.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Asia Pacific</w:t>
      </w:r>
    </w:p>
    <w:p>
      <w:pPr>
        <w:spacing w:after="0" w:line="14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Company's Asia Pacific segment consists of beverage can operations in Cambodia, China, Indonesia, Malaysia, Myanmar, Singapore, Thailand and Vietnam and non-beverage can operations, primarily food cans and specialty packaging. In recent years, the beverage can market in Southeast Asia has been growing. In 2020, however, industry volumes decreased due to the impact of the coronavirus pandemic. The Company began commercial production at a one-line beverage can plant in Nong Khae, Thailand in July 2020 and a new beverage can plant in Vung Tau, Vietnam during the third quarter of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Net sales and segment income in the Asia Pacific segment were as follows:</w:t>
      </w:r>
    </w:p>
    <w:p>
      <w:pPr>
        <w:spacing w:after="0" w:line="278"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640" w:type="dxa"/>
            <w:vAlign w:val="bottom"/>
          </w:tcPr>
          <w:p>
            <w:pPr>
              <w:spacing w:after="0"/>
              <w:rPr>
                <w:sz w:val="19"/>
                <w:szCs w:val="19"/>
                <w:color w:val="auto"/>
              </w:rPr>
            </w:pPr>
          </w:p>
        </w:tc>
        <w:tc>
          <w:tcPr>
            <w:tcW w:w="196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464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color w:val="auto"/>
                <w:w w:val="88"/>
              </w:rPr>
              <w:t>September 30,</w:t>
            </w:r>
          </w:p>
        </w:tc>
        <w:tc>
          <w:tcPr>
            <w:tcW w:w="3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23"/>
        </w:trPr>
        <w:tc>
          <w:tcPr>
            <w:tcW w:w="46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280</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281</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2021 compared to 2020</w:t>
      </w:r>
    </w:p>
    <w:p>
      <w:pPr>
        <w:spacing w:after="0" w:line="2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Net sales were comparable as 8% lower sales unit volumes, primarily due to coronavirus pandemic related lockdowns in Vietnam, were partially offset by the pass-through of higher aluminum costs.</w:t>
      </w:r>
    </w:p>
    <w:p>
      <w:pPr>
        <w:spacing w:after="0" w:line="197"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Segment income decreased primarily due to lower sales unit volumes and higher operating costs that were not fully passed through in selling price.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2021 compared to 2020</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increased due to 7% higher sales unit volumes, the pass-through of higher aluminum costs, and $14 from the impact of favorable foreign currency translation.</w:t>
      </w:r>
    </w:p>
    <w:p>
      <w:pPr>
        <w:spacing w:after="0" w:line="197"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Segment income increased primarily due to higher sales unit volumes, partially offset by higher operating costs that were not fully passed through in selling price.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Transit Packaging</w:t>
      </w:r>
    </w:p>
    <w:p>
      <w:pPr>
        <w:spacing w:after="0" w:line="243"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The Transit Packaging segment includes the Company's global consumables and equipment and tools businesses. Consumables include steel strap, plastic strap and industrial film and other related products that are used in a wide range of industries, and transit protection products used for a wide range of industrial and consumer products. Equipment and tools includes manual, semi-automatic and automatic equipment and tools used in end-of-line operations to apply industrial solutions consumables.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Transit Packaging segment were as follows:</w:t>
      </w: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9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4620" w:type="dxa"/>
            <w:vAlign w:val="bottom"/>
          </w:tcPr>
          <w:p>
            <w:pPr>
              <w:spacing w:after="0"/>
              <w:rPr>
                <w:sz w:val="20"/>
                <w:szCs w:val="20"/>
                <w:color w:val="auto"/>
              </w:rPr>
            </w:pPr>
          </w:p>
        </w:tc>
        <w:tc>
          <w:tcPr>
            <w:tcW w:w="198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color w:val="auto"/>
                <w:w w:val="88"/>
              </w:rPr>
              <w:t>September 30,</w:t>
            </w:r>
          </w:p>
        </w:tc>
        <w:tc>
          <w:tcPr>
            <w:tcW w:w="3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644</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511</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72</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2021 compared to 2020</w:t>
      </w:r>
    </w:p>
    <w:p>
      <w:pPr>
        <w:spacing w:after="0" w:line="252"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Net sales increased primarily due to the pass-through of higher raw material costs, higher sales unit volumes and $7 from the impact of favorable foreign currency translation.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higher sales unit volumes.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2021 compared to 2020</w:t>
      </w:r>
    </w:p>
    <w:p>
      <w:pPr>
        <w:spacing w:after="0" w:line="252"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Net sales increased primarily due to the pass-through of higher raw material costs, higher sales unit volumes and $53 from the impact of favorable foreign currency translation.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higher sales unit volumes.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Other Segments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other segments include its food can, aerosol can and closures businesses in North America, and beverage tooling and equipment operations in the U.S. and U.K. The Company commenced operations at a new food can plant in Dubuque, Iowa in the first quarter of 2021 and a new food can line in its Hanover, Pennsylvania plant in the third quarter of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other segments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196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464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color w:val="auto"/>
                <w:w w:val="88"/>
              </w:rPr>
              <w:t>September 30,</w:t>
            </w:r>
          </w:p>
        </w:tc>
        <w:tc>
          <w:tcPr>
            <w:tcW w:w="3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23"/>
        </w:trPr>
        <w:tc>
          <w:tcPr>
            <w:tcW w:w="46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332</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319</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2021 compared to 2020</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sales increased primarily due to the pass-through of higher tinplate costs and higher sales in the Company's beverage can equipment operations.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due to higher sales in the Company's beverage can equipment operations.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2021 compared to 2020</w:t>
      </w:r>
    </w:p>
    <w:p>
      <w:pPr>
        <w:spacing w:after="0" w:line="25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Net sales increased primarily due to higher sales in the Company's beverage can equipment operations and the pass-through of higher tinplate costs, and $11 from the impact of favorable foreign currency translation.</w:t>
      </w:r>
    </w:p>
    <w:p>
      <w:pPr>
        <w:spacing w:after="0" w:line="197" w:lineRule="exact"/>
        <w:rPr>
          <w:sz w:val="20"/>
          <w:szCs w:val="20"/>
          <w:color w:val="auto"/>
        </w:rPr>
      </w:pPr>
    </w:p>
    <w:p>
      <w:pPr>
        <w:ind w:left="660" w:right="2040"/>
        <w:spacing w:after="0" w:line="263" w:lineRule="auto"/>
        <w:rPr>
          <w:sz w:val="20"/>
          <w:szCs w:val="20"/>
          <w:color w:val="auto"/>
        </w:rPr>
      </w:pPr>
      <w:r>
        <w:rPr>
          <w:rFonts w:ascii="Arial" w:cs="Arial" w:eastAsia="Arial" w:hAnsi="Arial"/>
          <w:sz w:val="18"/>
          <w:szCs w:val="18"/>
          <w:color w:val="auto"/>
        </w:rPr>
        <w:t>Segment income increased due to lower tinplate carryover costs in the Company's North America food can business as compared to the nine months ended September 30, 2020 and higher sales in the Company's beverage can equipment operations.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Corporate and Unallocated Expense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519"/>
        </w:trPr>
        <w:tc>
          <w:tcPr>
            <w:tcW w:w="278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center"/>
              <w:ind w:right="6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080" w:type="dxa"/>
            <w:vAlign w:val="bottom"/>
            <w:gridSpan w:val="4"/>
          </w:tcPr>
          <w:p>
            <w:pPr>
              <w:jc w:val="center"/>
              <w:ind w:right="13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2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center"/>
              <w:ind w:right="66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080" w:type="dxa"/>
            <w:vAlign w:val="bottom"/>
            <w:gridSpan w:val="4"/>
          </w:tcPr>
          <w:p>
            <w:pPr>
              <w:jc w:val="center"/>
              <w:ind w:right="150"/>
              <w:spacing w:after="0"/>
              <w:rPr>
                <w:sz w:val="20"/>
                <w:szCs w:val="20"/>
                <w:color w:val="auto"/>
              </w:rPr>
            </w:pPr>
            <w:r>
              <w:rPr>
                <w:rFonts w:ascii="Arial" w:cs="Arial" w:eastAsia="Arial" w:hAnsi="Arial"/>
                <w:sz w:val="18"/>
                <w:szCs w:val="18"/>
                <w:color w:val="auto"/>
                <w:w w:val="88"/>
              </w:rPr>
              <w:t>September 30,</w:t>
            </w:r>
          </w:p>
        </w:tc>
      </w:tr>
      <w:tr>
        <w:trPr>
          <w:trHeight w:val="223"/>
        </w:trPr>
        <w:tc>
          <w:tcPr>
            <w:tcW w:w="278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unallocated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bl>
    <w:p>
      <w:pPr>
        <w:spacing w:after="0" w:line="31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three months ended September 30, 2021 compared to 2020, corporate and unallocated decreased due to lower general corporate costs and the impact of the European Tinplate sale.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nine months ended September 30, 2021 compared to 2020, corporate and unallocated expenses included higher personnel and incentive compensation partially offset by other general costs resulting from the coronavirus pandemic.</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5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For the three months and nine months ended September 30, 2021 compared to 2020, interest expense decreased from $69 to $66 and from $220 to $203 due to lower outstanding debt balances.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Taxes on Income</w:t>
      </w:r>
    </w:p>
    <w:p>
      <w:pPr>
        <w:spacing w:after="0" w:line="243" w:lineRule="exact"/>
        <w:rPr>
          <w:sz w:val="20"/>
          <w:szCs w:val="20"/>
          <w:color w:val="auto"/>
        </w:rPr>
      </w:pPr>
    </w:p>
    <w:p>
      <w:pPr>
        <w:jc w:val="both"/>
        <w:ind w:left="660"/>
        <w:spacing w:after="0" w:line="235" w:lineRule="auto"/>
        <w:rPr>
          <w:sz w:val="20"/>
          <w:szCs w:val="20"/>
          <w:color w:val="auto"/>
        </w:rPr>
      </w:pPr>
      <w:r>
        <w:rPr>
          <w:rFonts w:ascii="Arial" w:cs="Arial" w:eastAsia="Arial" w:hAnsi="Arial"/>
          <w:sz w:val="18"/>
          <w:szCs w:val="18"/>
          <w:color w:val="auto"/>
        </w:rPr>
        <w:t>The effective tax rate for the three months ended September 30, 2021 included $11 or reorganizations and other transactions required to prepare the European Tinplate business for sale. The effective tax rate for the three months ended September 30, 2020 included a charge of $8 related to tax law changes in the U.K.</w:t>
      </w:r>
    </w:p>
    <w:p>
      <w:pPr>
        <w:spacing w:after="0" w:line="202" w:lineRule="exact"/>
        <w:rPr>
          <w:sz w:val="20"/>
          <w:szCs w:val="20"/>
          <w:color w:val="auto"/>
        </w:rPr>
      </w:pPr>
    </w:p>
    <w:p>
      <w:pPr>
        <w:jc w:val="both"/>
        <w:ind w:left="660"/>
        <w:spacing w:after="0" w:line="231" w:lineRule="auto"/>
        <w:rPr>
          <w:sz w:val="20"/>
          <w:szCs w:val="20"/>
          <w:color w:val="auto"/>
        </w:rPr>
      </w:pPr>
      <w:r>
        <w:rPr>
          <w:rFonts w:ascii="Arial" w:cs="Arial" w:eastAsia="Arial" w:hAnsi="Arial"/>
          <w:sz w:val="18"/>
          <w:szCs w:val="18"/>
          <w:color w:val="auto"/>
        </w:rPr>
        <w:t>The effective tax rate for the nine months ended September 30, 2021 increased as compared to 2020, primarily due to income tax charges of $42 for reorganizations and other transactions required to prepare the European Tinplate business for sale and an income tax charge of $40 to establish a valuation allowance for deferred tax assets related to tax loss carryforwards in France partially offset by income tax benefits of $8 related to tax law changes in India and the U.K.</w:t>
      </w:r>
    </w:p>
    <w:p>
      <w:pPr>
        <w:spacing w:after="0" w:line="202" w:lineRule="exact"/>
        <w:rPr>
          <w:sz w:val="20"/>
          <w:szCs w:val="20"/>
          <w:color w:val="auto"/>
        </w:rPr>
      </w:pPr>
    </w:p>
    <w:p>
      <w:pPr>
        <w:jc w:val="both"/>
        <w:ind w:left="660"/>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The Company believes that it is more likely than not that the French tax loss carryforwards will not be utilized after the sale of the European Tinplate business. See </w:t>
      </w:r>
      <w:hyperlink w:anchor="page8">
        <w:r>
          <w:rPr>
            <w:rFonts w:ascii="Arial" w:cs="Arial" w:eastAsia="Arial" w:hAnsi="Arial"/>
            <w:sz w:val="18"/>
            <w:szCs w:val="18"/>
            <w:u w:val="single" w:color="auto"/>
            <w:color w:val="0000FF"/>
          </w:rPr>
          <w:t>Note C</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related to the sale of the European Tinplate business.</w:t>
      </w:r>
    </w:p>
    <w:p>
      <w:pPr>
        <w:spacing w:after="0" w:line="197" w:lineRule="exact"/>
        <w:rPr>
          <w:sz w:val="20"/>
          <w:szCs w:val="20"/>
          <w:color w:val="auto"/>
        </w:rPr>
      </w:pPr>
    </w:p>
    <w:p>
      <w:pPr>
        <w:ind w:left="660" w:right="2240"/>
        <w:spacing w:after="0" w:line="261" w:lineRule="auto"/>
        <w:rPr>
          <w:sz w:val="20"/>
          <w:szCs w:val="20"/>
          <w:color w:val="auto"/>
        </w:rPr>
      </w:pPr>
      <w:r>
        <w:rPr>
          <w:rFonts w:ascii="Arial" w:cs="Arial" w:eastAsia="Arial" w:hAnsi="Arial"/>
          <w:sz w:val="18"/>
          <w:szCs w:val="18"/>
          <w:color w:val="auto"/>
        </w:rPr>
        <w:t>The effective tax rate for the nine months ended September 30, 2020 also included a benefit of $4 arising from a tax law change in India.</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Income Attributable to Noncontrolling Interests</w:t>
      </w:r>
    </w:p>
    <w:p>
      <w:pPr>
        <w:spacing w:after="0" w:line="24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months ended September 30, 2021 compared to 2020, net income attributable to noncontrolling interests decreased from $31 to $29 primarily due to lower earnings in the Company's beverage can operations in Brazil.</w:t>
      </w:r>
    </w:p>
    <w:p>
      <w:pPr>
        <w:spacing w:after="0" w:line="197"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For the nine months ended September 30, 2021 compared to 2020, net income attributable to noncontrolling interests increased from $72 to $107 primarily due to higher earnings in the Company's beverage can operations in Brazil, including a favorable court ruling in a lawsuit brought by certain of the Company's Brazilian subsidiaries asserting they was overcharged by the local tax authorities for indirect taxes paid in prior years.</w:t>
      </w:r>
    </w:p>
    <w:p>
      <w:pPr>
        <w:spacing w:after="0" w:line="172" w:lineRule="exact"/>
        <w:rPr>
          <w:sz w:val="20"/>
          <w:szCs w:val="20"/>
          <w:color w:val="auto"/>
        </w:rPr>
      </w:pPr>
    </w:p>
    <w:p>
      <w:pPr>
        <w:ind w:left="406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Cash from Operations</w:t>
      </w:r>
    </w:p>
    <w:p>
      <w:pPr>
        <w:spacing w:after="0" w:line="256" w:lineRule="exact"/>
        <w:rPr>
          <w:sz w:val="20"/>
          <w:szCs w:val="20"/>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Cash provided by operating activities decreased from $309 for the nine months ended September 30, 2020 to $245 for the nine months ended September 30, 2021. The decrease in cash provided by operating activities was primarily due to higher pension contributions related to the anticipated U.K. pension plan settlement partially offset by higher earnings and changes in working capital. See </w:t>
      </w:r>
      <w:hyperlink w:anchor="page20">
        <w:r>
          <w:rPr>
            <w:rFonts w:ascii="Arial" w:cs="Arial" w:eastAsia="Arial" w:hAnsi="Arial"/>
            <w:sz w:val="18"/>
            <w:szCs w:val="18"/>
            <w:u w:val="single" w:color="auto"/>
            <w:color w:val="0000FF"/>
          </w:rPr>
          <w:t>Note M</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related to the anticipated U.K. pension plan settlement.</w:t>
      </w:r>
    </w:p>
    <w:p>
      <w:pPr>
        <w:spacing w:after="0" w:line="21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Days sales outstanding for trade receivables, excluding the impact of unbilled receivables, was 39 days as of September 30, 2020 and as of September 30, 2021.</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turnover was 59 days at September 30, 2020 and at September 30, 2021.</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Days outstanding for trade payables was 81 days at September 30, 2020 compared to 100 days at September 30, 2021 due to higher raw material costs and sales unit volumes.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5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Investing activities used cash of $309 for the nine months ended September 30, 2020 and provided cash of $1,791 for the nine months ended September 30, 2021. Cash provided by investing activities included proceeds received from the sale of the European Tinplate business partially offset by increased capital expenditures related to capacity expansion projects in the Americas Beverage segment.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expects capital expenditures in 2021 to be approximately $900.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Financing activities provided cash of $26 for the nine months ended September 30, 2020 and used cash of $913 for the nine months ended September 30, 2021. The Company repurchased $745 of capital stock and paid dividends to shareholders of $79 during the nine months ended September 30, 2021.</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w:t>
      </w:r>
    </w:p>
    <w:p>
      <w:pPr>
        <w:spacing w:after="0" w:line="256" w:lineRule="exact"/>
        <w:rPr>
          <w:sz w:val="20"/>
          <w:szCs w:val="20"/>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As of September 30, 2021, the Company had cash and cash equivalents of $2,261 which included proceeds received from the sale of the European Tinplate business. These proceeds are being used to fund capital projects, repurchase Company stock and to redeem certain of the Company's senior notes in October 2021 as further described in </w:t>
      </w:r>
      <w:hyperlink w:anchor="page19">
        <w:r>
          <w:rPr>
            <w:rFonts w:ascii="Arial" w:cs="Arial" w:eastAsia="Arial" w:hAnsi="Arial"/>
            <w:sz w:val="18"/>
            <w:szCs w:val="18"/>
            <w:u w:val="single" w:color="auto"/>
            <w:color w:val="0000FF"/>
          </w:rPr>
          <w:t>Note L</w:t>
        </w:r>
      </w:hyperlink>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$1,115 of the Company's $2,261 of cash and cash equivalents was located outside the U.S.</w:t>
      </w:r>
    </w:p>
    <w:p>
      <w:pPr>
        <w:spacing w:after="0" w:line="23"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The Company funds its cash needs in the U.S. through cash flows from operations in the U.S., distributions from certain foreign subsidiaries, borrowings under its revolving credit facility and the acceleration of cash receipts under its receivable securitization facilities. Of the cash and cash equivalents located outside the U.S., $1,033 was held by subsidiaries for which earnings are considered indefinitely reinvested. Based on current operating plans the Company does not foresee a need to repatriate funds remaining after the redemption of certain senior notes in October 2021. If such earnings were repatriated the Company would be required to record any incremental taxes on the repatriated funds.</w:t>
      </w:r>
    </w:p>
    <w:p>
      <w:pPr>
        <w:spacing w:after="0" w:line="20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of September 30, 2021, the Company had $1,585 of borrowing capacity available under its revolving credit facility, equal to the total facility of $1,650 less outstanding standby letters of credit of $65. The Company could have borrowed this amount at September 30, 2021 and still have been in compliance with its leverage ratio covenants. The Company's net total leverage ratio, as defined by the credit agreement, of 3.0 to 1.0 at September 30, 2021 was in compliance with the covenant requiring a ratio of no greater than 5.0 to 1.0. The required net total leverage ratio under the agreement reduces to 4.5 to 1.0 at December 31, 2022.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As of September 30, 2021, the Company had approximately $220 of capital commitments primarily related to its Americas Beverage segment. The Company expects to fund these commitments primarily through cash flows from operations and proceeds from the sale of its European Tinplate business.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56" w:lineRule="exact"/>
        <w:rPr>
          <w:sz w:val="20"/>
          <w:szCs w:val="20"/>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Other than the announcement of the redemption of certain senior notes in October 2021 as further described in </w:t>
      </w:r>
      <w:hyperlink w:anchor="page19">
        <w:r>
          <w:rPr>
            <w:rFonts w:ascii="Arial" w:cs="Arial" w:eastAsia="Arial" w:hAnsi="Arial"/>
            <w:sz w:val="18"/>
            <w:szCs w:val="18"/>
            <w:u w:val="single" w:color="auto"/>
            <w:color w:val="0000FF"/>
          </w:rPr>
          <w:t>Note L</w:t>
        </w:r>
      </w:hyperlink>
      <w:r>
        <w:rPr>
          <w:rFonts w:ascii="Arial" w:cs="Arial" w:eastAsia="Arial" w:hAnsi="Arial"/>
          <w:sz w:val="18"/>
          <w:szCs w:val="18"/>
          <w:color w:val="auto"/>
        </w:rPr>
        <w:t>, there were no material changes to the Company's contractual obligations provided within Part II, Item 7, “Management's Discussion and Analysis of Financial Condition and Results of Operations” of the Company's Annual Report on Form 10-K for the year ended December 31, 2020, which information is incorporated herein by reference.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Supplemental Guarantor Financial Information</w:t>
      </w:r>
    </w:p>
    <w:p>
      <w:pPr>
        <w:spacing w:after="0" w:line="256" w:lineRule="exact"/>
        <w:rPr>
          <w:sz w:val="20"/>
          <w:szCs w:val="20"/>
          <w:color w:val="auto"/>
        </w:rPr>
      </w:pPr>
    </w:p>
    <w:p>
      <w:pPr>
        <w:jc w:val="both"/>
        <w:ind w:left="660"/>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As disclosed in </w:t>
      </w:r>
      <w:hyperlink w:anchor="page19">
        <w:r>
          <w:rPr>
            <w:rFonts w:ascii="Arial" w:cs="Arial" w:eastAsia="Arial" w:hAnsi="Arial"/>
            <w:sz w:val="17"/>
            <w:szCs w:val="17"/>
            <w:u w:val="single" w:color="auto"/>
            <w:color w:val="0000FF"/>
          </w:rPr>
          <w:t>Note L</w:t>
        </w:r>
      </w:hyperlink>
      <w:r>
        <w:rPr>
          <w:rFonts w:ascii="Arial" w:cs="Arial" w:eastAsia="Arial" w:hAnsi="Arial"/>
          <w:sz w:val="17"/>
          <w:szCs w:val="17"/>
          <w:color w:val="auto"/>
        </w:rPr>
        <w:t>, 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United States,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pacing w:after="0" w:line="203"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w:t>
      </w:r>
    </w:p>
    <w:p>
      <w:pPr>
        <w:spacing w:after="0" w:line="3"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LLC, Crown Americas Capital Corp. IV, Crown Americas Capital Corp. V, Crown Americas Capital Corp. VI, the Parent, and substantially all of the Company’s subsidiaries in the United States.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3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8"/>
              </w:rPr>
              <w:t>Crown Holdings, Inc.</w:t>
            </w:r>
          </w:p>
        </w:tc>
        <w:tc>
          <w:tcPr>
            <w:tcW w:w="420" w:type="dxa"/>
            <w:vAlign w:val="bottom"/>
          </w:tcPr>
          <w:p>
            <w:pPr>
              <w:spacing w:after="0"/>
              <w:rPr>
                <w:sz w:val="20"/>
                <w:szCs w:val="20"/>
                <w:color w:val="auto"/>
              </w:rPr>
            </w:pPr>
          </w:p>
        </w:tc>
      </w:tr>
      <w:tr>
        <w:trPr>
          <w:trHeight w:val="769"/>
        </w:trPr>
        <w:tc>
          <w:tcPr>
            <w:tcW w:w="4660" w:type="dxa"/>
            <w:vAlign w:val="bottom"/>
            <w:gridSpan w:val="3"/>
          </w:tcPr>
          <w:p>
            <w:pPr>
              <w:spacing w:after="0"/>
              <w:rPr>
                <w:sz w:val="20"/>
                <w:szCs w:val="20"/>
                <w:color w:val="auto"/>
              </w:rPr>
            </w:pPr>
            <w:r>
              <w:rPr>
                <w:rFonts w:ascii="Arial" w:cs="Arial" w:eastAsia="Arial" w:hAnsi="Arial"/>
                <w:sz w:val="18"/>
                <w:szCs w:val="18"/>
                <w:b w:val="1"/>
                <w:bCs w:val="1"/>
                <w:color w:val="auto"/>
                <w:w w:val="92"/>
              </w:rPr>
              <w:t xml:space="preserve">Item 2. Management's Discussion and Analysis </w:t>
            </w:r>
            <w:r>
              <w:rPr>
                <w:rFonts w:ascii="Arial" w:cs="Arial" w:eastAsia="Arial" w:hAnsi="Arial"/>
                <w:sz w:val="18"/>
                <w:szCs w:val="18"/>
                <w:color w:val="auto"/>
                <w:w w:val="92"/>
              </w:rPr>
              <w:t>(Continued)</w:t>
            </w:r>
          </w:p>
        </w:tc>
        <w:tc>
          <w:tcPr>
            <w:tcW w:w="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Crown Cork Obligor Group</w:t>
            </w:r>
          </w:p>
        </w:tc>
        <w:tc>
          <w:tcPr>
            <w:tcW w:w="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6"/>
        </w:trPr>
        <w:tc>
          <w:tcPr>
            <w:tcW w:w="66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60" w:type="dxa"/>
            <w:vAlign w:val="bottom"/>
          </w:tcPr>
          <w:p>
            <w:pPr>
              <w:ind w:left="400"/>
              <w:spacing w:after="0"/>
              <w:rPr>
                <w:sz w:val="20"/>
                <w:szCs w:val="20"/>
                <w:color w:val="auto"/>
              </w:rPr>
            </w:pPr>
            <w:r>
              <w:rPr>
                <w:rFonts w:ascii="Arial" w:cs="Arial" w:eastAsia="Arial" w:hAnsi="Arial"/>
                <w:sz w:val="18"/>
                <w:szCs w:val="18"/>
                <w:color w:val="auto"/>
                <w:w w:val="91"/>
              </w:rPr>
              <w:t>Nine Months Ended</w:t>
            </w:r>
          </w:p>
        </w:tc>
        <w:tc>
          <w:tcPr>
            <w:tcW w:w="42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2000" w:type="dxa"/>
            <w:vAlign w:val="bottom"/>
            <w:tcBorders>
              <w:bottom w:val="single" w:sz="8" w:color="CCEEFF"/>
            </w:tcBorders>
          </w:tcPr>
          <w:p>
            <w:pPr>
              <w:spacing w:after="0"/>
              <w:rPr>
                <w:sz w:val="20"/>
                <w:szCs w:val="20"/>
                <w:color w:val="auto"/>
              </w:rPr>
            </w:pPr>
          </w:p>
        </w:tc>
        <w:tc>
          <w:tcPr>
            <w:tcW w:w="200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8"/>
              </w:rPr>
              <w:t>September 30, 2021</w:t>
            </w:r>
          </w:p>
        </w:tc>
        <w:tc>
          <w:tcPr>
            <w:tcW w:w="420" w:type="dxa"/>
            <w:vAlign w:val="bottom"/>
            <w:tcBorders>
              <w:bottom w:val="single" w:sz="8" w:color="auto"/>
            </w:tcBorders>
          </w:tcPr>
          <w:p>
            <w:pPr>
              <w:spacing w:after="0"/>
              <w:rPr>
                <w:sz w:val="20"/>
                <w:szCs w:val="20"/>
                <w:color w:val="auto"/>
              </w:rPr>
            </w:pPr>
          </w:p>
        </w:tc>
      </w:tr>
      <w:tr>
        <w:trPr>
          <w:trHeight w:val="223"/>
        </w:trPr>
        <w:tc>
          <w:tcPr>
            <w:tcW w:w="660" w:type="dxa"/>
            <w:vAlign w:val="bottom"/>
          </w:tcPr>
          <w:p>
            <w:pPr>
              <w:spacing w:after="0"/>
              <w:rPr>
                <w:sz w:val="19"/>
                <w:szCs w:val="19"/>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6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0" w:type="dxa"/>
            <w:vAlign w:val="bottom"/>
          </w:tcPr>
          <w:p>
            <w:pPr>
              <w:spacing w:after="0"/>
              <w:rPr>
                <w:sz w:val="19"/>
                <w:szCs w:val="19"/>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0" w:type="dxa"/>
            <w:vAlign w:val="bottom"/>
          </w:tcPr>
          <w:p>
            <w:pPr>
              <w:spacing w:after="0"/>
              <w:rPr>
                <w:sz w:val="19"/>
                <w:szCs w:val="19"/>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60" w:type="dxa"/>
            <w:vAlign w:val="bottom"/>
          </w:tcPr>
          <w:p>
            <w:pPr>
              <w:spacing w:after="0"/>
              <w:rPr>
                <w:sz w:val="19"/>
                <w:szCs w:val="19"/>
                <w:color w:val="auto"/>
              </w:rPr>
            </w:pPr>
          </w:p>
        </w:tc>
        <w:tc>
          <w:tcPr>
            <w:tcW w:w="4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income from continuing operations</w:t>
            </w:r>
            <w:r>
              <w:rPr>
                <w:rFonts w:ascii="Arial" w:cs="Arial" w:eastAsia="Arial" w:hAnsi="Arial"/>
                <w:sz w:val="23"/>
                <w:szCs w:val="23"/>
                <w:color w:val="auto"/>
                <w:vertAlign w:val="superscript"/>
              </w:rPr>
              <w:t>1</w:t>
            </w: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5"/>
              </w:rPr>
              <w:t>(101)</w:t>
            </w:r>
          </w:p>
        </w:tc>
      </w:tr>
      <w:tr>
        <w:trPr>
          <w:trHeight w:val="230"/>
        </w:trPr>
        <w:tc>
          <w:tcPr>
            <w:tcW w:w="660" w:type="dxa"/>
            <w:vAlign w:val="bottom"/>
          </w:tcPr>
          <w:p>
            <w:pPr>
              <w:spacing w:after="0"/>
              <w:rPr>
                <w:sz w:val="19"/>
                <w:szCs w:val="19"/>
                <w:color w:val="auto"/>
              </w:rPr>
            </w:pPr>
          </w:p>
        </w:tc>
        <w:tc>
          <w:tcPr>
            <w:tcW w:w="4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2</w:t>
            </w: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(127)</w:t>
            </w:r>
          </w:p>
        </w:tc>
      </w:tr>
    </w:tbl>
    <w:p>
      <w:pPr>
        <w:spacing w:after="0" w:line="89" w:lineRule="exact"/>
        <w:rPr>
          <w:sz w:val="20"/>
          <w:szCs w:val="20"/>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$27 of expense related to intercompany interest with non-guarantor subsidiaries</w:t>
      </w:r>
    </w:p>
    <w:p>
      <w:pPr>
        <w:spacing w:after="0" w:line="13" w:lineRule="exact"/>
        <w:rPr>
          <w:rFonts w:ascii="Arial" w:cs="Arial" w:eastAsia="Arial" w:hAnsi="Arial"/>
          <w:sz w:val="14"/>
          <w:szCs w:val="14"/>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$27 of expense related to intercompany interest with non-guarantor subsidiaries and $26 of expense for discontinued operations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228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September 30, 2021</w:t>
            </w:r>
          </w:p>
        </w:tc>
        <w:tc>
          <w:tcPr>
            <w:tcW w:w="560" w:type="dxa"/>
            <w:vAlign w:val="bottom"/>
            <w:tcBorders>
              <w:bottom w:val="single" w:sz="8" w:color="auto"/>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23"/>
        </w:trPr>
        <w:tc>
          <w:tcPr>
            <w:tcW w:w="640" w:type="dxa"/>
            <w:vAlign w:val="bottom"/>
            <w:vMerge w:val="continue"/>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292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Current</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2920" w:type="dxa"/>
            <w:vAlign w:val="bottom"/>
            <w:gridSpan w:val="2"/>
          </w:tcPr>
          <w:p>
            <w:pPr>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1</w:t>
            </w:r>
          </w:p>
        </w:tc>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5,123</w:t>
            </w:r>
          </w:p>
        </w:tc>
        <w:tc>
          <w:tcPr>
            <w:tcW w:w="4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660" w:right="3220"/>
        <w:spacing w:after="0" w:line="587" w:lineRule="auto"/>
        <w:rPr>
          <w:sz w:val="20"/>
          <w:szCs w:val="20"/>
          <w:color w:val="auto"/>
        </w:rPr>
      </w:pPr>
      <w:r>
        <w:rPr>
          <w:rFonts w:ascii="Arial" w:cs="Arial" w:eastAsia="Arial" w:hAnsi="Arial"/>
          <w:sz w:val="14"/>
          <w:szCs w:val="14"/>
          <w:color w:val="auto"/>
        </w:rPr>
        <w:t xml:space="preserve">(1) Includes payables of $4,445 and $3,623 due to non-guarantor subsidiaries as of September 30, 2021 and December 31, 2020 </w:t>
      </w:r>
      <w:r>
        <w:rPr>
          <w:rFonts w:ascii="Arial" w:cs="Arial" w:eastAsia="Arial" w:hAnsi="Arial"/>
          <w:sz w:val="17"/>
          <w:szCs w:val="17"/>
          <w:i w:val="1"/>
          <w:iCs w:val="1"/>
          <w:u w:val="single" w:color="auto"/>
          <w:color w:val="auto"/>
        </w:rPr>
        <w:t>Crown Americas Obligor Group</w:t>
      </w:r>
    </w:p>
    <w:p>
      <w:pPr>
        <w:spacing w:after="0" w:line="37"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45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8"/>
              </w:rPr>
              <w:t>September 30, 2021</w:t>
            </w:r>
          </w:p>
        </w:tc>
      </w:tr>
      <w:tr>
        <w:trPr>
          <w:trHeight w:val="223"/>
        </w:trPr>
        <w:tc>
          <w:tcPr>
            <w:tcW w:w="45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r>
      <w:tr>
        <w:trPr>
          <w:trHeight w:val="230"/>
        </w:trPr>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29"/>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Net income from continuing operations</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bl>
    <w:p>
      <w:pPr>
        <w:spacing w:after="0" w:line="62" w:lineRule="exact"/>
        <w:rPr>
          <w:sz w:val="20"/>
          <w:szCs w:val="20"/>
          <w:color w:val="auto"/>
        </w:rPr>
      </w:pPr>
    </w:p>
    <w:p>
      <w:pPr>
        <w:ind w:left="860" w:hanging="204"/>
        <w:spacing w:after="0"/>
        <w:tabs>
          <w:tab w:leader="none" w:pos="8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$351 of sales to non-guarantor subsidiaries</w:t>
      </w:r>
    </w:p>
    <w:p>
      <w:pPr>
        <w:spacing w:after="0" w:line="13" w:lineRule="exact"/>
        <w:rPr>
          <w:rFonts w:ascii="Arial" w:cs="Arial" w:eastAsia="Arial" w:hAnsi="Arial"/>
          <w:sz w:val="14"/>
          <w:szCs w:val="14"/>
          <w:color w:val="auto"/>
        </w:rPr>
      </w:pPr>
    </w:p>
    <w:p>
      <w:pPr>
        <w:ind w:left="860" w:hanging="204"/>
        <w:spacing w:after="0"/>
        <w:tabs>
          <w:tab w:leader="none" w:pos="8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$35 of gross profit related to sales to non-guarantor subsidiaries</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$54 of income related to intercompany interest and technology royalties with non-guarantor subsidiaries</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$54 of income related to intercompany interest and technology royalties with non-guarantor subsidiaries and $44 of expense for discontinued operations</w:t>
      </w: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September 30, 2021</w:t>
            </w:r>
          </w:p>
        </w:tc>
        <w:tc>
          <w:tcPr>
            <w:tcW w:w="26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8"/>
              </w:rPr>
              <w:t>December 31, 2020</w:t>
            </w:r>
          </w:p>
        </w:tc>
      </w:tr>
      <w:tr>
        <w:trPr>
          <w:trHeight w:val="223"/>
        </w:trPr>
        <w:tc>
          <w:tcPr>
            <w:tcW w:w="44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Current assets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4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30"/>
        </w:trPr>
        <w:tc>
          <w:tcPr>
            <w:tcW w:w="4440" w:type="dxa"/>
            <w:vAlign w:val="bottom"/>
          </w:tcPr>
          <w:p>
            <w:pPr>
              <w:ind w:left="20"/>
              <w:spacing w:after="0" w:line="230" w:lineRule="exact"/>
              <w:rPr>
                <w:sz w:val="20"/>
                <w:szCs w:val="20"/>
                <w:color w:val="auto"/>
              </w:rPr>
            </w:pPr>
            <w:r>
              <w:rPr>
                <w:rFonts w:ascii="Arial" w:cs="Arial" w:eastAsia="Arial" w:hAnsi="Arial"/>
                <w:sz w:val="18"/>
                <w:szCs w:val="18"/>
                <w:color w:val="auto"/>
              </w:rPr>
              <w:t>Non-current assets</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3,458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3,248</w:t>
            </w: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Current liabilities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312"/>
        </w:trPr>
        <w:tc>
          <w:tcPr>
            <w:tcW w:w="4440" w:type="dxa"/>
            <w:vAlign w:val="bottom"/>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4</w:t>
            </w:r>
          </w:p>
        </w:tc>
        <w:tc>
          <w:tcPr>
            <w:tcW w:w="2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4,777</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4,491</w:t>
            </w:r>
          </w:p>
        </w:tc>
      </w:tr>
    </w:tbl>
    <w:p>
      <w:pPr>
        <w:ind w:left="860" w:hanging="204"/>
        <w:spacing w:after="0"/>
        <w:tabs>
          <w:tab w:leader="none" w:pos="8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receivables of $51 and $45 due from non-guarantor subsidiaries as of September 30, 2021 and December 31, 2020</w:t>
      </w:r>
    </w:p>
    <w:p>
      <w:pPr>
        <w:spacing w:after="0" w:line="6" w:lineRule="exact"/>
        <w:rPr>
          <w:rFonts w:ascii="Arial" w:cs="Arial" w:eastAsia="Arial" w:hAnsi="Arial"/>
          <w:sz w:val="14"/>
          <w:szCs w:val="14"/>
          <w:color w:val="auto"/>
        </w:rPr>
      </w:pPr>
    </w:p>
    <w:p>
      <w:pPr>
        <w:ind w:left="860" w:hanging="204"/>
        <w:spacing w:after="0"/>
        <w:tabs>
          <w:tab w:leader="none" w:pos="8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receivables of $245 and $142 due from non-guarantor subsidiaries as of September 30, 2021 and December 31, 2020</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payables of $38 and $54 due to non-guarantor subsidiaries as of September 30, 2021 and December 31, 2020</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payables of $1,374 and $31 due to non-guarantor subsidiaries as of September 30, 2021 and December 31, 2020</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Information regarding the Company's commitments and contingent liabilities appears in Part I within Item 1 of this report under </w:t>
      </w:r>
      <w:hyperlink w:anchor="page13">
        <w:r>
          <w:rPr>
            <w:rFonts w:ascii="Arial" w:cs="Arial" w:eastAsia="Arial" w:hAnsi="Arial"/>
            <w:sz w:val="18"/>
            <w:szCs w:val="18"/>
            <w:u w:val="single" w:color="auto"/>
            <w:color w:val="0000FF"/>
          </w:rPr>
          <w:t>Note J</w:t>
        </w:r>
      </w:hyperlink>
      <w:r>
        <w:rPr>
          <w:rFonts w:ascii="Arial" w:cs="Arial" w:eastAsia="Arial" w:hAnsi="Arial"/>
          <w:sz w:val="18"/>
          <w:szCs w:val="18"/>
          <w:color w:val="auto"/>
        </w:rPr>
        <w:t>, entitled “Commitments and Contingent Liabilities,” to the consolidated financial statements, and in Part II within Item 1A of this report which information is incorporated herein by reference.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require that management make numerous estimates and assumptions.</w:t>
      </w:r>
    </w:p>
    <w:p>
      <w:pPr>
        <w:spacing w:after="0" w:line="238" w:lineRule="exact"/>
        <w:rPr>
          <w:sz w:val="20"/>
          <w:szCs w:val="20"/>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2020 describe the significant accounting estimates and policies used in the preparation of the consolidated financial statements. Updates to the Company's accounting policies related to new accounting pronouncements are included in </w:t>
      </w:r>
      <w:hyperlink w:anchor="page8">
        <w:r>
          <w:rPr>
            <w:rFonts w:ascii="Arial" w:cs="Arial" w:eastAsia="Arial" w:hAnsi="Arial"/>
            <w:sz w:val="18"/>
            <w:szCs w:val="18"/>
            <w:u w:val="single" w:color="auto"/>
            <w:color w:val="0000FF"/>
          </w:rPr>
          <w:t>Note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included in this Quarterly Report on Form 10-Q.</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56" w:lineRule="exact"/>
        <w:rPr>
          <w:sz w:val="20"/>
          <w:szCs w:val="20"/>
          <w:color w:val="auto"/>
        </w:rPr>
      </w:pPr>
    </w:p>
    <w:p>
      <w:pPr>
        <w:jc w:val="both"/>
        <w:ind w:left="660"/>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Statements included herein, including, but not limited to, those in “Management's Discussion and Analysis of Financial Condition and Results of Operations” and in the discussions of asbestos in </w:t>
      </w:r>
      <w:hyperlink w:anchor="page11">
        <w:r>
          <w:rPr>
            <w:rFonts w:ascii="Arial" w:cs="Arial" w:eastAsia="Arial" w:hAnsi="Arial"/>
            <w:sz w:val="16"/>
            <w:szCs w:val="16"/>
            <w:u w:val="single" w:color="auto"/>
            <w:color w:val="0000FF"/>
          </w:rPr>
          <w:t>Note I</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commitments and contingencies in </w:t>
      </w:r>
      <w:hyperlink w:anchor="page13">
        <w:r>
          <w:rPr>
            <w:rFonts w:ascii="Arial" w:cs="Arial" w:eastAsia="Arial" w:hAnsi="Arial"/>
            <w:sz w:val="16"/>
            <w:szCs w:val="16"/>
            <w:u w:val="single" w:color="auto"/>
            <w:color w:val="0000FF"/>
          </w:rPr>
          <w:t>Note J</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2020, which are not historical facts (including any statements concerning the direct or indirect impact of the COVID-19 pandemic, plans, the sale of the Company's European Tinplate business (including whether the sale will ultimately prove to be beneficial to the Company) and objectives of management for capacity additions, share repurchases, dividends, future operations or economic performance, or assumptions related thereto), are “forward-looking statements” within the meaning of the federal securities laws. In addition, the Company and its representatives may, from time to time, make oral or written statements which are also “forward-looking statements.”</w:t>
      </w:r>
    </w:p>
    <w:p>
      <w:pPr>
        <w:spacing w:after="0" w:line="19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1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Securities and Exchange Commission (“SEC”), the Company does not intend to review or revise any particular forward-looking statement in light of future events.</w:t>
      </w:r>
    </w:p>
    <w:p>
      <w:pPr>
        <w:spacing w:after="0" w:line="19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2020 within Part II, Item 7: “Management's Discussion and Analysis of Financial Condition and Results of Operations” under the caption “Forward Looking Statements” and is incorporated herein by reference. Some of the factors are also discussed elsewhere in this Form 10-Q (including under Item 1A of Part II below) and in prior Company filings with the SEC. In addition, other factors have been or may be discussed from time to time in the Company's SEC filings.</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September 30, 2021, see </w:t>
      </w:r>
      <w:hyperlink w:anchor="page15">
        <w:r>
          <w:rPr>
            <w:rFonts w:ascii="Arial" w:cs="Arial" w:eastAsia="Arial" w:hAnsi="Arial"/>
            <w:sz w:val="17"/>
            <w:szCs w:val="17"/>
            <w:u w:val="single" w:color="auto"/>
            <w:color w:val="0000FF"/>
          </w:rPr>
          <w:t>Note 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w:t>
      </w:r>
    </w:p>
    <w:p>
      <w:pPr>
        <w:spacing w:after="0" w:line="19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September 30, 2021, the Company had $1.5 billion principal floating interest rate debt. A change of 0.25% in these floating interest rates would change annual interest expense by approximately $4 million before tax.</w:t>
      </w:r>
    </w:p>
    <w:p>
      <w:pPr>
        <w:spacing w:after="0" w:line="200" w:lineRule="exact"/>
        <w:rPr>
          <w:sz w:val="20"/>
          <w:szCs w:val="20"/>
          <w:color w:val="auto"/>
        </w:rPr>
      </w:pPr>
    </w:p>
    <w:p>
      <w:pPr>
        <w:spacing w:after="0" w:line="2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0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For information regarding the Company's potential asbestos-related liabilities and other litigation, see </w:t>
      </w:r>
      <w:hyperlink w:anchor="page11">
        <w:r>
          <w:rPr>
            <w:rFonts w:ascii="Arial" w:cs="Arial" w:eastAsia="Arial" w:hAnsi="Arial"/>
            <w:sz w:val="18"/>
            <w:szCs w:val="18"/>
            <w:u w:val="single" w:color="auto"/>
            <w:color w:val="0000FF"/>
          </w:rPr>
          <w:t>Note 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entitled “Asbestos-Related Liabilities” and </w:t>
      </w:r>
      <w:hyperlink w:anchor="page13">
        <w:r>
          <w:rPr>
            <w:rFonts w:ascii="Arial" w:cs="Arial" w:eastAsia="Arial" w:hAnsi="Arial"/>
            <w:sz w:val="18"/>
            <w:szCs w:val="18"/>
            <w:u w:val="single" w:color="auto"/>
            <w:color w:val="0000FF"/>
          </w:rPr>
          <w:t>Note J</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entitled “Commitments and Contingent Liabilities” to the consolidated financial statements within Part I, Item 1 of this Quarterly Report on Form 10-Q, which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5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information set forth in this report should be read in conjunction with the risk factors discussed in Item 1A of the Company's Annual Report on Form 10-K for the year ended December 31, 2020. Such risks are not the only risks facing the Company. Additional risks and uncertainties not currently known to the Company or that the Company currently deems to be immaterial may also materially adversely affect the Company's business, financial condition and/or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the Company's purchases of equity securities during the three months ended September 30, 2021.</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excludes 76,119 shares surrendered to cover taxes on the vesting of restricted stock during the three months ended September 30, 2021.</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66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3"/>
              </w:rPr>
              <w:t>Crown Holdings, Inc.</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tcPr>
          <w:p>
            <w:pPr>
              <w:jc w:val="right"/>
              <w:ind w:right="50"/>
              <w:spacing w:after="0"/>
              <w:rPr>
                <w:sz w:val="20"/>
                <w:szCs w:val="20"/>
                <w:color w:val="auto"/>
              </w:rPr>
            </w:pPr>
            <w:r>
              <w:rPr>
                <w:rFonts w:ascii="Arial" w:cs="Arial" w:eastAsia="Arial" w:hAnsi="Arial"/>
                <w:sz w:val="18"/>
                <w:szCs w:val="18"/>
                <w:color w:val="auto"/>
                <w:w w:val="90"/>
              </w:rPr>
              <w:t>Approximate dollar value of shares that</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6"/>
              </w:rPr>
              <w:t>Total number of</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88"/>
              </w:rPr>
              <w:t>purchased as part of</w:t>
            </w:r>
          </w:p>
        </w:tc>
        <w:tc>
          <w:tcPr>
            <w:tcW w:w="220" w:type="dxa"/>
            <w:vAlign w:val="bottom"/>
          </w:tcPr>
          <w:p>
            <w:pPr>
              <w:spacing w:after="0"/>
              <w:rPr>
                <w:sz w:val="15"/>
                <w:szCs w:val="15"/>
                <w:color w:val="auto"/>
              </w:rPr>
            </w:pPr>
          </w:p>
        </w:tc>
        <w:tc>
          <w:tcPr>
            <w:tcW w:w="3120" w:type="dxa"/>
            <w:vAlign w:val="bottom"/>
            <w:gridSpan w:val="2"/>
          </w:tcPr>
          <w:p>
            <w:pPr>
              <w:ind w:left="40"/>
              <w:spacing w:after="0" w:line="176" w:lineRule="exact"/>
              <w:rPr>
                <w:sz w:val="20"/>
                <w:szCs w:val="20"/>
                <w:color w:val="auto"/>
              </w:rPr>
            </w:pPr>
            <w:r>
              <w:rPr>
                <w:rFonts w:ascii="Arial" w:cs="Arial" w:eastAsia="Arial" w:hAnsi="Arial"/>
                <w:sz w:val="18"/>
                <w:szCs w:val="18"/>
                <w:color w:val="auto"/>
                <w:w w:val="90"/>
              </w:rPr>
              <w:t>may yet be purchased under the programs</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1"/>
              </w:rPr>
              <w:t>price per</w:t>
            </w:r>
          </w:p>
        </w:tc>
        <w:tc>
          <w:tcPr>
            <w:tcW w:w="22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92"/>
              </w:rPr>
              <w:t>publicly announced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Pr>
          <w:p>
            <w:pPr>
              <w:jc w:val="right"/>
              <w:ind w:right="550"/>
              <w:spacing w:after="0" w:line="176" w:lineRule="exact"/>
              <w:rPr>
                <w:sz w:val="20"/>
                <w:szCs w:val="20"/>
                <w:color w:val="auto"/>
              </w:rPr>
            </w:pPr>
            <w:r>
              <w:rPr>
                <w:rFonts w:ascii="Arial" w:cs="Arial" w:eastAsia="Arial" w:hAnsi="Arial"/>
                <w:sz w:val="18"/>
                <w:szCs w:val="18"/>
                <w:color w:val="auto"/>
              </w:rPr>
              <w:t>as of the end of the period</w:t>
            </w:r>
          </w:p>
        </w:tc>
        <w:tc>
          <w:tcPr>
            <w:tcW w:w="0" w:type="dxa"/>
            <w:vAlign w:val="bottom"/>
          </w:tcPr>
          <w:p>
            <w:pPr>
              <w:spacing w:after="0"/>
              <w:rPr>
                <w:sz w:val="1"/>
                <w:szCs w:val="1"/>
                <w:color w:val="auto"/>
              </w:rPr>
            </w:pPr>
          </w:p>
        </w:tc>
      </w:tr>
      <w:tr>
        <w:trPr>
          <w:trHeight w:val="229"/>
        </w:trPr>
        <w:tc>
          <w:tcPr>
            <w:tcW w:w="15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shares purchased</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4"/>
              </w:rPr>
              <w:t>share</w:t>
            </w:r>
          </w:p>
        </w:tc>
        <w:tc>
          <w:tcPr>
            <w:tcW w:w="22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color w:val="auto"/>
                <w:w w:val="86"/>
              </w:rPr>
              <w:t>programs</w:t>
            </w:r>
            <w:r>
              <w:rPr>
                <w:rFonts w:ascii="Arial" w:cs="Arial" w:eastAsia="Arial" w:hAnsi="Arial"/>
                <w:sz w:val="23"/>
                <w:szCs w:val="23"/>
                <w:color w:val="auto"/>
                <w:w w:val="86"/>
                <w:vertAlign w:val="superscript"/>
              </w:rPr>
              <w:t>(1)</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(millions of dollars)</w:t>
            </w:r>
          </w:p>
        </w:tc>
        <w:tc>
          <w:tcPr>
            <w:tcW w:w="0" w:type="dxa"/>
            <w:vAlign w:val="bottom"/>
          </w:tcPr>
          <w:p>
            <w:pPr>
              <w:spacing w:after="0"/>
              <w:rPr>
                <w:sz w:val="1"/>
                <w:szCs w:val="1"/>
                <w:color w:val="auto"/>
              </w:rPr>
            </w:pPr>
          </w:p>
        </w:tc>
      </w:tr>
      <w:tr>
        <w:trPr>
          <w:trHeight w:val="223"/>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1,433,941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1,433,941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9"/>
        </w:trPr>
        <w:tc>
          <w:tcPr>
            <w:tcW w:w="1540" w:type="dxa"/>
            <w:vAlign w:val="bottom"/>
          </w:tcPr>
          <w:p>
            <w:pPr>
              <w:ind w:left="20"/>
              <w:spacing w:after="0"/>
              <w:rPr>
                <w:sz w:val="20"/>
                <w:szCs w:val="20"/>
                <w:color w:val="auto"/>
              </w:rPr>
            </w:pPr>
            <w:r>
              <w:rPr>
                <w:rFonts w:ascii="Arial" w:cs="Arial" w:eastAsia="Arial" w:hAnsi="Arial"/>
                <w:sz w:val="18"/>
                <w:szCs w:val="18"/>
                <w:color w:val="auto"/>
              </w:rPr>
              <w:t>August</w:t>
            </w:r>
          </w:p>
        </w:tc>
        <w:tc>
          <w:tcPr>
            <w:tcW w:w="1320" w:type="dxa"/>
            <w:vAlign w:val="bottom"/>
          </w:tcPr>
          <w:p>
            <w:pPr>
              <w:jc w:val="right"/>
              <w:spacing w:after="0"/>
              <w:rPr>
                <w:sz w:val="20"/>
                <w:szCs w:val="20"/>
                <w:color w:val="auto"/>
              </w:rPr>
            </w:pPr>
            <w:r>
              <w:rPr>
                <w:rFonts w:ascii="Arial" w:cs="Arial" w:eastAsia="Arial" w:hAnsi="Arial"/>
                <w:sz w:val="18"/>
                <w:szCs w:val="18"/>
                <w:color w:val="auto"/>
              </w:rPr>
              <w:t>1,636,207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105.88</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1,636,207</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3000" w:type="dxa"/>
            <w:vAlign w:val="bottom"/>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9"/>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1,000,203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1,000,203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3,070,149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3,070,149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left="660" w:hanging="4"/>
        <w:spacing w:after="0" w:line="263" w:lineRule="auto"/>
        <w:tabs>
          <w:tab w:leader="none" w:pos="9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February 2021, the Company's Board of Directors authorized the repurchase of an aggregate amount of $1.5 billion of Company common stock through the end of 2023. Share repurchases under the Company's program may be made in the open market or through privately negotiated transactions, and at times and in such amounts as management deems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events required to be reported under Item 3 for the three months ended September 30, 2021.</w:t>
      </w:r>
    </w:p>
    <w:p>
      <w:pPr>
        <w:spacing w:after="0" w:line="248"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10" w:lineRule="exact"/>
        <w:rPr>
          <w:sz w:val="20"/>
          <w:szCs w:val="20"/>
          <w:color w:val="auto"/>
        </w:rPr>
      </w:pPr>
    </w:p>
    <w:p>
      <w:pPr>
        <w:ind w:left="3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List of Guarantor Subsidiaries</w:t>
        </w:r>
      </w:hyperlink>
    </w:p>
    <w:p>
      <w:pPr>
        <w:spacing w:after="0" w:line="212" w:lineRule="exact"/>
        <w:rPr>
          <w:sz w:val="20"/>
          <w:szCs w:val="20"/>
          <w:color w:val="auto"/>
        </w:rPr>
      </w:pPr>
    </w:p>
    <w:p>
      <w:pPr>
        <w:jc w:val="both"/>
        <w:ind w:left="980" w:right="1060" w:hanging="647"/>
        <w:spacing w:after="0" w:line="277" w:lineRule="auto"/>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Certification of Chief Executive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40">
        <w:r>
          <w:rPr>
            <w:rFonts w:ascii="Arial" w:cs="Arial" w:eastAsia="Arial" w:hAnsi="Arial"/>
            <w:sz w:val="18"/>
            <w:szCs w:val="18"/>
            <w:u w:val="single" w:color="auto"/>
            <w:color w:val="0000FF"/>
          </w:rPr>
          <w:t>pursuant to Section 302 of the Sarbanes-Oxley Act of 2002.</w:t>
        </w:r>
      </w:hyperlink>
    </w:p>
    <w:p>
      <w:pPr>
        <w:spacing w:after="0" w:line="157" w:lineRule="exact"/>
        <w:rPr>
          <w:sz w:val="20"/>
          <w:szCs w:val="20"/>
          <w:color w:val="auto"/>
        </w:rPr>
      </w:pPr>
    </w:p>
    <w:p>
      <w:pPr>
        <w:jc w:val="both"/>
        <w:ind w:left="980" w:right="1060" w:hanging="647"/>
        <w:spacing w:after="0" w:line="277" w:lineRule="auto"/>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Certification of Chief Financial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41">
        <w:r>
          <w:rPr>
            <w:rFonts w:ascii="Arial" w:cs="Arial" w:eastAsia="Arial" w:hAnsi="Arial"/>
            <w:sz w:val="18"/>
            <w:szCs w:val="18"/>
            <w:u w:val="single" w:color="auto"/>
            <w:color w:val="0000FF"/>
          </w:rPr>
          <w:t>pursuant to Section 302 of the Sarbanes-Oxley Act of 2002.</w:t>
        </w:r>
      </w:hyperlink>
    </w:p>
    <w:p>
      <w:pPr>
        <w:spacing w:after="0" w:line="157" w:lineRule="exact"/>
        <w:rPr>
          <w:sz w:val="20"/>
          <w:szCs w:val="20"/>
          <w:color w:val="auto"/>
        </w:rPr>
      </w:pPr>
    </w:p>
    <w:p>
      <w:pPr>
        <w:jc w:val="both"/>
        <w:ind w:left="980" w:right="1060" w:hanging="647"/>
        <w:spacing w:after="0" w:line="263" w:lineRule="auto"/>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Certification pursuant to 18 U.S.C. Section 1350, as adopted pursuant to Section 906 of the Sarbanes-Oxley Act of 2002, executed by</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Timothy J. Donahue, President and Chief Executive Officer of Crown Holdings, Inc. and Thomas A. Kelly, Senior Vice</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President and Chief Financial Officer of Crown Holdings, Inc.</w:t>
        </w:r>
      </w:hyperlink>
    </w:p>
    <w:p>
      <w:pPr>
        <w:spacing w:after="0" w:line="170" w:lineRule="exact"/>
        <w:rPr>
          <w:rFonts w:ascii="Arial" w:cs="Arial" w:eastAsia="Arial" w:hAnsi="Arial"/>
          <w:sz w:val="18"/>
          <w:szCs w:val="18"/>
          <w:u w:val="single" w:color="auto"/>
          <w:color w:val="0000FF"/>
        </w:rPr>
      </w:pPr>
    </w:p>
    <w:p>
      <w:pPr>
        <w:jc w:val="both"/>
        <w:ind w:left="980" w:right="1060" w:hanging="647"/>
        <w:spacing w:after="0" w:line="272" w:lineRule="auto"/>
        <w:rPr>
          <w:sz w:val="20"/>
          <w:szCs w:val="20"/>
          <w:color w:val="auto"/>
        </w:rPr>
      </w:pPr>
      <w:r>
        <w:rPr>
          <w:rFonts w:ascii="Arial" w:cs="Arial" w:eastAsia="Arial" w:hAnsi="Arial"/>
          <w:sz w:val="17"/>
          <w:szCs w:val="17"/>
          <w:color w:val="auto"/>
        </w:rPr>
        <w:t>The following financial information from the Registrant's Quarterly Report on Form 10-Q for the quarter ended September 30, 2021 formatted in inline XBRL (eXtensible Business Reporting Language): (i) Consolidated Statements of Operations for the three and nine months ended September 30, 2021 and 2020, (ii) Consolidated Statements of Comprehensive Income for the three and nine months ended September 30, 2021 and 2020, (iii) Consolidated Balance Sheets as of September 30, 2021 and December 31, 2020, (iv) Consolidated Statements of Cash Flows for the nine months ended September 30, 2021 and 2020, (v) Consolidated Statements of Changes in Equity for the three and nine months ended September 30, 2021 and 2020 and (vi) Notes to Consolidated Financial Statements.</w:t>
      </w:r>
    </w:p>
    <w:p>
      <w:pPr>
        <w:spacing w:after="0" w:line="164" w:lineRule="exact"/>
        <w:rPr>
          <w:rFonts w:ascii="Arial" w:cs="Arial" w:eastAsia="Arial" w:hAnsi="Arial"/>
          <w:sz w:val="18"/>
          <w:szCs w:val="18"/>
          <w:u w:val="single" w:color="auto"/>
          <w:color w:val="0000FF"/>
        </w:rPr>
      </w:pPr>
    </w:p>
    <w:p>
      <w:pPr>
        <w:ind w:left="3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71"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58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Crown Holdings, Inc.</w:t>
            </w:r>
          </w:p>
        </w:tc>
      </w:tr>
      <w:tr>
        <w:trPr>
          <w:trHeight w:val="224"/>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440" w:type="dxa"/>
            <w:vAlign w:val="bottom"/>
          </w:tcPr>
          <w:p>
            <w:pPr>
              <w:spacing w:after="0"/>
              <w:rPr>
                <w:sz w:val="19"/>
                <w:szCs w:val="19"/>
                <w:color w:val="auto"/>
              </w:rPr>
            </w:pPr>
          </w:p>
        </w:tc>
      </w:tr>
      <w:tr>
        <w:trPr>
          <w:trHeight w:val="47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A. Beaver</w:t>
            </w:r>
          </w:p>
        </w:tc>
      </w:tr>
      <w:tr>
        <w:trPr>
          <w:trHeight w:val="222"/>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David A. Beaver</w:t>
            </w:r>
          </w:p>
        </w:tc>
      </w:tr>
      <w:tr>
        <w:trPr>
          <w:trHeight w:val="229"/>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Vice President and Corporate Controller</w:t>
            </w: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80"/>
          </w:cols>
          <w:pgMar w:left="980" w:top="121" w:right="339"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25"/>
          <w:szCs w:val="25"/>
          <w:b w:val="1"/>
          <w:bCs w:val="1"/>
          <w:color w:val="auto"/>
        </w:rPr>
        <w:t>Exhibit 22 - List of Guarantor Subsidiaries</w:t>
      </w:r>
    </w:p>
    <w:p>
      <w:pPr>
        <w:spacing w:after="0" w:line="259"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following subsidiaries of Crown Holdings, Inc. (the "Company") were, as of September 30, 2021,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1"/>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subsidiaries of the Company were, as of September 30, 2021, guarantors of the Company's $1,000 principal 4.5% senior notes due 2023, $400 principal 4.25% senior notes due 2026, and $875 principal 4.75% senior notes due 2026: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Consultants,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Puerto Rico,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(DE),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USA,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Technology,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Foreign Manufacturers Finance Corporation</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Pickling Holding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US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TopFrame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Package Design and Manufacturing,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Michigan</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bl>
    <w:p>
      <w:pPr>
        <w:sectPr>
          <w:pgSz w:w="11900" w:h="16838" w:orient="portrait"/>
          <w:cols w:equalWidth="0" w:num="1">
            <w:col w:w="11180"/>
          </w:cols>
          <w:pgMar w:left="320" w:top="886" w:right="399" w:bottom="1440" w:gutter="0" w:footer="0" w:header="0"/>
        </w:sectPr>
      </w:pPr>
    </w:p>
    <w:bookmarkStart w:id="39" w:name="page40"/>
    <w:bookmarkEnd w:id="39"/>
    <w:p>
      <w:pPr>
        <w:ind w:left="972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52"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100" w:hanging="332"/>
        <w:spacing w:after="0" w:line="256"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right="80" w:hanging="324"/>
        <w:spacing w:after="0" w:line="256" w:lineRule="auto"/>
        <w:tabs>
          <w:tab w:leader="none" w:pos="9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right="80" w:hanging="324"/>
        <w:spacing w:after="0" w:line="256" w:lineRule="auto"/>
        <w:tabs>
          <w:tab w:leader="none" w:pos="89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115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Date: November 1, 2021</w:t>
      </w:r>
      <w:r>
        <w:rPr>
          <w:sz w:val="20"/>
          <w:szCs w:val="20"/>
          <w:color w:val="auto"/>
        </w:rPr>
        <w:tab/>
      </w:r>
      <w:r>
        <w:rPr>
          <w:rFonts w:ascii="Arial" w:cs="Arial" w:eastAsia="Arial" w:hAnsi="Arial"/>
          <w:sz w:val="18"/>
          <w:szCs w:val="18"/>
          <w:u w:val="single" w:color="auto"/>
          <w:color w:val="auto"/>
        </w:rPr>
        <w:t>/s/ Timothy J. Donahue</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Timothy J. Donahue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920"/>
          </w:cols>
          <w:pgMar w:left="320" w:top="1129" w:right="6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Thomas A. Kelly, certify that:</w:t>
      </w:r>
    </w:p>
    <w:p>
      <w:pPr>
        <w:spacing w:after="0" w:line="252"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20" w:hanging="332"/>
        <w:spacing w:after="0" w:line="256"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hanging="324"/>
        <w:spacing w:after="0" w:line="256" w:lineRule="auto"/>
        <w:tabs>
          <w:tab w:leader="none" w:pos="9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hanging="324"/>
        <w:spacing w:after="0" w:line="256" w:lineRule="auto"/>
        <w:tabs>
          <w:tab w:leader="none" w:pos="89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113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Date: November 1, 2021</w:t>
      </w:r>
      <w:r>
        <w:rPr>
          <w:sz w:val="20"/>
          <w:szCs w:val="20"/>
          <w:color w:val="auto"/>
        </w:rPr>
        <w:tab/>
      </w:r>
      <w:r>
        <w:rPr>
          <w:rFonts w:ascii="Arial" w:cs="Arial" w:eastAsia="Arial" w:hAnsi="Arial"/>
          <w:sz w:val="18"/>
          <w:szCs w:val="18"/>
          <w:u w:val="single" w:color="auto"/>
          <w:color w:val="auto"/>
        </w:rPr>
        <w:t>/s/ Thomas A. Kelly</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Thomas A. Kelly</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40"/>
          </w:cols>
          <w:pgMar w:left="320" w:top="1129" w:right="7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40" w:right="2700"/>
        <w:spacing w:after="0" w:line="258"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66" w:lineRule="exact"/>
        <w:rPr>
          <w:sz w:val="20"/>
          <w:szCs w:val="20"/>
          <w:color w:val="auto"/>
        </w:rPr>
      </w:pPr>
    </w:p>
    <w:p>
      <w:pPr>
        <w:jc w:val="both"/>
        <w:ind w:firstLine="351"/>
        <w:spacing w:after="0" w:line="246"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September 30, 2021 (the “Report”), each of the undersigned officers certify, pursuant to 18 U.S.C. § 1350, as adopted pursuant to § 906 of the Sarbanes-Oxley Act of 2002, that:</w:t>
      </w:r>
    </w:p>
    <w:p>
      <w:pPr>
        <w:spacing w:after="0" w:line="235" w:lineRule="exact"/>
        <w:rPr>
          <w:sz w:val="20"/>
          <w:szCs w:val="20"/>
          <w:color w:val="auto"/>
        </w:rPr>
      </w:pPr>
    </w:p>
    <w:p>
      <w:pPr>
        <w:ind w:firstLine="8"/>
        <w:spacing w:after="0" w:line="249" w:lineRule="auto"/>
        <w:tabs>
          <w:tab w:leader="none" w:pos="6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231" w:lineRule="exact"/>
        <w:rPr>
          <w:rFonts w:ascii="Arial" w:cs="Arial" w:eastAsia="Arial" w:hAnsi="Arial"/>
          <w:sz w:val="22"/>
          <w:szCs w:val="22"/>
          <w:color w:val="auto"/>
        </w:rPr>
      </w:pPr>
    </w:p>
    <w:p>
      <w:pPr>
        <w:ind w:firstLine="8"/>
        <w:spacing w:after="0" w:line="249" w:lineRule="auto"/>
        <w:tabs>
          <w:tab w:leader="none" w:pos="514"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500" w:type="dxa"/>
            <w:vAlign w:val="bottom"/>
          </w:tcPr>
          <w:p>
            <w:pPr>
              <w:ind w:left="120"/>
              <w:spacing w:after="0"/>
              <w:rPr>
                <w:sz w:val="20"/>
                <w:szCs w:val="20"/>
                <w:color w:val="auto"/>
              </w:rPr>
            </w:pPr>
            <w:r>
              <w:rPr>
                <w:rFonts w:ascii="Arial" w:cs="Arial" w:eastAsia="Arial" w:hAnsi="Arial"/>
                <w:sz w:val="22"/>
                <w:szCs w:val="22"/>
                <w:color w:val="auto"/>
              </w:rPr>
              <w:t>November 1, 2021</w:t>
            </w:r>
          </w:p>
        </w:tc>
        <w:tc>
          <w:tcPr>
            <w:tcW w:w="120" w:type="dxa"/>
            <w:vAlign w:val="bottom"/>
          </w:tcPr>
          <w:p>
            <w:pPr>
              <w:spacing w:after="0"/>
              <w:rPr>
                <w:sz w:val="21"/>
                <w:szCs w:val="21"/>
                <w:color w:val="auto"/>
              </w:rPr>
            </w:pP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7"/>
              </w:rPr>
              <w:t>/s/ Timothy J. Donahue</w:t>
            </w:r>
          </w:p>
        </w:tc>
        <w:tc>
          <w:tcPr>
            <w:tcW w:w="2000" w:type="dxa"/>
            <w:vAlign w:val="bottom"/>
          </w:tcPr>
          <w:p>
            <w:pPr>
              <w:spacing w:after="0"/>
              <w:rPr>
                <w:sz w:val="21"/>
                <w:szCs w:val="21"/>
                <w:color w:val="auto"/>
              </w:rPr>
            </w:pPr>
          </w:p>
        </w:tc>
      </w:tr>
      <w:tr>
        <w:trPr>
          <w:trHeight w:val="284"/>
        </w:trPr>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3"/>
          </w:tcPr>
          <w:p>
            <w:pPr>
              <w:ind w:left="640"/>
              <w:spacing w:after="0"/>
              <w:rPr>
                <w:sz w:val="20"/>
                <w:szCs w:val="20"/>
                <w:color w:val="auto"/>
              </w:rPr>
            </w:pPr>
            <w:r>
              <w:rPr>
                <w:rFonts w:ascii="Arial" w:cs="Arial" w:eastAsia="Arial" w:hAnsi="Arial"/>
                <w:sz w:val="22"/>
                <w:szCs w:val="22"/>
                <w:color w:val="auto"/>
              </w:rPr>
              <w:t>Timothy J. Donahue</w:t>
            </w:r>
          </w:p>
        </w:tc>
      </w:tr>
      <w:tr>
        <w:trPr>
          <w:trHeight w:val="259"/>
        </w:trPr>
        <w:tc>
          <w:tcPr>
            <w:tcW w:w="6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20" w:type="dxa"/>
            <w:vAlign w:val="bottom"/>
            <w:gridSpan w:val="3"/>
          </w:tcPr>
          <w:p>
            <w:pPr>
              <w:ind w:left="640"/>
              <w:spacing w:after="0"/>
              <w:rPr>
                <w:sz w:val="20"/>
                <w:szCs w:val="20"/>
                <w:color w:val="auto"/>
              </w:rPr>
            </w:pPr>
            <w:r>
              <w:rPr>
                <w:rFonts w:ascii="Arial" w:cs="Arial" w:eastAsia="Arial" w:hAnsi="Arial"/>
                <w:sz w:val="22"/>
                <w:szCs w:val="22"/>
                <w:color w:val="auto"/>
                <w:w w:val="97"/>
              </w:rPr>
              <w:t>President and Chief Executive Officer</w:t>
            </w:r>
          </w:p>
        </w:tc>
      </w:tr>
      <w:tr>
        <w:trPr>
          <w:trHeight w:val="449"/>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500" w:type="dxa"/>
            <w:vAlign w:val="bottom"/>
          </w:tcPr>
          <w:p>
            <w:pPr>
              <w:ind w:left="120"/>
              <w:spacing w:after="0"/>
              <w:rPr>
                <w:sz w:val="20"/>
                <w:szCs w:val="20"/>
                <w:color w:val="auto"/>
              </w:rPr>
            </w:pPr>
            <w:r>
              <w:rPr>
                <w:rFonts w:ascii="Arial" w:cs="Arial" w:eastAsia="Arial" w:hAnsi="Arial"/>
                <w:sz w:val="22"/>
                <w:szCs w:val="22"/>
                <w:color w:val="auto"/>
              </w:rPr>
              <w:t>November 1, 2021</w:t>
            </w:r>
          </w:p>
        </w:tc>
        <w:tc>
          <w:tcPr>
            <w:tcW w:w="4340" w:type="dxa"/>
            <w:vAlign w:val="bottom"/>
            <w:gridSpan w:val="4"/>
          </w:tcPr>
          <w:p>
            <w:pPr>
              <w:ind w:left="120"/>
              <w:spacing w:after="0"/>
              <w:rPr>
                <w:sz w:val="20"/>
                <w:szCs w:val="20"/>
                <w:color w:val="auto"/>
              </w:rPr>
            </w:pPr>
            <w:r>
              <w:rPr>
                <w:rFonts w:ascii="Arial" w:cs="Arial" w:eastAsia="Arial" w:hAnsi="Arial"/>
                <w:sz w:val="22"/>
                <w:szCs w:val="22"/>
                <w:color w:val="auto"/>
              </w:rPr>
              <w:t>/s/ Thomas A. Kelly</w:t>
            </w:r>
          </w:p>
        </w:tc>
      </w:tr>
      <w:tr>
        <w:trPr>
          <w:trHeight w:val="284"/>
        </w:trPr>
        <w:tc>
          <w:tcPr>
            <w:tcW w:w="640" w:type="dxa"/>
            <w:vAlign w:val="bottom"/>
          </w:tcPr>
          <w:p>
            <w:pPr>
              <w:spacing w:after="0"/>
              <w:rPr>
                <w:sz w:val="24"/>
                <w:szCs w:val="24"/>
                <w:color w:val="auto"/>
              </w:rPr>
            </w:pPr>
          </w:p>
        </w:tc>
        <w:tc>
          <w:tcPr>
            <w:tcW w:w="2500" w:type="dxa"/>
            <w:vAlign w:val="bottom"/>
          </w:tcPr>
          <w:p>
            <w:pPr>
              <w:ind w:left="800"/>
              <w:spacing w:after="0"/>
              <w:rPr>
                <w:sz w:val="20"/>
                <w:szCs w:val="20"/>
                <w:color w:val="auto"/>
              </w:rPr>
            </w:pPr>
            <w:r>
              <w:rPr>
                <w:rFonts w:ascii="Arial" w:cs="Arial" w:eastAsia="Arial" w:hAnsi="Arial"/>
                <w:sz w:val="22"/>
                <w:szCs w:val="22"/>
                <w:color w:val="auto"/>
              </w:rPr>
              <w:t>Thomas A. Kelly</w:t>
            </w:r>
          </w:p>
        </w:tc>
        <w:tc>
          <w:tcPr>
            <w:tcW w:w="12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56"/>
        </w:trPr>
        <w:tc>
          <w:tcPr>
            <w:tcW w:w="640" w:type="dxa"/>
            <w:vAlign w:val="bottom"/>
          </w:tcPr>
          <w:p>
            <w:pPr>
              <w:spacing w:after="0"/>
              <w:rPr>
                <w:sz w:val="22"/>
                <w:szCs w:val="22"/>
                <w:color w:val="auto"/>
              </w:rPr>
            </w:pPr>
          </w:p>
        </w:tc>
        <w:tc>
          <w:tcPr>
            <w:tcW w:w="6840" w:type="dxa"/>
            <w:vAlign w:val="bottom"/>
            <w:gridSpan w:val="5"/>
          </w:tcPr>
          <w:p>
            <w:pPr>
              <w:ind w:left="800"/>
              <w:spacing w:after="0"/>
              <w:rPr>
                <w:sz w:val="20"/>
                <w:szCs w:val="20"/>
                <w:color w:val="auto"/>
              </w:rPr>
            </w:pPr>
            <w:r>
              <w:rPr>
                <w:rFonts w:ascii="Arial" w:cs="Arial" w:eastAsia="Arial" w:hAnsi="Arial"/>
                <w:sz w:val="22"/>
                <w:szCs w:val="22"/>
                <w:color w:val="auto"/>
              </w:rPr>
              <w:t>Senior Vice President</w:t>
            </w:r>
          </w:p>
        </w:tc>
      </w:tr>
      <w:tr>
        <w:trPr>
          <w:trHeight w:val="259"/>
        </w:trPr>
        <w:tc>
          <w:tcPr>
            <w:tcW w:w="640" w:type="dxa"/>
            <w:vAlign w:val="bottom"/>
          </w:tcPr>
          <w:p>
            <w:pPr>
              <w:spacing w:after="0"/>
              <w:rPr>
                <w:sz w:val="22"/>
                <w:szCs w:val="22"/>
                <w:color w:val="auto"/>
              </w:rPr>
            </w:pPr>
          </w:p>
        </w:tc>
        <w:tc>
          <w:tcPr>
            <w:tcW w:w="6840" w:type="dxa"/>
            <w:vAlign w:val="bottom"/>
            <w:gridSpan w:val="5"/>
          </w:tcPr>
          <w:p>
            <w:pPr>
              <w:ind w:left="800"/>
              <w:spacing w:after="0"/>
              <w:rPr>
                <w:sz w:val="20"/>
                <w:szCs w:val="20"/>
                <w:color w:val="auto"/>
              </w:rPr>
            </w:pPr>
            <w:r>
              <w:rPr>
                <w:rFonts w:ascii="Arial" w:cs="Arial" w:eastAsia="Arial" w:hAnsi="Arial"/>
                <w:sz w:val="22"/>
                <w:szCs w:val="22"/>
                <w:color w:val="auto"/>
              </w:rPr>
              <w:t>and Chief Financial Officer</w:t>
            </w:r>
          </w:p>
        </w:tc>
      </w:tr>
    </w:tbl>
    <w:p>
      <w:pPr>
        <w:spacing w:after="0" w:line="200" w:lineRule="exact"/>
        <w:rPr>
          <w:sz w:val="20"/>
          <w:szCs w:val="20"/>
          <w:color w:val="auto"/>
        </w:rPr>
      </w:pPr>
    </w:p>
    <w:p>
      <w:pPr>
        <w:spacing w:after="0" w:line="283"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3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upperLetter"/>
      <w:start w:val="1"/>
    </w:lvl>
  </w:abstractNum>
  <w:abstractNum w:abstractNumId="4">
    <w:nsid w:val="DED7263"/>
    <w:multiLevelType w:val="hybridMultilevel"/>
    <w:lvl w:ilvl="0">
      <w:lvlJc w:val="left"/>
      <w:lvlText w:val="%1."/>
      <w:numFmt w:val="upperLetter"/>
      <w:start w:val="4"/>
    </w:lvl>
  </w:abstractNum>
  <w:abstractNum w:abstractNumId="5">
    <w:nsid w:val="7FDCC233"/>
    <w:multiLevelType w:val="hybridMultilevel"/>
    <w:lvl w:ilvl="0">
      <w:lvlJc w:val="left"/>
      <w:lvlText w:val="%1."/>
      <w:numFmt w:val="upperLetter"/>
      <w:start w:val="6"/>
    </w:lvl>
  </w:abstractNum>
  <w:abstractNum w:abstractNumId="6">
    <w:nsid w:val="1BEFD79F"/>
    <w:multiLevelType w:val="hybridMultilevel"/>
    <w:lvl w:ilvl="0">
      <w:lvlJc w:val="left"/>
      <w:lvlText w:val="%1."/>
      <w:numFmt w:val="upperLetter"/>
      <w:start w:val="7"/>
    </w:lvl>
  </w:abstractNum>
  <w:abstractNum w:abstractNumId="7">
    <w:nsid w:val="41A7C4C9"/>
    <w:multiLevelType w:val="hybridMultilevel"/>
    <w:lvl w:ilvl="0">
      <w:lvlJc w:val="left"/>
      <w:lvlText w:val="%1."/>
      <w:numFmt w:val="upperLetter"/>
      <w:start w:val="8"/>
    </w:lvl>
  </w:abstractNum>
  <w:abstractNum w:abstractNumId="8">
    <w:nsid w:val="6B68079A"/>
    <w:multiLevelType w:val="hybridMultilevel"/>
    <w:lvl w:ilvl="0">
      <w:lvlJc w:val="left"/>
      <w:lvlText w:val="%1."/>
      <w:numFmt w:val="upperLetter"/>
      <w:start w:val="9"/>
    </w:lvl>
  </w:abstractNum>
  <w:abstractNum w:abstractNumId="9">
    <w:nsid w:val="4E6AFB66"/>
    <w:multiLevelType w:val="hybridMultilevel"/>
    <w:lvl w:ilvl="0">
      <w:lvlJc w:val="left"/>
      <w:lvlText w:val="%1."/>
      <w:numFmt w:val="upperLetter"/>
      <w:start w:val="10"/>
    </w:lvl>
  </w:abstractNum>
  <w:abstractNum w:abstractNumId="10">
    <w:nsid w:val="25E45D32"/>
    <w:multiLevelType w:val="hybridMultilevel"/>
    <w:lvl w:ilvl="0">
      <w:lvlJc w:val="left"/>
      <w:lvlText w:val="%1."/>
      <w:numFmt w:val="upperLetter"/>
      <w:start w:val="11"/>
    </w:lvl>
  </w:abstractNum>
  <w:abstractNum w:abstractNumId="11">
    <w:nsid w:val="519B500D"/>
    <w:multiLevelType w:val="hybridMultilevel"/>
    <w:lvl w:ilvl="0">
      <w:lvlJc w:val="left"/>
      <w:lvlText w:val="%1."/>
      <w:numFmt w:val="upperLetter"/>
      <w:start w:val="13"/>
    </w:lvl>
  </w:abstractNum>
  <w:abstractNum w:abstractNumId="12">
    <w:nsid w:val="431BD7B7"/>
    <w:multiLevelType w:val="hybridMultilevel"/>
    <w:lvl w:ilvl="0">
      <w:lvlJc w:val="left"/>
      <w:lvlText w:val="%1."/>
      <w:numFmt w:val="upperLetter"/>
      <w:start w:val="14"/>
    </w:lvl>
  </w:abstractNum>
  <w:abstractNum w:abstractNumId="13">
    <w:nsid w:val="3F2DBA31"/>
    <w:multiLevelType w:val="hybridMultilevel"/>
    <w:lvl w:ilvl="0">
      <w:lvlJc w:val="left"/>
      <w:lvlText w:val="%1."/>
      <w:numFmt w:val="upperLetter"/>
      <w:start w:val="15"/>
    </w:lvl>
  </w:abstractNum>
  <w:abstractNum w:abstractNumId="14">
    <w:nsid w:val="7C83E458"/>
    <w:multiLevelType w:val="hybridMultilevel"/>
    <w:lvl w:ilvl="0">
      <w:lvlJc w:val="left"/>
      <w:lvlText w:val="%1."/>
      <w:numFmt w:val="upperLetter"/>
      <w:start w:val="16"/>
    </w:lvl>
  </w:abstractNum>
  <w:abstractNum w:abstractNumId="15">
    <w:nsid w:val="257130A3"/>
    <w:multiLevelType w:val="hybridMultilevel"/>
    <w:lvl w:ilvl="0">
      <w:lvlJc w:val="left"/>
      <w:lvlText w:val="%1."/>
      <w:numFmt w:val="upperLetter"/>
      <w:start w:val="18"/>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2021-11-01T14:06:49Z</dcterms:created>
  <dcterms:modified xsi:type="dcterms:W3CDTF">2021-11-01T14:06:49Z</dcterms:modified>
</cp:coreProperties>
</file>