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CLOTHIER KEVIN CHARLES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Senior Vice President &amp; CFO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01/05/2022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10,151</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right"/>
              <w:ind w:right="317"/>
              <w:spacing w:after="0"/>
              <w:rPr>
                <w:sz w:val="20"/>
                <w:szCs w:val="20"/>
                <w:color w:val="auto"/>
              </w:rPr>
            </w:pPr>
            <w:r>
              <w:rPr>
                <w:rFonts w:ascii="Arial" w:cs="Arial" w:eastAsia="Arial" w:hAnsi="Arial"/>
                <w:sz w:val="17"/>
                <w:szCs w:val="17"/>
                <w:color w:val="0000FF"/>
              </w:rPr>
              <w:t>14,151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437"/>
              <w:spacing w:after="0"/>
              <w:rPr>
                <w:sz w:val="20"/>
                <w:szCs w:val="20"/>
                <w:color w:val="auto"/>
              </w:rPr>
            </w:pPr>
            <w:r>
              <w:rPr>
                <w:rFonts w:ascii="Arial" w:cs="Arial" w:eastAsia="Arial" w:hAnsi="Arial"/>
                <w:sz w:val="17"/>
                <w:szCs w:val="17"/>
                <w:color w:val="0000FF"/>
                <w:w w:val="91"/>
              </w:rPr>
              <w:t>337</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10,151 shares of Restricted Common Stock under the 2013 Stock-Based Compensation Plan. 3,464 time-vested restricted shares vest over a three year period as follows: 1,155 time-vested restricted shares on January 5, 2023 and 2024, respectively, and 1,154 time-vested restricted shares on January 6, 2025. 3,223 performance-based restricted shares are targeted to vest on January 6, 2025 based on the Company's Total Shareholder Return versus a defined peer group of companies, with the final number of performance-based vested shares varying from 0 to 200% of 3,223. 3,464 performance-based restricted shares are targeted to vest on January 6, 2025 based on the Return on Invested Capital achieved by the Company compared to the ROIC target, with the final number of performance-based vested shares varying from 0 to 3,464.</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01/07/2022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8886"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2022-01-07T11:56:25Z</dcterms:created>
  <dcterms:modified xsi:type="dcterms:W3CDTF">2022-01-07T11:56:25Z</dcterms:modified>
</cp:coreProperties>
</file>