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9" w:lineRule="exact"/>
        <w:rPr>
          <w:sz w:val="24"/>
          <w:szCs w:val="24"/>
          <w:color w:val="auto"/>
        </w:rPr>
      </w:pPr>
    </w:p>
    <w:p>
      <w:pPr>
        <w:ind w:left="460" w:right="28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September 30, 2023</w:t>
      </w:r>
    </w:p>
    <w:p>
      <w:pPr>
        <w:spacing w:after="0" w:line="233" w:lineRule="exact"/>
        <w:rPr>
          <w:sz w:val="24"/>
          <w:szCs w:val="24"/>
          <w:color w:val="auto"/>
        </w:rPr>
      </w:pPr>
    </w:p>
    <w:p>
      <w:pPr>
        <w:ind w:left="460" w:right="280" w:hanging="434"/>
        <w:spacing w:after="0" w:line="235"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9" w:lineRule="exact"/>
        <w:rPr>
          <w:sz w:val="24"/>
          <w:szCs w:val="24"/>
          <w:color w:val="auto"/>
        </w:rPr>
      </w:pPr>
    </w:p>
    <w:p>
      <w:pPr>
        <w:ind w:left="29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5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000-50189</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CROWN HOLDINGS, INC.</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020" w:type="dxa"/>
            <w:vAlign w:val="bottom"/>
          </w:tcPr>
          <w:p>
            <w:pPr>
              <w:jc w:val="center"/>
              <w:ind w:left="1160"/>
              <w:spacing w:after="0"/>
              <w:rPr>
                <w:sz w:val="20"/>
                <w:szCs w:val="20"/>
                <w:color w:val="auto"/>
              </w:rPr>
            </w:pPr>
            <w:r>
              <w:rPr>
                <w:rFonts w:ascii="Arial" w:cs="Arial" w:eastAsia="Arial" w:hAnsi="Arial"/>
                <w:sz w:val="18"/>
                <w:szCs w:val="18"/>
                <w:b w:val="1"/>
                <w:bCs w:val="1"/>
                <w:color w:val="auto"/>
                <w:w w:val="88"/>
              </w:rPr>
              <w:t>Pennsylvania</w:t>
            </w:r>
          </w:p>
        </w:tc>
        <w:tc>
          <w:tcPr>
            <w:tcW w:w="1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980" w:type="dxa"/>
            <w:vAlign w:val="bottom"/>
          </w:tcPr>
          <w:p>
            <w:pPr>
              <w:jc w:val="right"/>
              <w:ind w:right="521"/>
              <w:spacing w:after="0"/>
              <w:rPr>
                <w:sz w:val="20"/>
                <w:szCs w:val="20"/>
                <w:color w:val="auto"/>
              </w:rPr>
            </w:pPr>
            <w:r>
              <w:rPr>
                <w:rFonts w:ascii="Arial" w:cs="Arial" w:eastAsia="Arial" w:hAnsi="Arial"/>
                <w:sz w:val="18"/>
                <w:szCs w:val="18"/>
                <w:b w:val="1"/>
                <w:bCs w:val="1"/>
                <w:color w:val="auto"/>
              </w:rPr>
              <w:t>75-3099507</w:t>
            </w:r>
          </w:p>
        </w:tc>
      </w:tr>
      <w:tr>
        <w:trPr>
          <w:trHeight w:val="144"/>
        </w:trPr>
        <w:tc>
          <w:tcPr>
            <w:tcW w:w="3020" w:type="dxa"/>
            <w:vAlign w:val="bottom"/>
          </w:tcPr>
          <w:p>
            <w:pPr>
              <w:jc w:val="center"/>
              <w:ind w:left="114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1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980" w:type="dxa"/>
            <w:vAlign w:val="bottom"/>
          </w:tcPr>
          <w:p>
            <w:pPr>
              <w:jc w:val="center"/>
              <w:ind w:right="21"/>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7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9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Identification No.)</w:t>
            </w:r>
          </w:p>
        </w:tc>
      </w:tr>
      <w:tr>
        <w:trPr>
          <w:trHeight w:val="507"/>
        </w:trPr>
        <w:tc>
          <w:tcPr>
            <w:tcW w:w="4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14025 Riveredge Drive, Suite 300</w:t>
            </w:r>
          </w:p>
        </w:tc>
        <w:tc>
          <w:tcPr>
            <w:tcW w:w="760" w:type="dxa"/>
            <w:vAlign w:val="bottom"/>
          </w:tcPr>
          <w:p>
            <w:pPr>
              <w:ind w:left="160"/>
              <w:spacing w:after="0"/>
              <w:rPr>
                <w:sz w:val="20"/>
                <w:szCs w:val="20"/>
                <w:color w:val="auto"/>
              </w:rPr>
            </w:pPr>
            <w:r>
              <w:rPr>
                <w:rFonts w:ascii="Arial" w:cs="Arial" w:eastAsia="Arial" w:hAnsi="Arial"/>
                <w:sz w:val="18"/>
                <w:szCs w:val="18"/>
                <w:b w:val="1"/>
                <w:bCs w:val="1"/>
                <w:color w:val="auto"/>
                <w:w w:val="99"/>
              </w:rPr>
              <w:t>Tampa</w:t>
            </w:r>
          </w:p>
        </w:tc>
        <w:tc>
          <w:tcPr>
            <w:tcW w:w="2740" w:type="dxa"/>
            <w:vAlign w:val="bottom"/>
          </w:tcPr>
          <w:p>
            <w:pPr>
              <w:ind w:left="660"/>
              <w:spacing w:after="0"/>
              <w:rPr>
                <w:sz w:val="20"/>
                <w:szCs w:val="20"/>
                <w:color w:val="auto"/>
              </w:rPr>
            </w:pPr>
            <w:r>
              <w:rPr>
                <w:rFonts w:ascii="Arial" w:cs="Arial" w:eastAsia="Arial" w:hAnsi="Arial"/>
                <w:sz w:val="18"/>
                <w:szCs w:val="18"/>
                <w:b w:val="1"/>
                <w:bCs w:val="1"/>
                <w:color w:val="auto"/>
              </w:rPr>
              <w:t>FL</w:t>
            </w:r>
          </w:p>
        </w:tc>
        <w:tc>
          <w:tcPr>
            <w:tcW w:w="1980" w:type="dxa"/>
            <w:vAlign w:val="bottom"/>
          </w:tcPr>
          <w:p>
            <w:pPr>
              <w:jc w:val="right"/>
              <w:ind w:right="741"/>
              <w:spacing w:after="0"/>
              <w:rPr>
                <w:sz w:val="20"/>
                <w:szCs w:val="20"/>
                <w:color w:val="auto"/>
              </w:rPr>
            </w:pPr>
            <w:r>
              <w:rPr>
                <w:rFonts w:ascii="Arial" w:cs="Arial" w:eastAsia="Arial" w:hAnsi="Arial"/>
                <w:sz w:val="18"/>
                <w:szCs w:val="18"/>
                <w:b w:val="1"/>
                <w:bCs w:val="1"/>
                <w:color w:val="auto"/>
              </w:rPr>
              <w:t>33637</w:t>
            </w:r>
          </w:p>
        </w:tc>
      </w:tr>
      <w:tr>
        <w:trPr>
          <w:trHeight w:val="186"/>
        </w:trPr>
        <w:tc>
          <w:tcPr>
            <w:tcW w:w="4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7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(Zip Code)</w:t>
            </w:r>
          </w:p>
        </w:tc>
      </w:tr>
      <w:tr>
        <w:trPr>
          <w:trHeight w:val="381"/>
        </w:trPr>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40" w:type="dxa"/>
            <w:vAlign w:val="bottom"/>
          </w:tcPr>
          <w:p>
            <w:pPr>
              <w:jc w:val="right"/>
              <w:ind w:right="1550"/>
              <w:spacing w:after="0"/>
              <w:rPr>
                <w:sz w:val="20"/>
                <w:szCs w:val="20"/>
                <w:color w:val="auto"/>
              </w:rPr>
            </w:pPr>
            <w:r>
              <w:rPr>
                <w:rFonts w:ascii="Arial" w:cs="Arial" w:eastAsia="Arial" w:hAnsi="Arial"/>
                <w:sz w:val="18"/>
                <w:szCs w:val="18"/>
                <w:b w:val="1"/>
                <w:bCs w:val="1"/>
                <w:color w:val="auto"/>
                <w:w w:val="96"/>
              </w:rPr>
              <w:t>215-698-5100</w:t>
            </w:r>
          </w:p>
        </w:tc>
        <w:tc>
          <w:tcPr>
            <w:tcW w:w="1980" w:type="dxa"/>
            <w:vAlign w:val="bottom"/>
          </w:tcPr>
          <w:p>
            <w:pPr>
              <w:spacing w:after="0"/>
              <w:rPr>
                <w:sz w:val="24"/>
                <w:szCs w:val="24"/>
                <w:color w:val="auto"/>
              </w:rPr>
            </w:pPr>
          </w:p>
        </w:tc>
      </w:tr>
      <w:tr>
        <w:trPr>
          <w:trHeight w:val="166"/>
        </w:trPr>
        <w:tc>
          <w:tcPr>
            <w:tcW w:w="3020" w:type="dxa"/>
            <w:vAlign w:val="bottom"/>
          </w:tcPr>
          <w:p>
            <w:pPr>
              <w:spacing w:after="0"/>
              <w:rPr>
                <w:sz w:val="14"/>
                <w:szCs w:val="14"/>
                <w:color w:val="auto"/>
              </w:rPr>
            </w:pPr>
          </w:p>
        </w:tc>
        <w:tc>
          <w:tcPr>
            <w:tcW w:w="4760" w:type="dxa"/>
            <w:vAlign w:val="bottom"/>
            <w:gridSpan w:val="3"/>
          </w:tcPr>
          <w:p>
            <w:pPr>
              <w:ind w:left="1000"/>
              <w:spacing w:after="0"/>
              <w:rPr>
                <w:sz w:val="20"/>
                <w:szCs w:val="20"/>
                <w:color w:val="auto"/>
              </w:rPr>
            </w:pPr>
            <w:r>
              <w:rPr>
                <w:rFonts w:ascii="Arial" w:cs="Arial" w:eastAsia="Arial" w:hAnsi="Arial"/>
                <w:sz w:val="14"/>
                <w:szCs w:val="14"/>
                <w:b w:val="1"/>
                <w:bCs w:val="1"/>
                <w:color w:val="auto"/>
              </w:rPr>
              <w:t>(registrant’s telephone number, including area code)</w:t>
            </w:r>
          </w:p>
        </w:tc>
        <w:tc>
          <w:tcPr>
            <w:tcW w:w="1980" w:type="dxa"/>
            <w:vAlign w:val="bottom"/>
          </w:tcPr>
          <w:p>
            <w:pPr>
              <w:spacing w:after="0"/>
              <w:rPr>
                <w:sz w:val="14"/>
                <w:szCs w:val="14"/>
                <w:color w:val="auto"/>
              </w:rPr>
            </w:pPr>
          </w:p>
        </w:tc>
      </w:tr>
      <w:tr>
        <w:trPr>
          <w:trHeight w:val="182"/>
        </w:trPr>
        <w:tc>
          <w:tcPr>
            <w:tcW w:w="3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500" w:type="dxa"/>
            <w:vAlign w:val="bottom"/>
            <w:gridSpan w:val="2"/>
          </w:tcPr>
          <w:p>
            <w:pPr>
              <w:jc w:val="right"/>
              <w:ind w:right="1350"/>
              <w:spacing w:after="0"/>
              <w:rPr>
                <w:sz w:val="20"/>
                <w:szCs w:val="20"/>
                <w:color w:val="auto"/>
              </w:rPr>
            </w:pPr>
            <w:r>
              <w:rPr>
                <w:rFonts w:ascii="Arial" w:cs="Arial" w:eastAsia="Arial" w:hAnsi="Arial"/>
                <w:sz w:val="14"/>
                <w:szCs w:val="14"/>
                <w:color w:val="auto"/>
              </w:rPr>
              <w:t>____________________</w:t>
            </w:r>
          </w:p>
        </w:tc>
        <w:tc>
          <w:tcPr>
            <w:tcW w:w="1980" w:type="dxa"/>
            <w:vAlign w:val="bottom"/>
          </w:tcPr>
          <w:p>
            <w:pPr>
              <w:spacing w:after="0"/>
              <w:rPr>
                <w:sz w:val="15"/>
                <w:szCs w:val="15"/>
                <w:color w:val="auto"/>
              </w:rPr>
            </w:pPr>
          </w:p>
        </w:tc>
      </w:tr>
      <w:tr>
        <w:trPr>
          <w:trHeight w:val="303"/>
        </w:trPr>
        <w:tc>
          <w:tcPr>
            <w:tcW w:w="7780" w:type="dxa"/>
            <w:vAlign w:val="bottom"/>
            <w:gridSpan w:val="4"/>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1980" w:type="dxa"/>
            <w:vAlign w:val="bottom"/>
          </w:tcPr>
          <w:p>
            <w:pPr>
              <w:spacing w:after="0"/>
              <w:rPr>
                <w:sz w:val="24"/>
                <w:szCs w:val="24"/>
                <w:color w:val="auto"/>
              </w:rPr>
            </w:pPr>
          </w:p>
        </w:tc>
      </w:tr>
      <w:tr>
        <w:trPr>
          <w:trHeight w:val="327"/>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Title of each class</w:t>
            </w:r>
          </w:p>
        </w:tc>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Trading Symbols</w:t>
            </w:r>
          </w:p>
        </w:tc>
        <w:tc>
          <w:tcPr>
            <w:tcW w:w="3500" w:type="dxa"/>
            <w:vAlign w:val="bottom"/>
            <w:tcBorders>
              <w:bottom w:val="single" w:sz="8" w:color="auto"/>
            </w:tcBorders>
            <w:gridSpan w:val="2"/>
          </w:tcPr>
          <w:p>
            <w:pPr>
              <w:ind w:left="240"/>
              <w:spacing w:after="0"/>
              <w:rPr>
                <w:sz w:val="20"/>
                <w:szCs w:val="20"/>
                <w:color w:val="auto"/>
              </w:rPr>
            </w:pPr>
            <w:r>
              <w:rPr>
                <w:rFonts w:ascii="Arial" w:cs="Arial" w:eastAsia="Arial" w:hAnsi="Arial"/>
                <w:sz w:val="16"/>
                <w:szCs w:val="16"/>
                <w:color w:val="auto"/>
              </w:rPr>
              <w:t>Name of each exchange on which registered</w:t>
            </w:r>
          </w:p>
        </w:tc>
        <w:tc>
          <w:tcPr>
            <w:tcW w:w="1980" w:type="dxa"/>
            <w:vAlign w:val="bottom"/>
            <w:tcBorders>
              <w:bottom w:val="single" w:sz="8" w:color="auto"/>
            </w:tcBorders>
          </w:tcPr>
          <w:p>
            <w:pPr>
              <w:spacing w:after="0"/>
              <w:rPr>
                <w:sz w:val="24"/>
                <w:szCs w:val="24"/>
                <w:color w:val="auto"/>
              </w:rPr>
            </w:pPr>
          </w:p>
        </w:tc>
      </w:tr>
      <w:tr>
        <w:trPr>
          <w:trHeight w:val="206"/>
        </w:trPr>
        <w:tc>
          <w:tcPr>
            <w:tcW w:w="3020" w:type="dxa"/>
            <w:vAlign w:val="bottom"/>
          </w:tcPr>
          <w:p>
            <w:pPr>
              <w:ind w:left="20"/>
              <w:spacing w:after="0"/>
              <w:rPr>
                <w:sz w:val="20"/>
                <w:szCs w:val="20"/>
                <w:color w:val="auto"/>
              </w:rPr>
            </w:pPr>
            <w:r>
              <w:rPr>
                <w:rFonts w:ascii="Arial" w:cs="Arial" w:eastAsia="Arial" w:hAnsi="Arial"/>
                <w:sz w:val="16"/>
                <w:szCs w:val="16"/>
                <w:color w:val="auto"/>
              </w:rPr>
              <w:t>Common Stock $5.00 Par Value</w:t>
            </w:r>
          </w:p>
        </w:tc>
        <w:tc>
          <w:tcPr>
            <w:tcW w:w="1260" w:type="dxa"/>
            <w:vAlign w:val="bottom"/>
          </w:tcPr>
          <w:p>
            <w:pPr>
              <w:spacing w:after="0"/>
              <w:rPr>
                <w:sz w:val="20"/>
                <w:szCs w:val="20"/>
                <w:color w:val="auto"/>
              </w:rPr>
            </w:pPr>
            <w:r>
              <w:rPr>
                <w:rFonts w:ascii="Arial" w:cs="Arial" w:eastAsia="Arial" w:hAnsi="Arial"/>
                <w:sz w:val="16"/>
                <w:szCs w:val="16"/>
                <w:color w:val="auto"/>
              </w:rPr>
              <w:t>CCK</w:t>
            </w:r>
          </w:p>
        </w:tc>
        <w:tc>
          <w:tcPr>
            <w:tcW w:w="3500" w:type="dxa"/>
            <w:vAlign w:val="bottom"/>
            <w:gridSpan w:val="2"/>
          </w:tcPr>
          <w:p>
            <w:pPr>
              <w:ind w:left="24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7"/>
                <w:szCs w:val="17"/>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3/8% Debentures Due 2026</w:t>
            </w:r>
          </w:p>
        </w:tc>
        <w:tc>
          <w:tcPr>
            <w:tcW w:w="1260" w:type="dxa"/>
            <w:vAlign w:val="bottom"/>
          </w:tcPr>
          <w:p>
            <w:pPr>
              <w:spacing w:after="0"/>
              <w:rPr>
                <w:sz w:val="20"/>
                <w:szCs w:val="20"/>
                <w:color w:val="auto"/>
              </w:rPr>
            </w:pPr>
            <w:r>
              <w:rPr>
                <w:rFonts w:ascii="Arial" w:cs="Arial" w:eastAsia="Arial" w:hAnsi="Arial"/>
                <w:sz w:val="16"/>
                <w:szCs w:val="16"/>
                <w:color w:val="auto"/>
              </w:rPr>
              <w:t>CCK26</w:t>
            </w:r>
          </w:p>
        </w:tc>
        <w:tc>
          <w:tcPr>
            <w:tcW w:w="3500" w:type="dxa"/>
            <w:vAlign w:val="bottom"/>
            <w:gridSpan w:val="2"/>
          </w:tcPr>
          <w:p>
            <w:pPr>
              <w:ind w:left="24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r>
        <w:trPr>
          <w:trHeight w:val="216"/>
        </w:trPr>
        <w:tc>
          <w:tcPr>
            <w:tcW w:w="3020" w:type="dxa"/>
            <w:vAlign w:val="bottom"/>
          </w:tcPr>
          <w:p>
            <w:pPr>
              <w:ind w:left="20"/>
              <w:spacing w:after="0"/>
              <w:rPr>
                <w:sz w:val="20"/>
                <w:szCs w:val="20"/>
                <w:color w:val="auto"/>
              </w:rPr>
            </w:pPr>
            <w:r>
              <w:rPr>
                <w:rFonts w:ascii="Arial" w:cs="Arial" w:eastAsia="Arial" w:hAnsi="Arial"/>
                <w:sz w:val="16"/>
                <w:szCs w:val="16"/>
                <w:color w:val="auto"/>
              </w:rPr>
              <w:t>7 1/2% Debentures Due 2096</w:t>
            </w:r>
          </w:p>
        </w:tc>
        <w:tc>
          <w:tcPr>
            <w:tcW w:w="1260" w:type="dxa"/>
            <w:vAlign w:val="bottom"/>
          </w:tcPr>
          <w:p>
            <w:pPr>
              <w:spacing w:after="0"/>
              <w:rPr>
                <w:sz w:val="20"/>
                <w:szCs w:val="20"/>
                <w:color w:val="auto"/>
              </w:rPr>
            </w:pPr>
            <w:r>
              <w:rPr>
                <w:rFonts w:ascii="Arial" w:cs="Arial" w:eastAsia="Arial" w:hAnsi="Arial"/>
                <w:sz w:val="16"/>
                <w:szCs w:val="16"/>
                <w:color w:val="auto"/>
              </w:rPr>
              <w:t>CCK96</w:t>
            </w:r>
          </w:p>
        </w:tc>
        <w:tc>
          <w:tcPr>
            <w:tcW w:w="3500" w:type="dxa"/>
            <w:vAlign w:val="bottom"/>
            <w:gridSpan w:val="2"/>
          </w:tcPr>
          <w:p>
            <w:pPr>
              <w:ind w:left="240"/>
              <w:spacing w:after="0"/>
              <w:rPr>
                <w:sz w:val="20"/>
                <w:szCs w:val="20"/>
                <w:color w:val="auto"/>
              </w:rPr>
            </w:pPr>
            <w:r>
              <w:rPr>
                <w:rFonts w:ascii="Arial" w:cs="Arial" w:eastAsia="Arial" w:hAnsi="Arial"/>
                <w:sz w:val="16"/>
                <w:szCs w:val="16"/>
                <w:color w:val="auto"/>
              </w:rPr>
              <w:t>New York Stock Exchange</w:t>
            </w:r>
          </w:p>
        </w:tc>
        <w:tc>
          <w:tcPr>
            <w:tcW w:w="1980" w:type="dxa"/>
            <w:vAlign w:val="bottom"/>
          </w:tcPr>
          <w:p>
            <w:pPr>
              <w:spacing w:after="0"/>
              <w:rPr>
                <w:sz w:val="18"/>
                <w:szCs w:val="18"/>
                <w:color w:val="auto"/>
              </w:rPr>
            </w:pPr>
          </w:p>
        </w:tc>
      </w:tr>
    </w:tbl>
    <w:p>
      <w:pPr>
        <w:spacing w:after="0" w:line="104" w:lineRule="exact"/>
        <w:rPr>
          <w:sz w:val="24"/>
          <w:szCs w:val="24"/>
          <w:color w:val="auto"/>
        </w:rPr>
      </w:pPr>
    </w:p>
    <w:p>
      <w:pPr>
        <w:jc w:val="both"/>
        <w:spacing w:after="0" w:line="20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9" w:lineRule="exact"/>
        <w:rPr>
          <w:sz w:val="24"/>
          <w:szCs w:val="24"/>
          <w:color w:val="auto"/>
        </w:rPr>
      </w:pPr>
    </w:p>
    <w:p>
      <w:pPr>
        <w:jc w:val="both"/>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32" w:lineRule="exact"/>
        <w:rPr>
          <w:sz w:val="24"/>
          <w:szCs w:val="24"/>
          <w:color w:val="auto"/>
        </w:rPr>
      </w:pPr>
    </w:p>
    <w:p>
      <w:pPr>
        <w:jc w:val="both"/>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003" w:right="339" w:bottom="1440" w:gutter="0" w:footer="0" w:header="0"/>
        </w:sectPr>
      </w:pPr>
    </w:p>
    <w:p>
      <w:pPr>
        <w:spacing w:after="0" w:line="25" w:lineRule="exact"/>
        <w:rPr>
          <w:sz w:val="24"/>
          <w:szCs w:val="24"/>
          <w:color w:val="auto"/>
        </w:rPr>
      </w:pPr>
    </w:p>
    <w:p>
      <w:pPr>
        <w:ind w:left="2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23" w:lineRule="exact"/>
        <w:rPr>
          <w:sz w:val="20"/>
          <w:szCs w:val="20"/>
          <w:color w:val="auto"/>
        </w:rPr>
      </w:pPr>
      <w:r>
        <w:rPr>
          <w:rFonts w:ascii="MS PGothic" w:cs="MS PGothic" w:eastAsia="MS PGothic" w:hAnsi="MS PGothic"/>
          <w:sz w:val="14"/>
          <w:szCs w:val="14"/>
          <w:color w:val="auto"/>
        </w:rPr>
        <w:t>☐</w:t>
      </w:r>
    </w:p>
    <w:p>
      <w:pPr>
        <w:spacing w:after="0" w:line="115" w:lineRule="exact"/>
        <w:rPr>
          <w:sz w:val="24"/>
          <w:szCs w:val="24"/>
          <w:color w:val="auto"/>
        </w:rPr>
      </w:pPr>
    </w:p>
    <w:p>
      <w:pPr>
        <w:sectPr>
          <w:pgSz w:w="11900" w:h="16838" w:orient="portrait"/>
          <w:cols w:equalWidth="0" w:num="4">
            <w:col w:w="1560" w:space="620"/>
            <w:col w:w="4660" w:space="720"/>
            <w:col w:w="2500" w:space="720"/>
            <w:col w:w="460"/>
          </w:cols>
          <w:pgMar w:left="320" w:top="1003" w:right="339" w:bottom="1440" w:gutter="0" w:footer="0" w:header="0"/>
          <w:type w:val="continuous"/>
        </w:sectPr>
      </w:pPr>
    </w:p>
    <w:p>
      <w:pPr>
        <w:spacing w:after="0" w:line="38" w:lineRule="exact"/>
        <w:rPr>
          <w:sz w:val="24"/>
          <w:szCs w:val="24"/>
          <w:color w:val="auto"/>
        </w:rPr>
      </w:pPr>
    </w:p>
    <w:p>
      <w:pPr>
        <w:ind w:left="2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68" w:lineRule="exact"/>
        <w:rPr>
          <w:sz w:val="24"/>
          <w:szCs w:val="24"/>
          <w:color w:val="auto"/>
        </w:rPr>
      </w:pPr>
    </w:p>
    <w:p>
      <w:pPr>
        <w:sectPr>
          <w:pgSz w:w="11900" w:h="16838" w:orient="portrait"/>
          <w:cols w:equalWidth="0" w:num="4">
            <w:col w:w="1460" w:space="720"/>
            <w:col w:w="4660" w:space="720"/>
            <w:col w:w="2500" w:space="720"/>
            <w:col w:w="460"/>
          </w:cols>
          <w:pgMar w:left="320" w:top="1003"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59" w:lineRule="exact"/>
        <w:rPr>
          <w:sz w:val="24"/>
          <w:szCs w:val="24"/>
          <w:color w:val="auto"/>
        </w:rPr>
      </w:pPr>
    </w:p>
    <w:p>
      <w:pPr>
        <w:spacing w:after="0" w:line="19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10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40" w:lineRule="exact"/>
        <w:rPr>
          <w:sz w:val="24"/>
          <w:szCs w:val="24"/>
          <w:color w:val="auto"/>
        </w:rPr>
      </w:pPr>
    </w:p>
    <w:p>
      <w:pPr>
        <w:spacing w:after="0"/>
        <w:rPr>
          <w:sz w:val="20"/>
          <w:szCs w:val="20"/>
          <w:color w:val="auto"/>
        </w:rPr>
      </w:pPr>
      <w:r>
        <w:rPr>
          <w:rFonts w:ascii="Arial" w:cs="Arial" w:eastAsia="Arial" w:hAnsi="Arial"/>
          <w:sz w:val="16"/>
          <w:szCs w:val="16"/>
          <w:color w:val="auto"/>
        </w:rPr>
        <w:t>There were 120,646,389 shares of Common Stock outstanding as of October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562610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40" w:type="dxa"/>
            <w:vAlign w:val="bottom"/>
            <w:gridSpan w:val="18"/>
          </w:tcPr>
          <w:p>
            <w:pPr>
              <w:ind w:left="160"/>
              <w:spacing w:after="0"/>
              <w:rPr>
                <w:sz w:val="20"/>
                <w:szCs w:val="20"/>
                <w:color w:val="auto"/>
              </w:rPr>
            </w:pPr>
            <w:r>
              <w:rPr>
                <w:rFonts w:ascii="Arial" w:cs="Arial" w:eastAsia="Arial" w:hAnsi="Arial"/>
                <w:sz w:val="18"/>
                <w:szCs w:val="18"/>
                <w:color w:val="auto"/>
              </w:rPr>
              <w:t>TABLE OF CONTENTS</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86"/>
              </w:rPr>
              <w:t>Page Number</w:t>
            </w:r>
          </w:p>
        </w:tc>
        <w:tc>
          <w:tcPr>
            <w:tcW w:w="6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PART I.</w:t>
            </w:r>
          </w:p>
        </w:tc>
        <w:tc>
          <w:tcPr>
            <w:tcW w:w="9060" w:type="dxa"/>
            <w:vAlign w:val="bottom"/>
            <w:gridSpan w:val="37"/>
          </w:tcPr>
          <w:p>
            <w:pPr>
              <w:spacing w:after="0"/>
              <w:rPr>
                <w:sz w:val="20"/>
                <w:szCs w:val="20"/>
                <w:color w:val="auto"/>
              </w:rPr>
            </w:pPr>
            <w:r>
              <w:rPr>
                <w:rFonts w:ascii="Arial" w:cs="Arial" w:eastAsia="Arial" w:hAnsi="Arial"/>
                <w:sz w:val="18"/>
                <w:szCs w:val="18"/>
                <w:color w:val="0000FF"/>
              </w:rPr>
              <w:t>Financial Information</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ind w:left="20"/>
              <w:spacing w:after="0"/>
              <w:rPr>
                <w:sz w:val="20"/>
                <w:szCs w:val="20"/>
                <w:color w:val="auto"/>
              </w:rPr>
            </w:pPr>
            <w:r>
              <w:rPr>
                <w:rFonts w:ascii="Arial" w:cs="Arial" w:eastAsia="Arial" w:hAnsi="Arial"/>
                <w:sz w:val="18"/>
                <w:szCs w:val="18"/>
                <w:color w:val="auto"/>
              </w:rPr>
              <w:t>Item 1.</w:t>
            </w:r>
          </w:p>
        </w:tc>
        <w:tc>
          <w:tcPr>
            <w:tcW w:w="320" w:type="dxa"/>
            <w:vAlign w:val="bottom"/>
          </w:tcPr>
          <w:p>
            <w:pPr>
              <w:spacing w:after="0"/>
              <w:rPr>
                <w:sz w:val="18"/>
                <w:szCs w:val="18"/>
                <w:color w:val="auto"/>
              </w:rPr>
            </w:pPr>
          </w:p>
        </w:tc>
        <w:tc>
          <w:tcPr>
            <w:tcW w:w="8740" w:type="dxa"/>
            <w:vAlign w:val="bottom"/>
            <w:gridSpan w:val="36"/>
          </w:tcPr>
          <w:p>
            <w:pPr>
              <w:spacing w:after="0"/>
              <w:rPr>
                <w:sz w:val="20"/>
                <w:szCs w:val="20"/>
                <w:color w:val="auto"/>
              </w:rPr>
            </w:pPr>
            <w:r>
              <w:rPr>
                <w:rFonts w:ascii="Arial" w:cs="Arial" w:eastAsia="Arial" w:hAnsi="Arial"/>
                <w:sz w:val="18"/>
                <w:szCs w:val="18"/>
                <w:color w:val="0000FF"/>
              </w:rPr>
              <w:t>Financial Statements</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20" w:type="dxa"/>
            <w:vAlign w:val="bottom"/>
            <w:gridSpan w:val="35"/>
          </w:tcPr>
          <w:p>
            <w:pPr>
              <w:spacing w:after="0"/>
              <w:rPr>
                <w:sz w:val="20"/>
                <w:szCs w:val="20"/>
                <w:color w:val="auto"/>
              </w:rPr>
            </w:pPr>
            <w:r>
              <w:rPr>
                <w:rFonts w:ascii="Arial" w:cs="Arial" w:eastAsia="Arial" w:hAnsi="Arial"/>
                <w:sz w:val="18"/>
                <w:szCs w:val="18"/>
                <w:color w:val="0000FF"/>
                <w:w w:val="97"/>
              </w:rPr>
              <w:t>Consolidated Statements of Operations for the three and nine months ended September 30, 2023 and 2022</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20" w:type="dxa"/>
            <w:vAlign w:val="bottom"/>
            <w:gridSpan w:val="35"/>
          </w:tcPr>
          <w:p>
            <w:pPr>
              <w:spacing w:after="0"/>
              <w:rPr>
                <w:sz w:val="20"/>
                <w:szCs w:val="20"/>
                <w:color w:val="auto"/>
              </w:rPr>
            </w:pPr>
            <w:r>
              <w:rPr>
                <w:rFonts w:ascii="Arial" w:cs="Arial" w:eastAsia="Arial" w:hAnsi="Arial"/>
                <w:sz w:val="18"/>
                <w:szCs w:val="18"/>
                <w:color w:val="0000FF"/>
                <w:w w:val="91"/>
              </w:rPr>
              <w:t>Consolidated Statements of Comprehensive Income for the three and nine months ended September 30, 2023 and</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640" w:type="dxa"/>
            <w:vAlign w:val="bottom"/>
            <w:gridSpan w:val="2"/>
          </w:tcPr>
          <w:p>
            <w:pPr>
              <w:spacing w:after="0"/>
              <w:rPr>
                <w:sz w:val="13"/>
                <w:szCs w:val="13"/>
                <w:color w:val="auto"/>
              </w:rPr>
            </w:pPr>
          </w:p>
        </w:tc>
        <w:tc>
          <w:tcPr>
            <w:tcW w:w="36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6"/>
                <w:szCs w:val="16"/>
                <w:color w:val="0000FF"/>
                <w:w w:val="95"/>
              </w:rPr>
              <w:t>2022</w:t>
            </w: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8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74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88"/>
              </w:rPr>
              <w:t>Consolidated Balance Sheets as of September 30, 2023 and December 31, 2022</w:t>
            </w:r>
          </w:p>
        </w:tc>
        <w:tc>
          <w:tcPr>
            <w:tcW w:w="2680" w:type="dxa"/>
            <w:vAlign w:val="bottom"/>
            <w:gridSpan w:val="7"/>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89"/>
              </w:rPr>
              <w:t>Consolidated Statements of Cash Flows for the nine months ended September 30, 2023 and 2022</w:t>
            </w:r>
          </w:p>
        </w:tc>
        <w:tc>
          <w:tcPr>
            <w:tcW w:w="1420" w:type="dxa"/>
            <w:vAlign w:val="bottom"/>
            <w:gridSpan w:val="4"/>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20" w:type="dxa"/>
            <w:vAlign w:val="bottom"/>
            <w:gridSpan w:val="35"/>
          </w:tcPr>
          <w:p>
            <w:pPr>
              <w:spacing w:after="0"/>
              <w:rPr>
                <w:sz w:val="20"/>
                <w:szCs w:val="20"/>
                <w:color w:val="auto"/>
              </w:rPr>
            </w:pPr>
            <w:r>
              <w:rPr>
                <w:rFonts w:ascii="Arial" w:cs="Arial" w:eastAsia="Arial" w:hAnsi="Arial"/>
                <w:sz w:val="18"/>
                <w:szCs w:val="18"/>
                <w:color w:val="0000FF"/>
                <w:w w:val="92"/>
              </w:rPr>
              <w:t>Consolidated Statements of Changes in Shareholders' Equity for the three and nine months ended September 30,</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w w:val="99"/>
              </w:rPr>
              <w:t>2023 and 2022</w:t>
            </w:r>
          </w:p>
        </w:tc>
        <w:tc>
          <w:tcPr>
            <w:tcW w:w="7000" w:type="dxa"/>
            <w:vAlign w:val="bottom"/>
            <w:tcBorders>
              <w:top w:val="single" w:sz="8" w:color="0000FF"/>
            </w:tcBorders>
            <w:gridSpan w:val="28"/>
          </w:tcPr>
          <w:p>
            <w:pPr>
              <w:spacing w:after="0"/>
              <w:rPr>
                <w:sz w:val="13"/>
                <w:szCs w:val="13"/>
                <w:color w:val="auto"/>
              </w:rPr>
            </w:pPr>
          </w:p>
        </w:tc>
        <w:tc>
          <w:tcPr>
            <w:tcW w:w="340" w:type="dxa"/>
            <w:vAlign w:val="bottom"/>
            <w:gridSpan w:val="2"/>
          </w:tcPr>
          <w:p>
            <w:pPr>
              <w:spacing w:after="0"/>
              <w:rPr>
                <w:sz w:val="13"/>
                <w:szCs w:val="13"/>
                <w:color w:val="auto"/>
              </w:rPr>
            </w:pPr>
          </w:p>
        </w:tc>
        <w:tc>
          <w:tcPr>
            <w:tcW w:w="98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20" w:type="dxa"/>
            <w:vAlign w:val="bottom"/>
            <w:gridSpan w:val="35"/>
          </w:tcPr>
          <w:p>
            <w:pPr>
              <w:spacing w:after="0"/>
              <w:rPr>
                <w:sz w:val="20"/>
                <w:szCs w:val="20"/>
                <w:color w:val="auto"/>
              </w:rPr>
            </w:pPr>
            <w:r>
              <w:rPr>
                <w:rFonts w:ascii="Arial" w:cs="Arial" w:eastAsia="Arial" w:hAnsi="Arial"/>
                <w:sz w:val="18"/>
                <w:szCs w:val="18"/>
                <w:color w:val="0000FF"/>
              </w:rPr>
              <w:t>Notes to Consolidated Financial Statements</w:t>
            </w: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0" w:type="dxa"/>
            <w:vAlign w:val="bottom"/>
            <w:tcBorders>
              <w:bottom w:val="single" w:sz="8" w:color="0000FF"/>
            </w:tcBorders>
            <w:gridSpan w:val="18"/>
          </w:tcPr>
          <w:p>
            <w:pPr>
              <w:spacing w:after="0"/>
              <w:rPr>
                <w:sz w:val="20"/>
                <w:szCs w:val="20"/>
                <w:color w:val="auto"/>
              </w:rPr>
            </w:pPr>
            <w:r>
              <w:rPr>
                <w:rFonts w:ascii="Arial" w:cs="Arial" w:eastAsia="Arial" w:hAnsi="Arial"/>
                <w:sz w:val="18"/>
                <w:szCs w:val="18"/>
                <w:color w:val="0000FF"/>
                <w:w w:val="91"/>
              </w:rPr>
              <w:t>Note A. Statement of Information Furnished</w:t>
            </w:r>
          </w:p>
        </w:tc>
        <w:tc>
          <w:tcPr>
            <w:tcW w:w="4780" w:type="dxa"/>
            <w:vAlign w:val="bottom"/>
            <w:gridSpan w:val="15"/>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00" w:type="dxa"/>
            <w:vAlign w:val="bottom"/>
            <w:tcBorders>
              <w:bottom w:val="single" w:sz="8" w:color="0000FF"/>
            </w:tcBorders>
            <w:gridSpan w:val="24"/>
          </w:tcPr>
          <w:p>
            <w:pPr>
              <w:spacing w:after="0"/>
              <w:rPr>
                <w:sz w:val="20"/>
                <w:szCs w:val="20"/>
                <w:color w:val="auto"/>
              </w:rPr>
            </w:pPr>
            <w:r>
              <w:rPr>
                <w:rFonts w:ascii="Arial" w:cs="Arial" w:eastAsia="Arial" w:hAnsi="Arial"/>
                <w:sz w:val="18"/>
                <w:szCs w:val="18"/>
                <w:color w:val="0000FF"/>
                <w:w w:val="90"/>
              </w:rPr>
              <w:t>Note B. Recent Accounting and Reporting Pronouncements</w:t>
            </w:r>
          </w:p>
        </w:tc>
        <w:tc>
          <w:tcPr>
            <w:tcW w:w="3680" w:type="dxa"/>
            <w:vAlign w:val="bottom"/>
            <w:gridSpan w:val="9"/>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40" w:type="dxa"/>
            <w:vAlign w:val="bottom"/>
            <w:tcBorders>
              <w:bottom w:val="single" w:sz="8" w:color="0000FF"/>
            </w:tcBorders>
            <w:gridSpan w:val="23"/>
          </w:tcPr>
          <w:p>
            <w:pPr>
              <w:spacing w:after="0"/>
              <w:rPr>
                <w:sz w:val="20"/>
                <w:szCs w:val="20"/>
                <w:color w:val="auto"/>
              </w:rPr>
            </w:pPr>
            <w:r>
              <w:rPr>
                <w:rFonts w:ascii="Arial" w:cs="Arial" w:eastAsia="Arial" w:hAnsi="Arial"/>
                <w:sz w:val="18"/>
                <w:szCs w:val="18"/>
                <w:color w:val="0000FF"/>
                <w:w w:val="88"/>
              </w:rPr>
              <w:t>Note C. Cash, Cash Equivalents, and Restricted Cash</w:t>
            </w:r>
          </w:p>
        </w:tc>
        <w:tc>
          <w:tcPr>
            <w:tcW w:w="4140" w:type="dxa"/>
            <w:vAlign w:val="bottom"/>
            <w:gridSpan w:val="10"/>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88"/>
              </w:rPr>
              <w:t>Note D. Receivables</w:t>
            </w:r>
          </w:p>
        </w:tc>
        <w:tc>
          <w:tcPr>
            <w:tcW w:w="6500" w:type="dxa"/>
            <w:vAlign w:val="bottom"/>
            <w:gridSpan w:val="24"/>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0"/>
              </w:rPr>
              <w:t>Note E. Inventories</w:t>
            </w:r>
          </w:p>
        </w:tc>
        <w:tc>
          <w:tcPr>
            <w:tcW w:w="6580" w:type="dxa"/>
            <w:vAlign w:val="bottom"/>
            <w:gridSpan w:val="25"/>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gridSpan w:val="33"/>
          </w:tcPr>
          <w:p>
            <w:pPr>
              <w:spacing w:after="0"/>
              <w:rPr>
                <w:sz w:val="20"/>
                <w:szCs w:val="20"/>
                <w:color w:val="auto"/>
              </w:rPr>
            </w:pPr>
            <w:r>
              <w:rPr>
                <w:rFonts w:ascii="Arial" w:cs="Arial" w:eastAsia="Arial" w:hAnsi="Arial"/>
                <w:sz w:val="18"/>
                <w:szCs w:val="18"/>
                <w:color w:val="0000FF"/>
              </w:rPr>
              <w:t>Note F. Intangible Assets</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gridSpan w:val="33"/>
          </w:tcPr>
          <w:p>
            <w:pPr>
              <w:spacing w:after="0"/>
              <w:rPr>
                <w:sz w:val="20"/>
                <w:szCs w:val="20"/>
                <w:color w:val="auto"/>
              </w:rPr>
            </w:pPr>
            <w:r>
              <w:rPr>
                <w:rFonts w:ascii="Arial" w:cs="Arial" w:eastAsia="Arial" w:hAnsi="Arial"/>
                <w:sz w:val="18"/>
                <w:szCs w:val="18"/>
                <w:color w:val="0000FF"/>
              </w:rPr>
              <w:t>Note G. Restructuring and Other</w:t>
            </w: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gridSpan w:val="33"/>
          </w:tcPr>
          <w:p>
            <w:pPr>
              <w:spacing w:after="0"/>
              <w:rPr>
                <w:sz w:val="20"/>
                <w:szCs w:val="20"/>
                <w:color w:val="auto"/>
              </w:rPr>
            </w:pPr>
            <w:r>
              <w:rPr>
                <w:rFonts w:ascii="Arial" w:cs="Arial" w:eastAsia="Arial" w:hAnsi="Arial"/>
                <w:sz w:val="18"/>
                <w:szCs w:val="18"/>
                <w:color w:val="0000FF"/>
              </w:rPr>
              <w:t>Note H. Asbestos-Related Liabilities</w:t>
            </w: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gridSpan w:val="33"/>
          </w:tcPr>
          <w:p>
            <w:pPr>
              <w:spacing w:after="0"/>
              <w:rPr>
                <w:sz w:val="20"/>
                <w:szCs w:val="20"/>
                <w:color w:val="auto"/>
              </w:rPr>
            </w:pPr>
            <w:r>
              <w:rPr>
                <w:rFonts w:ascii="Arial" w:cs="Arial" w:eastAsia="Arial" w:hAnsi="Arial"/>
                <w:sz w:val="18"/>
                <w:szCs w:val="18"/>
                <w:color w:val="0000FF"/>
              </w:rPr>
              <w:t>Note I. Commitments and Contingent Liabilities</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8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0"/>
              </w:rPr>
              <w:t>Note J. Derivative and Other Financial Instruments</w:t>
            </w:r>
          </w:p>
        </w:tc>
        <w:tc>
          <w:tcPr>
            <w:tcW w:w="4300" w:type="dxa"/>
            <w:vAlign w:val="bottom"/>
            <w:gridSpan w:val="11"/>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Note K. Debt</w:t>
            </w:r>
          </w:p>
        </w:tc>
        <w:tc>
          <w:tcPr>
            <w:tcW w:w="7020" w:type="dxa"/>
            <w:vAlign w:val="bottom"/>
            <w:gridSpan w:val="28"/>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6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89"/>
              </w:rPr>
              <w:t>Note L. Pension and Other Postretirement Benefits</w:t>
            </w:r>
          </w:p>
        </w:tc>
        <w:tc>
          <w:tcPr>
            <w:tcW w:w="4320" w:type="dxa"/>
            <w:vAlign w:val="bottom"/>
            <w:gridSpan w:val="12"/>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1"/>
              </w:rPr>
              <w:t>Note M. Capital Stock</w:t>
            </w:r>
          </w:p>
        </w:tc>
        <w:tc>
          <w:tcPr>
            <w:tcW w:w="6360" w:type="dxa"/>
            <w:vAlign w:val="bottom"/>
            <w:gridSpan w:val="23"/>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92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1"/>
              </w:rPr>
              <w:t>Note N. Accumulated Other Comprehensive Loss Attributable to Crown Holdings</w:t>
            </w:r>
          </w:p>
        </w:tc>
        <w:tc>
          <w:tcPr>
            <w:tcW w:w="2060" w:type="dxa"/>
            <w:vAlign w:val="bottom"/>
            <w:gridSpan w:val="5"/>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7"/>
              </w:rPr>
              <w:t>Note O. Revenue</w:t>
            </w:r>
          </w:p>
        </w:tc>
        <w:tc>
          <w:tcPr>
            <w:tcW w:w="6740" w:type="dxa"/>
            <w:vAlign w:val="bottom"/>
            <w:gridSpan w:val="26"/>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color w:val="0000FF"/>
                <w:w w:val="86"/>
              </w:rPr>
              <w:t>Note P. Earnings Per Share</w:t>
            </w:r>
          </w:p>
        </w:tc>
        <w:tc>
          <w:tcPr>
            <w:tcW w:w="6040" w:type="dxa"/>
            <w:vAlign w:val="bottom"/>
            <w:gridSpan w:val="21"/>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980" w:type="dxa"/>
            <w:vAlign w:val="bottom"/>
            <w:gridSpan w:val="33"/>
          </w:tcPr>
          <w:p>
            <w:pPr>
              <w:spacing w:after="0"/>
              <w:rPr>
                <w:sz w:val="20"/>
                <w:szCs w:val="20"/>
                <w:color w:val="auto"/>
              </w:rPr>
            </w:pPr>
            <w:r>
              <w:rPr>
                <w:rFonts w:ascii="Arial" w:cs="Arial" w:eastAsia="Arial" w:hAnsi="Arial"/>
                <w:sz w:val="18"/>
                <w:szCs w:val="18"/>
                <w:color w:val="0000FF"/>
              </w:rPr>
              <w:t>Note Q. Segment Information</w:t>
            </w: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tcBorders>
              <w:top w:val="single" w:sz="8" w:color="0000FF"/>
            </w:tcBorders>
            <w:gridSpan w:val="14"/>
          </w:tcPr>
          <w:p>
            <w:pPr>
              <w:spacing w:after="0"/>
              <w:rPr>
                <w:sz w:val="20"/>
                <w:szCs w:val="20"/>
                <w:color w:val="auto"/>
              </w:rPr>
            </w:pPr>
            <w:r>
              <w:rPr>
                <w:rFonts w:ascii="Arial" w:cs="Arial" w:eastAsia="Arial" w:hAnsi="Arial"/>
                <w:sz w:val="18"/>
                <w:szCs w:val="18"/>
                <w:color w:val="0000FF"/>
                <w:w w:val="95"/>
              </w:rPr>
              <w:t>Note R. Subsequent Events</w:t>
            </w:r>
          </w:p>
        </w:tc>
        <w:tc>
          <w:tcPr>
            <w:tcW w:w="5840" w:type="dxa"/>
            <w:vAlign w:val="bottom"/>
            <w:gridSpan w:val="19"/>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960" w:type="dxa"/>
            <w:vAlign w:val="bottom"/>
            <w:gridSpan w:val="7"/>
            <w:shd w:val="clear" w:color="auto" w:fill="0000FF"/>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2140" w:type="dxa"/>
            <w:vAlign w:val="bottom"/>
            <w:gridSpan w:val="7"/>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2.</w:t>
            </w:r>
          </w:p>
        </w:tc>
        <w:tc>
          <w:tcPr>
            <w:tcW w:w="320" w:type="dxa"/>
            <w:vAlign w:val="bottom"/>
          </w:tcPr>
          <w:p>
            <w:pPr>
              <w:spacing w:after="0"/>
              <w:rPr>
                <w:sz w:val="18"/>
                <w:szCs w:val="18"/>
                <w:color w:val="auto"/>
              </w:rPr>
            </w:pPr>
          </w:p>
        </w:tc>
        <w:tc>
          <w:tcPr>
            <w:tcW w:w="644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300" w:type="dxa"/>
            <w:vAlign w:val="bottom"/>
            <w:gridSpan w:val="6"/>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3.</w:t>
            </w:r>
          </w:p>
        </w:tc>
        <w:tc>
          <w:tcPr>
            <w:tcW w:w="320" w:type="dxa"/>
            <w:vAlign w:val="bottom"/>
          </w:tcPr>
          <w:p>
            <w:pPr>
              <w:spacing w:after="0"/>
              <w:rPr>
                <w:sz w:val="18"/>
                <w:szCs w:val="18"/>
                <w:color w:val="auto"/>
              </w:rPr>
            </w:pPr>
          </w:p>
        </w:tc>
        <w:tc>
          <w:tcPr>
            <w:tcW w:w="8740" w:type="dxa"/>
            <w:vAlign w:val="bottom"/>
            <w:gridSpan w:val="36"/>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Arial" w:cs="Arial" w:eastAsia="Arial" w:hAnsi="Arial"/>
                <w:sz w:val="18"/>
                <w:szCs w:val="18"/>
                <w:color w:val="auto"/>
              </w:rPr>
              <w:t>Item 4.</w:t>
            </w:r>
          </w:p>
        </w:tc>
        <w:tc>
          <w:tcPr>
            <w:tcW w:w="320" w:type="dxa"/>
            <w:vAlign w:val="bottom"/>
          </w:tcPr>
          <w:p>
            <w:pPr>
              <w:spacing w:after="0"/>
              <w:rPr>
                <w:sz w:val="18"/>
                <w:szCs w:val="18"/>
                <w:color w:val="auto"/>
              </w:rPr>
            </w:pPr>
          </w:p>
        </w:tc>
        <w:tc>
          <w:tcPr>
            <w:tcW w:w="4300" w:type="dxa"/>
            <w:vAlign w:val="bottom"/>
            <w:tcBorders>
              <w:top w:val="single" w:sz="8" w:color="0000FF"/>
            </w:tcBorders>
            <w:gridSpan w:val="23"/>
          </w:tcPr>
          <w:p>
            <w:pPr>
              <w:spacing w:after="0"/>
              <w:rPr>
                <w:sz w:val="20"/>
                <w:szCs w:val="20"/>
                <w:color w:val="auto"/>
              </w:rPr>
            </w:pPr>
            <w:r>
              <w:rPr>
                <w:rFonts w:ascii="Arial" w:cs="Arial" w:eastAsia="Arial" w:hAnsi="Arial"/>
                <w:sz w:val="18"/>
                <w:szCs w:val="18"/>
                <w:color w:val="0000FF"/>
              </w:rPr>
              <w:t>Controls and Procedures</w:t>
            </w:r>
          </w:p>
        </w:tc>
        <w:tc>
          <w:tcPr>
            <w:tcW w:w="4440" w:type="dxa"/>
            <w:vAlign w:val="bottom"/>
            <w:gridSpan w:val="13"/>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6980" w:type="dxa"/>
            <w:vAlign w:val="bottom"/>
            <w:gridSpan w:val="27"/>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1140" w:type="dxa"/>
            <w:vAlign w:val="bottom"/>
          </w:tcPr>
          <w:p>
            <w:pPr>
              <w:ind w:left="20"/>
              <w:spacing w:after="0"/>
              <w:rPr>
                <w:sz w:val="20"/>
                <w:szCs w:val="20"/>
                <w:color w:val="auto"/>
              </w:rPr>
            </w:pPr>
            <w:r>
              <w:rPr>
                <w:rFonts w:ascii="Arial" w:cs="Arial" w:eastAsia="Arial" w:hAnsi="Arial"/>
                <w:sz w:val="18"/>
                <w:szCs w:val="18"/>
                <w:color w:val="auto"/>
              </w:rPr>
              <w:t>PART II.</w:t>
            </w:r>
          </w:p>
        </w:tc>
        <w:tc>
          <w:tcPr>
            <w:tcW w:w="9060" w:type="dxa"/>
            <w:vAlign w:val="bottom"/>
            <w:gridSpan w:val="37"/>
          </w:tcPr>
          <w:p>
            <w:pPr>
              <w:spacing w:after="0"/>
              <w:rPr>
                <w:sz w:val="20"/>
                <w:szCs w:val="20"/>
                <w:color w:val="auto"/>
              </w:rPr>
            </w:pPr>
            <w:r>
              <w:rPr>
                <w:rFonts w:ascii="Arial" w:cs="Arial" w:eastAsia="Arial" w:hAnsi="Arial"/>
                <w:sz w:val="18"/>
                <w:szCs w:val="18"/>
                <w:color w:val="0000FF"/>
              </w:rPr>
              <w:t>Other Information</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243"/>
        </w:trPr>
        <w:tc>
          <w:tcPr>
            <w:tcW w:w="114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tbl>
      <w:tblPr>
        <w:tblLayout w:type="fixed"/>
        <w:tblInd w:w="16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2940" w:type="dxa"/>
            <w:vAlign w:val="bottom"/>
            <w:gridSpan w:val="2"/>
          </w:tcPr>
          <w:p>
            <w:pPr>
              <w:jc w:val="center"/>
              <w:ind w:left="1170"/>
              <w:spacing w:after="0"/>
              <w:rPr>
                <w:sz w:val="20"/>
                <w:szCs w:val="20"/>
                <w:color w:val="auto"/>
              </w:rPr>
            </w:pPr>
            <w:r>
              <w:rPr>
                <w:rFonts w:ascii="Arial" w:cs="Arial" w:eastAsia="Arial" w:hAnsi="Arial"/>
                <w:sz w:val="18"/>
                <w:szCs w:val="18"/>
                <w:b w:val="1"/>
                <w:bCs w:val="1"/>
                <w:color w:val="auto"/>
                <w:w w:val="91"/>
              </w:rPr>
              <w:t>Crown Holdings, Inc.</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945"/>
        </w:trPr>
        <w:tc>
          <w:tcPr>
            <w:tcW w:w="3360" w:type="dxa"/>
            <w:vAlign w:val="bottom"/>
          </w:tcPr>
          <w:p>
            <w:pPr>
              <w:spacing w:after="0"/>
              <w:rPr>
                <w:sz w:val="24"/>
                <w:szCs w:val="24"/>
                <w:color w:val="auto"/>
              </w:rPr>
            </w:pPr>
          </w:p>
        </w:tc>
        <w:tc>
          <w:tcPr>
            <w:tcW w:w="388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rPr>
              <w:t>PART I – FINANCIAL INFORMATION</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0"/>
        </w:trPr>
        <w:tc>
          <w:tcPr>
            <w:tcW w:w="3360" w:type="dxa"/>
            <w:vAlign w:val="bottom"/>
          </w:tcPr>
          <w:p>
            <w:pPr>
              <w:spacing w:after="0"/>
              <w:rPr>
                <w:sz w:val="24"/>
                <w:szCs w:val="24"/>
                <w:color w:val="auto"/>
              </w:rPr>
            </w:pPr>
          </w:p>
        </w:tc>
        <w:tc>
          <w:tcPr>
            <w:tcW w:w="5340" w:type="dxa"/>
            <w:vAlign w:val="bottom"/>
            <w:gridSpan w:val="7"/>
          </w:tcPr>
          <w:p>
            <w:pPr>
              <w:jc w:val="center"/>
              <w:ind w:right="114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388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90"/>
              </w:rPr>
              <w:t>(In millions except per share data)</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4"/>
        </w:trPr>
        <w:tc>
          <w:tcPr>
            <w:tcW w:w="3360" w:type="dxa"/>
            <w:vAlign w:val="bottom"/>
          </w:tcPr>
          <w:p>
            <w:pPr>
              <w:spacing w:after="0"/>
              <w:rPr>
                <w:sz w:val="20"/>
                <w:szCs w:val="20"/>
                <w:color w:val="auto"/>
              </w:rPr>
            </w:pPr>
          </w:p>
        </w:tc>
        <w:tc>
          <w:tcPr>
            <w:tcW w:w="2940" w:type="dxa"/>
            <w:vAlign w:val="bottom"/>
            <w:gridSpan w:val="2"/>
          </w:tcPr>
          <w:p>
            <w:pPr>
              <w:jc w:val="center"/>
              <w:ind w:left="1170"/>
              <w:spacing w:after="0"/>
              <w:rPr>
                <w:sz w:val="20"/>
                <w:szCs w:val="20"/>
                <w:color w:val="auto"/>
              </w:rPr>
            </w:pPr>
            <w:r>
              <w:rPr>
                <w:rFonts w:ascii="Arial" w:cs="Arial" w:eastAsia="Arial" w:hAnsi="Arial"/>
                <w:sz w:val="18"/>
                <w:szCs w:val="18"/>
                <w:b w:val="1"/>
                <w:bCs w:val="1"/>
                <w:color w:val="auto"/>
                <w:w w:val="91"/>
              </w:rPr>
              <w:t>(Unaudited)</w:t>
            </w: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2"/>
        </w:trPr>
        <w:tc>
          <w:tcPr>
            <w:tcW w:w="336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5"/>
          </w:tcPr>
          <w:p>
            <w:pPr>
              <w:jc w:val="center"/>
              <w:ind w:right="76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21"/>
                <w:szCs w:val="21"/>
                <w:color w:val="auto"/>
              </w:rPr>
            </w:pPr>
          </w:p>
        </w:tc>
        <w:tc>
          <w:tcPr>
            <w:tcW w:w="20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33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0" w:type="dxa"/>
            <w:vAlign w:val="bottom"/>
            <w:gridSpan w:val="5"/>
          </w:tcPr>
          <w:p>
            <w:pPr>
              <w:jc w:val="center"/>
              <w:ind w:right="74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3360" w:type="dxa"/>
            <w:vAlign w:val="bottom"/>
            <w:tcBorders>
              <w:bottom w:val="single" w:sz="8" w:color="CCEEFF"/>
            </w:tcBorders>
          </w:tcPr>
          <w:p>
            <w:pPr>
              <w:spacing w:after="0"/>
              <w:rPr>
                <w:sz w:val="19"/>
                <w:szCs w:val="19"/>
                <w:color w:val="auto"/>
              </w:rPr>
            </w:pPr>
          </w:p>
        </w:tc>
        <w:tc>
          <w:tcPr>
            <w:tcW w:w="264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2023</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w:t>
            </w:r>
          </w:p>
        </w:tc>
      </w:tr>
      <w:tr>
        <w:trPr>
          <w:trHeight w:val="223"/>
        </w:trPr>
        <w:tc>
          <w:tcPr>
            <w:tcW w:w="6000" w:type="dxa"/>
            <w:vAlign w:val="bottom"/>
            <w:gridSpan w:val="2"/>
          </w:tcPr>
          <w:p>
            <w:pPr>
              <w:ind w:left="340"/>
              <w:spacing w:after="0"/>
              <w:rPr>
                <w:sz w:val="20"/>
                <w:szCs w:val="20"/>
                <w:color w:val="auto"/>
              </w:rPr>
            </w:pPr>
            <w:r>
              <w:rPr>
                <w:rFonts w:ascii="Arial" w:cs="Arial" w:eastAsia="Arial" w:hAnsi="Arial"/>
                <w:sz w:val="18"/>
                <w:szCs w:val="18"/>
                <w:color w:val="auto"/>
              </w:rPr>
              <w:t>Cost of products sold, excluding depreciation and amortization</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2,726</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7,301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8,134</w:t>
            </w:r>
          </w:p>
        </w:tc>
      </w:tr>
      <w:tr>
        <w:trPr>
          <w:trHeight w:val="230"/>
        </w:trPr>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3360" w:type="dxa"/>
            <w:vAlign w:val="bottom"/>
          </w:tcPr>
          <w:p>
            <w:pPr>
              <w:ind w:left="340"/>
              <w:spacing w:after="0"/>
              <w:rPr>
                <w:sz w:val="20"/>
                <w:szCs w:val="20"/>
                <w:color w:val="auto"/>
              </w:rPr>
            </w:pPr>
            <w:r>
              <w:rPr>
                <w:rFonts w:ascii="Arial" w:cs="Arial" w:eastAsia="Arial" w:hAnsi="Arial"/>
                <w:sz w:val="18"/>
                <w:szCs w:val="18"/>
                <w:color w:val="auto"/>
              </w:rPr>
              <w:t>Selling and administrative expense</w:t>
            </w:r>
          </w:p>
        </w:tc>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29"/>
        </w:trPr>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net</w:t>
            </w:r>
          </w:p>
        </w:tc>
        <w:tc>
          <w:tcPr>
            <w:tcW w:w="2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336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297</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1,010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1,107</w:t>
            </w:r>
          </w:p>
        </w:tc>
      </w:tr>
      <w:tr>
        <w:trPr>
          <w:trHeight w:val="229"/>
        </w:trPr>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4"/>
              </w:rPr>
              <w:t>Loss from early extinguishments of debt</w:t>
            </w:r>
          </w:p>
        </w:tc>
        <w:tc>
          <w:tcPr>
            <w:tcW w:w="2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3360" w:type="dxa"/>
            <w:vAlign w:val="bottom"/>
          </w:tcPr>
          <w:p>
            <w:pPr>
              <w:ind w:left="340"/>
              <w:spacing w:after="0"/>
              <w:rPr>
                <w:sz w:val="20"/>
                <w:szCs w:val="20"/>
                <w:color w:val="auto"/>
              </w:rPr>
            </w:pPr>
            <w:r>
              <w:rPr>
                <w:rFonts w:ascii="Arial" w:cs="Arial" w:eastAsia="Arial" w:hAnsi="Arial"/>
                <w:sz w:val="18"/>
                <w:szCs w:val="18"/>
                <w:color w:val="auto"/>
              </w:rPr>
              <w:t>Other pension and postretirement</w:t>
            </w:r>
          </w:p>
        </w:tc>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33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2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00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before taxes and equity in net earnings of affiliates</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229"/>
        </w:trPr>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2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r>
      <w:tr>
        <w:trPr>
          <w:trHeight w:val="229"/>
        </w:trPr>
        <w:tc>
          <w:tcPr>
            <w:tcW w:w="3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Equity in net earnings of affiliates</w:t>
            </w:r>
          </w:p>
        </w:tc>
        <w:tc>
          <w:tcPr>
            <w:tcW w:w="2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29"/>
        </w:trPr>
        <w:tc>
          <w:tcPr>
            <w:tcW w:w="6300" w:type="dxa"/>
            <w:vAlign w:val="bottom"/>
            <w:gridSpan w:val="3"/>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4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0"/>
              </w:rPr>
              <w:t>Net income attributable to Crown Holdings</w:t>
            </w:r>
          </w:p>
        </w:tc>
        <w:tc>
          <w:tcPr>
            <w:tcW w:w="26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0"/>
        </w:trPr>
        <w:tc>
          <w:tcPr>
            <w:tcW w:w="600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36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63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7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03"/>
        </w:trPr>
        <w:tc>
          <w:tcPr>
            <w:tcW w:w="3360" w:type="dxa"/>
            <w:vAlign w:val="bottom"/>
          </w:tcPr>
          <w:p>
            <w:pPr>
              <w:ind w:left="340"/>
              <w:spacing w:after="0" w:line="202" w:lineRule="exact"/>
              <w:rPr>
                <w:sz w:val="20"/>
                <w:szCs w:val="20"/>
                <w:color w:val="auto"/>
              </w:rPr>
            </w:pPr>
            <w:r>
              <w:rPr>
                <w:rFonts w:ascii="Arial" w:cs="Arial" w:eastAsia="Arial" w:hAnsi="Arial"/>
                <w:sz w:val="18"/>
                <w:szCs w:val="18"/>
                <w:color w:val="auto"/>
              </w:rPr>
              <w:t>Basic</w:t>
            </w:r>
          </w:p>
        </w:tc>
        <w:tc>
          <w:tcPr>
            <w:tcW w:w="294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1.33</w:t>
            </w:r>
          </w:p>
        </w:tc>
        <w:tc>
          <w:tcPr>
            <w:tcW w:w="240" w:type="dxa"/>
            <w:vAlign w:val="bottom"/>
          </w:tcPr>
          <w:p>
            <w:pPr>
              <w:spacing w:after="0"/>
              <w:rPr>
                <w:sz w:val="17"/>
                <w:szCs w:val="17"/>
                <w:color w:val="auto"/>
              </w:rPr>
            </w:pPr>
          </w:p>
        </w:tc>
        <w:tc>
          <w:tcPr>
            <w:tcW w:w="220" w:type="dxa"/>
            <w:vAlign w:val="bottom"/>
          </w:tcPr>
          <w:p>
            <w:pPr>
              <w:jc w:val="right"/>
              <w:ind w:right="1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4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3.50</w:t>
            </w:r>
          </w:p>
        </w:tc>
        <w:tc>
          <w:tcPr>
            <w:tcW w:w="2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5.26</w:t>
            </w:r>
          </w:p>
        </w:tc>
      </w:tr>
      <w:tr>
        <w:trPr>
          <w:trHeight w:val="20"/>
        </w:trPr>
        <w:tc>
          <w:tcPr>
            <w:tcW w:w="3360" w:type="dxa"/>
            <w:vAlign w:val="bottom"/>
            <w:tcBorders>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33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6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4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160" w:type="dxa"/>
        <w:tblCellMar>
          <w:top w:w="0" w:type="dxa"/>
          <w:left w:w="0" w:type="dxa"/>
          <w:bottom w:w="0" w:type="dxa"/>
          <w:right w:w="0" w:type="dxa"/>
        </w:tblCellMar>
      </w:tblPr>
      <w:tr>
        <w:trPr>
          <w:trHeight w:val="229"/>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00" w:type="dxa"/>
            <w:vAlign w:val="bottom"/>
            <w:gridSpan w:val="5"/>
          </w:tcPr>
          <w:p>
            <w:pPr>
              <w:jc w:val="center"/>
              <w:ind w:right="66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9"/>
                <w:szCs w:val="19"/>
                <w:color w:val="auto"/>
              </w:rPr>
            </w:pPr>
          </w:p>
        </w:tc>
        <w:tc>
          <w:tcPr>
            <w:tcW w:w="204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w w:val="98"/>
              </w:rPr>
              <w:t>Nine Months Ended</w:t>
            </w:r>
          </w:p>
        </w:tc>
      </w:tr>
      <w:tr>
        <w:trPr>
          <w:trHeight w:val="234"/>
        </w:trPr>
        <w:tc>
          <w:tcPr>
            <w:tcW w:w="6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00" w:type="dxa"/>
            <w:vAlign w:val="bottom"/>
            <w:gridSpan w:val="5"/>
          </w:tcPr>
          <w:p>
            <w:pPr>
              <w:jc w:val="center"/>
              <w:ind w:right="64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0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r>
      <w:tr>
        <w:trPr>
          <w:trHeight w:val="250"/>
        </w:trPr>
        <w:tc>
          <w:tcPr>
            <w:tcW w:w="6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 (loss), net of tax:</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Pension and other postretirement benefits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Derivatives qualifying as hedges</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r>
      <w:tr>
        <w:trPr>
          <w:trHeight w:val="223"/>
        </w:trPr>
        <w:tc>
          <w:tcPr>
            <w:tcW w:w="60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Total other comprehensive income / (loss)</w:t>
            </w: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50"/>
        </w:trPr>
        <w:tc>
          <w:tcPr>
            <w:tcW w:w="6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w:t>
            </w: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adjustments attributable to noncontrolling interests</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000" w:type="dxa"/>
            <w:vAlign w:val="bottom"/>
          </w:tcPr>
          <w:p>
            <w:pPr>
              <w:ind w:left="220"/>
              <w:spacing w:after="0"/>
              <w:rPr>
                <w:sz w:val="20"/>
                <w:szCs w:val="20"/>
                <w:color w:val="auto"/>
              </w:rPr>
            </w:pPr>
            <w:r>
              <w:rPr>
                <w:rFonts w:ascii="Arial" w:cs="Arial" w:eastAsia="Arial" w:hAnsi="Arial"/>
                <w:sz w:val="18"/>
                <w:szCs w:val="18"/>
                <w:color w:val="auto"/>
              </w:rPr>
              <w:t>Derivatives qualifying as hedges attributable to noncontrolling interests</w:t>
            </w:r>
          </w:p>
        </w:tc>
        <w:tc>
          <w:tcPr>
            <w:tcW w:w="2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6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4" w:name="page5"/>
    <w:bookmarkEnd w:id="4"/>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CONSOLIDATED BALANCE SHEETS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39"/>
        </w:trPr>
        <w:tc>
          <w:tcPr>
            <w:tcW w:w="2980" w:type="dxa"/>
            <w:vAlign w:val="bottom"/>
            <w:tcBorders>
              <w:bottom w:val="single" w:sz="8" w:color="CCEEFF"/>
            </w:tcBorders>
          </w:tcPr>
          <w:p>
            <w:pPr>
              <w:spacing w:after="0"/>
              <w:rPr>
                <w:sz w:val="20"/>
                <w:szCs w:val="20"/>
                <w:color w:val="auto"/>
              </w:rPr>
            </w:pPr>
          </w:p>
        </w:tc>
        <w:tc>
          <w:tcPr>
            <w:tcW w:w="440" w:type="dxa"/>
            <w:vAlign w:val="bottom"/>
            <w:tcBorders>
              <w:bottom w:val="single" w:sz="8" w:color="CCEEFF"/>
            </w:tcBorders>
          </w:tcPr>
          <w:p>
            <w:pPr>
              <w:spacing w:after="0"/>
              <w:rPr>
                <w:sz w:val="20"/>
                <w:szCs w:val="20"/>
                <w:color w:val="auto"/>
              </w:rPr>
            </w:pPr>
          </w:p>
        </w:tc>
        <w:tc>
          <w:tcPr>
            <w:tcW w:w="37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4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r>
      <w:tr>
        <w:trPr>
          <w:trHeight w:val="214"/>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1,751</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30"/>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29"/>
        </w:trPr>
        <w:tc>
          <w:tcPr>
            <w:tcW w:w="71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7140" w:type="dxa"/>
            <w:vAlign w:val="bottom"/>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4,659</w:t>
            </w:r>
          </w:p>
        </w:tc>
      </w:tr>
      <w:tr>
        <w:trPr>
          <w:trHeight w:val="250"/>
        </w:trPr>
        <w:tc>
          <w:tcPr>
            <w:tcW w:w="2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1,248</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1,358</w:t>
            </w: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4,876</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w:t>
            </w:r>
          </w:p>
        </w:tc>
      </w:tr>
      <w:tr>
        <w:trPr>
          <w:trHeight w:val="229"/>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Operating lease right-of-use assets, net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w:t>
            </w:r>
          </w:p>
        </w:tc>
      </w:tr>
      <w:tr>
        <w:trPr>
          <w:trHeight w:val="223"/>
        </w:trPr>
        <w:tc>
          <w:tcPr>
            <w:tcW w:w="7140" w:type="dxa"/>
            <w:vAlign w:val="bottom"/>
            <w:gridSpan w:val="3"/>
          </w:tcPr>
          <w:p>
            <w:pPr>
              <w:ind w:left="68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14,321</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14,301</w:t>
            </w:r>
          </w:p>
        </w:tc>
      </w:tr>
      <w:tr>
        <w:trPr>
          <w:trHeight w:val="20"/>
        </w:trPr>
        <w:tc>
          <w:tcPr>
            <w:tcW w:w="2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29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Short-term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51</w:t>
            </w:r>
          </w:p>
        </w:tc>
        <w:tc>
          <w:tcPr>
            <w:tcW w:w="4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7140" w:type="dxa"/>
            <w:vAlign w:val="bottom"/>
            <w:gridSpan w:val="3"/>
          </w:tcPr>
          <w:p>
            <w:pPr>
              <w:ind w:left="36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1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r>
      <w:tr>
        <w:trPr>
          <w:trHeight w:val="230"/>
        </w:trPr>
        <w:tc>
          <w:tcPr>
            <w:tcW w:w="71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r>
      <w:tr>
        <w:trPr>
          <w:trHeight w:val="223"/>
        </w:trPr>
        <w:tc>
          <w:tcPr>
            <w:tcW w:w="7140" w:type="dxa"/>
            <w:vAlign w:val="bottom"/>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3,932</w:t>
            </w:r>
          </w:p>
        </w:tc>
      </w:tr>
      <w:tr>
        <w:trPr>
          <w:trHeight w:val="250"/>
        </w:trPr>
        <w:tc>
          <w:tcPr>
            <w:tcW w:w="2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30"/>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Long-term debt, excluding current maturities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6,240</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6,792</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Pension and postretirement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392</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r>
        <w:trPr>
          <w:trHeight w:val="230"/>
        </w:trPr>
        <w:tc>
          <w:tcPr>
            <w:tcW w:w="7140" w:type="dxa"/>
            <w:vAlign w:val="bottom"/>
            <w:gridSpan w:val="3"/>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726</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712</w:t>
            </w:r>
          </w:p>
        </w:tc>
      </w:tr>
      <w:tr>
        <w:trPr>
          <w:trHeight w:val="210"/>
        </w:trPr>
        <w:tc>
          <w:tcPr>
            <w:tcW w:w="714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w:t>
            </w:r>
            <w:r>
              <w:rPr>
                <w:rFonts w:ascii="Arial" w:cs="Arial" w:eastAsia="Arial" w:hAnsi="Arial"/>
                <w:sz w:val="18"/>
                <w:szCs w:val="18"/>
                <w:i w:val="1"/>
                <w:iCs w:val="1"/>
                <w:color w:val="0000FF"/>
              </w:rPr>
              <w:t>Note I</w:t>
            </w:r>
            <w:r>
              <w:rPr>
                <w:rFonts w:ascii="Arial" w:cs="Arial" w:eastAsia="Arial" w:hAnsi="Arial"/>
                <w:sz w:val="18"/>
                <w:szCs w:val="18"/>
                <w:i w:val="1"/>
                <w:iCs w:val="1"/>
                <w:color w:val="auto"/>
              </w:rPr>
              <w:t>)</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70"/>
        </w:trPr>
        <w:tc>
          <w:tcPr>
            <w:tcW w:w="2980" w:type="dxa"/>
            <w:vAlign w:val="bottom"/>
            <w:tcBorders>
              <w:top w:val="single" w:sz="8" w:color="CCEEFF"/>
            </w:tcBorders>
          </w:tcPr>
          <w:p>
            <w:pPr>
              <w:spacing w:after="0"/>
              <w:rPr>
                <w:sz w:val="23"/>
                <w:szCs w:val="23"/>
                <w:color w:val="auto"/>
              </w:rPr>
            </w:pPr>
          </w:p>
        </w:tc>
        <w:tc>
          <w:tcPr>
            <w:tcW w:w="440" w:type="dxa"/>
            <w:vAlign w:val="bottom"/>
            <w:tcBorders>
              <w:top w:val="single" w:sz="8" w:color="0000FF"/>
            </w:tcBorders>
          </w:tcPr>
          <w:p>
            <w:pPr>
              <w:spacing w:after="0"/>
              <w:rPr>
                <w:sz w:val="23"/>
                <w:szCs w:val="23"/>
                <w:color w:val="auto"/>
              </w:rPr>
            </w:pPr>
          </w:p>
        </w:tc>
        <w:tc>
          <w:tcPr>
            <w:tcW w:w="372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c>
          <w:tcPr>
            <w:tcW w:w="460" w:type="dxa"/>
            <w:vAlign w:val="bottom"/>
            <w:tcBorders>
              <w:top w:val="single" w:sz="8" w:color="CCEEFF"/>
            </w:tcBorders>
          </w:tcPr>
          <w:p>
            <w:pPr>
              <w:spacing w:after="0"/>
              <w:rPr>
                <w:sz w:val="23"/>
                <w:szCs w:val="23"/>
                <w:color w:val="auto"/>
              </w:rPr>
            </w:pPr>
          </w:p>
        </w:tc>
        <w:tc>
          <w:tcPr>
            <w:tcW w:w="180" w:type="dxa"/>
            <w:vAlign w:val="bottom"/>
            <w:tcBorders>
              <w:top w:val="single" w:sz="8" w:color="CCEEFF"/>
            </w:tcBorders>
          </w:tcPr>
          <w:p>
            <w:pPr>
              <w:spacing w:after="0"/>
              <w:rPr>
                <w:sz w:val="23"/>
                <w:szCs w:val="23"/>
                <w:color w:val="auto"/>
              </w:rPr>
            </w:pPr>
          </w:p>
        </w:tc>
        <w:tc>
          <w:tcPr>
            <w:tcW w:w="1360" w:type="dxa"/>
            <w:vAlign w:val="bottom"/>
            <w:tcBorders>
              <w:top w:val="single" w:sz="8" w:color="CCEEFF"/>
            </w:tcBorders>
          </w:tcPr>
          <w:p>
            <w:pPr>
              <w:spacing w:after="0"/>
              <w:rPr>
                <w:sz w:val="23"/>
                <w:szCs w:val="23"/>
                <w:color w:val="auto"/>
              </w:rPr>
            </w:pPr>
          </w:p>
        </w:tc>
      </w:tr>
      <w:tr>
        <w:trPr>
          <w:trHeight w:val="229"/>
        </w:trPr>
        <w:tc>
          <w:tcPr>
            <w:tcW w:w="71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r>
      <w:tr>
        <w:trPr>
          <w:trHeight w:val="230"/>
        </w:trPr>
        <w:tc>
          <w:tcPr>
            <w:tcW w:w="71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Crown Holdings shareholders’ equity</w:t>
            </w: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4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1,849</w:t>
            </w:r>
          </w:p>
        </w:tc>
      </w:tr>
      <w:tr>
        <w:trPr>
          <w:trHeight w:val="223"/>
        </w:trPr>
        <w:tc>
          <w:tcPr>
            <w:tcW w:w="7140" w:type="dxa"/>
            <w:vAlign w:val="bottom"/>
            <w:gridSpan w:val="3"/>
            <w:shd w:val="clear" w:color="auto" w:fill="CCEEFF"/>
          </w:tcPr>
          <w:p>
            <w:pPr>
              <w:ind w:left="680"/>
              <w:spacing w:after="0"/>
              <w:rPr>
                <w:sz w:val="20"/>
                <w:szCs w:val="20"/>
                <w:color w:val="auto"/>
              </w:rPr>
            </w:pPr>
            <w:r>
              <w:rPr>
                <w:rFonts w:ascii="Arial" w:cs="Arial" w:eastAsia="Arial" w:hAnsi="Arial"/>
                <w:sz w:val="18"/>
                <w:szCs w:val="18"/>
                <w:b w:val="1"/>
                <w:bCs w:val="1"/>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4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r>
      <w:tr>
        <w:trPr>
          <w:trHeight w:val="223"/>
        </w:trPr>
        <w:tc>
          <w:tcPr>
            <w:tcW w:w="7140" w:type="dxa"/>
            <w:vAlign w:val="bottom"/>
            <w:gridSpan w:val="3"/>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14,321</w:t>
            </w:r>
          </w:p>
        </w:tc>
        <w:tc>
          <w:tcPr>
            <w:tcW w:w="4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14,301</w:t>
            </w:r>
          </w:p>
        </w:tc>
      </w:tr>
      <w:tr>
        <w:trPr>
          <w:trHeight w:val="20"/>
        </w:trPr>
        <w:tc>
          <w:tcPr>
            <w:tcW w:w="2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21" w:right="899" w:bottom="1440" w:gutter="0" w:footer="0" w:header="0"/>
        </w:sectPr>
      </w:pPr>
    </w:p>
    <w:bookmarkStart w:id="5" w:name="page6"/>
    <w:bookmarkEnd w:id="5"/>
    <w:p>
      <w:pPr>
        <w:jc w:val="center"/>
        <w:ind w:right="-9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(Condensed)</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31"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8200" w:type="dxa"/>
            <w:vAlign w:val="bottom"/>
          </w:tcPr>
          <w:p>
            <w:pPr>
              <w:spacing w:after="0"/>
              <w:rPr>
                <w:sz w:val="19"/>
                <w:szCs w:val="19"/>
                <w:color w:val="auto"/>
              </w:rPr>
            </w:pPr>
          </w:p>
        </w:tc>
        <w:tc>
          <w:tcPr>
            <w:tcW w:w="2840" w:type="dxa"/>
            <w:vAlign w:val="bottom"/>
            <w:gridSpan w:val="5"/>
          </w:tcPr>
          <w:p>
            <w:pPr>
              <w:jc w:val="right"/>
              <w:ind w:right="55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8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5"/>
              </w:rPr>
              <w:t>September 30,</w:t>
            </w:r>
          </w:p>
        </w:tc>
        <w:tc>
          <w:tcPr>
            <w:tcW w:w="820" w:type="dxa"/>
            <w:vAlign w:val="bottom"/>
            <w:tcBorders>
              <w:bottom w:val="single" w:sz="8" w:color="auto"/>
            </w:tcBorders>
          </w:tcPr>
          <w:p>
            <w:pPr>
              <w:spacing w:after="0"/>
              <w:rPr>
                <w:sz w:val="20"/>
                <w:szCs w:val="20"/>
                <w:color w:val="auto"/>
              </w:rPr>
            </w:pPr>
          </w:p>
        </w:tc>
      </w:tr>
      <w:tr>
        <w:trPr>
          <w:trHeight w:val="223"/>
        </w:trPr>
        <w:tc>
          <w:tcPr>
            <w:tcW w:w="82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2022</w:t>
            </w:r>
          </w:p>
        </w:tc>
      </w:tr>
      <w:tr>
        <w:trPr>
          <w:trHeight w:val="20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780" w:type="dxa"/>
            <w:vAlign w:val="bottom"/>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509</w:t>
            </w:r>
          </w:p>
        </w:tc>
        <w:tc>
          <w:tcPr>
            <w:tcW w:w="4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372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Loss on debt extinguishment</w:t>
            </w:r>
          </w:p>
        </w:tc>
        <w:tc>
          <w:tcPr>
            <w:tcW w:w="7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Restructuring and other, net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Pension expense</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Pension contributions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Equity earnings, net of distributions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Working capital changes and other</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(157)</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provided by operating activities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09"/>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Capital expenditures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(614)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investment hedge</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Proceeds from sale of businesses, net of cash received</w:t>
            </w:r>
          </w:p>
        </w:tc>
        <w:tc>
          <w:tcPr>
            <w:tcW w:w="780" w:type="dxa"/>
            <w:vAlign w:val="bottom"/>
          </w:tcPr>
          <w:p>
            <w:pPr>
              <w:spacing w:after="0"/>
              <w:rPr>
                <w:sz w:val="19"/>
                <w:szCs w:val="19"/>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Acquisition of businesses, net of cash acquired</w:t>
            </w:r>
          </w:p>
        </w:tc>
        <w:tc>
          <w:tcPr>
            <w:tcW w:w="7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200" w:type="dxa"/>
            <w:vAlign w:val="bottom"/>
          </w:tcPr>
          <w:p>
            <w:pPr>
              <w:ind w:left="660"/>
              <w:spacing w:after="0"/>
              <w:rPr>
                <w:sz w:val="20"/>
                <w:szCs w:val="20"/>
                <w:color w:val="auto"/>
              </w:rPr>
            </w:pPr>
            <w:r>
              <w:rPr>
                <w:rFonts w:ascii="Arial" w:cs="Arial" w:eastAsia="Arial" w:hAnsi="Arial"/>
                <w:sz w:val="18"/>
                <w:szCs w:val="18"/>
                <w:color w:val="auto"/>
              </w:rPr>
              <w:t>Proceeds from sale of property, plant and equipment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Distribution from equity method investment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2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200" w:type="dxa"/>
            <w:vAlign w:val="bottom"/>
            <w:shd w:val="clear" w:color="auto" w:fill="CCEEFF"/>
          </w:tcPr>
          <w:p>
            <w:pPr>
              <w:ind w:left="1440"/>
              <w:spacing w:after="0"/>
              <w:rPr>
                <w:sz w:val="20"/>
                <w:szCs w:val="20"/>
                <w:color w:val="auto"/>
              </w:rPr>
            </w:pPr>
            <w:r>
              <w:rPr>
                <w:rFonts w:ascii="Arial" w:cs="Arial" w:eastAsia="Arial" w:hAnsi="Arial"/>
                <w:sz w:val="18"/>
                <w:szCs w:val="18"/>
                <w:b w:val="1"/>
                <w:bCs w:val="1"/>
                <w:color w:val="auto"/>
              </w:rPr>
              <w:t>Net cash used for investing activities</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(520)</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10"/>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change in revolving credit facility and short-term debt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(362)</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Proceeds from long-term debt</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558</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2,954</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Payments of long-term debt</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Debt issuance costs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Premiums paid to retire debt</w:t>
            </w:r>
          </w:p>
        </w:tc>
        <w:tc>
          <w:tcPr>
            <w:tcW w:w="7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Foreign exchange derivatives related to debt</w:t>
            </w:r>
          </w:p>
        </w:tc>
        <w:tc>
          <w:tcPr>
            <w:tcW w:w="780" w:type="dxa"/>
            <w:vAlign w:val="bottom"/>
          </w:tcPr>
          <w:p>
            <w:pPr>
              <w:spacing w:after="0"/>
              <w:rPr>
                <w:sz w:val="19"/>
                <w:szCs w:val="19"/>
                <w:color w:val="auto"/>
              </w:rPr>
            </w:pPr>
          </w:p>
        </w:tc>
        <w:tc>
          <w:tcPr>
            <w:tcW w:w="86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Payments of finance leases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Dividends paid to noncontrolling interests</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paid to shareholders</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8200" w:type="dxa"/>
            <w:vAlign w:val="bottom"/>
          </w:tcPr>
          <w:p>
            <w:pPr>
              <w:ind w:left="660"/>
              <w:spacing w:after="0"/>
              <w:rPr>
                <w:sz w:val="20"/>
                <w:szCs w:val="20"/>
                <w:color w:val="auto"/>
              </w:rPr>
            </w:pPr>
            <w:r>
              <w:rPr>
                <w:rFonts w:ascii="Arial" w:cs="Arial" w:eastAsia="Arial" w:hAnsi="Arial"/>
                <w:sz w:val="18"/>
                <w:szCs w:val="18"/>
                <w:color w:val="auto"/>
              </w:rPr>
              <w:t>Common stock issued</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Common stock repurchased</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r>
      <w:tr>
        <w:trPr>
          <w:trHeight w:val="223"/>
        </w:trPr>
        <w:tc>
          <w:tcPr>
            <w:tcW w:w="8200" w:type="dxa"/>
            <w:vAlign w:val="bottom"/>
            <w:tcBorders>
              <w:bottom w:val="single" w:sz="8" w:color="CCEEFF"/>
            </w:tcBorders>
          </w:tcPr>
          <w:p>
            <w:pPr>
              <w:ind w:left="1440"/>
              <w:spacing w:after="0"/>
              <w:rPr>
                <w:sz w:val="20"/>
                <w:szCs w:val="20"/>
                <w:color w:val="auto"/>
              </w:rPr>
            </w:pPr>
            <w:r>
              <w:rPr>
                <w:rFonts w:ascii="Arial" w:cs="Arial" w:eastAsia="Arial" w:hAnsi="Arial"/>
                <w:sz w:val="18"/>
                <w:szCs w:val="18"/>
                <w:b w:val="1"/>
                <w:bCs w:val="1"/>
                <w:color w:val="auto"/>
              </w:rPr>
              <w:t>Net cash (used for) / provided by financing activities</w:t>
            </w: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w:t>
            </w:r>
          </w:p>
        </w:tc>
      </w:tr>
      <w:tr>
        <w:trPr>
          <w:trHeight w:val="223"/>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7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200" w:type="dxa"/>
            <w:vAlign w:val="bottom"/>
          </w:tcPr>
          <w:p>
            <w:pPr>
              <w:ind w:left="20"/>
              <w:spacing w:after="0"/>
              <w:rPr>
                <w:sz w:val="20"/>
                <w:szCs w:val="20"/>
                <w:color w:val="auto"/>
              </w:rPr>
            </w:pPr>
            <w:r>
              <w:rPr>
                <w:rFonts w:ascii="Arial" w:cs="Arial" w:eastAsia="Arial" w:hAnsi="Arial"/>
                <w:sz w:val="18"/>
                <w:szCs w:val="18"/>
                <w:color w:val="auto"/>
              </w:rPr>
              <w:t>Net change in cash, cash equivalents and restricted cash</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263</w:t>
            </w:r>
          </w:p>
        </w:tc>
        <w:tc>
          <w:tcPr>
            <w:tcW w:w="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8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January 1</w:t>
            </w: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4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r>
      <w:tr>
        <w:trPr>
          <w:trHeight w:val="223"/>
        </w:trPr>
        <w:tc>
          <w:tcPr>
            <w:tcW w:w="82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September 30</w:t>
            </w:r>
          </w:p>
        </w:tc>
        <w:tc>
          <w:tcPr>
            <w:tcW w:w="7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44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r>
      <w:tr>
        <w:trPr>
          <w:trHeight w:val="20"/>
        </w:trPr>
        <w:tc>
          <w:tcPr>
            <w:tcW w:w="8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6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ind w:left="48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83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vMerge w:val="restart"/>
          </w:tcPr>
          <w:p>
            <w:pPr>
              <w:jc w:val="center"/>
              <w:ind w:right="52"/>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Crown</w:t>
            </w:r>
          </w:p>
        </w:tc>
        <w:tc>
          <w:tcPr>
            <w:tcW w:w="1060" w:type="dxa"/>
            <w:vAlign w:val="bottom"/>
            <w:gridSpan w:val="3"/>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March 31, 2023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8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45"/>
        </w:trPr>
        <w:tc>
          <w:tcPr>
            <w:tcW w:w="37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6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9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159</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w:t>
            </w:r>
          </w:p>
        </w:tc>
        <w:tc>
          <w:tcPr>
            <w:tcW w:w="8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20" w:top="121" w:right="1179" w:bottom="1440" w:gutter="0" w:footer="0" w:header="0"/>
        </w:sectPr>
      </w:pPr>
    </w:p>
    <w:bookmarkStart w:id="7" w:name="page8"/>
    <w:bookmarkEnd w:id="7"/>
    <w:p>
      <w:pPr>
        <w:jc w:val="center"/>
        <w:ind w:right="-4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193"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7" w:lineRule="exact"/>
        <w:rPr>
          <w:sz w:val="20"/>
          <w:szCs w:val="20"/>
          <w:color w:val="auto"/>
        </w:rPr>
      </w:pPr>
    </w:p>
    <w:tbl>
      <w:tblPr>
        <w:tblLayout w:type="fixed"/>
        <w:tblInd w:w="420" w:type="dxa"/>
        <w:tblCellMar>
          <w:top w:w="0" w:type="dxa"/>
          <w:left w:w="0" w:type="dxa"/>
          <w:bottom w:w="0" w:type="dxa"/>
          <w:right w:w="0" w:type="dxa"/>
        </w:tblCellMar>
      </w:tblPr>
      <w:tr>
        <w:trPr>
          <w:trHeight w:val="133"/>
        </w:trPr>
        <w:tc>
          <w:tcPr>
            <w:tcW w:w="37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20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vMerge w:val="restart"/>
          </w:tcPr>
          <w:p>
            <w:pPr>
              <w:jc w:val="center"/>
              <w:ind w:right="32"/>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0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7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Crown</w:t>
            </w:r>
          </w:p>
        </w:tc>
        <w:tc>
          <w:tcPr>
            <w:tcW w:w="1060" w:type="dxa"/>
            <w:vAlign w:val="bottom"/>
            <w:gridSpan w:val="3"/>
            <w:vMerge w:val="continue"/>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96"/>
        </w:trPr>
        <w:tc>
          <w:tcPr>
            <w:tcW w:w="3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7"/>
                <w:szCs w:val="17"/>
                <w:color w:val="auto"/>
              </w:rPr>
            </w:pPr>
          </w:p>
        </w:tc>
        <w:tc>
          <w:tcPr>
            <w:tcW w:w="74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7"/>
                <w:szCs w:val="17"/>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7"/>
                <w:szCs w:val="17"/>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7"/>
                <w:szCs w:val="17"/>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Interests</w:t>
            </w:r>
          </w:p>
        </w:tc>
        <w:tc>
          <w:tcPr>
            <w:tcW w:w="180" w:type="dxa"/>
            <w:vAlign w:val="bottom"/>
          </w:tcPr>
          <w:p>
            <w:pPr>
              <w:spacing w:after="0"/>
              <w:rPr>
                <w:sz w:val="17"/>
                <w:szCs w:val="17"/>
                <w:color w:val="auto"/>
              </w:rPr>
            </w:pPr>
          </w:p>
        </w:tc>
        <w:tc>
          <w:tcPr>
            <w:tcW w:w="720" w:type="dxa"/>
            <w:vAlign w:val="bottom"/>
          </w:tcPr>
          <w:p>
            <w:pPr>
              <w:jc w:val="right"/>
              <w:ind w:right="15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6"/>
        </w:trPr>
        <w:tc>
          <w:tcPr>
            <w:tcW w:w="37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23"/>
        </w:trPr>
        <w:tc>
          <w:tcPr>
            <w:tcW w:w="37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2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Restricted stock awarded</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Common stock issued</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1,739</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370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37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repurchased</w:t>
            </w:r>
          </w:p>
        </w:tc>
        <w:tc>
          <w:tcPr>
            <w:tcW w:w="1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9"/>
                <w:szCs w:val="19"/>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2,135</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82"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56"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September 30, 2023 and the results of its operations for the three and nine months ended September 30, 2023 and 2022 and of its cash flows for the nine months ended September 30, 2023 and 2022.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 the application of which requires management’s utilization of estimates, and actual results may differ materially from the estimates utilized.</w:t>
      </w:r>
    </w:p>
    <w:p>
      <w:pPr>
        <w:spacing w:after="0" w:line="205"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2022.</w:t>
      </w:r>
    </w:p>
    <w:p>
      <w:pPr>
        <w:spacing w:after="0" w:line="194" w:lineRule="exact"/>
        <w:rPr>
          <w:rFonts w:ascii="Arial" w:cs="Arial" w:eastAsia="Arial" w:hAnsi="Arial"/>
          <w:sz w:val="18"/>
          <w:szCs w:val="18"/>
          <w:b w:val="1"/>
          <w:bCs w:val="1"/>
          <w:color w:val="auto"/>
        </w:rPr>
      </w:pPr>
    </w:p>
    <w:p>
      <w:pPr>
        <w:ind w:left="640" w:hanging="632"/>
        <w:spacing w:after="0"/>
        <w:tabs>
          <w:tab w:leader="none" w:pos="6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Recent Accounting and Reporting Pronouncements</w:t>
      </w:r>
    </w:p>
    <w:p>
      <w:pPr>
        <w:spacing w:after="0" w:line="256"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September 2022, the Financial Accounting Standards Board issued new guidance which requires enhanced disclosures of supplier finance programs. The guidance requires buyers in a supplier finance program to disclose sufficient information about the program’s nature, activity during the period, changes from period to period, and potential magnitude. The guidance became effective for the Company on January 1, 2023, except for the disclosure of rollforward information, which is effective for fiscal years beginning after December 15, 2023.</w:t>
      </w:r>
    </w:p>
    <w:p>
      <w:pPr>
        <w:spacing w:after="0" w:line="198"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has various supplier finance programs under which the Company agrees to pay banks the stated amount of confirmed invoices from its designated suppliers on the original maturity dates of the invoices. Suppliers, at their sole discretion, have the opportunity to sell their receivables due from the Company earlier than contracted payment terms. The Company or the banks may terminate the agreements upon at least 30 days' notice. The Company does not have assets pledged as collateral for supplier finance programs. The supplier invoices that have been confirmed as valid under the programs typically have payment terms of 150 days or less, consistent with the commercial terms and conditions as agreed upon with suppliers. The Company had $703 and $1,037 confirmed obligations outstanding under these supplier finance programs as of September 30, 2023 and December 31, 2022 included in Accounts Payable.</w:t>
      </w:r>
    </w:p>
    <w:p>
      <w:pPr>
        <w:spacing w:after="0" w:line="200" w:lineRule="exact"/>
        <w:rPr>
          <w:rFonts w:ascii="Arial" w:cs="Arial" w:eastAsia="Arial" w:hAnsi="Arial"/>
          <w:sz w:val="18"/>
          <w:szCs w:val="18"/>
          <w:b w:val="1"/>
          <w:bCs w:val="1"/>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Cash, Cash Equivalents, and Restricted Cash</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Cash, cash equivalents, and restricted cash included in the Company's Consolidated Balance Sheets and Statement of Cash Flows were as follows:</w:t>
      </w:r>
    </w:p>
    <w:p>
      <w:pPr>
        <w:spacing w:after="0" w:line="3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ind w:left="40"/>
              <w:spacing w:after="0"/>
              <w:rPr>
                <w:sz w:val="20"/>
                <w:szCs w:val="20"/>
                <w:color w:val="auto"/>
              </w:rPr>
            </w:pPr>
            <w:r>
              <w:rPr>
                <w:rFonts w:ascii="Arial" w:cs="Arial" w:eastAsia="Arial" w:hAnsi="Arial"/>
                <w:sz w:val="18"/>
                <w:szCs w:val="18"/>
                <w:color w:val="auto"/>
              </w:rPr>
              <w:t>September 30, 2023</w:t>
            </w:r>
          </w:p>
        </w:tc>
        <w:tc>
          <w:tcPr>
            <w:tcW w:w="180" w:type="dxa"/>
            <w:vAlign w:val="bottom"/>
          </w:tcPr>
          <w:p>
            <w:pPr>
              <w:spacing w:after="0"/>
              <w:rPr>
                <w:sz w:val="20"/>
                <w:szCs w:val="20"/>
                <w:color w:val="auto"/>
              </w:rPr>
            </w:pPr>
          </w:p>
        </w:tc>
        <w:tc>
          <w:tcPr>
            <w:tcW w:w="1700" w:type="dxa"/>
            <w:vAlign w:val="bottom"/>
          </w:tcPr>
          <w:p>
            <w:pPr>
              <w:jc w:val="right"/>
              <w:ind w:right="150"/>
              <w:spacing w:after="0"/>
              <w:rPr>
                <w:sz w:val="20"/>
                <w:szCs w:val="20"/>
                <w:color w:val="auto"/>
              </w:rPr>
            </w:pPr>
            <w:r>
              <w:rPr>
                <w:rFonts w:ascii="Arial" w:cs="Arial" w:eastAsia="Arial" w:hAnsi="Arial"/>
                <w:sz w:val="18"/>
                <w:szCs w:val="18"/>
                <w:color w:val="auto"/>
                <w:w w:val="91"/>
              </w:rPr>
              <w:t>December 31, 2022</w:t>
            </w:r>
          </w:p>
        </w:tc>
      </w:tr>
      <w:tr>
        <w:trPr>
          <w:trHeight w:val="223"/>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w:t>
            </w:r>
          </w:p>
        </w:tc>
        <w:tc>
          <w:tcPr>
            <w:tcW w:w="2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2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gridSpan w:val="4"/>
          </w:tcPr>
          <w:p>
            <w:pPr>
              <w:spacing w:after="0"/>
              <w:rPr>
                <w:sz w:val="20"/>
                <w:szCs w:val="20"/>
                <w:color w:val="auto"/>
              </w:rPr>
            </w:pPr>
            <w:r>
              <w:rPr>
                <w:rFonts w:ascii="Arial" w:cs="Arial" w:eastAsia="Arial" w:hAnsi="Arial"/>
                <w:sz w:val="18"/>
                <w:szCs w:val="18"/>
                <w:b w:val="1"/>
                <w:bCs w:val="1"/>
                <w:color w:val="auto"/>
              </w:rPr>
              <w:t>D.  Receivables</w:t>
            </w: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520"/>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September 30, 2023</w:t>
            </w:r>
          </w:p>
        </w:tc>
        <w:tc>
          <w:tcPr>
            <w:tcW w:w="160" w:type="dxa"/>
            <w:vAlign w:val="bottom"/>
          </w:tcPr>
          <w:p>
            <w:pPr>
              <w:spacing w:after="0"/>
              <w:rPr>
                <w:sz w:val="24"/>
                <w:szCs w:val="24"/>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color w:val="auto"/>
                <w:w w:val="92"/>
              </w:rPr>
              <w:t>December 31, 2022</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7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allowance for credit losses</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7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7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353</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363</w:t>
            </w:r>
          </w:p>
        </w:tc>
      </w:tr>
      <w:tr>
        <w:trPr>
          <w:trHeight w:val="229"/>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7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30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7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1,843</w:t>
            </w:r>
          </w:p>
        </w:tc>
      </w:tr>
      <w:tr>
        <w:trPr>
          <w:trHeight w:val="21"/>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In March 2023 a customer in the Company's Americas Beverage segment filed for bankruptcy and a bankruptcy plan was approved in October 2023. The bankruptcy plan has extended the payment terms of pre-bankruptcy receivables.</w:t>
      </w:r>
    </w:p>
    <w:p>
      <w:pPr>
        <w:spacing w:after="0" w:line="1" w:lineRule="exact"/>
        <w:rPr>
          <w:sz w:val="20"/>
          <w:szCs w:val="20"/>
          <w:color w:val="auto"/>
        </w:rPr>
      </w:pPr>
    </w:p>
    <w:p>
      <w:pPr>
        <w:jc w:val="both"/>
        <w:ind w:left="660"/>
        <w:spacing w:after="0" w:line="260" w:lineRule="auto"/>
        <w:rPr>
          <w:sz w:val="20"/>
          <w:szCs w:val="20"/>
          <w:color w:val="auto"/>
        </w:rPr>
      </w:pPr>
      <w:r>
        <w:rPr>
          <w:rFonts w:ascii="Arial" w:cs="Arial" w:eastAsia="Arial" w:hAnsi="Arial"/>
          <w:sz w:val="18"/>
          <w:szCs w:val="18"/>
          <w:color w:val="auto"/>
        </w:rPr>
        <w:t>The Company has a long-term receivable of $64 related to this customer, which is included in other non-current assets on the Consolidated Balance Sheets as of September 30, 2023.</w:t>
      </w:r>
    </w:p>
    <w:p>
      <w:pPr>
        <w:spacing w:after="0" w:line="212"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December 2021, the Company's Bowling Green plant sustained tornado damage, resulting in curtailment of operations. The Company resumed operations in March 2022. However, it continued to incur incremental costs, including freight and warehousing expenses, to meet customer demand as the plant returned to full operational capacity. As of December 31, 2022, the Company had an insurance receivable, within miscellaneous receivable, for incremental expenses of $23, which was fully collected in 2023.</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20" w:type="dxa"/>
            <w:vAlign w:val="bottom"/>
            <w:gridSpan w:val="4"/>
          </w:tcPr>
          <w:p>
            <w:pPr>
              <w:spacing w:after="0"/>
              <w:rPr>
                <w:sz w:val="20"/>
                <w:szCs w:val="20"/>
                <w:color w:val="auto"/>
              </w:rPr>
            </w:pPr>
            <w:r>
              <w:rPr>
                <w:rFonts w:ascii="Arial" w:cs="Arial" w:eastAsia="Arial" w:hAnsi="Arial"/>
                <w:sz w:val="18"/>
                <w:szCs w:val="18"/>
                <w:b w:val="1"/>
                <w:bCs w:val="1"/>
                <w:color w:val="auto"/>
              </w:rPr>
              <w:t>E.  Inventories</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520"/>
        </w:trPr>
        <w:tc>
          <w:tcPr>
            <w:tcW w:w="3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September 30, 2023</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2022</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6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6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155</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2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6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r>
      <w:tr>
        <w:trPr>
          <w:trHeight w:val="223"/>
        </w:trPr>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1,664</w:t>
            </w:r>
          </w:p>
        </w:tc>
        <w:tc>
          <w:tcPr>
            <w:tcW w:w="6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r>
      <w:tr>
        <w:trPr>
          <w:trHeight w:val="20"/>
        </w:trPr>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26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88"/>
              </w:rPr>
              <w:t>September 30, 2023</w:t>
            </w:r>
          </w:p>
        </w:tc>
        <w:tc>
          <w:tcPr>
            <w:tcW w:w="2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color w:val="auto"/>
                <w:w w:val="89"/>
              </w:rPr>
              <w:t>December 31, 2022</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182"/>
        </w:trPr>
        <w:tc>
          <w:tcPr>
            <w:tcW w:w="2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380"/>
              <w:spacing w:after="0" w:line="182" w:lineRule="exact"/>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380"/>
              <w:spacing w:after="0" w:line="182" w:lineRule="exact"/>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0"/>
        </w:trPr>
        <w:tc>
          <w:tcPr>
            <w:tcW w:w="2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110"/>
              <w:spacing w:after="0"/>
              <w:rPr>
                <w:sz w:val="20"/>
                <w:szCs w:val="20"/>
                <w:color w:val="auto"/>
              </w:rPr>
            </w:pPr>
            <w:r>
              <w:rPr>
                <w:rFonts w:ascii="Arial" w:cs="Arial" w:eastAsia="Arial" w:hAnsi="Arial"/>
                <w:sz w:val="18"/>
                <w:szCs w:val="18"/>
                <w:color w:val="auto"/>
                <w:w w:val="91"/>
              </w:rPr>
              <w:t>Gross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8"/>
                <w:szCs w:val="18"/>
                <w:color w:val="auto"/>
                <w:w w:val="93"/>
              </w:rPr>
              <w:t>amortization</w:t>
            </w:r>
          </w:p>
        </w:tc>
        <w:tc>
          <w:tcPr>
            <w:tcW w:w="20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Net</w:t>
            </w:r>
          </w:p>
        </w:tc>
        <w:tc>
          <w:tcPr>
            <w:tcW w:w="14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Gross</w:t>
            </w:r>
          </w:p>
        </w:tc>
        <w:tc>
          <w:tcPr>
            <w:tcW w:w="180" w:type="dxa"/>
            <w:vAlign w:val="bottom"/>
          </w:tcPr>
          <w:p>
            <w:pPr>
              <w:spacing w:after="0"/>
              <w:rPr>
                <w:sz w:val="20"/>
                <w:szCs w:val="20"/>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amortization</w:t>
            </w:r>
          </w:p>
        </w:tc>
        <w:tc>
          <w:tcPr>
            <w:tcW w:w="180" w:type="dxa"/>
            <w:vAlign w:val="bottom"/>
          </w:tcPr>
          <w:p>
            <w:pPr>
              <w:spacing w:after="0"/>
              <w:rPr>
                <w:sz w:val="20"/>
                <w:szCs w:val="20"/>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rPr>
              <w:t>Net</w:t>
            </w:r>
          </w:p>
        </w:tc>
      </w:tr>
      <w:tr>
        <w:trPr>
          <w:trHeight w:val="223"/>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2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2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1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2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29"/>
        </w:trPr>
        <w:tc>
          <w:tcPr>
            <w:tcW w:w="252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405</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2520" w:type="dxa"/>
            <w:vAlign w:val="bottom"/>
          </w:tcPr>
          <w:p>
            <w:pPr>
              <w:ind w:left="2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2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25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2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2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w:t>
            </w:r>
          </w:p>
        </w:tc>
        <w:tc>
          <w:tcPr>
            <w:tcW w:w="3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2,200</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r>
      <w:tr>
        <w:trPr>
          <w:trHeight w:val="20"/>
        </w:trPr>
        <w:tc>
          <w:tcPr>
            <w:tcW w:w="2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Net income for the three and nine months ended September 30, 2023 and 2022 included amortization expense of $41 and $122 and $40 and $119, respectively.</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recorded restructuring and other items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4580" w:type="dxa"/>
            <w:vAlign w:val="bottom"/>
          </w:tcPr>
          <w:p>
            <w:pPr>
              <w:spacing w:after="0"/>
              <w:rPr>
                <w:sz w:val="19"/>
                <w:szCs w:val="19"/>
                <w:color w:val="auto"/>
              </w:rPr>
            </w:pPr>
          </w:p>
        </w:tc>
        <w:tc>
          <w:tcPr>
            <w:tcW w:w="206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2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580" w:type="dxa"/>
            <w:vAlign w:val="bottom"/>
          </w:tcPr>
          <w:p>
            <w:pPr>
              <w:spacing w:after="0"/>
              <w:rPr>
                <w:sz w:val="20"/>
                <w:szCs w:val="20"/>
                <w:color w:val="auto"/>
              </w:rPr>
            </w:pPr>
          </w:p>
        </w:tc>
        <w:tc>
          <w:tcPr>
            <w:tcW w:w="206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color w:val="auto"/>
              </w:rPr>
              <w:t>September 30,</w:t>
            </w:r>
          </w:p>
        </w:tc>
        <w:tc>
          <w:tcPr>
            <w:tcW w:w="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23"/>
        </w:trPr>
        <w:tc>
          <w:tcPr>
            <w:tcW w:w="45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sales and impairments</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458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7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9"/>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costs</w:t>
            </w:r>
          </w:p>
        </w:tc>
        <w:tc>
          <w:tcPr>
            <w:tcW w:w="7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4580" w:type="dxa"/>
            <w:vAlign w:val="bottom"/>
          </w:tcPr>
          <w:p>
            <w:pPr>
              <w:spacing w:after="0"/>
              <w:rPr>
                <w:sz w:val="19"/>
                <w:szCs w:val="19"/>
                <w:color w:val="auto"/>
              </w:rPr>
            </w:pPr>
          </w:p>
        </w:tc>
        <w:tc>
          <w:tcPr>
            <w:tcW w:w="7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15</w:t>
            </w:r>
          </w:p>
        </w:tc>
        <w:tc>
          <w:tcPr>
            <w:tcW w:w="220" w:type="dxa"/>
            <w:vAlign w:val="bottom"/>
          </w:tcPr>
          <w:p>
            <w:pPr>
              <w:spacing w:after="0"/>
              <w:rPr>
                <w:sz w:val="19"/>
                <w:szCs w:val="19"/>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r>
      <w:tr>
        <w:trPr>
          <w:trHeight w:val="21"/>
        </w:trPr>
        <w:tc>
          <w:tcPr>
            <w:tcW w:w="45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three and nine months ended September 30, 2023, asset sales and impairments primarily relates to asset impairment charges in the Asia Pacific and Other segments. For the nine months ended September 30, 2022, asset sales and impairments primarily related to a $113 gain on the sale of the Transit Packaging segment's Kiwiplan business.</w:t>
      </w:r>
    </w:p>
    <w:p>
      <w:pPr>
        <w:spacing w:after="0" w:line="21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For the nine months ended September 30, 2023, restructuring primarily included headcount reductions in the Company's European Beverage segment and the beverage can equipment operations in the Other segment.</w:t>
      </w:r>
    </w:p>
    <w:p>
      <w:pPr>
        <w:spacing w:after="0" w:line="197"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For the nine months ended September 30, 2022, restructuring included $29 of charges related to an overhead cost reduction program initiated by the Company's Transit Packaging segment. The Company made severance payments of $9 in the nine months ended September 30, 2023 and had a remaining accrual of $7 related to this program.</w:t>
      </w:r>
    </w:p>
    <w:p>
      <w:pPr>
        <w:spacing w:after="0" w:line="211"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At September 30, 2023, the Company had a restructuring accrual of $18, primarily related to the actions referenced above. The Company expects to pay these amounts over the next twelve months. The Company continues to review its costs structure and may record additional restructuring charges in the future.</w:t>
      </w:r>
    </w:p>
    <w:p>
      <w:pPr>
        <w:spacing w:after="0" w:line="207"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21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211"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91" w:lineRule="exact"/>
        <w:rPr>
          <w:sz w:val="20"/>
          <w:szCs w:val="20"/>
          <w:color w:val="auto"/>
        </w:rPr>
      </w:pPr>
    </w:p>
    <w:p>
      <w:pPr>
        <w:jc w:val="both"/>
        <w:ind w:left="660"/>
        <w:spacing w:after="0" w:line="301" w:lineRule="auto"/>
        <w:rPr>
          <w:sz w:val="20"/>
          <w:szCs w:val="20"/>
          <w:color w:val="auto"/>
        </w:rPr>
      </w:pPr>
      <w:r>
        <w:rPr>
          <w:rFonts w:ascii="Arial" w:cs="Arial" w:eastAsia="Arial" w:hAnsi="Arial"/>
          <w:sz w:val="16"/>
          <w:szCs w:val="16"/>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84"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Texas legislation to asbestos-related cases that were pending against Crown Cork in Texas on June 11, 2003 and therefore, in its accrual, continues to assign no value to claims filed after June 11, 2003.</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states of Alabama, Arizona, Arkansas, Florida, Georgia, Idaho, Indiana, Iowa, Kansas, Michigan, Mississippi, Nebraska, North Carolina, North Dakota, Ohio, Oklahoma, South Carolina, South Dakota, Tennessee, Utah, West Virginia, Wisconsin and Wyoming have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 The Company cautions, however, that the legislation may be challenged and there can be no assurance regarding the ultimate effect of the legislation on Crown Cork.</w:t>
      </w:r>
    </w:p>
    <w:p>
      <w:pPr>
        <w:spacing w:after="0" w:line="2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September 30, 2023, the Company paid $10 to settle asbestos claims and pay related legal and defense costs and had claims activity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836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58,100</w:t>
            </w:r>
          </w:p>
        </w:tc>
      </w:tr>
      <w:tr>
        <w:trPr>
          <w:trHeight w:val="21"/>
        </w:trPr>
        <w:tc>
          <w:tcPr>
            <w:tcW w:w="83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2022, the Company's outstanding claims were: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19"/>
                <w:szCs w:val="19"/>
                <w:color w:val="auto"/>
              </w:rPr>
            </w:pPr>
          </w:p>
        </w:tc>
      </w:tr>
      <w:tr>
        <w:trPr>
          <w:trHeight w:val="229"/>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Texas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30"/>
        </w:trPr>
        <w:tc>
          <w:tcPr>
            <w:tcW w:w="8360" w:type="dxa"/>
            <w:vAlign w:val="bottom"/>
          </w:tcPr>
          <w:p>
            <w:pPr>
              <w:ind w:left="34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8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30"/>
        </w:trPr>
        <w:tc>
          <w:tcPr>
            <w:tcW w:w="83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states</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r>
      <w:tr>
        <w:trPr>
          <w:trHeight w:val="248"/>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57,500</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5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and 2021, the percentage of outstanding claims related to claimants alleging serious diseases (primarily mesothelioma and other malignancies) were as follows:</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38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2021</w:t>
            </w:r>
          </w:p>
        </w:tc>
      </w:tr>
      <w:tr>
        <w:trPr>
          <w:trHeight w:val="223"/>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5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Pre-1965 claims in states without asbestos legislation</w:t>
            </w:r>
          </w:p>
        </w:tc>
        <w:tc>
          <w:tcPr>
            <w:tcW w:w="1460" w:type="dxa"/>
            <w:vAlign w:val="bottom"/>
          </w:tcPr>
          <w:p>
            <w:pPr>
              <w:jc w:val="right"/>
              <w:spacing w:after="0"/>
              <w:rPr>
                <w:sz w:val="20"/>
                <w:szCs w:val="20"/>
                <w:color w:val="auto"/>
              </w:rPr>
            </w:pPr>
            <w:r>
              <w:rPr>
                <w:rFonts w:ascii="Arial" w:cs="Arial" w:eastAsia="Arial" w:hAnsi="Arial"/>
                <w:sz w:val="18"/>
                <w:szCs w:val="18"/>
                <w:color w:val="auto"/>
              </w:rPr>
              <w:t>43 %</w:t>
            </w:r>
          </w:p>
        </w:tc>
        <w:tc>
          <w:tcPr>
            <w:tcW w:w="5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42 %</w:t>
            </w:r>
          </w:p>
        </w:tc>
      </w:tr>
    </w:tbl>
    <w:p>
      <w:pPr>
        <w:spacing w:after="0" w:line="32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September 30, 2023.</w:t>
      </w:r>
    </w:p>
    <w:p>
      <w:pPr>
        <w:spacing w:after="0" w:line="211"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As of September 30, 2023, the Company’s accrual for pending and future asbestos-related claims and related legal costs was $210, including $159 for unasserted claims. The Company determines its accrual without limitation to a specific time period.</w:t>
      </w:r>
    </w:p>
    <w:p>
      <w:pPr>
        <w:spacing w:after="0" w:line="197" w:lineRule="exact"/>
        <w:rPr>
          <w:sz w:val="20"/>
          <w:szCs w:val="20"/>
          <w:color w:val="auto"/>
        </w:rPr>
      </w:pPr>
    </w:p>
    <w:p>
      <w:pPr>
        <w:jc w:val="both"/>
        <w:ind w:left="660"/>
        <w:spacing w:after="0" w:line="288" w:lineRule="auto"/>
        <w:rPr>
          <w:sz w:val="20"/>
          <w:szCs w:val="20"/>
          <w:color w:val="auto"/>
        </w:rPr>
      </w:pPr>
      <w:r>
        <w:rPr>
          <w:rFonts w:ascii="Arial" w:cs="Arial" w:eastAsia="Arial" w:hAnsi="Arial"/>
          <w:sz w:val="16"/>
          <w:szCs w:val="16"/>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82% of the claims outstanding at the end of 2022),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 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191"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 along with others in most cases, has been identified by the EPA or a comparable state environmental agency as a Potentially Responsible Party (“PRP”) at a number of sites and has recorded aggregate accruals of $12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91"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Company has also recorded aggregate accruals of $8 for remediation activities at various worldwide locations that are owned by the Company and for which the Company is not a member of a PRP group. Although the Company believes 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215" w:lineRule="exact"/>
        <w:rPr>
          <w:sz w:val="20"/>
          <w:szCs w:val="20"/>
          <w:color w:val="auto"/>
        </w:rPr>
      </w:pPr>
    </w:p>
    <w:p>
      <w:pPr>
        <w:jc w:val="both"/>
        <w:ind w:left="660"/>
        <w:spacing w:after="0" w:line="269" w:lineRule="auto"/>
        <w:rPr>
          <w:sz w:val="20"/>
          <w:szCs w:val="20"/>
          <w:color w:val="auto"/>
        </w:rPr>
      </w:pPr>
      <w:r>
        <w:rPr>
          <w:rFonts w:ascii="Arial" w:cs="Arial" w:eastAsia="Arial" w:hAnsi="Arial"/>
          <w:sz w:val="17"/>
          <w:szCs w:val="17"/>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U.K. The Company cooperated with the Commission and submitted a leniency application with the Commission with respect to the findings of its internal investigation in Germany. In July 2022, the Company reached a settlement with the Commission relating to the Commission’s investigation, pursuant to which the Company agreed to pay a fine in the amount of $8. Fining decisions based on settlements can be appealed under EU law.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Company is seeking annulment of the Commission’s fining decision on the basis that the referral of the case from the FCO to the Commission was unjustified. There can be no assurance regarding the outcome of such appeal.</w:t>
      </w:r>
    </w:p>
    <w:p>
      <w:pPr>
        <w:spacing w:after="0" w:line="197"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In March 2017, U.S. Customs and Border Protection (“CBP”) at the Port of Milwaukee issued a penalty notification alleging that certain of the Company’s subsidiaries intentionally misclassified the importation of certain goods into the U.S. during the period 2004 -2009. CBP initially assessed a penalty of $18. The Company has acknowledged to CBP that the goods were misclassified and has paid all related duties, which CBP does not dispute. The Company has asserted that the misclassification was unintentional and disputes the penalty assessment by CBP. CBP has brought suit in the U.S. Court of International Trade seeking enforcement of the initial penalty against the Company. At the present time, based on the information available, the Company does not believe that a loss for the alleged intentional misclassification is probable. However, there can be no assurance that the Company will be successful in contesting the assessed penalty.</w:t>
      </w:r>
    </w:p>
    <w:p>
      <w:pPr>
        <w:spacing w:after="0" w:line="204" w:lineRule="exact"/>
        <w:rPr>
          <w:sz w:val="20"/>
          <w:szCs w:val="20"/>
          <w:color w:val="auto"/>
        </w:rPr>
      </w:pPr>
    </w:p>
    <w:p>
      <w:pPr>
        <w:jc w:val="both"/>
        <w:ind w:left="660"/>
        <w:spacing w:after="0" w:line="290" w:lineRule="auto"/>
        <w:rPr>
          <w:sz w:val="20"/>
          <w:szCs w:val="20"/>
          <w:color w:val="auto"/>
        </w:rPr>
      </w:pPr>
      <w:r>
        <w:rPr>
          <w:rFonts w:ascii="Arial" w:cs="Arial" w:eastAsia="Arial" w:hAnsi="Arial"/>
          <w:sz w:val="16"/>
          <w:szCs w:val="16"/>
          <w:color w:val="auto"/>
        </w:rPr>
        <w:t>On October 7, 2021, the French Autorité de la concurrence (the French Competition Authority or “FCA”) issued a statement of objections to 14 trade associations, one public entity and 101 legal entities from 28 corporate groups, including the Company, certain of its subsidiaries, other leading metal can manufacturers, certain can fillers and certain retailers in France. The FCA alleged violations of Articles 101 of the Treaty on the Functioning of the European Union and L.420-1 of the French Commercial Code. The statement of objections alleges, among other things, anti-competitive behavior in connection with the removal of bisphenol-A from metal packaging in France. The removal of bisphenol-A was mandated by French legislation that went into effect in 2015. If the FCA finds that the Company or its subsidiaries violated competition law, the FCA may levy fines. Proceedings with respect to this matter are ongoing and the Company is unable to predict the ultimate outcome including the amount of fines, if any, that may be levied by the FCA. The Company intends to vigorously defend against the allegations in the statement of objections.</w:t>
      </w:r>
    </w:p>
    <w:p>
      <w:pPr>
        <w:spacing w:after="0" w:line="192" w:lineRule="exact"/>
        <w:rPr>
          <w:sz w:val="20"/>
          <w:szCs w:val="20"/>
          <w:color w:val="auto"/>
        </w:rPr>
      </w:pPr>
    </w:p>
    <w:p>
      <w:pPr>
        <w:jc w:val="both"/>
        <w:ind w:left="660"/>
        <w:spacing w:after="0" w:line="293" w:lineRule="auto"/>
        <w:rPr>
          <w:sz w:val="20"/>
          <w:szCs w:val="20"/>
          <w:color w:val="auto"/>
        </w:rPr>
      </w:pPr>
      <w:r>
        <w:rPr>
          <w:rFonts w:ascii="Arial" w:cs="Arial" w:eastAsia="Arial" w:hAnsi="Arial"/>
          <w:sz w:val="16"/>
          <w:szCs w:val="16"/>
          <w:color w:val="auto"/>
        </w:rPr>
        <w:t>The Company and its subsidiaries are also subject to various other lawsuits and claims with respect to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 The Company has various commitments to purchase materials, supplies and utilities as part of the ordinary conduct of business. At times, the Company guarantees the obligations of subsidiaries under certain of these contracts and is liable for such arrangements only if the subsidiary fails to perform its obligations under the contract.</w:t>
      </w:r>
    </w:p>
    <w:p>
      <w:pPr>
        <w:spacing w:after="0" w:line="19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Company’s basic raw materials for its products are aluminum and steel, both of which are purchased from multiple sources. The Company is subject to fluctuations in the cost of these raw materials and has periodically adjusted its selling prices to reflect these movements. There can be no assurance, however, that the Company will be able to fully recover any increases or fluctuations in raw material costs from its customers. The Company also has commitments for standby letters of credit and for purchases of capital assets.</w:t>
      </w:r>
    </w:p>
    <w:p>
      <w:pPr>
        <w:spacing w:after="0" w:line="19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At September 30, 2023,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20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and Other Financial Instruments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Fair Value Measurements</w:t>
      </w:r>
    </w:p>
    <w:p>
      <w:pPr>
        <w:spacing w:after="0" w:line="252"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Under U.S.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188"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ind w:right="20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may affect the valuation of assets and liabilities measured at fair value and their placement within the fair value hierarchy.</w:t>
      </w:r>
    </w:p>
    <w:p>
      <w:pPr>
        <w:spacing w:after="0" w:line="252"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215"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r>
        <w:rPr>
          <w:rFonts w:ascii="Arial" w:cs="Arial" w:eastAsia="Arial" w:hAnsi="Arial"/>
          <w:sz w:val="18"/>
          <w:szCs w:val="18"/>
          <w:u w:val="single" w:color="auto"/>
          <w:color w:val="0000FF"/>
        </w:rPr>
        <w:t>Note K</w:t>
      </w:r>
      <w:r>
        <w:rPr>
          <w:rFonts w:ascii="Arial" w:cs="Arial" w:eastAsia="Arial" w:hAnsi="Arial"/>
          <w:sz w:val="18"/>
          <w:szCs w:val="18"/>
          <w:color w:val="auto"/>
        </w:rPr>
        <w:t xml:space="preserve"> for fair value disclosures related to debt.</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52"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98"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The Company’s objective in managing exposure to market and interest rate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using sales agreements that permit the pass-through of commodity price and foreign exchange rate risk to customers and borrowing both fixed and floating debt instruments to manage interest rate risk.</w:t>
      </w:r>
    </w:p>
    <w:p>
      <w:pPr>
        <w:spacing w:after="0" w:line="215" w:lineRule="exact"/>
        <w:rPr>
          <w:sz w:val="20"/>
          <w:szCs w:val="20"/>
          <w:color w:val="auto"/>
        </w:rPr>
      </w:pPr>
    </w:p>
    <w:p>
      <w:pPr>
        <w:jc w:val="both"/>
        <w:ind w:left="460"/>
        <w:spacing w:after="0" w:line="291" w:lineRule="auto"/>
        <w:rPr>
          <w:sz w:val="20"/>
          <w:szCs w:val="20"/>
          <w:color w:val="auto"/>
        </w:rPr>
      </w:pPr>
      <w:r>
        <w:rPr>
          <w:rFonts w:ascii="Arial" w:cs="Arial" w:eastAsia="Arial" w:hAnsi="Arial"/>
          <w:sz w:val="16"/>
          <w:szCs w:val="16"/>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forecasted transaction is reasonably possible, but not probable of occurring, the hedge no longer qualifies for hedge accounting and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 or when the forecasted transaction becomes probable of not occurring.</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Cash Flow Hedges</w:t>
      </w:r>
    </w:p>
    <w:p>
      <w:pPr>
        <w:spacing w:after="0" w:line="252" w:lineRule="exact"/>
        <w:rPr>
          <w:sz w:val="20"/>
          <w:szCs w:val="20"/>
          <w:color w:val="auto"/>
        </w:rPr>
      </w:pPr>
    </w:p>
    <w:p>
      <w:pPr>
        <w:jc w:val="both"/>
        <w:ind w:left="460"/>
        <w:spacing w:after="0" w:line="275" w:lineRule="auto"/>
        <w:rPr>
          <w:sz w:val="20"/>
          <w:szCs w:val="20"/>
          <w:color w:val="auto"/>
        </w:rPr>
      </w:pPr>
      <w:r>
        <w:rPr>
          <w:rFonts w:ascii="Arial" w:cs="Arial" w:eastAsia="Arial" w:hAnsi="Arial"/>
          <w:sz w:val="17"/>
          <w:szCs w:val="17"/>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accumulated other comprehensive income until earnings are impacted by the hedged transaction. Classification of the gain or loss in the Consolidated Statements of Operations upon reclassification from accumulated comprehensive income is the same as that of the underlying exposure. Contracts outstanding at September 30, 2023 mature between one and twenty-five months.</w:t>
      </w:r>
    </w:p>
    <w:p>
      <w:pPr>
        <w:spacing w:after="0" w:line="203"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The Company uses commodity forward contracts to hedge anticipated purchases of various commodities, primarily aluminum, and these exposures are hedged by a central treasury unit.</w:t>
      </w:r>
    </w:p>
    <w:p>
      <w:pPr>
        <w:spacing w:after="0" w:line="197"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also use interest rate swaps to convert interest on floating rate debt to a fixed-rate.</w:t>
      </w:r>
    </w:p>
    <w:p>
      <w:pPr>
        <w:spacing w:after="0" w:line="266"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21" w:right="339" w:bottom="1440" w:gutter="0" w:footer="0" w:header="0"/>
        </w:sectPr>
      </w:pPr>
    </w:p>
    <w:bookmarkStart w:id="15" w:name="page16"/>
    <w:bookmarkEnd w:id="15"/>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color w:val="auto"/>
                <w:w w:val="94"/>
              </w:rPr>
              <w:t>Amount of gain/(loss)</w:t>
            </w:r>
          </w:p>
        </w:tc>
        <w:tc>
          <w:tcPr>
            <w:tcW w:w="200" w:type="dxa"/>
            <w:vAlign w:val="bottom"/>
          </w:tcPr>
          <w:p>
            <w:pPr>
              <w:spacing w:after="0"/>
              <w:rPr>
                <w:sz w:val="17"/>
                <w:szCs w:val="17"/>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Amount of gain/(loss)</w:t>
            </w:r>
          </w:p>
        </w:tc>
      </w:tr>
      <w:tr>
        <w:trPr>
          <w:trHeight w:val="237"/>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color w:val="auto"/>
                <w:w w:val="91"/>
              </w:rPr>
              <w:t>recognized in OCI</w:t>
            </w:r>
          </w:p>
        </w:tc>
        <w:tc>
          <w:tcPr>
            <w:tcW w:w="20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recognized in OCI</w:t>
            </w:r>
          </w:p>
        </w:tc>
      </w:tr>
      <w:tr>
        <w:trPr>
          <w:trHeight w:val="175"/>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00" w:type="dxa"/>
            <w:vAlign w:val="bottom"/>
            <w:tcBorders>
              <w:top w:val="single" w:sz="8" w:color="auto"/>
            </w:tcBorders>
            <w:gridSpan w:val="4"/>
          </w:tcPr>
          <w:p>
            <w:pPr>
              <w:jc w:val="center"/>
              <w:ind w:right="110"/>
              <w:spacing w:after="0" w:line="176" w:lineRule="exact"/>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80" w:type="dxa"/>
            <w:vAlign w:val="bottom"/>
            <w:tcBorders>
              <w:top w:val="single" w:sz="8" w:color="auto"/>
            </w:tcBorders>
            <w:gridSpan w:val="4"/>
          </w:tcPr>
          <w:p>
            <w:pPr>
              <w:jc w:val="center"/>
              <w:ind w:right="170"/>
              <w:spacing w:after="0" w:line="176" w:lineRule="exact"/>
              <w:rPr>
                <w:sz w:val="20"/>
                <w:szCs w:val="20"/>
                <w:color w:val="auto"/>
              </w:rPr>
            </w:pPr>
            <w:r>
              <w:rPr>
                <w:rFonts w:ascii="Arial" w:cs="Arial" w:eastAsia="Arial" w:hAnsi="Arial"/>
                <w:sz w:val="18"/>
                <w:szCs w:val="18"/>
                <w:color w:val="auto"/>
                <w:w w:val="91"/>
              </w:rPr>
              <w:t>Nine Months Ended</w:t>
            </w:r>
          </w:p>
        </w:tc>
        <w:tc>
          <w:tcPr>
            <w:tcW w:w="100" w:type="dxa"/>
            <w:vAlign w:val="bottom"/>
          </w:tcPr>
          <w:p>
            <w:pPr>
              <w:spacing w:after="0"/>
              <w:rPr>
                <w:sz w:val="15"/>
                <w:szCs w:val="15"/>
                <w:color w:val="auto"/>
              </w:rPr>
            </w:pPr>
          </w:p>
        </w:tc>
      </w:tr>
      <w:tr>
        <w:trPr>
          <w:trHeight w:val="237"/>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20"/>
                <w:szCs w:val="20"/>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8"/>
                <w:szCs w:val="18"/>
                <w:color w:val="auto"/>
                <w:w w:val="88"/>
              </w:rPr>
              <w:t>September 30,</w:t>
            </w:r>
          </w:p>
        </w:tc>
      </w:tr>
      <w:tr>
        <w:trPr>
          <w:trHeight w:val="230"/>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2022</w:t>
            </w:r>
          </w:p>
        </w:tc>
        <w:tc>
          <w:tcPr>
            <w:tcW w:w="100" w:type="dxa"/>
            <w:vAlign w:val="bottom"/>
          </w:tcPr>
          <w:p>
            <w:pPr>
              <w:spacing w:after="0"/>
              <w:rPr>
                <w:sz w:val="19"/>
                <w:szCs w:val="19"/>
                <w:color w:val="auto"/>
              </w:rPr>
            </w:pP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9"/>
              </w:rPr>
              <w:t>(3)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r>
      <w:tr>
        <w:trPr>
          <w:trHeight w:val="229"/>
        </w:trPr>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Commodities</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530"/>
              <w:spacing w:after="0"/>
              <w:rPr>
                <w:sz w:val="20"/>
                <w:szCs w:val="20"/>
                <w:color w:val="auto"/>
              </w:rPr>
            </w:pPr>
            <w:r>
              <w:rPr>
                <w:rFonts w:ascii="Arial" w:cs="Arial" w:eastAsia="Arial" w:hAnsi="Arial"/>
                <w:sz w:val="18"/>
                <w:szCs w:val="18"/>
                <w:color w:val="auto"/>
                <w:w w:val="99"/>
              </w:rPr>
              <w:t>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410"/>
              <w:spacing w:after="0"/>
              <w:rPr>
                <w:sz w:val="20"/>
                <w:szCs w:val="20"/>
                <w:color w:val="auto"/>
              </w:rPr>
            </w:pPr>
            <w:r>
              <w:rPr>
                <w:rFonts w:ascii="Arial" w:cs="Arial" w:eastAsia="Arial" w:hAnsi="Arial"/>
                <w:sz w:val="18"/>
                <w:szCs w:val="18"/>
                <w:color w:val="auto"/>
                <w:w w:val="93"/>
              </w:rPr>
              <w:t>(14)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r>
      <w:tr>
        <w:trPr>
          <w:trHeight w:val="248"/>
        </w:trPr>
        <w:tc>
          <w:tcPr>
            <w:tcW w:w="2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center"/>
              <w:ind w:left="490"/>
              <w:spacing w:after="0"/>
              <w:rPr>
                <w:sz w:val="20"/>
                <w:szCs w:val="20"/>
                <w:color w:val="auto"/>
              </w:rPr>
            </w:pPr>
            <w:r>
              <w:rPr>
                <w:rFonts w:ascii="Arial" w:cs="Arial" w:eastAsia="Arial" w:hAnsi="Arial"/>
                <w:sz w:val="18"/>
                <w:szCs w:val="18"/>
                <w:color w:val="auto"/>
                <w:w w:val="99"/>
              </w:rPr>
              <w:t>(1)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center"/>
              <w:ind w:left="410"/>
              <w:spacing w:after="0"/>
              <w:rPr>
                <w:sz w:val="20"/>
                <w:szCs w:val="20"/>
                <w:color w:val="auto"/>
              </w:rPr>
            </w:pPr>
            <w:r>
              <w:rPr>
                <w:rFonts w:ascii="Arial" w:cs="Arial" w:eastAsia="Arial" w:hAnsi="Arial"/>
                <w:sz w:val="18"/>
                <w:szCs w:val="18"/>
                <w:color w:val="auto"/>
                <w:w w:val="93"/>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4"/>
        </w:trPr>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right="300"/>
              <w:spacing w:after="0"/>
              <w:rPr>
                <w:sz w:val="20"/>
                <w:szCs w:val="20"/>
                <w:color w:val="auto"/>
              </w:rPr>
            </w:pPr>
            <w:r>
              <w:rPr>
                <w:rFonts w:ascii="Arial" w:cs="Arial" w:eastAsia="Arial" w:hAnsi="Arial"/>
                <w:sz w:val="18"/>
                <w:szCs w:val="18"/>
                <w:color w:val="auto"/>
                <w:w w:val="94"/>
              </w:rPr>
              <w:t>Amount of gain/(loss)</w:t>
            </w:r>
          </w:p>
        </w:tc>
        <w:tc>
          <w:tcPr>
            <w:tcW w:w="200" w:type="dxa"/>
            <w:vAlign w:val="bottom"/>
          </w:tcPr>
          <w:p>
            <w:pPr>
              <w:spacing w:after="0"/>
              <w:rPr>
                <w:sz w:val="24"/>
                <w:szCs w:val="24"/>
                <w:color w:val="auto"/>
              </w:rPr>
            </w:pPr>
          </w:p>
        </w:tc>
        <w:tc>
          <w:tcPr>
            <w:tcW w:w="208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Amount of gain/(loss)</w:t>
            </w:r>
          </w:p>
        </w:tc>
      </w:tr>
      <w:tr>
        <w:trPr>
          <w:trHeight w:val="188"/>
        </w:trPr>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center"/>
              <w:ind w:right="120"/>
              <w:spacing w:after="0" w:line="189" w:lineRule="exact"/>
              <w:rPr>
                <w:sz w:val="20"/>
                <w:szCs w:val="20"/>
                <w:color w:val="auto"/>
              </w:rPr>
            </w:pPr>
            <w:r>
              <w:rPr>
                <w:rFonts w:ascii="Arial" w:cs="Arial" w:eastAsia="Arial" w:hAnsi="Arial"/>
                <w:sz w:val="18"/>
                <w:szCs w:val="18"/>
                <w:color w:val="auto"/>
                <w:w w:val="94"/>
              </w:rPr>
              <w:t>reclassified from AOCI into</w:t>
            </w:r>
          </w:p>
        </w:tc>
        <w:tc>
          <w:tcPr>
            <w:tcW w:w="2280" w:type="dxa"/>
            <w:vAlign w:val="bottom"/>
            <w:gridSpan w:val="6"/>
          </w:tcPr>
          <w:p>
            <w:pPr>
              <w:jc w:val="center"/>
              <w:ind w:right="100"/>
              <w:spacing w:after="0" w:line="189" w:lineRule="exact"/>
              <w:rPr>
                <w:sz w:val="20"/>
                <w:szCs w:val="20"/>
                <w:color w:val="auto"/>
              </w:rPr>
            </w:pPr>
            <w:r>
              <w:rPr>
                <w:rFonts w:ascii="Arial" w:cs="Arial" w:eastAsia="Arial" w:hAnsi="Arial"/>
                <w:sz w:val="18"/>
                <w:szCs w:val="18"/>
                <w:color w:val="auto"/>
                <w:w w:val="94"/>
              </w:rPr>
              <w:t>reclassified from AOCI into</w:t>
            </w:r>
          </w:p>
        </w:tc>
      </w:tr>
      <w:tr>
        <w:trPr>
          <w:trHeight w:val="230"/>
        </w:trPr>
        <w:tc>
          <w:tcPr>
            <w:tcW w:w="2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center"/>
              <w:ind w:left="490"/>
              <w:spacing w:after="0"/>
              <w:rPr>
                <w:sz w:val="20"/>
                <w:szCs w:val="20"/>
                <w:color w:val="auto"/>
              </w:rPr>
            </w:pPr>
            <w:r>
              <w:rPr>
                <w:rFonts w:ascii="Arial" w:cs="Arial" w:eastAsia="Arial" w:hAnsi="Arial"/>
                <w:sz w:val="18"/>
                <w:szCs w:val="18"/>
                <w:color w:val="auto"/>
                <w:w w:val="89"/>
              </w:rPr>
              <w:t>income</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3"/>
          </w:tcPr>
          <w:p>
            <w:pPr>
              <w:jc w:val="center"/>
              <w:ind w:left="470"/>
              <w:spacing w:after="0"/>
              <w:rPr>
                <w:sz w:val="20"/>
                <w:szCs w:val="20"/>
                <w:color w:val="auto"/>
              </w:rPr>
            </w:pPr>
            <w:r>
              <w:rPr>
                <w:rFonts w:ascii="Arial" w:cs="Arial" w:eastAsia="Arial" w:hAnsi="Arial"/>
                <w:sz w:val="18"/>
                <w:szCs w:val="18"/>
                <w:color w:val="auto"/>
                <w:w w:val="92"/>
              </w:rPr>
              <w:t>income</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2085340</wp:posOffset>
            </wp:positionH>
            <wp:positionV relativeFrom="paragraph">
              <wp:posOffset>0</wp:posOffset>
            </wp:positionV>
            <wp:extent cx="2837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sectPr>
      </w:pPr>
    </w:p>
    <w:p>
      <w:pPr>
        <w:spacing w:after="0" w:line="13" w:lineRule="exact"/>
        <w:rPr>
          <w:sz w:val="20"/>
          <w:szCs w:val="20"/>
          <w:color w:val="auto"/>
        </w:rPr>
      </w:pPr>
    </w:p>
    <w:p>
      <w:pPr>
        <w:jc w:val="center"/>
        <w:ind w:left="3560"/>
        <w:spacing w:after="0"/>
        <w:rPr>
          <w:sz w:val="20"/>
          <w:szCs w:val="20"/>
          <w:color w:val="auto"/>
        </w:rPr>
      </w:pPr>
      <w:r>
        <w:rPr>
          <w:rFonts w:ascii="Arial" w:cs="Arial" w:eastAsia="Arial" w:hAnsi="Arial"/>
          <w:sz w:val="16"/>
          <w:szCs w:val="16"/>
          <w:color w:val="auto"/>
        </w:rPr>
        <w:t>Three Months Ended</w:t>
      </w:r>
    </w:p>
    <w:p>
      <w:pPr>
        <w:spacing w:after="0" w:line="8" w:lineRule="exact"/>
        <w:rPr>
          <w:sz w:val="20"/>
          <w:szCs w:val="20"/>
          <w:color w:val="auto"/>
        </w:rPr>
      </w:pPr>
    </w:p>
    <w:p>
      <w:pPr>
        <w:jc w:val="center"/>
        <w:ind w:left="3560"/>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Nine Months Ended</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September 30,</w:t>
      </w:r>
    </w:p>
    <w:p>
      <w:pPr>
        <w:spacing w:after="0" w:line="7" w:lineRule="exact"/>
        <w:rPr>
          <w:sz w:val="20"/>
          <w:szCs w:val="20"/>
          <w:color w:val="auto"/>
        </w:rPr>
      </w:pPr>
    </w:p>
    <w:p>
      <w:pPr>
        <w:sectPr>
          <w:pgSz w:w="11900" w:h="16838" w:orient="portrait"/>
          <w:cols w:equalWidth="0" w:num="2">
            <w:col w:w="5200" w:space="720"/>
            <w:col w:w="5140"/>
          </w:cols>
          <w:pgMar w:left="500" w:top="121" w:right="339" w:bottom="1440" w:gutter="0" w:footer="0" w:header="0"/>
          <w:type w:val="continuous"/>
        </w:sectPr>
      </w:pPr>
    </w:p>
    <w:tbl>
      <w:tblPr>
        <w:tblLayout w:type="fixed"/>
        <w:tblInd w:w="480" w:type="dxa"/>
        <w:tblCellMar>
          <w:top w:w="0" w:type="dxa"/>
          <w:left w:w="0" w:type="dxa"/>
          <w:bottom w:w="0" w:type="dxa"/>
          <w:right w:w="0" w:type="dxa"/>
        </w:tblCellMar>
      </w:tblPr>
      <w:tr>
        <w:trPr>
          <w:trHeight w:val="169"/>
        </w:trPr>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0" w:type="dxa"/>
            <w:vAlign w:val="bottom"/>
          </w:tcPr>
          <w:p>
            <w:pPr>
              <w:ind w:left="200"/>
              <w:spacing w:after="0" w:line="169" w:lineRule="exact"/>
              <w:rPr>
                <w:sz w:val="20"/>
                <w:szCs w:val="20"/>
                <w:color w:val="auto"/>
              </w:rPr>
            </w:pPr>
            <w:r>
              <w:rPr>
                <w:rFonts w:ascii="Arial" w:cs="Arial" w:eastAsia="Arial" w:hAnsi="Arial"/>
                <w:sz w:val="18"/>
                <w:szCs w:val="18"/>
                <w:color w:val="auto"/>
                <w:w w:val="98"/>
              </w:rPr>
              <w:t>Affected line items in the Statement of</w:t>
            </w:r>
          </w:p>
        </w:tc>
      </w:tr>
      <w:tr>
        <w:trPr>
          <w:trHeight w:val="243"/>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Derivatives in cash flow hedges</w:t>
            </w: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0" w:type="dxa"/>
            <w:vAlign w:val="bottom"/>
          </w:tcPr>
          <w:p>
            <w:pPr>
              <w:ind w:left="1200"/>
              <w:spacing w:after="0"/>
              <w:rPr>
                <w:sz w:val="20"/>
                <w:szCs w:val="20"/>
                <w:color w:val="auto"/>
              </w:rPr>
            </w:pPr>
            <w:r>
              <w:rPr>
                <w:rFonts w:ascii="Arial" w:cs="Arial" w:eastAsia="Arial" w:hAnsi="Arial"/>
                <w:sz w:val="18"/>
                <w:szCs w:val="18"/>
                <w:color w:val="auto"/>
              </w:rPr>
              <w:t>Operations</w:t>
            </w:r>
          </w:p>
        </w:tc>
      </w:tr>
      <w:tr>
        <w:trPr>
          <w:trHeight w:val="223"/>
        </w:trPr>
        <w:tc>
          <w:tcPr>
            <w:tcW w:w="2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0"/>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3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r>
      <w:tr>
        <w:trPr>
          <w:trHeight w:val="229"/>
        </w:trPr>
        <w:tc>
          <w:tcPr>
            <w:tcW w:w="2800" w:type="dxa"/>
            <w:vAlign w:val="bottom"/>
            <w:gridSpan w:val="2"/>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center"/>
              <w:ind w:left="47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200" w:type="dxa"/>
            <w:vAlign w:val="bottom"/>
          </w:tcPr>
          <w:p>
            <w:pPr>
              <w:ind w:left="20"/>
              <w:spacing w:after="0"/>
              <w:rPr>
                <w:sz w:val="20"/>
                <w:szCs w:val="20"/>
                <w:color w:val="auto"/>
              </w:rPr>
            </w:pPr>
            <w:r>
              <w:rPr>
                <w:rFonts w:ascii="Arial" w:cs="Arial" w:eastAsia="Arial" w:hAnsi="Arial"/>
                <w:sz w:val="18"/>
                <w:szCs w:val="18"/>
                <w:color w:val="auto"/>
              </w:rPr>
              <w:t>Net sales</w:t>
            </w:r>
          </w:p>
        </w:tc>
      </w:tr>
      <w:tr>
        <w:trPr>
          <w:trHeight w:val="176"/>
        </w:trPr>
        <w:tc>
          <w:tcPr>
            <w:tcW w:w="2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Cost of products sold, excluding</w:t>
            </w:r>
          </w:p>
        </w:tc>
      </w:tr>
      <w:tr>
        <w:trPr>
          <w:trHeight w:val="243"/>
        </w:trPr>
        <w:tc>
          <w:tcPr>
            <w:tcW w:w="2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r>
      <w:tr>
        <w:trPr>
          <w:trHeight w:val="176"/>
        </w:trPr>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0" w:type="dxa"/>
            <w:vAlign w:val="bottom"/>
          </w:tcPr>
          <w:p>
            <w:pPr>
              <w:ind w:left="20"/>
              <w:spacing w:after="0" w:line="176" w:lineRule="exact"/>
              <w:rPr>
                <w:sz w:val="20"/>
                <w:szCs w:val="20"/>
                <w:color w:val="auto"/>
              </w:rPr>
            </w:pPr>
            <w:r>
              <w:rPr>
                <w:rFonts w:ascii="Arial" w:cs="Arial" w:eastAsia="Arial" w:hAnsi="Arial"/>
                <w:sz w:val="18"/>
                <w:szCs w:val="18"/>
                <w:color w:val="auto"/>
              </w:rPr>
              <w:t>Cost of products sold, excluding</w:t>
            </w:r>
          </w:p>
        </w:tc>
      </w:tr>
      <w:tr>
        <w:trPr>
          <w:trHeight w:val="243"/>
        </w:trPr>
        <w:tc>
          <w:tcPr>
            <w:tcW w:w="28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Commodities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left="450"/>
              <w:spacing w:after="0"/>
              <w:rPr>
                <w:sz w:val="20"/>
                <w:szCs w:val="20"/>
                <w:color w:val="auto"/>
              </w:rPr>
            </w:pPr>
            <w:r>
              <w:rPr>
                <w:rFonts w:ascii="Arial" w:cs="Arial" w:eastAsia="Arial" w:hAnsi="Arial"/>
                <w:sz w:val="18"/>
                <w:szCs w:val="18"/>
                <w:color w:val="auto"/>
                <w:w w:val="90"/>
              </w:rPr>
              <w:t>(9)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w:t>
            </w:r>
          </w:p>
        </w:tc>
        <w:tc>
          <w:tcPr>
            <w:tcW w:w="100" w:type="dxa"/>
            <w:vAlign w:val="bottom"/>
            <w:tcBorders>
              <w:bottom w:val="single" w:sz="8" w:color="CCEEFF"/>
            </w:tcBorders>
          </w:tcPr>
          <w:p>
            <w:pPr>
              <w:spacing w:after="0"/>
              <w:rPr>
                <w:sz w:val="21"/>
                <w:szCs w:val="21"/>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and amortization</w:t>
            </w:r>
          </w:p>
        </w:tc>
      </w:tr>
      <w:tr>
        <w:trPr>
          <w:trHeight w:val="156"/>
        </w:trPr>
        <w:tc>
          <w:tcPr>
            <w:tcW w:w="2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Income before taxes and equity in net</w:t>
            </w:r>
          </w:p>
        </w:tc>
      </w:tr>
      <w:tr>
        <w:trPr>
          <w:trHeight w:val="243"/>
        </w:trPr>
        <w:tc>
          <w:tcPr>
            <w:tcW w:w="2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0"/>
              </w:rPr>
              <w:t>(2)</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w:t>
            </w:r>
          </w:p>
        </w:tc>
        <w:tc>
          <w:tcPr>
            <w:tcW w:w="100" w:type="dxa"/>
            <w:vAlign w:val="bottom"/>
            <w:shd w:val="clear" w:color="auto" w:fill="CCEEFF"/>
          </w:tcPr>
          <w:p>
            <w:pPr>
              <w:spacing w:after="0"/>
              <w:rPr>
                <w:sz w:val="21"/>
                <w:szCs w:val="21"/>
                <w:color w:val="auto"/>
              </w:rPr>
            </w:pPr>
          </w:p>
        </w:tc>
        <w:tc>
          <w:tcPr>
            <w:tcW w:w="3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of affiliates</w:t>
            </w:r>
          </w:p>
        </w:tc>
      </w:tr>
      <w:tr>
        <w:trPr>
          <w:trHeight w:val="223"/>
        </w:trPr>
        <w:tc>
          <w:tcPr>
            <w:tcW w:w="27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left="47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r>
      <w:tr>
        <w:trPr>
          <w:trHeight w:val="248"/>
        </w:trPr>
        <w:tc>
          <w:tcPr>
            <w:tcW w:w="2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0"/>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r>
    </w:tbl>
    <w:p>
      <w:pPr>
        <w:spacing w:after="0" w:line="296" w:lineRule="exact"/>
        <w:rPr>
          <w:sz w:val="20"/>
          <w:szCs w:val="20"/>
          <w:color w:val="auto"/>
        </w:rPr>
      </w:pPr>
    </w:p>
    <w:p>
      <w:pPr>
        <w:jc w:val="both"/>
        <w:ind w:left="480"/>
        <w:spacing w:after="0" w:line="263" w:lineRule="auto"/>
        <w:rPr>
          <w:sz w:val="20"/>
          <w:szCs w:val="20"/>
          <w:color w:val="auto"/>
        </w:rPr>
      </w:pPr>
      <w:r>
        <w:rPr>
          <w:rFonts w:ascii="Arial" w:cs="Arial" w:eastAsia="Arial" w:hAnsi="Arial"/>
          <w:sz w:val="18"/>
          <w:szCs w:val="18"/>
          <w:color w:val="auto"/>
        </w:rPr>
        <w:t>For the twelve-month period ending September 30, 2024, a net loss of $11 ($8, net of tax) is expected to be reclassified to earnings for commodity and foreign exchange contracts. No material amounts were reclassified during the nine months ended September 30, 2023 and 2022 in connection with anticipated transactions that were considered probable of not occurring.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52" w:lineRule="exact"/>
        <w:rPr>
          <w:sz w:val="20"/>
          <w:szCs w:val="20"/>
          <w:color w:val="auto"/>
        </w:rPr>
      </w:pPr>
    </w:p>
    <w:p>
      <w:pPr>
        <w:jc w:val="both"/>
        <w:ind w:left="480"/>
        <w:spacing w:after="0" w:line="259"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 maturity dates of the derivative instruments coincide with those of the hedged items. Changes in fair value of the derivative financial instruments, excluding time value, are offset by changes in fair value of the related hedged items.</w:t>
      </w:r>
    </w:p>
    <w:p>
      <w:pPr>
        <w:spacing w:after="0" w:line="214" w:lineRule="exact"/>
        <w:rPr>
          <w:sz w:val="20"/>
          <w:szCs w:val="20"/>
          <w:color w:val="auto"/>
        </w:rPr>
      </w:pPr>
    </w:p>
    <w:p>
      <w:pPr>
        <w:jc w:val="both"/>
        <w:ind w:left="480"/>
        <w:spacing w:after="0" w:line="259" w:lineRule="auto"/>
        <w:rPr>
          <w:sz w:val="20"/>
          <w:szCs w:val="20"/>
          <w:color w:val="auto"/>
        </w:rPr>
      </w:pPr>
      <w:r>
        <w:rPr>
          <w:rFonts w:ascii="Arial" w:cs="Arial" w:eastAsia="Arial" w:hAnsi="Arial"/>
          <w:sz w:val="18"/>
          <w:szCs w:val="18"/>
          <w:color w:val="auto"/>
        </w:rPr>
        <w:t>For the three and nine months ended September 30, 2023, the Company recorded a gain of $3 and a loss of $7 from foreign exchange contracts designated as fair value hedges. For the three and nine months ended September 30, 2022, the Company recorded losses of $4 and $19 from foreign exchange contracts designated as fair value hedges. These adjustments were reported within foreign exchange in the Consolidated Statements of Operations.</w:t>
      </w:r>
    </w:p>
    <w:p>
      <w:pPr>
        <w:spacing w:after="0" w:line="214" w:lineRule="exact"/>
        <w:rPr>
          <w:sz w:val="20"/>
          <w:szCs w:val="20"/>
          <w:color w:val="auto"/>
        </w:rPr>
      </w:pPr>
    </w:p>
    <w:p>
      <w:pPr>
        <w:jc w:val="both"/>
        <w:ind w:left="480"/>
        <w:spacing w:after="0" w:line="296" w:lineRule="auto"/>
        <w:rPr>
          <w:sz w:val="20"/>
          <w:szCs w:val="20"/>
          <w:color w:val="auto"/>
        </w:rPr>
      </w:pPr>
      <w:r>
        <w:rPr>
          <w:rFonts w:ascii="Arial" w:cs="Arial" w:eastAsia="Arial" w:hAnsi="Arial"/>
          <w:sz w:val="16"/>
          <w:szCs w:val="16"/>
          <w:color w:val="auto"/>
        </w:rPr>
        <w:t>Certain derivative financial instruments, including foreign exchange contracts related to intercompany debt, were not designated or did not qualify for hedge accounting;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nonfunctional currencies. Changes in fair value of these derivative instruments are immediately recognized in earnings as foreign exchange adjustments.</w:t>
      </w:r>
    </w:p>
    <w:p>
      <w:pPr>
        <w:sectPr>
          <w:pgSz w:w="11900" w:h="16838" w:orient="portrait"/>
          <w:cols w:equalWidth="0" w:num="1">
            <w:col w:w="11060"/>
          </w:cols>
          <w:pgMar w:left="50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type w:val="continuous"/>
        </w:sectPr>
      </w:pPr>
    </w:p>
    <w:bookmarkStart w:id="16" w:name="page17"/>
    <w:bookmarkEnd w:id="16"/>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6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Pre-tax amounts of</w:t>
            </w:r>
          </w:p>
        </w:tc>
        <w:tc>
          <w:tcPr>
            <w:tcW w:w="2220" w:type="dxa"/>
            <w:vAlign w:val="bottom"/>
            <w:gridSpan w:val="5"/>
          </w:tcPr>
          <w:p>
            <w:pPr>
              <w:jc w:val="center"/>
              <w:spacing w:after="0"/>
              <w:rPr>
                <w:sz w:val="20"/>
                <w:szCs w:val="20"/>
                <w:color w:val="auto"/>
              </w:rPr>
            </w:pPr>
            <w:r>
              <w:rPr>
                <w:rFonts w:ascii="Arial" w:cs="Arial" w:eastAsia="Arial" w:hAnsi="Arial"/>
                <w:sz w:val="18"/>
                <w:szCs w:val="18"/>
                <w:color w:val="auto"/>
                <w:w w:val="90"/>
              </w:rPr>
              <w:t>Pre-tax amounts of gain/(loss)</w:t>
            </w:r>
          </w:p>
        </w:tc>
        <w:tc>
          <w:tcPr>
            <w:tcW w:w="1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188"/>
        </w:trPr>
        <w:tc>
          <w:tcPr>
            <w:tcW w:w="3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60" w:type="dxa"/>
            <w:vAlign w:val="bottom"/>
            <w:gridSpan w:val="5"/>
          </w:tcPr>
          <w:p>
            <w:pPr>
              <w:jc w:val="center"/>
              <w:ind w:right="260"/>
              <w:spacing w:after="0" w:line="189" w:lineRule="exact"/>
              <w:rPr>
                <w:sz w:val="20"/>
                <w:szCs w:val="20"/>
                <w:color w:val="auto"/>
              </w:rPr>
            </w:pPr>
            <w:r>
              <w:rPr>
                <w:rFonts w:ascii="Arial" w:cs="Arial" w:eastAsia="Arial" w:hAnsi="Arial"/>
                <w:sz w:val="18"/>
                <w:szCs w:val="18"/>
                <w:color w:val="auto"/>
                <w:w w:val="91"/>
              </w:rPr>
              <w:t>gain/(loss) recognized in</w:t>
            </w:r>
          </w:p>
        </w:tc>
        <w:tc>
          <w:tcPr>
            <w:tcW w:w="2220" w:type="dxa"/>
            <w:vAlign w:val="bottom"/>
            <w:gridSpan w:val="5"/>
          </w:tcPr>
          <w:p>
            <w:pPr>
              <w:jc w:val="center"/>
              <w:spacing w:after="0" w:line="189" w:lineRule="exact"/>
              <w:rPr>
                <w:sz w:val="20"/>
                <w:szCs w:val="20"/>
                <w:color w:val="auto"/>
              </w:rPr>
            </w:pPr>
            <w:r>
              <w:rPr>
                <w:rFonts w:ascii="Arial" w:cs="Arial" w:eastAsia="Arial" w:hAnsi="Arial"/>
                <w:sz w:val="18"/>
                <w:szCs w:val="18"/>
                <w:color w:val="auto"/>
                <w:w w:val="91"/>
              </w:rPr>
              <w:t>recognized in income on</w:t>
            </w:r>
          </w:p>
        </w:tc>
        <w:tc>
          <w:tcPr>
            <w:tcW w:w="100" w:type="dxa"/>
            <w:vAlign w:val="bottom"/>
          </w:tcPr>
          <w:p>
            <w:pPr>
              <w:spacing w:after="0"/>
              <w:rPr>
                <w:sz w:val="16"/>
                <w:szCs w:val="16"/>
                <w:color w:val="auto"/>
              </w:rPr>
            </w:pPr>
          </w:p>
        </w:tc>
        <w:tc>
          <w:tcPr>
            <w:tcW w:w="2380" w:type="dxa"/>
            <w:vAlign w:val="bottom"/>
          </w:tcPr>
          <w:p>
            <w:pPr>
              <w:spacing w:after="0"/>
              <w:rPr>
                <w:sz w:val="16"/>
                <w:szCs w:val="16"/>
                <w:color w:val="auto"/>
              </w:rPr>
            </w:pPr>
          </w:p>
        </w:tc>
      </w:tr>
      <w:tr>
        <w:trPr>
          <w:trHeight w:val="230"/>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income on derivative</w:t>
            </w:r>
          </w:p>
        </w:tc>
        <w:tc>
          <w:tcPr>
            <w:tcW w:w="720" w:type="dxa"/>
            <w:vAlign w:val="bottom"/>
          </w:tcPr>
          <w:p>
            <w:pPr>
              <w:spacing w:after="0"/>
              <w:rPr>
                <w:sz w:val="20"/>
                <w:szCs w:val="20"/>
                <w:color w:val="auto"/>
              </w:rPr>
            </w:pPr>
          </w:p>
        </w:tc>
        <w:tc>
          <w:tcPr>
            <w:tcW w:w="1160" w:type="dxa"/>
            <w:vAlign w:val="bottom"/>
            <w:gridSpan w:val="3"/>
          </w:tcPr>
          <w:p>
            <w:pPr>
              <w:jc w:val="center"/>
              <w:ind w:right="310"/>
              <w:spacing w:after="0"/>
              <w:rPr>
                <w:sz w:val="20"/>
                <w:szCs w:val="20"/>
                <w:color w:val="auto"/>
              </w:rPr>
            </w:pPr>
            <w:r>
              <w:rPr>
                <w:rFonts w:ascii="Arial" w:cs="Arial" w:eastAsia="Arial" w:hAnsi="Arial"/>
                <w:sz w:val="18"/>
                <w:szCs w:val="18"/>
                <w:color w:val="auto"/>
                <w:w w:val="93"/>
              </w:rPr>
              <w:t>derivative</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169"/>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040" w:type="dxa"/>
            <w:vAlign w:val="bottom"/>
            <w:tcBorders>
              <w:top w:val="single" w:sz="8" w:color="auto"/>
            </w:tcBorders>
            <w:gridSpan w:val="4"/>
          </w:tcPr>
          <w:p>
            <w:pPr>
              <w:jc w:val="center"/>
              <w:ind w:right="70"/>
              <w:spacing w:after="0" w:line="169" w:lineRule="exact"/>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4"/>
                <w:szCs w:val="14"/>
                <w:color w:val="auto"/>
              </w:rPr>
            </w:pPr>
          </w:p>
        </w:tc>
        <w:tc>
          <w:tcPr>
            <w:tcW w:w="1880" w:type="dxa"/>
            <w:vAlign w:val="bottom"/>
            <w:tcBorders>
              <w:top w:val="single" w:sz="8" w:color="auto"/>
            </w:tcBorders>
            <w:gridSpan w:val="4"/>
          </w:tcPr>
          <w:p>
            <w:pPr>
              <w:jc w:val="center"/>
              <w:ind w:left="230"/>
              <w:spacing w:after="0" w:line="169" w:lineRule="exact"/>
              <w:rPr>
                <w:sz w:val="20"/>
                <w:szCs w:val="20"/>
                <w:color w:val="auto"/>
              </w:rPr>
            </w:pPr>
            <w:r>
              <w:rPr>
                <w:rFonts w:ascii="Arial" w:cs="Arial" w:eastAsia="Arial" w:hAnsi="Arial"/>
                <w:sz w:val="18"/>
                <w:szCs w:val="18"/>
                <w:color w:val="auto"/>
                <w:w w:val="91"/>
              </w:rPr>
              <w:t>Nine Months Ended</w:t>
            </w: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spacing w:after="0"/>
              <w:rPr>
                <w:sz w:val="14"/>
                <w:szCs w:val="14"/>
                <w:color w:val="auto"/>
              </w:rPr>
            </w:pPr>
          </w:p>
        </w:tc>
      </w:tr>
      <w:tr>
        <w:trPr>
          <w:trHeight w:val="237"/>
        </w:trPr>
        <w:tc>
          <w:tcPr>
            <w:tcW w:w="3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60" w:type="dxa"/>
            <w:vAlign w:val="bottom"/>
            <w:gridSpan w:val="5"/>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1880" w:type="dxa"/>
            <w:vAlign w:val="bottom"/>
            <w:gridSpan w:val="4"/>
          </w:tcPr>
          <w:p>
            <w:pPr>
              <w:jc w:val="center"/>
              <w:ind w:left="230"/>
              <w:spacing w:after="0"/>
              <w:rPr>
                <w:sz w:val="20"/>
                <w:szCs w:val="20"/>
                <w:color w:val="auto"/>
              </w:rPr>
            </w:pPr>
            <w:r>
              <w:rPr>
                <w:rFonts w:ascii="Arial" w:cs="Arial" w:eastAsia="Arial" w:hAnsi="Arial"/>
                <w:sz w:val="18"/>
                <w:szCs w:val="18"/>
                <w:color w:val="auto"/>
                <w:w w:val="88"/>
              </w:rPr>
              <w:t>September 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162"/>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380" w:type="dxa"/>
            <w:vAlign w:val="bottom"/>
          </w:tcPr>
          <w:p>
            <w:pPr>
              <w:ind w:left="320"/>
              <w:spacing w:after="0" w:line="162" w:lineRule="exact"/>
              <w:rPr>
                <w:sz w:val="20"/>
                <w:szCs w:val="20"/>
                <w:color w:val="auto"/>
              </w:rPr>
            </w:pPr>
            <w:r>
              <w:rPr>
                <w:rFonts w:ascii="Arial" w:cs="Arial" w:eastAsia="Arial" w:hAnsi="Arial"/>
                <w:sz w:val="18"/>
                <w:szCs w:val="18"/>
                <w:color w:val="auto"/>
              </w:rPr>
              <w:t>Affected line item in the</w:t>
            </w: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hedges</w:t>
            </w:r>
          </w:p>
        </w:tc>
        <w:tc>
          <w:tcPr>
            <w:tcW w:w="160" w:type="dxa"/>
            <w:vAlign w:val="bottom"/>
          </w:tcPr>
          <w:p>
            <w:pPr>
              <w:spacing w:after="0"/>
              <w:rPr>
                <w:sz w:val="21"/>
                <w:szCs w:val="21"/>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80" w:type="dxa"/>
            <w:vAlign w:val="bottom"/>
          </w:tcPr>
          <w:p>
            <w:pPr>
              <w:ind w:left="320"/>
              <w:spacing w:after="0"/>
              <w:rPr>
                <w:sz w:val="20"/>
                <w:szCs w:val="20"/>
                <w:color w:val="auto"/>
              </w:rPr>
            </w:pPr>
            <w:r>
              <w:rPr>
                <w:rFonts w:ascii="Arial" w:cs="Arial" w:eastAsia="Arial" w:hAnsi="Arial"/>
                <w:sz w:val="18"/>
                <w:szCs w:val="18"/>
                <w:color w:val="auto"/>
              </w:rPr>
              <w:t>Statement of Operations</w:t>
            </w:r>
          </w:p>
        </w:tc>
      </w:tr>
      <w:tr>
        <w:trPr>
          <w:trHeight w:val="223"/>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r>
      <w:tr>
        <w:trPr>
          <w:trHeight w:val="176"/>
        </w:trPr>
        <w:tc>
          <w:tcPr>
            <w:tcW w:w="3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80" w:type="dxa"/>
            <w:vAlign w:val="bottom"/>
          </w:tcPr>
          <w:p>
            <w:pPr>
              <w:ind w:left="20"/>
              <w:spacing w:after="0" w:line="176" w:lineRule="exact"/>
              <w:rPr>
                <w:sz w:val="20"/>
                <w:szCs w:val="20"/>
                <w:color w:val="auto"/>
              </w:rPr>
            </w:pPr>
            <w:r>
              <w:rPr>
                <w:rFonts w:ascii="Arial" w:cs="Arial" w:eastAsia="Arial" w:hAnsi="Arial"/>
                <w:sz w:val="18"/>
                <w:szCs w:val="18"/>
                <w:color w:val="auto"/>
                <w:w w:val="91"/>
              </w:rPr>
              <w:t>Cost of products sold, excluding</w:t>
            </w:r>
          </w:p>
        </w:tc>
      </w:tr>
      <w:tr>
        <w:trPr>
          <w:trHeight w:val="243"/>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ind w:left="80"/>
              <w:spacing w:after="0"/>
              <w:rPr>
                <w:sz w:val="20"/>
                <w:szCs w:val="20"/>
                <w:color w:val="auto"/>
              </w:rPr>
            </w:pPr>
            <w:r>
              <w:rPr>
                <w:rFonts w:ascii="Arial" w:cs="Arial" w:eastAsia="Arial" w:hAnsi="Arial"/>
                <w:sz w:val="18"/>
                <w:szCs w:val="18"/>
                <w:color w:val="auto"/>
                <w:w w:val="99"/>
              </w:rPr>
              <w:t>(2)</w:t>
            </w: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380" w:type="dxa"/>
            <w:vAlign w:val="bottom"/>
          </w:tcPr>
          <w:p>
            <w:pPr>
              <w:ind w:left="20"/>
              <w:spacing w:after="0"/>
              <w:rPr>
                <w:sz w:val="20"/>
                <w:szCs w:val="20"/>
                <w:color w:val="auto"/>
              </w:rPr>
            </w:pPr>
            <w:r>
              <w:rPr>
                <w:rFonts w:ascii="Arial" w:cs="Arial" w:eastAsia="Arial" w:hAnsi="Arial"/>
                <w:sz w:val="18"/>
                <w:szCs w:val="18"/>
                <w:color w:val="auto"/>
                <w:w w:val="99"/>
              </w:rPr>
              <w:t>depreciation and amortization</w:t>
            </w:r>
          </w:p>
        </w:tc>
      </w:tr>
      <w:tr>
        <w:trPr>
          <w:trHeight w:val="229"/>
        </w:trPr>
        <w:tc>
          <w:tcPr>
            <w:tcW w:w="3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9"/>
              </w:rPr>
              <w:t>(1)</w:t>
            </w: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w:t>
            </w:r>
          </w:p>
        </w:tc>
        <w:tc>
          <w:tcPr>
            <w:tcW w:w="100" w:type="dxa"/>
            <w:vAlign w:val="bottom"/>
            <w:shd w:val="clear" w:color="auto" w:fill="CCEEFF"/>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r>
      <w:tr>
        <w:trPr>
          <w:trHeight w:val="223"/>
        </w:trPr>
        <w:tc>
          <w:tcPr>
            <w:tcW w:w="3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w w:val="99"/>
              </w:rPr>
              <w:t>(3)</w:t>
            </w: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w:t>
            </w:r>
          </w:p>
        </w:tc>
        <w:tc>
          <w:tcPr>
            <w:tcW w:w="100" w:type="dxa"/>
            <w:vAlign w:val="bottom"/>
          </w:tcPr>
          <w:p>
            <w:pPr>
              <w:spacing w:after="0"/>
              <w:rPr>
                <w:sz w:val="19"/>
                <w:szCs w:val="19"/>
                <w:color w:val="auto"/>
              </w:rPr>
            </w:pPr>
          </w:p>
        </w:tc>
        <w:tc>
          <w:tcPr>
            <w:tcW w:w="2380" w:type="dxa"/>
            <w:vAlign w:val="bottom"/>
          </w:tcPr>
          <w:p>
            <w:pPr>
              <w:spacing w:after="0"/>
              <w:rPr>
                <w:sz w:val="19"/>
                <w:szCs w:val="19"/>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and nine months ended September 30, 2023, the Company recorded gains of $37 ($31, net of tax) and $15 ($12, net of tax) in other comprehensive income for certain debt instruments that are designated as hedges of its net investment in a euro-based subsidiary. During the three and nine months ended September 30, 2022, the Company recorded gains of $30 ($20, net of tax) and $80 ($56, net of tax) in other comprehensive income for these net investment hedges. As of September 30, 2023 and December 31, 2022, cumulative gains of $116 ($123, net of tax) and $101 ($111, net of tax) were recognized in accumulated other comprehensive income related to these net investment hedges and the carrying amount of the hedging instrument was €1,093 ($1,156) at September 30, 2023.</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set forth the impact on AOCI from changes in the fair value of derivative instruments designated as net investment hedges.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color w:val="auto"/>
                <w:w w:val="93"/>
              </w:rPr>
              <w:t>Amount of gain / (loss)</w:t>
            </w:r>
          </w:p>
        </w:tc>
        <w:tc>
          <w:tcPr>
            <w:tcW w:w="2700" w:type="dxa"/>
            <w:vAlign w:val="bottom"/>
            <w:gridSpan w:val="6"/>
          </w:tcPr>
          <w:p>
            <w:pPr>
              <w:jc w:val="center"/>
              <w:ind w:right="120"/>
              <w:spacing w:after="0"/>
              <w:rPr>
                <w:sz w:val="20"/>
                <w:szCs w:val="20"/>
                <w:color w:val="auto"/>
              </w:rPr>
            </w:pPr>
            <w:r>
              <w:rPr>
                <w:rFonts w:ascii="Arial" w:cs="Arial" w:eastAsia="Arial" w:hAnsi="Arial"/>
                <w:sz w:val="18"/>
                <w:szCs w:val="18"/>
                <w:color w:val="auto"/>
                <w:w w:val="91"/>
              </w:rPr>
              <w:t>Amount of gain / (loss) recognized</w:t>
            </w:r>
          </w:p>
        </w:tc>
      </w:tr>
      <w:tr>
        <w:trPr>
          <w:trHeight w:val="237"/>
        </w:trPr>
        <w:tc>
          <w:tcPr>
            <w:tcW w:w="4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340"/>
              <w:spacing w:after="0"/>
              <w:rPr>
                <w:sz w:val="20"/>
                <w:szCs w:val="20"/>
                <w:color w:val="auto"/>
              </w:rPr>
            </w:pPr>
            <w:r>
              <w:rPr>
                <w:rFonts w:ascii="Arial" w:cs="Arial" w:eastAsia="Arial" w:hAnsi="Arial"/>
                <w:sz w:val="18"/>
                <w:szCs w:val="18"/>
                <w:color w:val="auto"/>
                <w:w w:val="93"/>
              </w:rPr>
              <w:t>recognized in AOCI</w:t>
            </w:r>
          </w:p>
        </w:tc>
        <w:tc>
          <w:tcPr>
            <w:tcW w:w="880" w:type="dxa"/>
            <w:vAlign w:val="bottom"/>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auto"/>
                <w:w w:val="98"/>
              </w:rPr>
              <w:t>in AOCI</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5"/>
        </w:trPr>
        <w:tc>
          <w:tcPr>
            <w:tcW w:w="4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80" w:type="dxa"/>
            <w:vAlign w:val="bottom"/>
            <w:tcBorders>
              <w:top w:val="single" w:sz="8" w:color="auto"/>
            </w:tcBorders>
            <w:gridSpan w:val="5"/>
          </w:tcPr>
          <w:p>
            <w:pPr>
              <w:jc w:val="center"/>
              <w:spacing w:after="0" w:line="176" w:lineRule="exact"/>
              <w:rPr>
                <w:sz w:val="20"/>
                <w:szCs w:val="20"/>
                <w:color w:val="auto"/>
              </w:rPr>
            </w:pPr>
            <w:r>
              <w:rPr>
                <w:rFonts w:ascii="Arial" w:cs="Arial" w:eastAsia="Arial" w:hAnsi="Arial"/>
                <w:sz w:val="18"/>
                <w:szCs w:val="18"/>
                <w:color w:val="auto"/>
                <w:w w:val="89"/>
              </w:rPr>
              <w:t>Three Months ended September</w:t>
            </w:r>
          </w:p>
        </w:tc>
        <w:tc>
          <w:tcPr>
            <w:tcW w:w="12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43"/>
        </w:trPr>
        <w:tc>
          <w:tcPr>
            <w:tcW w:w="4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0" w:type="dxa"/>
            <w:vAlign w:val="bottom"/>
            <w:gridSpan w:val="2"/>
          </w:tcPr>
          <w:p>
            <w:pPr>
              <w:jc w:val="center"/>
              <w:ind w:right="70"/>
              <w:spacing w:after="0"/>
              <w:rPr>
                <w:sz w:val="20"/>
                <w:szCs w:val="20"/>
                <w:color w:val="auto"/>
              </w:rPr>
            </w:pPr>
            <w:r>
              <w:rPr>
                <w:rFonts w:ascii="Arial" w:cs="Arial" w:eastAsia="Arial" w:hAnsi="Arial"/>
                <w:sz w:val="18"/>
                <w:szCs w:val="18"/>
                <w:color w:val="auto"/>
                <w:w w:val="95"/>
              </w:rPr>
              <w:t>30,</w:t>
            </w: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00" w:type="dxa"/>
            <w:vAlign w:val="bottom"/>
            <w:gridSpan w:val="6"/>
          </w:tcPr>
          <w:p>
            <w:pPr>
              <w:jc w:val="center"/>
              <w:ind w:right="100"/>
              <w:spacing w:after="0"/>
              <w:rPr>
                <w:sz w:val="20"/>
                <w:szCs w:val="20"/>
                <w:color w:val="auto"/>
              </w:rPr>
            </w:pPr>
            <w:r>
              <w:rPr>
                <w:rFonts w:ascii="Arial" w:cs="Arial" w:eastAsia="Arial" w:hAnsi="Arial"/>
                <w:sz w:val="18"/>
                <w:szCs w:val="18"/>
                <w:color w:val="auto"/>
                <w:w w:val="88"/>
              </w:rPr>
              <w:t>Nine months ended September 30,</w:t>
            </w:r>
          </w:p>
        </w:tc>
      </w:tr>
      <w:tr>
        <w:trPr>
          <w:trHeight w:val="22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2023</w:t>
            </w:r>
          </w:p>
        </w:tc>
        <w:tc>
          <w:tcPr>
            <w:tcW w:w="3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r>
      <w:tr>
        <w:trPr>
          <w:trHeight w:val="223"/>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Gains or losses on net investment hedges remain in accumulated other comprehensive income until disposal of the underlying assets.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sets forth the Company's financial assets and liabilities that were accounted for at fair value on a recurring basis as of September 30, 2023 and December 31, 2022, respectively. The fair values of these financial instruments were reported under Level 2 of the fair value hierarchy.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1760" w:type="dxa"/>
        <w:tblCellMar>
          <w:top w:w="0" w:type="dxa"/>
          <w:left w:w="0" w:type="dxa"/>
          <w:bottom w:w="0" w:type="dxa"/>
          <w:right w:w="0" w:type="dxa"/>
        </w:tblCellMar>
      </w:tblPr>
      <w:tr>
        <w:trPr>
          <w:trHeight w:val="207"/>
        </w:trPr>
        <w:tc>
          <w:tcPr>
            <w:tcW w:w="19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7"/>
              </w:rPr>
              <w:t>Balance Sheet</w:t>
            </w:r>
          </w:p>
        </w:tc>
        <w:tc>
          <w:tcPr>
            <w:tcW w:w="1120" w:type="dxa"/>
            <w:vAlign w:val="bottom"/>
            <w:gridSpan w:val="2"/>
          </w:tcPr>
          <w:p>
            <w:pPr>
              <w:ind w:left="140"/>
              <w:spacing w:after="0"/>
              <w:rPr>
                <w:sz w:val="20"/>
                <w:szCs w:val="20"/>
                <w:color w:val="auto"/>
              </w:rPr>
            </w:pPr>
            <w:r>
              <w:rPr>
                <w:rFonts w:ascii="Arial" w:cs="Arial" w:eastAsia="Arial" w:hAnsi="Arial"/>
                <w:sz w:val="18"/>
                <w:szCs w:val="18"/>
                <w:color w:val="auto"/>
              </w:rPr>
              <w:t>September</w:t>
            </w:r>
          </w:p>
        </w:tc>
        <w:tc>
          <w:tcPr>
            <w:tcW w:w="112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89"/>
              </w:rPr>
              <w:t>December</w:t>
            </w:r>
          </w:p>
        </w:tc>
        <w:tc>
          <w:tcPr>
            <w:tcW w:w="174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7"/>
              </w:rPr>
              <w:t>Balance Sheet</w:t>
            </w:r>
          </w:p>
        </w:tc>
        <w:tc>
          <w:tcPr>
            <w:tcW w:w="1120" w:type="dxa"/>
            <w:vAlign w:val="bottom"/>
            <w:gridSpan w:val="2"/>
          </w:tcPr>
          <w:p>
            <w:pPr>
              <w:ind w:left="120"/>
              <w:spacing w:after="0"/>
              <w:rPr>
                <w:sz w:val="20"/>
                <w:szCs w:val="20"/>
                <w:color w:val="auto"/>
              </w:rPr>
            </w:pPr>
            <w:r>
              <w:rPr>
                <w:rFonts w:ascii="Arial" w:cs="Arial" w:eastAsia="Arial" w:hAnsi="Arial"/>
                <w:sz w:val="18"/>
                <w:szCs w:val="18"/>
                <w:color w:val="auto"/>
              </w:rPr>
              <w:t>September</w:t>
            </w:r>
          </w:p>
        </w:tc>
        <w:tc>
          <w:tcPr>
            <w:tcW w:w="102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w:t>
            </w:r>
          </w:p>
        </w:tc>
        <w:tc>
          <w:tcPr>
            <w:tcW w:w="0" w:type="dxa"/>
            <w:vAlign w:val="bottom"/>
          </w:tcPr>
          <w:p>
            <w:pPr>
              <w:spacing w:after="0"/>
              <w:rPr>
                <w:sz w:val="1"/>
                <w:szCs w:val="1"/>
                <w:color w:val="auto"/>
              </w:rPr>
            </w:pPr>
          </w:p>
        </w:tc>
      </w:tr>
      <w:tr>
        <w:trPr>
          <w:trHeight w:val="176"/>
        </w:trPr>
        <w:tc>
          <w:tcPr>
            <w:tcW w:w="1940" w:type="dxa"/>
            <w:vAlign w:val="bottom"/>
            <w:gridSpan w:val="2"/>
            <w:vMerge w:val="continue"/>
          </w:tcPr>
          <w:p>
            <w:pPr>
              <w:spacing w:after="0"/>
              <w:rPr>
                <w:sz w:val="15"/>
                <w:szCs w:val="15"/>
                <w:color w:val="auto"/>
              </w:rPr>
            </w:pPr>
          </w:p>
        </w:tc>
        <w:tc>
          <w:tcPr>
            <w:tcW w:w="104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30,</w:t>
            </w:r>
          </w:p>
        </w:tc>
        <w:tc>
          <w:tcPr>
            <w:tcW w:w="8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020" w:type="dxa"/>
            <w:vAlign w:val="bottom"/>
          </w:tcPr>
          <w:p>
            <w:pPr>
              <w:jc w:val="right"/>
              <w:ind w:right="310"/>
              <w:spacing w:after="0" w:line="176" w:lineRule="exact"/>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classification</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80" w:type="dxa"/>
            <w:vAlign w:val="bottom"/>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31, 2022</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classification</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17" w:name="page18"/>
    <w:bookmarkEnd w:id="17"/>
    <w:p>
      <w:pPr>
        <w:jc w:val="center"/>
        <w:ind w:right="18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480" w:type="dxa"/>
        <w:tblCellMar>
          <w:top w:w="0" w:type="dxa"/>
          <w:left w:w="0" w:type="dxa"/>
          <w:bottom w:w="0" w:type="dxa"/>
          <w:right w:w="0" w:type="dxa"/>
        </w:tblCellMar>
      </w:tblPr>
      <w:tr>
        <w:trPr>
          <w:trHeight w:val="229"/>
        </w:trPr>
        <w:tc>
          <w:tcPr>
            <w:tcW w:w="37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9"/>
              </w:rPr>
              <w:t>Derivatives designated as hedging instruments</w:t>
            </w:r>
          </w:p>
        </w:tc>
        <w:tc>
          <w:tcPr>
            <w:tcW w:w="4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r>
      <w:tr>
        <w:trPr>
          <w:trHeight w:val="169"/>
        </w:trPr>
        <w:tc>
          <w:tcPr>
            <w:tcW w:w="17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90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8"/>
                <w:szCs w:val="18"/>
                <w:color w:val="auto"/>
                <w:w w:val="99"/>
              </w:rPr>
              <w:t>Prepaid expenses and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43"/>
        </w:trPr>
        <w:tc>
          <w:tcPr>
            <w:tcW w:w="1760" w:type="dxa"/>
            <w:vAlign w:val="bottom"/>
          </w:tcPr>
          <w:p>
            <w:pPr>
              <w:ind w:left="20"/>
              <w:spacing w:after="0"/>
              <w:rPr>
                <w:sz w:val="20"/>
                <w:szCs w:val="20"/>
                <w:color w:val="auto"/>
              </w:rPr>
            </w:pPr>
            <w:r>
              <w:rPr>
                <w:rFonts w:ascii="Arial" w:cs="Arial" w:eastAsia="Arial" w:hAnsi="Arial"/>
                <w:sz w:val="18"/>
                <w:szCs w:val="18"/>
                <w:color w:val="auto"/>
              </w:rPr>
              <w:t>contracts cash flow</w:t>
            </w:r>
          </w:p>
        </w:tc>
        <w:tc>
          <w:tcPr>
            <w:tcW w:w="2000" w:type="dxa"/>
            <w:vAlign w:val="bottom"/>
            <w:gridSpan w:val="2"/>
          </w:tcPr>
          <w:p>
            <w:pPr>
              <w:ind w:left="10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175"/>
        </w:trPr>
        <w:tc>
          <w:tcPr>
            <w:tcW w:w="176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43"/>
        </w:trPr>
        <w:tc>
          <w:tcPr>
            <w:tcW w:w="176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Other non-current assets</w:t>
            </w:r>
          </w:p>
        </w:tc>
        <w:tc>
          <w:tcPr>
            <w:tcW w:w="4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1760" w:type="dxa"/>
            <w:vAlign w:val="bottom"/>
          </w:tcPr>
          <w:p>
            <w:pPr>
              <w:ind w:left="20"/>
              <w:spacing w:after="0" w:line="176" w:lineRule="exact"/>
              <w:rPr>
                <w:sz w:val="20"/>
                <w:szCs w:val="20"/>
                <w:color w:val="auto"/>
              </w:rPr>
            </w:pPr>
            <w:r>
              <w:rPr>
                <w:rFonts w:ascii="Arial" w:cs="Arial" w:eastAsia="Arial" w:hAnsi="Arial"/>
                <w:sz w:val="18"/>
                <w:szCs w:val="18"/>
                <w:color w:val="auto"/>
              </w:rPr>
              <w:t>Foreign exchange</w:t>
            </w:r>
          </w:p>
        </w:tc>
        <w:tc>
          <w:tcPr>
            <w:tcW w:w="2000" w:type="dxa"/>
            <w:vAlign w:val="bottom"/>
            <w:gridSpan w:val="2"/>
          </w:tcPr>
          <w:p>
            <w:pPr>
              <w:ind w:left="100"/>
              <w:spacing w:after="0" w:line="176" w:lineRule="exact"/>
              <w:rPr>
                <w:sz w:val="20"/>
                <w:szCs w:val="20"/>
                <w:color w:val="auto"/>
              </w:rPr>
            </w:pPr>
            <w:r>
              <w:rPr>
                <w:rFonts w:ascii="Arial" w:cs="Arial" w:eastAsia="Arial" w:hAnsi="Arial"/>
                <w:sz w:val="18"/>
                <w:szCs w:val="18"/>
                <w:color w:val="auto"/>
              </w:rPr>
              <w:t>Prepaid expenses and</w:t>
            </w: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43"/>
        </w:trPr>
        <w:tc>
          <w:tcPr>
            <w:tcW w:w="1760" w:type="dxa"/>
            <w:vAlign w:val="bottom"/>
          </w:tcPr>
          <w:p>
            <w:pPr>
              <w:ind w:left="20"/>
              <w:spacing w:after="0"/>
              <w:rPr>
                <w:sz w:val="20"/>
                <w:szCs w:val="20"/>
                <w:color w:val="auto"/>
              </w:rPr>
            </w:pPr>
            <w:r>
              <w:rPr>
                <w:rFonts w:ascii="Arial" w:cs="Arial" w:eastAsia="Arial" w:hAnsi="Arial"/>
                <w:sz w:val="18"/>
                <w:szCs w:val="18"/>
                <w:color w:val="auto"/>
              </w:rPr>
              <w:t>contracts fair value</w:t>
            </w:r>
          </w:p>
        </w:tc>
        <w:tc>
          <w:tcPr>
            <w:tcW w:w="2000" w:type="dxa"/>
            <w:vAlign w:val="bottom"/>
            <w:gridSpan w:val="2"/>
          </w:tcPr>
          <w:p>
            <w:pPr>
              <w:ind w:left="100"/>
              <w:spacing w:after="0"/>
              <w:rPr>
                <w:sz w:val="20"/>
                <w:szCs w:val="20"/>
                <w:color w:val="auto"/>
              </w:rPr>
            </w:pPr>
            <w:r>
              <w:rPr>
                <w:rFonts w:ascii="Arial" w:cs="Arial" w:eastAsia="Arial" w:hAnsi="Arial"/>
                <w:sz w:val="18"/>
                <w:szCs w:val="18"/>
                <w:color w:val="auto"/>
              </w:rPr>
              <w:t>other current assets</w:t>
            </w: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4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76"/>
        </w:trPr>
        <w:tc>
          <w:tcPr>
            <w:tcW w:w="1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Commodities contracts</w:t>
            </w:r>
          </w:p>
        </w:tc>
        <w:tc>
          <w:tcPr>
            <w:tcW w:w="2000" w:type="dxa"/>
            <w:vAlign w:val="bottom"/>
            <w:gridSpan w:val="2"/>
            <w:shd w:val="clear" w:color="auto" w:fill="CCEEFF"/>
          </w:tcPr>
          <w:p>
            <w:pPr>
              <w:ind w:left="100"/>
              <w:spacing w:after="0" w:line="176" w:lineRule="exact"/>
              <w:rPr>
                <w:sz w:val="20"/>
                <w:szCs w:val="20"/>
                <w:color w:val="auto"/>
              </w:rPr>
            </w:pPr>
            <w:r>
              <w:rPr>
                <w:rFonts w:ascii="Arial" w:cs="Arial" w:eastAsia="Arial" w:hAnsi="Arial"/>
                <w:sz w:val="18"/>
                <w:szCs w:val="18"/>
                <w:color w:val="auto"/>
              </w:rPr>
              <w:t>Prepaid expenses and</w:t>
            </w: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43"/>
        </w:trPr>
        <w:tc>
          <w:tcPr>
            <w:tcW w:w="1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w:t>
            </w: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44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176"/>
        </w:trPr>
        <w:tc>
          <w:tcPr>
            <w:tcW w:w="17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4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243"/>
        </w:trPr>
        <w:tc>
          <w:tcPr>
            <w:tcW w:w="1760" w:type="dxa"/>
            <w:vAlign w:val="bottom"/>
          </w:tcPr>
          <w:p>
            <w:pPr>
              <w:spacing w:after="0"/>
              <w:rPr>
                <w:sz w:val="21"/>
                <w:szCs w:val="21"/>
                <w:color w:val="auto"/>
              </w:rPr>
            </w:pPr>
          </w:p>
        </w:tc>
        <w:tc>
          <w:tcPr>
            <w:tcW w:w="2000" w:type="dxa"/>
            <w:vAlign w:val="bottom"/>
            <w:gridSpan w:val="2"/>
          </w:tcPr>
          <w:p>
            <w:pPr>
              <w:ind w:left="100"/>
              <w:spacing w:after="0"/>
              <w:rPr>
                <w:sz w:val="20"/>
                <w:szCs w:val="20"/>
                <w:color w:val="auto"/>
              </w:rPr>
            </w:pPr>
            <w:r>
              <w:rPr>
                <w:rFonts w:ascii="Arial" w:cs="Arial" w:eastAsia="Arial" w:hAnsi="Arial"/>
                <w:sz w:val="18"/>
                <w:szCs w:val="18"/>
                <w:color w:val="auto"/>
                <w:w w:val="94"/>
              </w:rPr>
              <w:t>Other non-current assets</w:t>
            </w:r>
          </w:p>
        </w:tc>
        <w:tc>
          <w:tcPr>
            <w:tcW w:w="4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72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440" w:type="dxa"/>
            <w:vAlign w:val="bottom"/>
          </w:tcPr>
          <w:p>
            <w:pPr>
              <w:spacing w:after="0"/>
              <w:rPr>
                <w:sz w:val="21"/>
                <w:szCs w:val="21"/>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17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8"/>
              </w:rPr>
              <w:t>Net investment hedge</w:t>
            </w:r>
          </w:p>
        </w:tc>
        <w:tc>
          <w:tcPr>
            <w:tcW w:w="1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7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Other non-current</w:t>
            </w: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243"/>
        </w:trPr>
        <w:tc>
          <w:tcPr>
            <w:tcW w:w="1760" w:type="dxa"/>
            <w:vAlign w:val="bottom"/>
            <w:shd w:val="clear" w:color="auto" w:fill="CCEEFF"/>
          </w:tcPr>
          <w:p>
            <w:pPr>
              <w:spacing w:after="0"/>
              <w:rPr>
                <w:sz w:val="21"/>
                <w:szCs w:val="21"/>
                <w:color w:val="auto"/>
              </w:rPr>
            </w:pPr>
          </w:p>
        </w:tc>
        <w:tc>
          <w:tcPr>
            <w:tcW w:w="20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Other non-current assets</w:t>
            </w:r>
          </w:p>
        </w:tc>
        <w:tc>
          <w:tcPr>
            <w:tcW w:w="4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4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76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8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9"/>
        </w:trPr>
        <w:tc>
          <w:tcPr>
            <w:tcW w:w="3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w w:val="92"/>
              </w:rPr>
              <w:t>Derivatives not designated as hedging instruments</w:t>
            </w: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169"/>
        </w:trPr>
        <w:tc>
          <w:tcPr>
            <w:tcW w:w="17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Foreign exchange</w:t>
            </w:r>
          </w:p>
        </w:tc>
        <w:tc>
          <w:tcPr>
            <w:tcW w:w="190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8"/>
                <w:szCs w:val="18"/>
                <w:color w:val="auto"/>
                <w:w w:val="99"/>
              </w:rPr>
              <w:t>Prepaid expenses and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243"/>
        </w:trPr>
        <w:tc>
          <w:tcPr>
            <w:tcW w:w="1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contracts</w:t>
            </w:r>
          </w:p>
        </w:tc>
        <w:tc>
          <w:tcPr>
            <w:tcW w:w="200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21"/>
                <w:szCs w:val="21"/>
                <w:color w:val="auto"/>
              </w:rPr>
            </w:pPr>
          </w:p>
        </w:tc>
        <w:tc>
          <w:tcPr>
            <w:tcW w:w="17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Accrued liabilities</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176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1760" w:type="dxa"/>
            <w:vAlign w:val="bottom"/>
            <w:tcBorders>
              <w:bottom w:val="single" w:sz="8" w:color="CCEEFF"/>
            </w:tcBorders>
          </w:tcPr>
          <w:p>
            <w:pPr>
              <w:spacing w:after="0"/>
              <w:rPr>
                <w:sz w:val="21"/>
                <w:szCs w:val="21"/>
                <w:color w:val="auto"/>
              </w:rPr>
            </w:pPr>
          </w:p>
        </w:tc>
        <w:tc>
          <w:tcPr>
            <w:tcW w:w="19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r>
      <w:tr>
        <w:trPr>
          <w:trHeight w:val="248"/>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348" w:lineRule="exact"/>
        <w:rPr>
          <w:sz w:val="20"/>
          <w:szCs w:val="20"/>
          <w:color w:val="auto"/>
        </w:rPr>
      </w:pPr>
    </w:p>
    <w:p>
      <w:pPr>
        <w:jc w:val="center"/>
        <w:ind w:left="6440"/>
        <w:spacing w:after="0"/>
        <w:rPr>
          <w:sz w:val="20"/>
          <w:szCs w:val="20"/>
          <w:color w:val="auto"/>
        </w:rPr>
      </w:pPr>
      <w:r>
        <w:rPr>
          <w:rFonts w:ascii="Arial" w:cs="Arial" w:eastAsia="Arial" w:hAnsi="Arial"/>
          <w:sz w:val="18"/>
          <w:szCs w:val="18"/>
          <w:color w:val="auto"/>
        </w:rPr>
        <w:t>Carrying amount of the hedged assets /</w:t>
      </w:r>
    </w:p>
    <w:p>
      <w:pPr>
        <w:jc w:val="center"/>
        <w:ind w:left="6440"/>
        <w:spacing w:after="0"/>
        <w:rPr>
          <w:sz w:val="20"/>
          <w:szCs w:val="20"/>
          <w:color w:val="auto"/>
        </w:rPr>
      </w:pPr>
      <w:r>
        <w:rPr>
          <w:rFonts w:ascii="Arial" w:cs="Arial" w:eastAsia="Arial" w:hAnsi="Arial"/>
          <w:sz w:val="18"/>
          <w:szCs w:val="18"/>
          <w:color w:val="auto"/>
        </w:rPr>
        <w:t>liabilities</w:t>
      </w:r>
    </w:p>
    <w:p>
      <w:pPr>
        <w:spacing w:after="0" w:line="7" w:lineRule="exact"/>
        <w:rPr>
          <w:sz w:val="20"/>
          <w:szCs w:val="20"/>
          <w:color w:val="auto"/>
        </w:rPr>
      </w:pPr>
    </w:p>
    <w:tbl>
      <w:tblPr>
        <w:tblLayout w:type="fixed"/>
        <w:tblInd w:w="480" w:type="dxa"/>
        <w:tblCellMar>
          <w:top w:w="0" w:type="dxa"/>
          <w:left w:w="0" w:type="dxa"/>
          <w:bottom w:w="0" w:type="dxa"/>
          <w:right w:w="0" w:type="dxa"/>
        </w:tblCellMar>
      </w:tblPr>
      <w:tr>
        <w:trPr>
          <w:trHeight w:val="183"/>
        </w:trPr>
        <w:tc>
          <w:tcPr>
            <w:tcW w:w="65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2"/>
          </w:tcPr>
          <w:p>
            <w:pPr>
              <w:ind w:left="40"/>
              <w:spacing w:after="0" w:line="182" w:lineRule="exact"/>
              <w:rPr>
                <w:sz w:val="20"/>
                <w:szCs w:val="20"/>
                <w:color w:val="auto"/>
              </w:rPr>
            </w:pPr>
            <w:r>
              <w:rPr>
                <w:rFonts w:ascii="Arial" w:cs="Arial" w:eastAsia="Arial" w:hAnsi="Arial"/>
                <w:sz w:val="18"/>
                <w:szCs w:val="18"/>
                <w:color w:val="auto"/>
              </w:rPr>
              <w:t>September 30,</w:t>
            </w: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jc w:val="right"/>
              <w:ind w:right="90"/>
              <w:spacing w:after="0" w:line="182" w:lineRule="exact"/>
              <w:rPr>
                <w:sz w:val="20"/>
                <w:szCs w:val="20"/>
                <w:color w:val="auto"/>
              </w:rPr>
            </w:pPr>
            <w:r>
              <w:rPr>
                <w:rFonts w:ascii="Arial" w:cs="Arial" w:eastAsia="Arial" w:hAnsi="Arial"/>
                <w:sz w:val="18"/>
                <w:szCs w:val="18"/>
                <w:color w:val="auto"/>
                <w:w w:val="91"/>
              </w:rPr>
              <w:t>December 31,</w:t>
            </w:r>
          </w:p>
        </w:tc>
      </w:tr>
      <w:tr>
        <w:trPr>
          <w:trHeight w:val="243"/>
        </w:trPr>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Line item in the Balance Sheet in which the hedged item is included</w:t>
            </w: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5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23"/>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6580" w:type="dxa"/>
            <w:vAlign w:val="bottom"/>
          </w:tcPr>
          <w:p>
            <w:pPr>
              <w:ind w:left="20"/>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bl>
    <w:p>
      <w:pPr>
        <w:spacing w:after="0" w:line="310" w:lineRule="exact"/>
        <w:rPr>
          <w:sz w:val="20"/>
          <w:szCs w:val="20"/>
          <w:color w:val="auto"/>
        </w:rPr>
      </w:pPr>
    </w:p>
    <w:p>
      <w:pPr>
        <w:jc w:val="both"/>
        <w:ind w:left="480"/>
        <w:spacing w:after="0" w:line="277" w:lineRule="auto"/>
        <w:rPr>
          <w:sz w:val="20"/>
          <w:szCs w:val="20"/>
          <w:color w:val="auto"/>
        </w:rPr>
      </w:pPr>
      <w:r>
        <w:rPr>
          <w:rFonts w:ascii="Arial" w:cs="Arial" w:eastAsia="Arial" w:hAnsi="Arial"/>
          <w:sz w:val="18"/>
          <w:szCs w:val="18"/>
          <w:color w:val="auto"/>
        </w:rPr>
        <w:t>As of September 30, 2023 and December 31, 2022, the cumulative amount of fair value hedging adjustments included in the carrying amount of the hedged assets and liabilities were a net loss of less than $1 and a net gain of $1.</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52" w:lineRule="exact"/>
        <w:rPr>
          <w:sz w:val="20"/>
          <w:szCs w:val="20"/>
          <w:color w:val="auto"/>
        </w:rPr>
      </w:pPr>
    </w:p>
    <w:p>
      <w:pPr>
        <w:jc w:val="both"/>
        <w:ind w:left="480"/>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tbl>
      <w:tblPr>
        <w:tblLayout w:type="fixed"/>
        <w:tblInd w:w="48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980" w:type="dxa"/>
            <w:vAlign w:val="bottom"/>
          </w:tcPr>
          <w:p>
            <w:pPr>
              <w:jc w:val="center"/>
              <w:ind w:left="450"/>
              <w:spacing w:after="0" w:line="200" w:lineRule="exact"/>
              <w:rPr>
                <w:sz w:val="20"/>
                <w:szCs w:val="20"/>
                <w:color w:val="auto"/>
              </w:rPr>
            </w:pPr>
            <w:r>
              <w:rPr>
                <w:rFonts w:ascii="Arial" w:cs="Arial" w:eastAsia="Arial" w:hAnsi="Arial"/>
                <w:sz w:val="18"/>
                <w:szCs w:val="18"/>
                <w:color w:val="auto"/>
                <w:w w:val="89"/>
              </w:rPr>
              <w:t>Gross amounts recognized in the</w:t>
            </w:r>
          </w:p>
        </w:tc>
        <w:tc>
          <w:tcPr>
            <w:tcW w:w="2540" w:type="dxa"/>
            <w:vAlign w:val="bottom"/>
          </w:tcPr>
          <w:p>
            <w:pPr>
              <w:jc w:val="center"/>
              <w:ind w:right="90"/>
              <w:spacing w:after="0" w:line="200" w:lineRule="exact"/>
              <w:rPr>
                <w:sz w:val="20"/>
                <w:szCs w:val="20"/>
                <w:color w:val="auto"/>
              </w:rPr>
            </w:pPr>
            <w:r>
              <w:rPr>
                <w:rFonts w:ascii="Arial" w:cs="Arial" w:eastAsia="Arial" w:hAnsi="Arial"/>
                <w:sz w:val="18"/>
                <w:szCs w:val="18"/>
                <w:color w:val="auto"/>
                <w:w w:val="89"/>
              </w:rPr>
              <w:t>Gross amounts not offset in the</w:t>
            </w:r>
          </w:p>
        </w:tc>
        <w:tc>
          <w:tcPr>
            <w:tcW w:w="1480" w:type="dxa"/>
            <w:vAlign w:val="bottom"/>
          </w:tcPr>
          <w:p>
            <w:pPr>
              <w:spacing w:after="0"/>
              <w:rPr>
                <w:sz w:val="17"/>
                <w:szCs w:val="17"/>
                <w:color w:val="auto"/>
              </w:rPr>
            </w:pPr>
          </w:p>
        </w:tc>
      </w:tr>
      <w:tr>
        <w:trPr>
          <w:trHeight w:val="230"/>
        </w:trPr>
        <w:tc>
          <w:tcPr>
            <w:tcW w:w="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7"/>
              </w:rPr>
              <w:t>Balance Sheet</w:t>
            </w:r>
          </w:p>
        </w:tc>
        <w:tc>
          <w:tcPr>
            <w:tcW w:w="2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7"/>
              </w:rPr>
              <w:t>Balance Sheet</w:t>
            </w:r>
          </w:p>
        </w:tc>
        <w:tc>
          <w:tcPr>
            <w:tcW w:w="14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Net amount</w:t>
            </w:r>
          </w:p>
        </w:tc>
      </w:tr>
      <w:tr>
        <w:trPr>
          <w:trHeight w:val="183"/>
        </w:trPr>
        <w:tc>
          <w:tcPr>
            <w:tcW w:w="20" w:type="dxa"/>
            <w:vAlign w:val="bottom"/>
          </w:tcPr>
          <w:p>
            <w:pPr>
              <w:spacing w:after="0"/>
              <w:rPr>
                <w:sz w:val="15"/>
                <w:szCs w:val="15"/>
                <w:color w:val="auto"/>
              </w:rPr>
            </w:pPr>
          </w:p>
        </w:tc>
        <w:tc>
          <w:tcPr>
            <w:tcW w:w="2800" w:type="dxa"/>
            <w:vAlign w:val="bottom"/>
            <w:gridSpan w:val="3"/>
          </w:tcPr>
          <w:p>
            <w:pPr>
              <w:spacing w:after="0" w:line="182" w:lineRule="exact"/>
              <w:rPr>
                <w:sz w:val="20"/>
                <w:szCs w:val="20"/>
                <w:color w:val="auto"/>
              </w:rPr>
            </w:pPr>
            <w:r>
              <w:rPr>
                <w:rFonts w:ascii="Arial" w:cs="Arial" w:eastAsia="Arial" w:hAnsi="Arial"/>
                <w:sz w:val="18"/>
                <w:szCs w:val="18"/>
                <w:color w:val="auto"/>
              </w:rPr>
              <w:t>Balance at September 30, 2023</w:t>
            </w:r>
          </w:p>
        </w:tc>
        <w:tc>
          <w:tcPr>
            <w:tcW w:w="29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980" w:type="dxa"/>
            <w:vAlign w:val="bottom"/>
            <w:shd w:val="clear" w:color="auto" w:fill="CCEEFF"/>
          </w:tcPr>
          <w:p>
            <w:pPr>
              <w:jc w:val="center"/>
              <w:ind w:left="450"/>
              <w:spacing w:after="0"/>
              <w:rPr>
                <w:sz w:val="20"/>
                <w:szCs w:val="20"/>
                <w:color w:val="auto"/>
              </w:rPr>
            </w:pPr>
            <w:r>
              <w:rPr>
                <w:rFonts w:ascii="Arial" w:cs="Arial" w:eastAsia="Arial" w:hAnsi="Arial"/>
                <w:sz w:val="18"/>
                <w:szCs w:val="18"/>
                <w:color w:val="auto"/>
                <w:w w:val="89"/>
              </w:rPr>
              <w:t>$100</w:t>
            </w:r>
          </w:p>
        </w:tc>
        <w:tc>
          <w:tcPr>
            <w:tcW w:w="254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79"/>
              </w:rPr>
              <w:t>7</w:t>
            </w:r>
          </w:p>
        </w:tc>
        <w:tc>
          <w:tcPr>
            <w:tcW w:w="148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89"/>
              </w:rPr>
              <w:t>93</w:t>
            </w:r>
          </w:p>
        </w:tc>
      </w:tr>
      <w:tr>
        <w:trPr>
          <w:trHeight w:val="230"/>
        </w:trPr>
        <w:tc>
          <w:tcPr>
            <w:tcW w:w="20" w:type="dxa"/>
            <w:vAlign w:val="bottom"/>
          </w:tcPr>
          <w:p>
            <w:pPr>
              <w:spacing w:after="0"/>
              <w:rPr>
                <w:sz w:val="19"/>
                <w:szCs w:val="19"/>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89"/>
              </w:rPr>
              <w:t>25</w:t>
            </w:r>
          </w:p>
        </w:tc>
        <w:tc>
          <w:tcPr>
            <w:tcW w:w="2540" w:type="dxa"/>
            <w:vAlign w:val="bottom"/>
          </w:tcPr>
          <w:p>
            <w:pPr>
              <w:jc w:val="center"/>
              <w:ind w:right="90"/>
              <w:spacing w:after="0"/>
              <w:rPr>
                <w:sz w:val="20"/>
                <w:szCs w:val="20"/>
                <w:color w:val="auto"/>
              </w:rPr>
            </w:pPr>
            <w:r>
              <w:rPr>
                <w:rFonts w:ascii="Arial" w:cs="Arial" w:eastAsia="Arial" w:hAnsi="Arial"/>
                <w:sz w:val="18"/>
                <w:szCs w:val="18"/>
                <w:color w:val="auto"/>
                <w:w w:val="79"/>
              </w:rPr>
              <w:t>7</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18</w:t>
            </w:r>
          </w:p>
        </w:tc>
      </w:tr>
      <w:tr>
        <w:trPr>
          <w:trHeight w:val="270"/>
        </w:trPr>
        <w:tc>
          <w:tcPr>
            <w:tcW w:w="20" w:type="dxa"/>
            <w:vAlign w:val="bottom"/>
            <w:shd w:val="clear" w:color="auto" w:fill="CCEEFF"/>
          </w:tcPr>
          <w:p>
            <w:pPr>
              <w:spacing w:after="0"/>
              <w:rPr>
                <w:sz w:val="23"/>
                <w:szCs w:val="23"/>
                <w:color w:val="auto"/>
              </w:rPr>
            </w:pPr>
          </w:p>
        </w:tc>
        <w:tc>
          <w:tcPr>
            <w:tcW w:w="22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98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189"/>
        </w:trPr>
        <w:tc>
          <w:tcPr>
            <w:tcW w:w="20" w:type="dxa"/>
            <w:vAlign w:val="bottom"/>
          </w:tcPr>
          <w:p>
            <w:pPr>
              <w:spacing w:after="0"/>
              <w:rPr>
                <w:sz w:val="16"/>
                <w:szCs w:val="16"/>
                <w:color w:val="auto"/>
              </w:rPr>
            </w:pPr>
          </w:p>
        </w:tc>
        <w:tc>
          <w:tcPr>
            <w:tcW w:w="2800" w:type="dxa"/>
            <w:vAlign w:val="bottom"/>
            <w:gridSpan w:val="3"/>
          </w:tcPr>
          <w:p>
            <w:pPr>
              <w:spacing w:after="0" w:line="189" w:lineRule="exact"/>
              <w:rPr>
                <w:sz w:val="20"/>
                <w:szCs w:val="20"/>
                <w:color w:val="auto"/>
              </w:rPr>
            </w:pPr>
            <w:r>
              <w:rPr>
                <w:rFonts w:ascii="Arial" w:cs="Arial" w:eastAsia="Arial" w:hAnsi="Arial"/>
                <w:sz w:val="18"/>
                <w:szCs w:val="18"/>
                <w:color w:val="auto"/>
              </w:rPr>
              <w:t>Balance at December 31, 2022</w:t>
            </w:r>
          </w:p>
        </w:tc>
        <w:tc>
          <w:tcPr>
            <w:tcW w:w="298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98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4"/>
              </w:rPr>
              <w:t>$117</w:t>
            </w:r>
          </w:p>
        </w:tc>
        <w:tc>
          <w:tcPr>
            <w:tcW w:w="25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13</w:t>
            </w:r>
          </w:p>
        </w:tc>
        <w:tc>
          <w:tcPr>
            <w:tcW w:w="148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3"/>
              </w:rPr>
              <w:t>104</w:t>
            </w:r>
          </w:p>
        </w:tc>
      </w:tr>
      <w:tr>
        <w:trPr>
          <w:trHeight w:val="230"/>
        </w:trPr>
        <w:tc>
          <w:tcPr>
            <w:tcW w:w="20" w:type="dxa"/>
            <w:vAlign w:val="bottom"/>
          </w:tcPr>
          <w:p>
            <w:pPr>
              <w:spacing w:after="0"/>
              <w:rPr>
                <w:sz w:val="20"/>
                <w:szCs w:val="20"/>
                <w:color w:val="auto"/>
              </w:rPr>
            </w:pPr>
          </w:p>
        </w:tc>
        <w:tc>
          <w:tcPr>
            <w:tcW w:w="280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980" w:type="dxa"/>
            <w:vAlign w:val="bottom"/>
          </w:tcPr>
          <w:p>
            <w:pPr>
              <w:jc w:val="center"/>
              <w:ind w:left="430"/>
              <w:spacing w:after="0"/>
              <w:rPr>
                <w:sz w:val="20"/>
                <w:szCs w:val="20"/>
                <w:color w:val="auto"/>
              </w:rPr>
            </w:pPr>
            <w:r>
              <w:rPr>
                <w:rFonts w:ascii="Arial" w:cs="Arial" w:eastAsia="Arial" w:hAnsi="Arial"/>
                <w:sz w:val="18"/>
                <w:szCs w:val="18"/>
                <w:color w:val="auto"/>
                <w:w w:val="89"/>
              </w:rPr>
              <w:t>35</w:t>
            </w:r>
          </w:p>
        </w:tc>
        <w:tc>
          <w:tcPr>
            <w:tcW w:w="2540" w:type="dxa"/>
            <w:vAlign w:val="bottom"/>
          </w:tcPr>
          <w:p>
            <w:pPr>
              <w:jc w:val="center"/>
              <w:ind w:right="70"/>
              <w:spacing w:after="0"/>
              <w:rPr>
                <w:sz w:val="20"/>
                <w:szCs w:val="20"/>
                <w:color w:val="auto"/>
              </w:rPr>
            </w:pPr>
            <w:r>
              <w:rPr>
                <w:rFonts w:ascii="Arial" w:cs="Arial" w:eastAsia="Arial" w:hAnsi="Arial"/>
                <w:sz w:val="18"/>
                <w:szCs w:val="18"/>
                <w:color w:val="auto"/>
                <w:w w:val="89"/>
              </w:rPr>
              <w:t>13</w:t>
            </w:r>
          </w:p>
        </w:tc>
        <w:tc>
          <w:tcPr>
            <w:tcW w:w="1480" w:type="dxa"/>
            <w:vAlign w:val="bottom"/>
          </w:tcPr>
          <w:p>
            <w:pPr>
              <w:jc w:val="center"/>
              <w:ind w:right="50"/>
              <w:spacing w:after="0"/>
              <w:rPr>
                <w:sz w:val="20"/>
                <w:szCs w:val="20"/>
                <w:color w:val="auto"/>
              </w:rPr>
            </w:pPr>
            <w:r>
              <w:rPr>
                <w:rFonts w:ascii="Arial" w:cs="Arial" w:eastAsia="Arial" w:hAnsi="Arial"/>
                <w:sz w:val="18"/>
                <w:szCs w:val="18"/>
                <w:color w:val="auto"/>
                <w:w w:val="89"/>
              </w:rPr>
              <w:t>22</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50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at September 30, 2023 and December 31, 2022 were:</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2"/>
          </w:tcPr>
          <w:p>
            <w:pPr>
              <w:ind w:left="40"/>
              <w:spacing w:after="0"/>
              <w:rPr>
                <w:sz w:val="20"/>
                <w:szCs w:val="20"/>
                <w:color w:val="auto"/>
              </w:rPr>
            </w:pPr>
            <w:r>
              <w:rPr>
                <w:rFonts w:ascii="Arial" w:cs="Arial" w:eastAsia="Arial" w:hAnsi="Arial"/>
                <w:sz w:val="18"/>
                <w:szCs w:val="18"/>
                <w:color w:val="auto"/>
              </w:rPr>
              <w:t>September 30, 2023</w:t>
            </w:r>
          </w:p>
        </w:tc>
        <w:tc>
          <w:tcPr>
            <w:tcW w:w="140" w:type="dxa"/>
            <w:vAlign w:val="bottom"/>
          </w:tcPr>
          <w:p>
            <w:pPr>
              <w:spacing w:after="0"/>
              <w:rPr>
                <w:sz w:val="20"/>
                <w:szCs w:val="20"/>
                <w:color w:val="auto"/>
              </w:rPr>
            </w:pPr>
          </w:p>
        </w:tc>
        <w:tc>
          <w:tcPr>
            <w:tcW w:w="2380" w:type="dxa"/>
            <w:vAlign w:val="bottom"/>
            <w:gridSpan w:val="2"/>
          </w:tcPr>
          <w:p>
            <w:pPr>
              <w:ind w:left="40"/>
              <w:spacing w:after="0"/>
              <w:rPr>
                <w:sz w:val="20"/>
                <w:szCs w:val="20"/>
                <w:color w:val="auto"/>
              </w:rPr>
            </w:pPr>
            <w:r>
              <w:rPr>
                <w:rFonts w:ascii="Arial" w:cs="Arial" w:eastAsia="Arial" w:hAnsi="Arial"/>
                <w:sz w:val="18"/>
                <w:szCs w:val="18"/>
                <w:color w:val="auto"/>
              </w:rPr>
              <w:t>December 31, 2022</w:t>
            </w:r>
          </w:p>
        </w:tc>
      </w:tr>
      <w:tr>
        <w:trPr>
          <w:trHeight w:val="210"/>
        </w:trPr>
        <w:tc>
          <w:tcPr>
            <w:tcW w:w="66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designated as cash flow hedges:</w:t>
            </w: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151</w:t>
            </w:r>
          </w:p>
        </w:tc>
        <w:tc>
          <w:tcPr>
            <w:tcW w:w="9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287</w:t>
            </w: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Commodities</w:t>
            </w: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designated as fair value hedges: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designated as net investment hedges: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760" w:type="dxa"/>
            <w:vAlign w:val="bottom"/>
          </w:tcPr>
          <w:p>
            <w:pPr>
              <w:spacing w:after="0"/>
              <w:rPr>
                <w:sz w:val="19"/>
                <w:szCs w:val="19"/>
                <w:color w:val="auto"/>
              </w:rPr>
            </w:pPr>
          </w:p>
        </w:tc>
      </w:tr>
      <w:tr>
        <w:trPr>
          <w:trHeight w:val="229"/>
        </w:trPr>
        <w:tc>
          <w:tcPr>
            <w:tcW w:w="660" w:type="dxa"/>
            <w:vAlign w:val="bottom"/>
          </w:tcPr>
          <w:p>
            <w:pPr>
              <w:spacing w:after="0"/>
              <w:rPr>
                <w:sz w:val="19"/>
                <w:szCs w:val="19"/>
                <w:color w:val="auto"/>
              </w:rPr>
            </w:pPr>
          </w:p>
        </w:tc>
        <w:tc>
          <w:tcPr>
            <w:tcW w:w="4220" w:type="dxa"/>
            <w:vAlign w:val="bottom"/>
          </w:tcPr>
          <w:p>
            <w:pPr>
              <w:ind w:left="20"/>
              <w:spacing w:after="0"/>
              <w:rPr>
                <w:sz w:val="20"/>
                <w:szCs w:val="20"/>
                <w:color w:val="auto"/>
              </w:rPr>
            </w:pPr>
            <w:r>
              <w:rPr>
                <w:rFonts w:ascii="Arial" w:cs="Arial" w:eastAsia="Arial" w:hAnsi="Arial"/>
                <w:sz w:val="18"/>
                <w:szCs w:val="18"/>
                <w:color w:val="auto"/>
              </w:rPr>
              <w:t>Derivatives not designated as hedges:</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60" w:type="dxa"/>
            <w:vAlign w:val="bottom"/>
          </w:tcPr>
          <w:p>
            <w:pPr>
              <w:spacing w:after="0"/>
              <w:rPr>
                <w:sz w:val="19"/>
                <w:szCs w:val="19"/>
                <w:color w:val="auto"/>
              </w:rPr>
            </w:pPr>
          </w:p>
        </w:tc>
        <w:tc>
          <w:tcPr>
            <w:tcW w:w="4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w:t>
            </w:r>
          </w:p>
        </w:tc>
        <w:tc>
          <w:tcPr>
            <w:tcW w:w="1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760" w:type="dxa"/>
            <w:vAlign w:val="bottom"/>
          </w:tcPr>
          <w:p>
            <w:pPr>
              <w:spacing w:after="0"/>
              <w:rPr>
                <w:sz w:val="19"/>
                <w:szCs w:val="19"/>
                <w:color w:val="auto"/>
              </w:rPr>
            </w:pPr>
          </w:p>
        </w:tc>
      </w:tr>
      <w:tr>
        <w:trPr>
          <w:trHeight w:val="864"/>
        </w:trPr>
        <w:tc>
          <w:tcPr>
            <w:tcW w:w="6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97"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5"/>
          </w:tcPr>
          <w:p>
            <w:pPr>
              <w:ind w:left="360"/>
              <w:spacing w:after="0"/>
              <w:rPr>
                <w:sz w:val="20"/>
                <w:szCs w:val="20"/>
                <w:color w:val="auto"/>
              </w:rPr>
            </w:pPr>
            <w:r>
              <w:rPr>
                <w:rFonts w:ascii="Arial" w:cs="Arial" w:eastAsia="Arial" w:hAnsi="Arial"/>
                <w:sz w:val="18"/>
                <w:szCs w:val="18"/>
                <w:color w:val="auto"/>
              </w:rPr>
              <w:t>September 30, 2023</w:t>
            </w:r>
          </w:p>
        </w:tc>
        <w:tc>
          <w:tcPr>
            <w:tcW w:w="120" w:type="dxa"/>
            <w:vAlign w:val="bottom"/>
          </w:tcPr>
          <w:p>
            <w:pPr>
              <w:spacing w:after="0"/>
              <w:rPr>
                <w:sz w:val="20"/>
                <w:szCs w:val="20"/>
                <w:color w:val="auto"/>
              </w:rPr>
            </w:pPr>
          </w:p>
        </w:tc>
        <w:tc>
          <w:tcPr>
            <w:tcW w:w="2280" w:type="dxa"/>
            <w:vAlign w:val="bottom"/>
            <w:gridSpan w:val="4"/>
          </w:tcPr>
          <w:p>
            <w:pPr>
              <w:jc w:val="right"/>
              <w:ind w:right="390"/>
              <w:spacing w:after="0"/>
              <w:rPr>
                <w:sz w:val="20"/>
                <w:szCs w:val="20"/>
                <w:color w:val="auto"/>
              </w:rPr>
            </w:pPr>
            <w:r>
              <w:rPr>
                <w:rFonts w:ascii="Arial" w:cs="Arial" w:eastAsia="Arial" w:hAnsi="Arial"/>
                <w:sz w:val="18"/>
                <w:szCs w:val="18"/>
                <w:color w:val="auto"/>
              </w:rPr>
              <w:t>December 31, 2022</w:t>
            </w:r>
          </w:p>
        </w:tc>
      </w:tr>
      <w:tr>
        <w:trPr>
          <w:trHeight w:val="222"/>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8"/>
                <w:szCs w:val="18"/>
                <w:color w:val="auto"/>
                <w:w w:val="92"/>
              </w:rPr>
              <w:t>Principal</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4"/>
              </w:rPr>
              <w:t>Carrying</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gridSpan w:val="2"/>
          </w:tcPr>
          <w:p>
            <w:pPr>
              <w:jc w:val="center"/>
              <w:ind w:right="340"/>
              <w:spacing w:after="0"/>
              <w:rPr>
                <w:sz w:val="20"/>
                <w:szCs w:val="20"/>
                <w:color w:val="auto"/>
              </w:rPr>
            </w:pPr>
            <w:r>
              <w:rPr>
                <w:rFonts w:ascii="Arial" w:cs="Arial" w:eastAsia="Arial" w:hAnsi="Arial"/>
                <w:sz w:val="18"/>
                <w:szCs w:val="18"/>
                <w:color w:val="auto"/>
                <w:w w:val="95"/>
              </w:rPr>
              <w:t>Principal</w:t>
            </w: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6"/>
              </w:rPr>
              <w:t>Carrying</w:t>
            </w: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60" w:type="dxa"/>
            <w:vAlign w:val="bottom"/>
          </w:tcPr>
          <w:p>
            <w:pPr>
              <w:spacing w:after="0"/>
              <w:rPr>
                <w:sz w:val="20"/>
                <w:szCs w:val="20"/>
                <w:color w:val="auto"/>
              </w:rPr>
            </w:pPr>
          </w:p>
        </w:tc>
        <w:tc>
          <w:tcPr>
            <w:tcW w:w="1300" w:type="dxa"/>
            <w:vAlign w:val="bottom"/>
            <w:gridSpan w:val="2"/>
          </w:tcPr>
          <w:p>
            <w:pPr>
              <w:jc w:val="center"/>
              <w:ind w:right="560"/>
              <w:spacing w:after="0"/>
              <w:rPr>
                <w:sz w:val="20"/>
                <w:szCs w:val="20"/>
                <w:color w:val="auto"/>
              </w:rPr>
            </w:pPr>
            <w:r>
              <w:rPr>
                <w:rFonts w:ascii="Arial" w:cs="Arial" w:eastAsia="Arial" w:hAnsi="Arial"/>
                <w:sz w:val="18"/>
                <w:szCs w:val="18"/>
                <w:color w:val="auto"/>
                <w:w w:val="89"/>
              </w:rPr>
              <w:t>amount</w:t>
            </w:r>
          </w:p>
        </w:tc>
        <w:tc>
          <w:tcPr>
            <w:tcW w:w="120" w:type="dxa"/>
            <w:vAlign w:val="bottom"/>
          </w:tcPr>
          <w:p>
            <w:pPr>
              <w:spacing w:after="0"/>
              <w:rPr>
                <w:sz w:val="20"/>
                <w:szCs w:val="20"/>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outstanding</w:t>
            </w:r>
          </w:p>
        </w:tc>
        <w:tc>
          <w:tcPr>
            <w:tcW w:w="160" w:type="dxa"/>
            <w:vAlign w:val="bottom"/>
          </w:tcPr>
          <w:p>
            <w:pPr>
              <w:spacing w:after="0"/>
              <w:rPr>
                <w:sz w:val="20"/>
                <w:szCs w:val="20"/>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amount</w:t>
            </w:r>
          </w:p>
        </w:tc>
      </w:tr>
      <w:tr>
        <w:trPr>
          <w:trHeight w:val="203"/>
        </w:trPr>
        <w:tc>
          <w:tcPr>
            <w:tcW w:w="20" w:type="dxa"/>
            <w:vAlign w:val="bottom"/>
            <w:tcBorders>
              <w:top w:val="single" w:sz="8" w:color="CCEEFF"/>
            </w:tcBorders>
            <w:shd w:val="clear" w:color="auto" w:fill="CCEEFF"/>
          </w:tcPr>
          <w:p>
            <w:pPr>
              <w:spacing w:after="0"/>
              <w:rPr>
                <w:sz w:val="17"/>
                <w:szCs w:val="17"/>
                <w:color w:val="auto"/>
              </w:rPr>
            </w:pPr>
          </w:p>
        </w:tc>
        <w:tc>
          <w:tcPr>
            <w:tcW w:w="4580" w:type="dxa"/>
            <w:vAlign w:val="bottom"/>
            <w:tcBorders>
              <w:top w:val="single" w:sz="8" w:color="CCEEFF"/>
            </w:tcBorders>
            <w:gridSpan w:val="3"/>
            <w:shd w:val="clear" w:color="auto" w:fill="CCEEFF"/>
          </w:tcPr>
          <w:p>
            <w:pPr>
              <w:spacing w:after="0" w:line="149" w:lineRule="exact"/>
              <w:rPr>
                <w:sz w:val="20"/>
                <w:szCs w:val="20"/>
                <w:color w:val="auto"/>
              </w:rPr>
            </w:pPr>
            <w:r>
              <w:rPr>
                <w:rFonts w:ascii="Arial" w:cs="Arial" w:eastAsia="Arial" w:hAnsi="Arial"/>
                <w:sz w:val="17"/>
                <w:szCs w:val="17"/>
                <w:color w:val="auto"/>
              </w:rPr>
              <w:t>Short-term debt</w:t>
            </w: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51</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51</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76</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76</w:t>
            </w:r>
          </w:p>
        </w:tc>
      </w:tr>
      <w:tr>
        <w:trPr>
          <w:trHeight w:val="216"/>
        </w:trPr>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r>
      <w:tr>
        <w:trPr>
          <w:trHeight w:val="189"/>
        </w:trPr>
        <w:tc>
          <w:tcPr>
            <w:tcW w:w="20" w:type="dxa"/>
            <w:vAlign w:val="bottom"/>
            <w:shd w:val="clear" w:color="auto" w:fill="CCEEFF"/>
          </w:tcPr>
          <w:p>
            <w:pPr>
              <w:spacing w:after="0"/>
              <w:rPr>
                <w:sz w:val="16"/>
                <w:szCs w:val="16"/>
                <w:color w:val="auto"/>
              </w:rPr>
            </w:pPr>
          </w:p>
        </w:tc>
        <w:tc>
          <w:tcPr>
            <w:tcW w:w="45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Senior secured borrowings: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Revolving credit facilities</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Arial" w:cs="Arial" w:eastAsia="Arial" w:hAnsi="Arial"/>
                <w:sz w:val="18"/>
                <w:szCs w:val="18"/>
                <w:color w:val="auto"/>
              </w:rPr>
              <w:t>Term loan facilities</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U.S. dollar due 2027</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29"/>
        </w:trPr>
        <w:tc>
          <w:tcPr>
            <w:tcW w:w="20" w:type="dxa"/>
            <w:vAlign w:val="bottom"/>
          </w:tcPr>
          <w:p>
            <w:pPr>
              <w:spacing w:after="0"/>
              <w:rPr>
                <w:sz w:val="19"/>
                <w:szCs w:val="19"/>
                <w:color w:val="auto"/>
              </w:rPr>
            </w:pPr>
          </w:p>
        </w:tc>
        <w:tc>
          <w:tcPr>
            <w:tcW w:w="4580" w:type="dxa"/>
            <w:vAlign w:val="bottom"/>
            <w:gridSpan w:val="3"/>
          </w:tcPr>
          <w:p>
            <w:pPr>
              <w:ind w:left="640"/>
              <w:spacing w:after="0" w:line="230" w:lineRule="exact"/>
              <w:rPr>
                <w:sz w:val="20"/>
                <w:szCs w:val="20"/>
                <w:color w:val="auto"/>
              </w:rPr>
            </w:pPr>
            <w:r>
              <w:rPr>
                <w:rFonts w:ascii="Arial" w:cs="Arial" w:eastAsia="Arial" w:hAnsi="Arial"/>
                <w:sz w:val="18"/>
                <w:szCs w:val="18"/>
                <w:color w:val="auto"/>
              </w:rPr>
              <w:t>Euro due 2027</w:t>
            </w:r>
            <w:r>
              <w:rPr>
                <w:rFonts w:ascii="Arial" w:cs="Arial" w:eastAsia="Arial" w:hAnsi="Arial"/>
                <w:sz w:val="23"/>
                <w:szCs w:val="23"/>
                <w:color w:val="auto"/>
                <w:vertAlign w:val="superscript"/>
              </w:rPr>
              <w:t>1</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578</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Arial" w:cs="Arial" w:eastAsia="Arial" w:hAnsi="Arial"/>
                <w:sz w:val="18"/>
                <w:szCs w:val="18"/>
                <w:color w:val="auto"/>
              </w:rPr>
              <w:t>€600 at 2.625% due 2024</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€600 at 3.375% due 2025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30"/>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Arial" w:cs="Arial" w:eastAsia="Arial" w:hAnsi="Arial"/>
                <w:sz w:val="18"/>
                <w:szCs w:val="18"/>
                <w:color w:val="auto"/>
              </w:rPr>
              <w:t>U.S. dollar at 4.25%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398</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U.S. dollar at 4.75% due 2026</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Arial" w:cs="Arial" w:eastAsia="Arial" w:hAnsi="Arial"/>
                <w:sz w:val="18"/>
                <w:szCs w:val="18"/>
                <w:color w:val="auto"/>
              </w:rPr>
              <w:t>U.S. dollar at 7.375%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€500 at 5.000% due 2028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Arial" w:cs="Arial" w:eastAsia="Arial" w:hAnsi="Arial"/>
                <w:sz w:val="18"/>
                <w:szCs w:val="18"/>
                <w:color w:val="auto"/>
              </w:rPr>
              <w:t>€500 at 2.875% due 2026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527</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U.S. dollar at 5.25% due 2030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r>
      <w:tr>
        <w:trPr>
          <w:trHeight w:val="229"/>
        </w:trPr>
        <w:tc>
          <w:tcPr>
            <w:tcW w:w="20" w:type="dxa"/>
            <w:vAlign w:val="bottom"/>
          </w:tcPr>
          <w:p>
            <w:pPr>
              <w:spacing w:after="0"/>
              <w:rPr>
                <w:sz w:val="19"/>
                <w:szCs w:val="19"/>
                <w:color w:val="auto"/>
              </w:rPr>
            </w:pPr>
          </w:p>
        </w:tc>
        <w:tc>
          <w:tcPr>
            <w:tcW w:w="4580" w:type="dxa"/>
            <w:vAlign w:val="bottom"/>
            <w:gridSpan w:val="3"/>
          </w:tcPr>
          <w:p>
            <w:pPr>
              <w:ind w:left="320"/>
              <w:spacing w:after="0"/>
              <w:rPr>
                <w:sz w:val="20"/>
                <w:szCs w:val="20"/>
                <w:color w:val="auto"/>
              </w:rPr>
            </w:pPr>
            <w:r>
              <w:rPr>
                <w:rFonts w:ascii="Arial" w:cs="Arial" w:eastAsia="Arial" w:hAnsi="Arial"/>
                <w:sz w:val="18"/>
                <w:szCs w:val="18"/>
                <w:color w:val="auto"/>
              </w:rPr>
              <w:t>U.S. dollar at 7.50% due 2096</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indebtedness in various currencies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3"/>
        </w:trPr>
        <w:tc>
          <w:tcPr>
            <w:tcW w:w="20" w:type="dxa"/>
            <w:vAlign w:val="bottom"/>
          </w:tcPr>
          <w:p>
            <w:pPr>
              <w:spacing w:after="0"/>
              <w:rPr>
                <w:sz w:val="19"/>
                <w:szCs w:val="19"/>
                <w:color w:val="auto"/>
              </w:rPr>
            </w:pPr>
          </w:p>
        </w:tc>
        <w:tc>
          <w:tcPr>
            <w:tcW w:w="4580" w:type="dxa"/>
            <w:vAlign w:val="bottom"/>
            <w:gridSpan w:val="3"/>
          </w:tcPr>
          <w:p>
            <w:pPr>
              <w:ind w:left="640"/>
              <w:spacing w:after="0"/>
              <w:rPr>
                <w:sz w:val="20"/>
                <w:szCs w:val="20"/>
                <w:color w:val="auto"/>
              </w:rPr>
            </w:pPr>
            <w:r>
              <w:rPr>
                <w:rFonts w:ascii="Arial" w:cs="Arial" w:eastAsia="Arial" w:hAnsi="Arial"/>
                <w:sz w:val="18"/>
                <w:szCs w:val="18"/>
                <w:color w:val="auto"/>
              </w:rPr>
              <w:t>Total long-term debt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7,047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6,934</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6,901</w:t>
            </w:r>
          </w:p>
        </w:tc>
      </w:tr>
      <w:tr>
        <w:trPr>
          <w:trHeight w:val="229"/>
        </w:trPr>
        <w:tc>
          <w:tcPr>
            <w:tcW w:w="20" w:type="dxa"/>
            <w:vAlign w:val="bottom"/>
            <w:shd w:val="clear" w:color="auto" w:fill="CCEEFF"/>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maturities</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4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3"/>
        </w:trPr>
        <w:tc>
          <w:tcPr>
            <w:tcW w:w="20" w:type="dxa"/>
            <w:vAlign w:val="bottom"/>
          </w:tcPr>
          <w:p>
            <w:pPr>
              <w:spacing w:after="0"/>
              <w:rPr>
                <w:sz w:val="19"/>
                <w:szCs w:val="19"/>
                <w:color w:val="auto"/>
              </w:rPr>
            </w:pPr>
          </w:p>
        </w:tc>
        <w:tc>
          <w:tcPr>
            <w:tcW w:w="4580" w:type="dxa"/>
            <w:vAlign w:val="bottom"/>
            <w:gridSpan w:val="3"/>
          </w:tcPr>
          <w:p>
            <w:pPr>
              <w:ind w:left="640"/>
              <w:spacing w:after="0"/>
              <w:rPr>
                <w:sz w:val="20"/>
                <w:szCs w:val="20"/>
                <w:color w:val="auto"/>
              </w:rPr>
            </w:pPr>
            <w:r>
              <w:rPr>
                <w:rFonts w:ascii="Arial" w:cs="Arial" w:eastAsia="Arial" w:hAnsi="Arial"/>
                <w:sz w:val="18"/>
                <w:szCs w:val="18"/>
                <w:color w:val="auto"/>
              </w:rPr>
              <w:t>Total long-term debt, less current maturities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6,273</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6,240</w:t>
            </w:r>
          </w:p>
        </w:tc>
        <w:tc>
          <w:tcPr>
            <w:tcW w:w="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6,825</w:t>
            </w:r>
          </w:p>
        </w:tc>
        <w:tc>
          <w:tcPr>
            <w:tcW w:w="2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6,792</w:t>
            </w: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€537 and €540 at September 30, 2023 and December 31, 2022</w:t>
      </w:r>
    </w:p>
    <w:p>
      <w:pPr>
        <w:spacing w:after="0" w:line="23" w:lineRule="exact"/>
        <w:rPr>
          <w:sz w:val="20"/>
          <w:szCs w:val="20"/>
          <w:color w:val="auto"/>
        </w:rPr>
      </w:pPr>
    </w:p>
    <w:p>
      <w:pPr>
        <w:ind w:left="660"/>
        <w:spacing w:after="0" w:line="260"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$6,916 at September 30, 2023 and $6,922 at December 31, 2022.</w:t>
      </w:r>
    </w:p>
    <w:p>
      <w:pPr>
        <w:spacing w:after="0" w:line="21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In May 2023, the Company issued €500 principal amount of 5.00% senior unsecured notes due 2028 issued at par by its subsidiary Crown European Holdings S.A. The Company paid $8 in issuance costs that will be amortized over the term of the notes.</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U.S. dollar term loan interest rate was SOFR plus 1.35% and the Euro term loan interest rate was EURIBOR plus 1.25% at September 30, 2023 and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11"/>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52" w:hanging="352"/>
        <w:spacing w:after="0"/>
        <w:tabs>
          <w:tab w:leader="none" w:pos="3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56"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The components of net periodic pension and other postretirement benefits costs for the three and nine months ended September 30, 2023 and 2022 were as follows:</w:t>
      </w:r>
    </w:p>
    <w:p>
      <w:pPr>
        <w:spacing w:after="0" w:line="89" w:lineRule="exact"/>
        <w:rPr>
          <w:sz w:val="20"/>
          <w:szCs w:val="20"/>
          <w:color w:val="auto"/>
        </w:rPr>
      </w:pPr>
    </w:p>
    <w:tbl>
      <w:tblPr>
        <w:tblLayout w:type="fixed"/>
        <w:tblInd w:w="652"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8"/>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9"/>
                <w:szCs w:val="19"/>
                <w:color w:val="auto"/>
              </w:rPr>
            </w:pPr>
          </w:p>
        </w:tc>
        <w:tc>
          <w:tcPr>
            <w:tcW w:w="2100" w:type="dxa"/>
            <w:vAlign w:val="bottom"/>
            <w:gridSpan w:val="6"/>
          </w:tcPr>
          <w:p>
            <w:pPr>
              <w:jc w:val="center"/>
              <w:ind w:right="130"/>
              <w:spacing w:after="0"/>
              <w:rPr>
                <w:sz w:val="20"/>
                <w:szCs w:val="20"/>
                <w:color w:val="auto"/>
              </w:rPr>
            </w:pPr>
            <w:r>
              <w:rPr>
                <w:rFonts w:ascii="Arial" w:cs="Arial" w:eastAsia="Arial" w:hAnsi="Arial"/>
                <w:sz w:val="18"/>
                <w:szCs w:val="18"/>
                <w:color w:val="auto"/>
                <w:w w:val="91"/>
              </w:rPr>
              <w:t>Nine Months Ended</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8"/>
          </w:tcPr>
          <w:p>
            <w:pPr>
              <w:jc w:val="center"/>
              <w:ind w:right="66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100" w:type="dxa"/>
            <w:vAlign w:val="bottom"/>
            <w:gridSpan w:val="6"/>
          </w:tcPr>
          <w:p>
            <w:pPr>
              <w:jc w:val="center"/>
              <w:ind w:right="13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Arial" w:cs="Arial" w:eastAsia="Arial" w:hAnsi="Arial"/>
                <w:sz w:val="18"/>
                <w:szCs w:val="18"/>
                <w:color w:val="auto"/>
              </w:rPr>
              <w:t>Pension benefits – U.S. plans</w:t>
            </w: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2023</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2023</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2022</w:t>
            </w:r>
          </w:p>
        </w:tc>
        <w:tc>
          <w:tcPr>
            <w:tcW w:w="20" w:type="dxa"/>
            <w:vAlign w:val="bottom"/>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Recognized net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Curtailment loss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Net periodic cost</w:t>
            </w:r>
          </w:p>
        </w:tc>
        <w:tc>
          <w:tcPr>
            <w:tcW w:w="24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8"/>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100" w:type="dxa"/>
            <w:vAlign w:val="bottom"/>
            <w:gridSpan w:val="6"/>
          </w:tcPr>
          <w:p>
            <w:pPr>
              <w:jc w:val="center"/>
              <w:ind w:right="110"/>
              <w:spacing w:after="0"/>
              <w:rPr>
                <w:sz w:val="20"/>
                <w:szCs w:val="20"/>
                <w:color w:val="auto"/>
              </w:rPr>
            </w:pPr>
            <w:r>
              <w:rPr>
                <w:rFonts w:ascii="Arial" w:cs="Arial" w:eastAsia="Arial" w:hAnsi="Arial"/>
                <w:sz w:val="18"/>
                <w:szCs w:val="18"/>
                <w:color w:val="auto"/>
                <w:w w:val="92"/>
              </w:rPr>
              <w:t>Nine Months Ended</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8"/>
          </w:tcPr>
          <w:p>
            <w:pPr>
              <w:jc w:val="center"/>
              <w:ind w:right="66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100" w:type="dxa"/>
            <w:vAlign w:val="bottom"/>
            <w:gridSpan w:val="6"/>
          </w:tcPr>
          <w:p>
            <w:pPr>
              <w:jc w:val="center"/>
              <w:ind w:right="13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Arial" w:cs="Arial" w:eastAsia="Arial" w:hAnsi="Arial"/>
                <w:sz w:val="18"/>
                <w:szCs w:val="18"/>
                <w:color w:val="auto"/>
              </w:rPr>
              <w:t>Pension benefits – Non-U.S. plans</w:t>
            </w: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2023</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2022</w:t>
            </w:r>
          </w:p>
        </w:tc>
        <w:tc>
          <w:tcPr>
            <w:tcW w:w="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2023</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2022</w:t>
            </w:r>
          </w:p>
        </w:tc>
        <w:tc>
          <w:tcPr>
            <w:tcW w:w="20" w:type="dxa"/>
            <w:vAlign w:val="bottom"/>
            <w:tcBorders>
              <w:top w:val="single" w:sz="8" w:color="auto"/>
            </w:tcBorders>
          </w:tcPr>
          <w:p>
            <w:pPr>
              <w:spacing w:after="0"/>
              <w:rPr>
                <w:sz w:val="15"/>
                <w:szCs w:val="15"/>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Recognized net loss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Special termination benefits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Net periodic cost</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auto"/>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00"/>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00" w:type="dxa"/>
            <w:vAlign w:val="bottom"/>
            <w:gridSpan w:val="8"/>
          </w:tcPr>
          <w:p>
            <w:pPr>
              <w:jc w:val="center"/>
              <w:ind w:right="66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100" w:type="dxa"/>
            <w:vAlign w:val="bottom"/>
            <w:gridSpan w:val="6"/>
          </w:tcPr>
          <w:p>
            <w:pPr>
              <w:jc w:val="center"/>
              <w:ind w:right="110"/>
              <w:spacing w:after="0"/>
              <w:rPr>
                <w:sz w:val="20"/>
                <w:szCs w:val="20"/>
                <w:color w:val="auto"/>
              </w:rPr>
            </w:pPr>
            <w:r>
              <w:rPr>
                <w:rFonts w:ascii="Arial" w:cs="Arial" w:eastAsia="Arial" w:hAnsi="Arial"/>
                <w:sz w:val="18"/>
                <w:szCs w:val="18"/>
                <w:color w:val="auto"/>
                <w:w w:val="92"/>
              </w:rPr>
              <w:t>Nine Months Ended</w:t>
            </w:r>
          </w:p>
        </w:tc>
        <w:tc>
          <w:tcPr>
            <w:tcW w:w="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8"/>
          </w:tcPr>
          <w:p>
            <w:pPr>
              <w:jc w:val="center"/>
              <w:ind w:right="66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100" w:type="dxa"/>
            <w:vAlign w:val="bottom"/>
            <w:gridSpan w:val="6"/>
          </w:tcPr>
          <w:p>
            <w:pPr>
              <w:jc w:val="center"/>
              <w:ind w:right="13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4620" w:type="dxa"/>
            <w:vAlign w:val="bottom"/>
            <w:gridSpan w:val="3"/>
          </w:tcPr>
          <w:p>
            <w:pPr>
              <w:spacing w:after="0" w:line="182" w:lineRule="exact"/>
              <w:rPr>
                <w:sz w:val="20"/>
                <w:szCs w:val="20"/>
                <w:color w:val="auto"/>
              </w:rPr>
            </w:pPr>
            <w:r>
              <w:rPr>
                <w:rFonts w:ascii="Arial" w:cs="Arial" w:eastAsia="Arial" w:hAnsi="Arial"/>
                <w:sz w:val="18"/>
                <w:szCs w:val="18"/>
                <w:color w:val="auto"/>
              </w:rPr>
              <w:t>Other postretirement benefits</w:t>
            </w: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2023</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2022</w:t>
            </w:r>
          </w:p>
        </w:tc>
        <w:tc>
          <w:tcPr>
            <w:tcW w:w="2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2023</w:t>
            </w: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2022</w:t>
            </w:r>
          </w:p>
        </w:tc>
        <w:tc>
          <w:tcPr>
            <w:tcW w:w="20" w:type="dxa"/>
            <w:vAlign w:val="bottom"/>
            <w:tcBorders>
              <w:top w:val="single" w:sz="8" w:color="auto"/>
            </w:tcBorders>
          </w:tcPr>
          <w:p>
            <w:pPr>
              <w:spacing w:after="0"/>
              <w:rPr>
                <w:sz w:val="15"/>
                <w:szCs w:val="15"/>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cost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Recognized prior service credit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Recognized net loss</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Net periodic cost / (benefit)</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pacing w:after="0" w:line="197" w:lineRule="exact"/>
        <w:rPr>
          <w:sz w:val="20"/>
          <w:szCs w:val="20"/>
          <w:color w:val="auto"/>
        </w:rPr>
      </w:pPr>
    </w:p>
    <w:p>
      <w:pPr>
        <w:ind w:left="172"/>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pacing w:after="0" w:line="293"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180" w:type="dxa"/>
            <w:vAlign w:val="bottom"/>
          </w:tcPr>
          <w:p>
            <w:pPr>
              <w:spacing w:after="0"/>
              <w:rPr>
                <w:sz w:val="19"/>
                <w:szCs w:val="19"/>
                <w:color w:val="auto"/>
              </w:rPr>
            </w:pPr>
          </w:p>
        </w:tc>
        <w:tc>
          <w:tcPr>
            <w:tcW w:w="1780" w:type="dxa"/>
            <w:vAlign w:val="bottom"/>
            <w:gridSpan w:val="4"/>
          </w:tcPr>
          <w:p>
            <w:pPr>
              <w:jc w:val="right"/>
              <w:ind w:right="170"/>
              <w:spacing w:after="0"/>
              <w:rPr>
                <w:sz w:val="20"/>
                <w:szCs w:val="20"/>
                <w:color w:val="auto"/>
              </w:rPr>
            </w:pPr>
            <w:r>
              <w:rPr>
                <w:rFonts w:ascii="Arial" w:cs="Arial" w:eastAsia="Arial" w:hAnsi="Arial"/>
                <w:sz w:val="18"/>
                <w:szCs w:val="18"/>
                <w:color w:val="auto"/>
                <w:w w:val="94"/>
              </w:rPr>
              <w:t>Nine Months Ended</w:t>
            </w:r>
          </w:p>
        </w:tc>
        <w:tc>
          <w:tcPr>
            <w:tcW w:w="1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Details about accumulated other</w:t>
            </w:r>
          </w:p>
        </w:tc>
        <w:tc>
          <w:tcPr>
            <w:tcW w:w="160" w:type="dxa"/>
            <w:vAlign w:val="bottom"/>
          </w:tcPr>
          <w:p>
            <w:pPr>
              <w:spacing w:after="0"/>
              <w:rPr>
                <w:sz w:val="20"/>
                <w:szCs w:val="20"/>
                <w:color w:val="auto"/>
              </w:rPr>
            </w:pPr>
          </w:p>
        </w:tc>
        <w:tc>
          <w:tcPr>
            <w:tcW w:w="1920" w:type="dxa"/>
            <w:vAlign w:val="bottom"/>
            <w:gridSpan w:val="5"/>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180" w:type="dxa"/>
            <w:vAlign w:val="bottom"/>
          </w:tcPr>
          <w:p>
            <w:pPr>
              <w:spacing w:after="0"/>
              <w:rPr>
                <w:sz w:val="20"/>
                <w:szCs w:val="20"/>
                <w:color w:val="auto"/>
              </w:rPr>
            </w:pPr>
          </w:p>
        </w:tc>
        <w:tc>
          <w:tcPr>
            <w:tcW w:w="1780" w:type="dxa"/>
            <w:vAlign w:val="bottom"/>
            <w:gridSpan w:val="4"/>
          </w:tcPr>
          <w:p>
            <w:pPr>
              <w:jc w:val="right"/>
              <w:ind w:right="37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20"/>
                <w:szCs w:val="20"/>
                <w:color w:val="auto"/>
              </w:rPr>
            </w:pPr>
          </w:p>
        </w:tc>
        <w:tc>
          <w:tcPr>
            <w:tcW w:w="2900" w:type="dxa"/>
            <w:vAlign w:val="bottom"/>
            <w:vMerge w:val="restart"/>
          </w:tcPr>
          <w:p>
            <w:pPr>
              <w:ind w:left="80"/>
              <w:spacing w:after="0"/>
              <w:rPr>
                <w:sz w:val="20"/>
                <w:szCs w:val="20"/>
                <w:color w:val="auto"/>
              </w:rPr>
            </w:pPr>
            <w:r>
              <w:rPr>
                <w:rFonts w:ascii="Arial" w:cs="Arial" w:eastAsia="Arial" w:hAnsi="Arial"/>
                <w:sz w:val="18"/>
                <w:szCs w:val="18"/>
                <w:color w:val="auto"/>
                <w:w w:val="93"/>
              </w:rPr>
              <w:t>Affected line items in the statement of</w:t>
            </w:r>
          </w:p>
        </w:tc>
        <w:tc>
          <w:tcPr>
            <w:tcW w:w="0" w:type="dxa"/>
            <w:vAlign w:val="bottom"/>
          </w:tcPr>
          <w:p>
            <w:pPr>
              <w:spacing w:after="0"/>
              <w:rPr>
                <w:sz w:val="1"/>
                <w:szCs w:val="1"/>
                <w:color w:val="auto"/>
              </w:rPr>
            </w:pPr>
          </w:p>
        </w:tc>
      </w:tr>
      <w:tr>
        <w:trPr>
          <w:trHeight w:val="155"/>
        </w:trPr>
        <w:tc>
          <w:tcPr>
            <w:tcW w:w="2540" w:type="dxa"/>
            <w:vAlign w:val="bottom"/>
            <w:gridSpan w:val="2"/>
            <w:vMerge w:val="continue"/>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4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comprehensive income</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tcPr>
          <w:p>
            <w:pPr>
              <w:ind w:left="1080"/>
              <w:spacing w:after="0" w:line="176" w:lineRule="exact"/>
              <w:rPr>
                <w:sz w:val="20"/>
                <w:szCs w:val="20"/>
                <w:color w:val="auto"/>
              </w:rPr>
            </w:pPr>
            <w:r>
              <w:rPr>
                <w:rFonts w:ascii="Arial" w:cs="Arial" w:eastAsia="Arial" w:hAnsi="Arial"/>
                <w:sz w:val="18"/>
                <w:szCs w:val="18"/>
                <w:color w:val="auto"/>
              </w:rPr>
              <w:t>operations</w:t>
            </w:r>
          </w:p>
        </w:tc>
        <w:tc>
          <w:tcPr>
            <w:tcW w:w="0" w:type="dxa"/>
            <w:vAlign w:val="bottom"/>
          </w:tcPr>
          <w:p>
            <w:pPr>
              <w:spacing w:after="0"/>
              <w:rPr>
                <w:sz w:val="1"/>
                <w:szCs w:val="1"/>
                <w:color w:val="auto"/>
              </w:rPr>
            </w:pPr>
          </w:p>
        </w:tc>
      </w:tr>
      <w:tr>
        <w:trPr>
          <w:trHeight w:val="243"/>
        </w:trPr>
        <w:tc>
          <w:tcPr>
            <w:tcW w:w="25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components</w:t>
            </w:r>
          </w:p>
        </w:tc>
        <w:tc>
          <w:tcPr>
            <w:tcW w:w="16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2023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Actuarial losses</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35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top w:val="single" w:sz="8" w:color="CCEEFF"/>
            </w:tcBorders>
            <w:shd w:val="clear" w:color="auto" w:fill="CCEEFF"/>
          </w:tcPr>
          <w:p>
            <w:pPr>
              <w:spacing w:after="0"/>
              <w:rPr>
                <w:sz w:val="19"/>
                <w:szCs w:val="19"/>
                <w:color w:val="auto"/>
              </w:rPr>
            </w:pPr>
          </w:p>
        </w:tc>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229"/>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Prior service credit</w:t>
            </w:r>
          </w:p>
        </w:tc>
        <w:tc>
          <w:tcPr>
            <w:tcW w:w="16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229"/>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 loss</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156"/>
        </w:trPr>
        <w:tc>
          <w:tcPr>
            <w:tcW w:w="2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900" w:type="dxa"/>
            <w:vAlign w:val="bottom"/>
          </w:tcPr>
          <w:p>
            <w:pPr>
              <w:ind w:left="20"/>
              <w:spacing w:after="0" w:line="156" w:lineRule="exact"/>
              <w:rPr>
                <w:sz w:val="20"/>
                <w:szCs w:val="20"/>
                <w:color w:val="auto"/>
              </w:rPr>
            </w:pPr>
            <w:r>
              <w:rPr>
                <w:rFonts w:ascii="Arial" w:cs="Arial" w:eastAsia="Arial" w:hAnsi="Arial"/>
                <w:sz w:val="18"/>
                <w:szCs w:val="18"/>
                <w:color w:val="auto"/>
                <w:w w:val="95"/>
              </w:rPr>
              <w:t>Income before taxes and equity in net</w:t>
            </w:r>
          </w:p>
        </w:tc>
        <w:tc>
          <w:tcPr>
            <w:tcW w:w="0" w:type="dxa"/>
            <w:vAlign w:val="bottom"/>
          </w:tcPr>
          <w:p>
            <w:pPr>
              <w:spacing w:after="0"/>
              <w:rPr>
                <w:sz w:val="1"/>
                <w:szCs w:val="1"/>
                <w:color w:val="auto"/>
              </w:rPr>
            </w:pPr>
          </w:p>
        </w:tc>
      </w:tr>
      <w:tr>
        <w:trPr>
          <w:trHeight w:val="243"/>
        </w:trPr>
        <w:tc>
          <w:tcPr>
            <w:tcW w:w="2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ind w:left="50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earnings of affiliates</w:t>
            </w:r>
          </w:p>
        </w:tc>
        <w:tc>
          <w:tcPr>
            <w:tcW w:w="0" w:type="dxa"/>
            <w:vAlign w:val="bottom"/>
          </w:tcPr>
          <w:p>
            <w:pPr>
              <w:spacing w:after="0"/>
              <w:rPr>
                <w:sz w:val="1"/>
                <w:szCs w:val="1"/>
                <w:color w:val="auto"/>
              </w:rPr>
            </w:pPr>
          </w:p>
        </w:tc>
      </w:tr>
      <w:tr>
        <w:trPr>
          <w:trHeight w:val="230"/>
        </w:trPr>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23"/>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Total reclassified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29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32"/>
          </w:cols>
          <w:pgMar w:left="328"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1"/>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85090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21"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0" w:hanging="392"/>
        <w:spacing w:after="0"/>
        <w:tabs>
          <w:tab w:leader="none" w:pos="4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Capital Stock</w:t>
      </w:r>
    </w:p>
    <w:p>
      <w:pPr>
        <w:spacing w:after="0" w:line="256"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On December 9, 2021, the Company's Board of Directors authorized the repurchase of an aggregate amount of $3,000 of Company common stock through the end of 2024. Share repurchases under the Company's program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The Company has remaining Board authorization to repurchase $2,300 of the Company's common stock under the program as of September 30, 2023.</w:t>
      </w:r>
    </w:p>
    <w:p>
      <w:pPr>
        <w:spacing w:after="0" w:line="188"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For the three and nine months ended September 30, 2023 and 2022, the Company declared and paid cash dividends of $0.24 per share and $0.72 per share and $0.22 per share and $0.66 per share, respectively. Additionally, on October 26, 2023, the Company's Board of Directors declared a dividend of $0.24 per share payable on November 22, 2023 to shareholders of record as of November 8, 2023.</w:t>
      </w:r>
    </w:p>
    <w:p>
      <w:pPr>
        <w:spacing w:after="0" w:line="200" w:lineRule="exact"/>
        <w:rPr>
          <w:sz w:val="20"/>
          <w:szCs w:val="20"/>
          <w:color w:val="auto"/>
        </w:rPr>
      </w:pPr>
    </w:p>
    <w:p>
      <w:pPr>
        <w:spacing w:after="0" w:line="231" w:lineRule="exact"/>
        <w:rPr>
          <w:sz w:val="20"/>
          <w:szCs w:val="20"/>
          <w:color w:val="auto"/>
        </w:rPr>
      </w:pPr>
    </w:p>
    <w:p>
      <w:pPr>
        <w:ind w:left="360" w:hanging="352"/>
        <w:spacing w:after="0"/>
        <w:tabs>
          <w:tab w:leader="none" w:pos="3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Loss Attributable to Crown Holdings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the changes in each component of accumulated other comprehensive income/(loss).</w:t>
      </w:r>
    </w:p>
    <w:p>
      <w:pPr>
        <w:spacing w:after="0" w:line="262"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3"/>
              </w:rPr>
              <w:t>Defined</w:t>
            </w:r>
          </w:p>
        </w:tc>
        <w:tc>
          <w:tcPr>
            <w:tcW w:w="140" w:type="dxa"/>
            <w:vAlign w:val="bottom"/>
          </w:tcPr>
          <w:p>
            <w:pPr>
              <w:spacing w:after="0"/>
              <w:rPr>
                <w:sz w:val="17"/>
                <w:szCs w:val="17"/>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91"/>
              </w:rPr>
              <w:t>Foreign</w:t>
            </w:r>
          </w:p>
        </w:tc>
        <w:tc>
          <w:tcPr>
            <w:tcW w:w="14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Gains and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340"/>
              <w:spacing w:after="0" w:line="176" w:lineRule="exact"/>
              <w:rPr>
                <w:sz w:val="20"/>
                <w:szCs w:val="20"/>
                <w:color w:val="auto"/>
              </w:rPr>
            </w:pPr>
            <w:r>
              <w:rPr>
                <w:rFonts w:ascii="Arial" w:cs="Arial" w:eastAsia="Arial" w:hAnsi="Arial"/>
                <w:sz w:val="18"/>
                <w:szCs w:val="18"/>
                <w:color w:val="auto"/>
                <w:w w:val="86"/>
              </w:rPr>
              <w:t>losses on</w:t>
            </w: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300"/>
              <w:spacing w:after="0" w:line="189" w:lineRule="exact"/>
              <w:rPr>
                <w:sz w:val="20"/>
                <w:szCs w:val="20"/>
                <w:color w:val="auto"/>
              </w:rPr>
            </w:pPr>
            <w:r>
              <w:rPr>
                <w:rFonts w:ascii="Arial" w:cs="Arial" w:eastAsia="Arial" w:hAnsi="Arial"/>
                <w:sz w:val="18"/>
                <w:szCs w:val="18"/>
                <w:color w:val="auto"/>
                <w:w w:val="92"/>
              </w:rPr>
              <w:t>benefit</w:t>
            </w:r>
          </w:p>
        </w:tc>
        <w:tc>
          <w:tcPr>
            <w:tcW w:w="140" w:type="dxa"/>
            <w:vAlign w:val="bottom"/>
          </w:tcPr>
          <w:p>
            <w:pPr>
              <w:spacing w:after="0"/>
              <w:rPr>
                <w:sz w:val="16"/>
                <w:szCs w:val="16"/>
                <w:color w:val="auto"/>
              </w:rPr>
            </w:pPr>
          </w:p>
        </w:tc>
        <w:tc>
          <w:tcPr>
            <w:tcW w:w="1180" w:type="dxa"/>
            <w:vAlign w:val="bottom"/>
            <w:gridSpan w:val="2"/>
          </w:tcPr>
          <w:p>
            <w:pPr>
              <w:jc w:val="center"/>
              <w:ind w:right="340"/>
              <w:spacing w:after="0" w:line="189" w:lineRule="exact"/>
              <w:rPr>
                <w:sz w:val="20"/>
                <w:szCs w:val="20"/>
                <w:color w:val="auto"/>
              </w:rPr>
            </w:pPr>
            <w:r>
              <w:rPr>
                <w:rFonts w:ascii="Arial" w:cs="Arial" w:eastAsia="Arial" w:hAnsi="Arial"/>
                <w:sz w:val="18"/>
                <w:szCs w:val="18"/>
                <w:color w:val="auto"/>
                <w:w w:val="92"/>
              </w:rPr>
              <w:t>currency</w:t>
            </w:r>
          </w:p>
        </w:tc>
        <w:tc>
          <w:tcPr>
            <w:tcW w:w="140" w:type="dxa"/>
            <w:vAlign w:val="bottom"/>
          </w:tcPr>
          <w:p>
            <w:pPr>
              <w:spacing w:after="0"/>
              <w:rPr>
                <w:sz w:val="16"/>
                <w:szCs w:val="16"/>
                <w:color w:val="auto"/>
              </w:rPr>
            </w:pPr>
          </w:p>
        </w:tc>
        <w:tc>
          <w:tcPr>
            <w:tcW w:w="1120" w:type="dxa"/>
            <w:vAlign w:val="bottom"/>
            <w:gridSpan w:val="2"/>
          </w:tcPr>
          <w:p>
            <w:pPr>
              <w:jc w:val="center"/>
              <w:ind w:right="340"/>
              <w:spacing w:after="0" w:line="189" w:lineRule="exact"/>
              <w:rPr>
                <w:sz w:val="20"/>
                <w:szCs w:val="20"/>
                <w:color w:val="auto"/>
              </w:rPr>
            </w:pPr>
            <w:r>
              <w:rPr>
                <w:rFonts w:ascii="Arial" w:cs="Arial" w:eastAsia="Arial" w:hAnsi="Arial"/>
                <w:sz w:val="18"/>
                <w:szCs w:val="18"/>
                <w:color w:val="auto"/>
                <w:w w:val="93"/>
              </w:rPr>
              <w:t>cash flow</w:t>
            </w:r>
          </w:p>
        </w:tc>
        <w:tc>
          <w:tcPr>
            <w:tcW w:w="200" w:type="dxa"/>
            <w:vAlign w:val="bottom"/>
          </w:tcPr>
          <w:p>
            <w:pPr>
              <w:spacing w:after="0"/>
              <w:rPr>
                <w:sz w:val="16"/>
                <w:szCs w:val="16"/>
                <w:color w:val="auto"/>
              </w:rPr>
            </w:pPr>
          </w:p>
        </w:tc>
        <w:tc>
          <w:tcPr>
            <w:tcW w:w="740" w:type="dxa"/>
            <w:vAlign w:val="bottom"/>
            <w:vMerge w:val="restart"/>
          </w:tcPr>
          <w:p>
            <w:pPr>
              <w:jc w:val="right"/>
              <w:ind w:right="2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9"/>
        </w:trPr>
        <w:tc>
          <w:tcPr>
            <w:tcW w:w="5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plans</w:t>
            </w:r>
          </w:p>
        </w:tc>
        <w:tc>
          <w:tcPr>
            <w:tcW w:w="140" w:type="dxa"/>
            <w:vAlign w:val="bottom"/>
          </w:tcPr>
          <w:p>
            <w:pPr>
              <w:spacing w:after="0"/>
              <w:rPr>
                <w:sz w:val="19"/>
                <w:szCs w:val="19"/>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40" w:type="dxa"/>
            <w:vAlign w:val="bottom"/>
          </w:tcPr>
          <w:p>
            <w:pPr>
              <w:spacing w:after="0"/>
              <w:rPr>
                <w:sz w:val="19"/>
                <w:szCs w:val="19"/>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84"/>
              </w:rPr>
              <w:t>hedges</w:t>
            </w:r>
          </w:p>
        </w:tc>
        <w:tc>
          <w:tcPr>
            <w:tcW w:w="2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 (loss) before reclassifications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5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Arial" w:cs="Arial" w:eastAsia="Arial" w:hAnsi="Arial"/>
                <w:sz w:val="18"/>
                <w:szCs w:val="18"/>
                <w:color w:val="auto"/>
              </w:rPr>
              <w:t>Other comprehensive income / (loss) before reclassifications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Amounts reclassified from accumulated other comprehensive income</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 (loss)</w:t>
            </w: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J</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Note L</w:t>
      </w:r>
      <w:r>
        <w:rPr>
          <w:rFonts w:ascii="Arial" w:cs="Arial" w:eastAsia="Arial" w:hAnsi="Arial"/>
          <w:sz w:val="18"/>
          <w:szCs w:val="18"/>
          <w:color w:val="auto"/>
        </w:rPr>
        <w:t xml:space="preserve"> for further details of amounts related to cash flow hedges and defined benefit plans.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4"/>
          </w:tcPr>
          <w:p>
            <w:pPr>
              <w:spacing w:after="0"/>
              <w:rPr>
                <w:sz w:val="20"/>
                <w:szCs w:val="20"/>
                <w:color w:val="auto"/>
              </w:rPr>
            </w:pPr>
            <w:r>
              <w:rPr>
                <w:rFonts w:ascii="Arial" w:cs="Arial" w:eastAsia="Arial" w:hAnsi="Arial"/>
                <w:sz w:val="18"/>
                <w:szCs w:val="18"/>
                <w:b w:val="1"/>
                <w:bCs w:val="1"/>
                <w:color w:val="auto"/>
              </w:rPr>
              <w:t>O.   Revenue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80"/>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The Company recognized revenue as follows: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1"/>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jc w:val="center"/>
              <w:ind w:right="48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14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r>
      <w:tr>
        <w:trPr>
          <w:trHeight w:val="230"/>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center"/>
              <w:ind w:right="48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14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23"/>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4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r>
      <w:tr>
        <w:trPr>
          <w:trHeight w:val="223"/>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recognized over time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5,333</w:t>
            </w:r>
          </w:p>
        </w:tc>
      </w:tr>
      <w:tr>
        <w:trPr>
          <w:trHeight w:val="230"/>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Revenue recognized at a point in time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4,184</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w:t>
            </w:r>
          </w:p>
        </w:tc>
      </w:tr>
      <w:tr>
        <w:trPr>
          <w:trHeight w:val="248"/>
        </w:trPr>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9,931</w:t>
            </w: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Note Q</w:t>
      </w:r>
      <w:r>
        <w:rPr>
          <w:rFonts w:ascii="Arial" w:cs="Arial" w:eastAsia="Arial" w:hAnsi="Arial"/>
          <w:sz w:val="18"/>
          <w:szCs w:val="18"/>
          <w:color w:val="auto"/>
        </w:rPr>
        <w:t xml:space="preserve"> for further disaggregation of the Company's revenue.</w:t>
      </w:r>
    </w:p>
    <w:p>
      <w:pPr>
        <w:spacing w:after="0" w:line="18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Company has applied the practical expedient to exclude disclosure of remaining performance obligations as its binding orders typically have a term of one year or less.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Contract assets are typically recognized for work in process related to the Company's three-piece printed products and equipment business. Contract assets and liabilities are reported in a net position on a contract-by-contract basis. The Company had net contract assets of $19 and $18 as of September 30, 2023 and December 31, 2022, respectively, included in prepaid and other current assets. During the three and nine months ended September 30, 2023, the Company satisfied performance obligations related to contract assets at December 31, 2022 and also recorded new contract assets primarily related to work in process for the equipment business.</w:t>
      </w:r>
    </w:p>
    <w:p>
      <w:pPr>
        <w:spacing w:after="0" w:line="386"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computations of basic and diluted earnings per share attributable to the Company.</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5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9"/>
                <w:szCs w:val="19"/>
                <w:color w:val="auto"/>
              </w:rPr>
            </w:pPr>
          </w:p>
        </w:tc>
        <w:tc>
          <w:tcPr>
            <w:tcW w:w="212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jc w:val="center"/>
              <w:ind w:right="44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120" w:type="dxa"/>
            <w:vAlign w:val="bottom"/>
            <w:gridSpan w:val="4"/>
          </w:tcPr>
          <w:p>
            <w:pPr>
              <w:jc w:val="right"/>
              <w:ind w:right="57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1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1"/>
        </w:trPr>
        <w:tc>
          <w:tcPr>
            <w:tcW w:w="53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attributable to Crown Holdings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c>
          <w:tcPr>
            <w:tcW w:w="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Dilutive restricted stock</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1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For the three and nine months ended September 30, 2023 and 2022, 0.08 million and 0.2 million and 0.1 million and 0.4 million contingently issuable common shares were excluded from the computation of diluted earnings per share because the effect would be anti-dilutive.</w:t>
      </w:r>
    </w:p>
    <w:p>
      <w:pPr>
        <w:spacing w:after="0" w:line="169"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56"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and provisions for restructuring and other. Segment income should not be considered in isolation or as a substitute for net income prepared in accordance with GAAP and may not be comparable to calculations of similarly titled measures by other companies.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tables below present information about the Company's operating segments.</w:t>
      </w:r>
    </w:p>
    <w:p>
      <w:pPr>
        <w:spacing w:after="0" w:line="293"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8"/>
                <w:szCs w:val="18"/>
                <w:color w:val="auto"/>
                <w:w w:val="89"/>
              </w:rPr>
              <w:t>External Sales</w:t>
            </w:r>
          </w:p>
        </w:tc>
        <w:tc>
          <w:tcPr>
            <w:tcW w:w="240" w:type="dxa"/>
            <w:vAlign w:val="bottom"/>
          </w:tcPr>
          <w:p>
            <w:pPr>
              <w:spacing w:after="0"/>
              <w:rPr>
                <w:sz w:val="20"/>
                <w:szCs w:val="20"/>
                <w:color w:val="auto"/>
              </w:rPr>
            </w:pPr>
          </w:p>
        </w:tc>
        <w:tc>
          <w:tcPr>
            <w:tcW w:w="2100" w:type="dxa"/>
            <w:vAlign w:val="bottom"/>
            <w:gridSpan w:val="4"/>
          </w:tcPr>
          <w:p>
            <w:pPr>
              <w:jc w:val="center"/>
              <w:ind w:right="150"/>
              <w:spacing w:after="0"/>
              <w:rPr>
                <w:sz w:val="20"/>
                <w:szCs w:val="20"/>
                <w:color w:val="auto"/>
              </w:rPr>
            </w:pPr>
            <w:r>
              <w:rPr>
                <w:rFonts w:ascii="Arial" w:cs="Arial" w:eastAsia="Arial" w:hAnsi="Arial"/>
                <w:sz w:val="18"/>
                <w:szCs w:val="18"/>
                <w:color w:val="auto"/>
                <w:w w:val="87"/>
              </w:rPr>
              <w:t>External Sales</w:t>
            </w:r>
          </w:p>
        </w:tc>
      </w:tr>
      <w:tr>
        <w:trPr>
          <w:trHeight w:val="222"/>
        </w:trPr>
        <w:tc>
          <w:tcPr>
            <w:tcW w:w="4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120" w:type="dxa"/>
            <w:vAlign w:val="bottom"/>
            <w:tcBorders>
              <w:top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100" w:type="dxa"/>
            <w:vAlign w:val="bottom"/>
            <w:tcBorders>
              <w:top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100" w:type="dxa"/>
            <w:vAlign w:val="bottom"/>
            <w:gridSpan w:val="4"/>
          </w:tcPr>
          <w:p>
            <w:pPr>
              <w:jc w:val="center"/>
              <w:ind w:right="130"/>
              <w:spacing w:after="0"/>
              <w:rPr>
                <w:sz w:val="20"/>
                <w:szCs w:val="20"/>
                <w:color w:val="auto"/>
              </w:rPr>
            </w:pPr>
            <w:r>
              <w:rPr>
                <w:rFonts w:ascii="Arial" w:cs="Arial" w:eastAsia="Arial" w:hAnsi="Arial"/>
                <w:sz w:val="18"/>
                <w:szCs w:val="18"/>
                <w:color w:val="auto"/>
                <w:w w:val="88"/>
              </w:rPr>
              <w:t>September 30,</w:t>
            </w:r>
          </w:p>
        </w:tc>
      </w:tr>
      <w:tr>
        <w:trPr>
          <w:trHeight w:val="223"/>
        </w:trPr>
        <w:tc>
          <w:tcPr>
            <w:tcW w:w="45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1,661</w:t>
            </w:r>
          </w:p>
        </w:tc>
      </w:tr>
      <w:tr>
        <w:trPr>
          <w:trHeight w:val="229"/>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30"/>
        </w:trPr>
        <w:tc>
          <w:tcPr>
            <w:tcW w:w="456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1,957</w:t>
            </w:r>
          </w:p>
        </w:tc>
      </w:tr>
      <w:tr>
        <w:trPr>
          <w:trHeight w:val="230"/>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23"/>
        </w:trPr>
        <w:tc>
          <w:tcPr>
            <w:tcW w:w="4560" w:type="dxa"/>
            <w:vAlign w:val="bottom"/>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3,069</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9,152</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9,931</w:t>
            </w:r>
          </w:p>
        </w:tc>
      </w:tr>
      <w:tr>
        <w:trPr>
          <w:trHeight w:val="20"/>
        </w:trPr>
        <w:tc>
          <w:tcPr>
            <w:tcW w:w="4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primary sources of revenue included in Other are the Company's food can, aerosol can, and closures businesses in North America, and beverage tooling and equipment operations in the U.S. and U.K.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20"/>
                <w:szCs w:val="20"/>
                <w:color w:val="auto"/>
              </w:rPr>
            </w:pPr>
          </w:p>
        </w:tc>
        <w:tc>
          <w:tcPr>
            <w:tcW w:w="202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color w:val="auto"/>
                <w:w w:val="87"/>
              </w:rPr>
              <w:t>Intersegment Sales</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color w:val="auto"/>
                <w:w w:val="87"/>
              </w:rPr>
              <w:t>Intersegment Sales</w:t>
            </w:r>
          </w:p>
        </w:tc>
      </w:tr>
      <w:tr>
        <w:trPr>
          <w:trHeight w:val="222"/>
        </w:trPr>
        <w:tc>
          <w:tcPr>
            <w:tcW w:w="4640" w:type="dxa"/>
            <w:vAlign w:val="bottom"/>
          </w:tcPr>
          <w:p>
            <w:pPr>
              <w:spacing w:after="0"/>
              <w:rPr>
                <w:sz w:val="19"/>
                <w:szCs w:val="19"/>
                <w:color w:val="auto"/>
              </w:rPr>
            </w:pPr>
          </w:p>
        </w:tc>
        <w:tc>
          <w:tcPr>
            <w:tcW w:w="2020" w:type="dxa"/>
            <w:vAlign w:val="bottom"/>
            <w:gridSpan w:val="4"/>
          </w:tcPr>
          <w:p>
            <w:pPr>
              <w:jc w:val="center"/>
              <w:ind w:left="210"/>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jc w:val="center"/>
              <w:ind w:right="13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4640" w:type="dxa"/>
            <w:vAlign w:val="bottom"/>
          </w:tcPr>
          <w:p>
            <w:pPr>
              <w:spacing w:after="0"/>
              <w:rPr>
                <w:sz w:val="20"/>
                <w:szCs w:val="20"/>
                <w:color w:val="auto"/>
              </w:rPr>
            </w:pPr>
          </w:p>
        </w:tc>
        <w:tc>
          <w:tcPr>
            <w:tcW w:w="2020" w:type="dxa"/>
            <w:vAlign w:val="bottom"/>
            <w:tcBorders>
              <w:bottom w:val="single" w:sz="8" w:color="auto"/>
            </w:tcBorders>
            <w:gridSpan w:val="4"/>
          </w:tcPr>
          <w:p>
            <w:pPr>
              <w:jc w:val="center"/>
              <w:ind w:left="210"/>
              <w:spacing w:after="0"/>
              <w:rPr>
                <w:sz w:val="20"/>
                <w:szCs w:val="20"/>
                <w:color w:val="auto"/>
              </w:rPr>
            </w:pPr>
            <w:r>
              <w:rPr>
                <w:rFonts w:ascii="Arial" w:cs="Arial" w:eastAsia="Arial" w:hAnsi="Arial"/>
                <w:sz w:val="18"/>
                <w:szCs w:val="18"/>
                <w:color w:val="auto"/>
                <w:w w:val="88"/>
              </w:rPr>
              <w:t>September 30,</w:t>
            </w:r>
          </w:p>
        </w:tc>
        <w:tc>
          <w:tcPr>
            <w:tcW w:w="2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right="110"/>
              <w:spacing w:after="0"/>
              <w:rPr>
                <w:sz w:val="20"/>
                <w:szCs w:val="20"/>
                <w:color w:val="auto"/>
              </w:rPr>
            </w:pPr>
            <w:r>
              <w:rPr>
                <w:rFonts w:ascii="Arial" w:cs="Arial" w:eastAsia="Arial" w:hAnsi="Arial"/>
                <w:sz w:val="18"/>
                <w:szCs w:val="18"/>
                <w:color w:val="auto"/>
                <w:w w:val="88"/>
              </w:rPr>
              <w:t>September 30,</w:t>
            </w:r>
          </w:p>
        </w:tc>
      </w:tr>
      <w:tr>
        <w:trPr>
          <w:trHeight w:val="223"/>
        </w:trPr>
        <w:tc>
          <w:tcPr>
            <w:tcW w:w="46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28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4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40" w:type="dxa"/>
            <w:vAlign w:val="bottom"/>
          </w:tcPr>
          <w:p>
            <w:pPr>
              <w:spacing w:after="0"/>
              <w:rPr>
                <w:sz w:val="19"/>
                <w:szCs w:val="19"/>
                <w:color w:val="auto"/>
              </w:rPr>
            </w:pPr>
          </w:p>
        </w:tc>
        <w:tc>
          <w:tcPr>
            <w:tcW w:w="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7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29</w:t>
            </w: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Intersegment sales primarily include sales of equipment and parts used in the manufacturing process.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9"/>
              </w:rPr>
              <w:t>Segment Income</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8"/>
              </w:rPr>
              <w:t>Segment Income</w:t>
            </w:r>
          </w:p>
        </w:tc>
      </w:tr>
      <w:tr>
        <w:trPr>
          <w:trHeight w:val="222"/>
        </w:trPr>
        <w:tc>
          <w:tcPr>
            <w:tcW w:w="4620" w:type="dxa"/>
            <w:vAlign w:val="bottom"/>
          </w:tcPr>
          <w:p>
            <w:pPr>
              <w:spacing w:after="0"/>
              <w:rPr>
                <w:sz w:val="19"/>
                <w:szCs w:val="19"/>
                <w:color w:val="auto"/>
              </w:rPr>
            </w:pPr>
          </w:p>
        </w:tc>
        <w:tc>
          <w:tcPr>
            <w:tcW w:w="1960" w:type="dxa"/>
            <w:vAlign w:val="bottom"/>
            <w:gridSpan w:val="4"/>
          </w:tcPr>
          <w:p>
            <w:pPr>
              <w:jc w:val="center"/>
              <w:ind w:left="23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462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30"/>
              <w:spacing w:after="0"/>
              <w:rPr>
                <w:sz w:val="20"/>
                <w:szCs w:val="20"/>
                <w:color w:val="auto"/>
              </w:rPr>
            </w:pPr>
            <w:r>
              <w:rPr>
                <w:rFonts w:ascii="Arial" w:cs="Arial" w:eastAsia="Arial" w:hAnsi="Arial"/>
                <w:sz w:val="18"/>
                <w:szCs w:val="18"/>
                <w:color w:val="auto"/>
                <w:w w:val="88"/>
              </w:rPr>
              <w:t>September 30,</w:t>
            </w:r>
          </w:p>
        </w:tc>
        <w:tc>
          <w:tcPr>
            <w:tcW w:w="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center"/>
              <w:ind w:right="130"/>
              <w:spacing w:after="0"/>
              <w:rPr>
                <w:sz w:val="20"/>
                <w:szCs w:val="20"/>
                <w:color w:val="auto"/>
              </w:rPr>
            </w:pPr>
            <w:r>
              <w:rPr>
                <w:rFonts w:ascii="Arial" w:cs="Arial" w:eastAsia="Arial" w:hAnsi="Arial"/>
                <w:sz w:val="18"/>
                <w:szCs w:val="18"/>
                <w:color w:val="auto"/>
                <w:w w:val="88"/>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232</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185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9"/>
        </w:trPr>
        <w:tc>
          <w:tcPr>
            <w:tcW w:w="46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Transit Packaging</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2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434</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315</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of reportable segments to income before income taxes is as follows:</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 w:right="1860"/>
        <w:spacing w:after="0" w:line="274" w:lineRule="auto"/>
        <w:rPr>
          <w:sz w:val="20"/>
          <w:szCs w:val="20"/>
          <w:color w:val="auto"/>
        </w:rPr>
      </w:pPr>
      <w:r>
        <w:rPr>
          <w:rFonts w:ascii="Arial" w:cs="Arial" w:eastAsia="Arial" w:hAnsi="Arial"/>
          <w:sz w:val="18"/>
          <w:szCs w:val="18"/>
          <w:color w:val="auto"/>
        </w:rPr>
        <w:t>Segment income of reportable segments Segment income of other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Corporate and unallocated items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Restructuring and other, net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Amortization of intangibles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Loss from early extinguishments of debt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pension and postretirement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income</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exchange</w:t>
      </w:r>
    </w:p>
    <w:p>
      <w:pPr>
        <w:spacing w:after="0" w:line="23" w:lineRule="exact"/>
        <w:rPr>
          <w:sz w:val="20"/>
          <w:szCs w:val="20"/>
          <w:color w:val="auto"/>
        </w:rPr>
      </w:pPr>
    </w:p>
    <w:p>
      <w:pPr>
        <w:ind w:left="20"/>
        <w:spacing w:after="0" w:line="245" w:lineRule="auto"/>
        <w:rPr>
          <w:sz w:val="20"/>
          <w:szCs w:val="20"/>
          <w:color w:val="auto"/>
        </w:rPr>
      </w:pPr>
      <w:r>
        <w:rPr>
          <w:rFonts w:ascii="Arial" w:cs="Arial" w:eastAsia="Arial" w:hAnsi="Arial"/>
          <w:sz w:val="18"/>
          <w:szCs w:val="18"/>
          <w:color w:val="auto"/>
        </w:rPr>
        <w:t>Income from operations before taxes and equity in net earnings of affiliates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left="-19"/>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p>
      <w:pPr>
        <w:jc w:val="center"/>
        <w:ind w:left="-19"/>
        <w:spacing w:after="0"/>
        <w:rPr>
          <w:sz w:val="20"/>
          <w:szCs w:val="20"/>
          <w:color w:val="auto"/>
        </w:rPr>
      </w:pPr>
      <w:r>
        <w:rPr>
          <w:rFonts w:ascii="Arial" w:cs="Arial" w:eastAsia="Arial" w:hAnsi="Arial"/>
          <w:sz w:val="18"/>
          <w:szCs w:val="18"/>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15601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15" w:lineRule="exact"/>
        <w:rPr>
          <w:sz w:val="20"/>
          <w:szCs w:val="20"/>
          <w:color w:val="auto"/>
        </w:rPr>
      </w:pPr>
    </w:p>
    <w:p>
      <w:pPr>
        <w:ind w:left="380"/>
        <w:spacing w:after="0"/>
        <w:tabs>
          <w:tab w:leader="none" w:pos="1720"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-3113405</wp:posOffset>
            </wp:positionH>
            <wp:positionV relativeFrom="paragraph">
              <wp:posOffset>14605</wp:posOffset>
            </wp:positionV>
            <wp:extent cx="639508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95085" cy="15430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30"/>
        </w:trPr>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4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91"/>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81"/>
        </w:trPr>
        <w:tc>
          <w:tcPr>
            <w:tcW w:w="42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r>
      <w:tr>
        <w:trPr>
          <w:trHeight w:val="21"/>
        </w:trPr>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-3113405</wp:posOffset>
            </wp:positionH>
            <wp:positionV relativeFrom="paragraph">
              <wp:posOffset>-1447800</wp:posOffset>
            </wp:positionV>
            <wp:extent cx="639508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95085" cy="14605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-1156970</wp:posOffset>
            </wp:positionV>
            <wp:extent cx="6395085" cy="1460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95085" cy="14605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-864870</wp:posOffset>
            </wp:positionV>
            <wp:extent cx="639508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95085" cy="14605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-574040</wp:posOffset>
            </wp:positionV>
            <wp:extent cx="639508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95085" cy="146050"/>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-281940</wp:posOffset>
            </wp:positionV>
            <wp:extent cx="6395085"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95085"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Nine Months Ended</w:t>
      </w:r>
    </w:p>
    <w:p>
      <w:pPr>
        <w:spacing w:after="0" w:line="23"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September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2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r>
      <w:tr>
        <w:trPr>
          <w:trHeight w:val="222"/>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1,183</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30"/>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30"/>
        </w:trPr>
        <w:tc>
          <w:tcPr>
            <w:tcW w:w="26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30"/>
        </w:trPr>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91"/>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652</w:t>
            </w:r>
          </w:p>
        </w:tc>
        <w:tc>
          <w:tcPr>
            <w:tcW w:w="24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912</w:t>
            </w:r>
          </w:p>
        </w:tc>
      </w:tr>
      <w:tr>
        <w:trPr>
          <w:trHeight w:val="81"/>
        </w:trPr>
        <w:tc>
          <w:tcPr>
            <w:tcW w:w="2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4760" w:space="140"/>
            <w:col w:w="2460" w:space="240"/>
            <w:col w:w="2980"/>
          </w:cols>
          <w:pgMar w:left="980" w:top="121"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2023, intercompany profits of $1 and $10 were eliminated within segment income of other.</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For the three and nine months ended September 30, 2022, intercompany profits of $2 and $11 were eliminated within segment income of other.</w:t>
      </w:r>
    </w:p>
    <w:p>
      <w:pPr>
        <w:spacing w:after="0" w:line="2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Corporate and unallocated items include corporate and administrative costs, research and development, and unallocated items such as stock-based compensation and insurance costs.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also has a 20% minority interest in a European tinplate business, accounted for under the equity method and accordingly, those results are not included in sales or segment income. The Company's proportionate share of net</w:t>
      </w:r>
    </w:p>
    <w:p>
      <w:pPr>
        <w:sectPr>
          <w:pgSz w:w="11900" w:h="16838" w:orient="portrait"/>
          <w:cols w:equalWidth="0" w:num="1">
            <w:col w:w="10580"/>
          </w:cols>
          <w:pgMar w:left="980" w:top="121" w:right="3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income from this investment was $9 and $16 for the three and nine months ended September 30, 2023 and $9 and $32, respectively, for the three and nine months ended September 30, 2022. The Company received distributions of $83 and $7 for the nine months ended September 30, 2023 and 2022, respectively.</w:t>
      </w:r>
    </w:p>
    <w:p>
      <w:pPr>
        <w:spacing w:after="0" w:line="207"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Subsequent Events</w:t>
      </w:r>
    </w:p>
    <w:p>
      <w:pPr>
        <w:spacing w:after="0" w:line="256" w:lineRule="exact"/>
        <w:rPr>
          <w:sz w:val="20"/>
          <w:szCs w:val="20"/>
          <w:color w:val="auto"/>
        </w:rPr>
      </w:pPr>
    </w:p>
    <w:p>
      <w:pPr>
        <w:jc w:val="both"/>
        <w:ind w:left="660"/>
        <w:spacing w:after="0" w:line="273" w:lineRule="auto"/>
        <w:rPr>
          <w:sz w:val="20"/>
          <w:szCs w:val="20"/>
          <w:color w:val="auto"/>
        </w:rPr>
      </w:pPr>
      <w:r>
        <w:rPr>
          <w:rFonts w:ascii="Arial" w:cs="Arial" w:eastAsia="Arial" w:hAnsi="Arial"/>
          <w:sz w:val="17"/>
          <w:szCs w:val="17"/>
          <w:color w:val="auto"/>
        </w:rPr>
        <w:t>On October 3, 2023, the Company completed its acquisition of Helvetia Packaging AG, a beverage can and end manufacturing facility in Saarlouis Germany for approximately $128, subject to adjustment. The addition of Helvetia expands the Company's European Beverage segment into Germany, adding capacity to serve growing demand for beverage cans. Based on preliminary valuation, identifiable assets acquired primarily includes property, plant and equipment and customer relationship intangible assets, with estimated goodwill acquired of $30. The Company has not finalized the determination of the fair value of assets acquired and liabilities assumed, including income taxes and contingencies. The Company expects to finalize its purchase accounting within one year of the acquisition date.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p>
      <w:pPr>
        <w:ind w:left="180" w:right="3680" w:hanging="179"/>
        <w:spacing w:after="0" w:line="282" w:lineRule="auto"/>
        <w:rPr>
          <w:sz w:val="20"/>
          <w:szCs w:val="20"/>
          <w:color w:val="auto"/>
        </w:rPr>
      </w:pPr>
      <w:r>
        <w:rPr>
          <w:rFonts w:ascii="Arial" w:cs="Arial" w:eastAsia="Arial" w:hAnsi="Arial"/>
          <w:sz w:val="18"/>
          <w:szCs w:val="18"/>
          <w:b w:val="1"/>
          <w:bCs w:val="1"/>
          <w:color w:val="auto"/>
        </w:rPr>
        <w:t>Item 2.</w:t>
      </w:r>
      <w:r>
        <w:rPr>
          <w:sz w:val="20"/>
          <w:szCs w:val="20"/>
          <w:color w:val="auto"/>
        </w:rPr>
        <w:t xml:space="preserve"> </w:t>
      </w:r>
      <w:r>
        <w:rPr>
          <w:rFonts w:ascii="Arial" w:cs="Arial" w:eastAsia="Arial" w:hAnsi="Arial"/>
          <w:sz w:val="18"/>
          <w:szCs w:val="18"/>
          <w:b w:val="1"/>
          <w:bCs w:val="1"/>
          <w:color w:val="auto"/>
        </w:rPr>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56"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and nine months ended September 30, 2023 compared to 2022 and changes in financial condition and liquidity from December 31, 2022. This discussion should be read in conjunction with the consolidated financial statements and notes thereto included in the Company's Annual Report on Form 10-K for the year ended December 31, 2022, along with the consolidated financial statements and related notes included in and referred to within this report.</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43" w:lineRule="exact"/>
        <w:rPr>
          <w:sz w:val="20"/>
          <w:szCs w:val="20"/>
          <w:color w:val="auto"/>
        </w:rPr>
      </w:pPr>
    </w:p>
    <w:p>
      <w:pPr>
        <w:jc w:val="both"/>
        <w:ind w:left="660"/>
        <w:spacing w:after="0" w:line="241" w:lineRule="auto"/>
        <w:rPr>
          <w:sz w:val="20"/>
          <w:szCs w:val="20"/>
          <w:color w:val="auto"/>
        </w:rPr>
      </w:pPr>
      <w:r>
        <w:rPr>
          <w:rFonts w:ascii="Arial" w:cs="Arial" w:eastAsia="Arial" w:hAnsi="Arial"/>
          <w:sz w:val="18"/>
          <w:szCs w:val="18"/>
          <w:color w:val="auto"/>
        </w:rPr>
        <w:t>The Company, through its subsidiaries, is a leading global supplier of aluminum and steel beverage, food and aerosol cans to consumer marketing companies, as well as transit and protective packaging products, equipment and services to a broad range of end markets. The Company has a diverse portfolio of global packaging businesses that generate significant operating cash flow enabling the Company to invest for growth while returning cash to shareholders. Beverage cans are the world's most sustainable and recycled beverage packaging and continue to gain market share in new beverage product launches.</w:t>
      </w:r>
    </w:p>
    <w:p>
      <w:pPr>
        <w:spacing w:after="0" w:line="230" w:lineRule="exact"/>
        <w:rPr>
          <w:sz w:val="20"/>
          <w:szCs w:val="20"/>
          <w:color w:val="auto"/>
        </w:rPr>
      </w:pPr>
    </w:p>
    <w:p>
      <w:pPr>
        <w:jc w:val="both"/>
        <w:ind w:left="660" w:right="20"/>
        <w:spacing w:after="0" w:line="308" w:lineRule="auto"/>
        <w:rPr>
          <w:sz w:val="20"/>
          <w:szCs w:val="20"/>
          <w:color w:val="auto"/>
        </w:rPr>
      </w:pPr>
      <w:r>
        <w:rPr>
          <w:rFonts w:ascii="Arial" w:cs="Arial" w:eastAsia="Arial" w:hAnsi="Arial"/>
          <w:sz w:val="17"/>
          <w:szCs w:val="17"/>
          <w:color w:val="auto"/>
        </w:rPr>
        <w:t>For several years, global industry demand for beverage cans has been growing. In North America, beverage can growth has accelerated in recent years mainly due to the outsized portion of new beverage products being introduced in cans versus other packaging formats.</w:t>
      </w:r>
    </w:p>
    <w:p>
      <w:pPr>
        <w:spacing w:after="0" w:line="173"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capital allocation strategy also focuses on maintaining a strong balance sheet with a target leverage ratio between 3.0x and 3.5x and returning capital to shareholders in the form of dividends and the repurchase of Company shares.</w:t>
      </w:r>
    </w:p>
    <w:p>
      <w:pPr>
        <w:spacing w:after="0" w:line="197"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 xml:space="preserve">The Company continues to actively elevate its commitment to sustainability, which is a core value of the Company. In 2020, the Company debuted </w:t>
      </w:r>
      <w:r>
        <w:rPr>
          <w:rFonts w:ascii="Arial" w:cs="Arial" w:eastAsia="Arial" w:hAnsi="Arial"/>
          <w:sz w:val="18"/>
          <w:szCs w:val="18"/>
          <w:b w:val="1"/>
          <w:bCs w:val="1"/>
          <w:color w:val="auto"/>
        </w:rPr>
        <w:t>Twenty</w:t>
      </w:r>
      <w:r>
        <w:rPr>
          <w:rFonts w:ascii="Arial" w:cs="Arial" w:eastAsia="Arial" w:hAnsi="Arial"/>
          <w:sz w:val="18"/>
          <w:szCs w:val="18"/>
          <w:color w:val="auto"/>
        </w:rPr>
        <w:t>by</w:t>
      </w:r>
      <w:r>
        <w:rPr>
          <w:rFonts w:ascii="Arial" w:cs="Arial" w:eastAsia="Arial" w:hAnsi="Arial"/>
          <w:sz w:val="18"/>
          <w:szCs w:val="18"/>
          <w:b w:val="1"/>
          <w:bCs w:val="1"/>
          <w:color w:val="auto"/>
        </w:rPr>
        <w:t>30</w:t>
      </w:r>
      <w:r>
        <w:rPr>
          <w:rFonts w:ascii="Arial" w:cs="Arial" w:eastAsia="Arial" w:hAnsi="Arial"/>
          <w:sz w:val="18"/>
          <w:szCs w:val="18"/>
          <w:color w:val="auto"/>
        </w:rPr>
        <w:t>, a robust program that outlines twenty measurable, science based, environmental, social and governance goals to be completed by</w:t>
      </w:r>
      <w:r>
        <w:rPr>
          <w:rFonts w:ascii="Arial" w:cs="Arial" w:eastAsia="Arial" w:hAnsi="Arial"/>
          <w:sz w:val="18"/>
          <w:szCs w:val="18"/>
          <w:b w:val="1"/>
          <w:bCs w:val="1"/>
          <w:color w:val="auto"/>
        </w:rPr>
        <w:t xml:space="preserve"> </w:t>
      </w:r>
      <w:r>
        <w:rPr>
          <w:rFonts w:ascii="Arial" w:cs="Arial" w:eastAsia="Arial" w:hAnsi="Arial"/>
          <w:sz w:val="18"/>
          <w:szCs w:val="18"/>
          <w:color w:val="auto"/>
        </w:rPr>
        <w:t>2030 or sooner. In September 2021, the Company joined The Climate Pledge, a commitment to be net-zero carbon across business operations by 2040.</w:t>
      </w:r>
    </w:p>
    <w:p>
      <w:pPr>
        <w:spacing w:after="0" w:line="214"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To date the wars between Russia and Ukraine and Israel and Hamas have not had a direct material impact on the Company's business, financial condition, or results of operations.</w:t>
      </w:r>
    </w:p>
    <w:p>
      <w:pPr>
        <w:spacing w:after="0" w:line="197" w:lineRule="exact"/>
        <w:rPr>
          <w:sz w:val="20"/>
          <w:szCs w:val="20"/>
          <w:color w:val="auto"/>
        </w:rPr>
      </w:pPr>
    </w:p>
    <w:p>
      <w:pPr>
        <w:jc w:val="both"/>
        <w:ind w:left="660"/>
        <w:spacing w:after="0" w:line="272" w:lineRule="auto"/>
        <w:rPr>
          <w:sz w:val="20"/>
          <w:szCs w:val="20"/>
          <w:color w:val="auto"/>
        </w:rPr>
      </w:pPr>
      <w:r>
        <w:rPr>
          <w:rFonts w:ascii="Arial" w:cs="Arial" w:eastAsia="Arial" w:hAnsi="Arial"/>
          <w:sz w:val="17"/>
          <w:szCs w:val="17"/>
          <w:color w:val="auto"/>
        </w:rPr>
        <w:t>The Company continues to actively manage the challenges of supply chain disruptions, foreign exchange and interest rate fluctuations and inflationary pressures, including fluctuations in raw material, energy and transportation costs. The Company generally attempts to mitigate aluminum and steel price risk by matching its purchase obligations with its sales agreements. Additionally, the Company attempts to mitigate inflationary pressures on energy and raw material costs with contractual pass-through provisions that include annual selling price adjustments based on price indexes. The Company also uses commodity forward contracts to manage its exposure to raw material costs. The ability to mitigate inflationary risks through these measures varies by region and the impact on the results of the Company’s segments is discussed, as applicable, in the heading "Results of Operations" below.</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 key measure used by the Company in assessing performance is segment income, a non-GAAP measure defined by the Company as income from operations adjusted to exclude intangibles amortization charges, Restructuring and Other and the impact of fair value adjustments to inventory acquired in an acquisition.</w:t>
      </w:r>
    </w:p>
    <w:p>
      <w:pPr>
        <w:spacing w:after="0" w:line="211" w:lineRule="exact"/>
        <w:rPr>
          <w:sz w:val="20"/>
          <w:szCs w:val="20"/>
          <w:color w:val="auto"/>
        </w:rPr>
      </w:pPr>
    </w:p>
    <w:p>
      <w:pPr>
        <w:jc w:val="both"/>
        <w:ind w:left="660"/>
        <w:spacing w:after="0" w:line="296" w:lineRule="auto"/>
        <w:rPr>
          <w:sz w:val="20"/>
          <w:szCs w:val="20"/>
          <w:color w:val="auto"/>
        </w:rPr>
      </w:pPr>
      <w:r>
        <w:rPr>
          <w:rFonts w:ascii="Arial" w:cs="Arial" w:eastAsia="Arial" w:hAnsi="Arial"/>
          <w:sz w:val="16"/>
          <w:szCs w:val="16"/>
          <w:color w:val="auto"/>
        </w:rPr>
        <w:t>The foreign currency translation impacts referred to in the discussion below were primarily due to changes in the Mexican peso in the Company's Americas Beverage segment, the euro and pound sterling in the Company's European Beverage segment and the Chinese yuan in the Company's Asia Pacific segment. The Company's Transit Packaging segment is a global business. The foreign currency translation impacts referred to in the discussion below for Transit Packaging are primarily related to the euro, the Swiss franc, the Mexican peso and the Indian rupee. The Company calculates the impact of foreign currency translation by multiplying or dividing, as appropriate, current year U.S. dollar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by the current year average foreign exchange rates and then multiplying or dividing, as appropriate, those amounts by the applicable prior year average exchange rates.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Net Sales and Segment Income</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76"/>
        </w:trPr>
        <w:tc>
          <w:tcPr>
            <w:tcW w:w="236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24"/>
                <w:szCs w:val="24"/>
                <w:color w:val="auto"/>
              </w:rPr>
            </w:pPr>
          </w:p>
        </w:tc>
        <w:tc>
          <w:tcPr>
            <w:tcW w:w="2060" w:type="dxa"/>
            <w:vAlign w:val="bottom"/>
            <w:gridSpan w:val="4"/>
          </w:tcPr>
          <w:p>
            <w:pPr>
              <w:jc w:val="center"/>
              <w:ind w:right="130"/>
              <w:spacing w:after="0"/>
              <w:rPr>
                <w:sz w:val="20"/>
                <w:szCs w:val="20"/>
                <w:color w:val="auto"/>
              </w:rPr>
            </w:pPr>
            <w:r>
              <w:rPr>
                <w:rFonts w:ascii="Arial" w:cs="Arial" w:eastAsia="Arial" w:hAnsi="Arial"/>
                <w:sz w:val="18"/>
                <w:szCs w:val="18"/>
                <w:color w:val="auto"/>
                <w:w w:val="91"/>
              </w:rPr>
              <w:t>Nine Months Ended</w:t>
            </w:r>
          </w:p>
        </w:tc>
      </w:tr>
      <w:tr>
        <w:trPr>
          <w:trHeight w:val="230"/>
        </w:trPr>
        <w:tc>
          <w:tcPr>
            <w:tcW w:w="236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060" w:type="dxa"/>
            <w:vAlign w:val="bottom"/>
            <w:gridSpan w:val="4"/>
          </w:tcPr>
          <w:p>
            <w:pPr>
              <w:jc w:val="center"/>
              <w:ind w:right="130"/>
              <w:spacing w:after="0"/>
              <w:rPr>
                <w:sz w:val="20"/>
                <w:szCs w:val="20"/>
                <w:color w:val="auto"/>
              </w:rPr>
            </w:pPr>
            <w:r>
              <w:rPr>
                <w:rFonts w:ascii="Arial" w:cs="Arial" w:eastAsia="Arial" w:hAnsi="Arial"/>
                <w:sz w:val="18"/>
                <w:szCs w:val="18"/>
                <w:color w:val="auto"/>
                <w:w w:val="88"/>
              </w:rPr>
              <w:t>September 30,</w:t>
            </w:r>
          </w:p>
        </w:tc>
      </w:tr>
      <w:tr>
        <w:trPr>
          <w:trHeight w:val="223"/>
        </w:trPr>
        <w:tc>
          <w:tcPr>
            <w:tcW w:w="236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9,931</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2023 compared to 2022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decreased primarily due to $187 from the pass-through of lower aluminum, steel and other commodity costs and lower volumes across the European Beverage, Asia Pacific, Transit Packaging and Other segments, partially offset by higher volumes in the North America beverage business and favorable foreign currency translation of $60.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2023 compared to 2022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decreased primarily due to $575 from the pass-through of lower aluminum, steel and other commodity costs, lower volumes across the European Beverage, Asia Pacific, Transit Packaging and Other segments, partially offset by higher volumes in the Americas Beverage segment and favorable foreign currency translation of $35.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Americas Beverage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Americas Beverage segment manufactures aluminum beverage cans and ends, steel crowns, glass bottles and aluminum closures and supplies a variety of customers from its operations in the U.S., Brazil, Canada, Colombia and Mexico.</w:t>
      </w:r>
    </w:p>
    <w:p>
      <w:pPr>
        <w:spacing w:after="0" w:line="19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U.S. and Canadian beverage can markets have experienced recent growth due to the introduction of new beverage products in cans versus other packaging formats. In Brazil and Mexico, the Company's sales unit volumes have increased in recent years primarily due to market growth driven by increased per capita incomes and consumption, combined with an increased preference for cans over other forms of beverage packing.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To meet volume requirements in these markets, the Company began commercial production of the following:</w:t>
      </w:r>
    </w:p>
    <w:p>
      <w:pPr>
        <w:spacing w:after="0" w:line="252" w:lineRule="exact"/>
        <w:rPr>
          <w:sz w:val="20"/>
          <w:szCs w:val="20"/>
          <w:color w:val="auto"/>
        </w:rPr>
      </w:pPr>
    </w:p>
    <w:p>
      <w:pPr>
        <w:ind w:left="1280" w:hanging="312"/>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Martinsville, Virginia - line one in November 2022 and line two in March 2023</w:t>
      </w:r>
    </w:p>
    <w:p>
      <w:pPr>
        <w:spacing w:after="0" w:line="23" w:lineRule="exact"/>
        <w:rPr>
          <w:rFonts w:ascii="Arial" w:cs="Arial" w:eastAsia="Arial" w:hAnsi="Arial"/>
          <w:sz w:val="18"/>
          <w:szCs w:val="18"/>
          <w:color w:val="auto"/>
        </w:rPr>
      </w:pPr>
    </w:p>
    <w:p>
      <w:pPr>
        <w:ind w:left="1280" w:hanging="312"/>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Monterrey, Mexico - April 2022</w:t>
      </w:r>
    </w:p>
    <w:p>
      <w:pPr>
        <w:spacing w:after="0" w:line="9" w:lineRule="exact"/>
        <w:rPr>
          <w:rFonts w:ascii="Arial" w:cs="Arial" w:eastAsia="Arial" w:hAnsi="Arial"/>
          <w:sz w:val="18"/>
          <w:szCs w:val="18"/>
          <w:color w:val="auto"/>
        </w:rPr>
      </w:pPr>
    </w:p>
    <w:p>
      <w:pPr>
        <w:ind w:left="1280" w:hanging="312"/>
        <w:spacing w:after="0"/>
        <w:tabs>
          <w:tab w:leader="none" w:pos="12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Uberaba, Brazil - line one in May 2022 and line two in October 2022</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October 2023 the Company began commercial production on line one in the Mesquite, Nevada plant and expects to commence line two production in the fourth quarter of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Americas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2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9"/>
                <w:szCs w:val="19"/>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gridSpan w:val="5"/>
          </w:tcPr>
          <w:p>
            <w:pPr>
              <w:jc w:val="center"/>
              <w:ind w:right="640"/>
              <w:spacing w:after="0"/>
              <w:rPr>
                <w:sz w:val="20"/>
                <w:szCs w:val="20"/>
                <w:color w:val="auto"/>
              </w:rPr>
            </w:pPr>
            <w:r>
              <w:rPr>
                <w:rFonts w:ascii="Arial" w:cs="Arial" w:eastAsia="Arial" w:hAnsi="Arial"/>
                <w:sz w:val="18"/>
                <w:szCs w:val="18"/>
                <w:color w:val="auto"/>
                <w:w w:val="88"/>
              </w:rPr>
              <w:t>September 30,</w:t>
            </w:r>
          </w:p>
        </w:tc>
        <w:tc>
          <w:tcPr>
            <w:tcW w:w="240" w:type="dxa"/>
            <w:vAlign w:val="bottom"/>
          </w:tcPr>
          <w:p>
            <w:pPr>
              <w:spacing w:after="0"/>
              <w:rPr>
                <w:sz w:val="20"/>
                <w:szCs w:val="20"/>
                <w:color w:val="auto"/>
              </w:rPr>
            </w:pPr>
          </w:p>
        </w:tc>
        <w:tc>
          <w:tcPr>
            <w:tcW w:w="2100" w:type="dxa"/>
            <w:vAlign w:val="bottom"/>
            <w:gridSpan w:val="4"/>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565</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2023 compared to 2022</w:t>
      </w:r>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sales decreased primarily due to the pass-through of lower aluminum costs, partially offset by contractual pass-through mechanisms put in place to recover inflation, 13% higher volumes in North America and favorable foreign currency translation of $17.</w:t>
      </w:r>
    </w:p>
    <w:p>
      <w:pPr>
        <w:spacing w:after="0" w:line="17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Segment income increased primarily due to inflation mechanisms put in place to recover cost increases and higher volumes in North America, partially offset by increased depreciation of $4 for recent capacity expansions in 2023.</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27" w:name="page28"/>
    <w:bookmarkEnd w:id="27"/>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2023 compared to 2022</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sales decreased primarily due to the pass-through of lower aluminum costs, partially offset by contractual pass-through mechanisms put in place to recover cost inflation, 6% higher volumes in North America and favorable foreign currency translation of $41.</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increased primarily due to inflation mechanisms put in place to recover cost increases and higher volumes, partially offset by start-up costs and increased depreciation of $14 for recent capacity expansions.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Beverage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European Beverage segment manufactures aluminum beverage cans and ends and supplies a variety of customers from its operations throughout Europe, the Middle East and North Africa. In recent years, the European beverage can market has been growing due to the introduction of new beverage products in cans versus other packaging formats. In October 2023 high speed production lines were added to plants in Parma, Italy and Agoncillo, Spain, and the Company expects to complete the relocation to a new two-line plant in Peterborough, United Kingdom during the fourth quarter.</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February 2023, twin earthquakes struck near the Company's Osmaniye, Turkey plant. There was no significant damage to the physical plant structure, equipment or inventory. The plant resumed production and shipments to customers able to receive deliveries by the end of February. This event did not have a material impact on the Company's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European Beverage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90"/>
              </w:rPr>
              <w:t>Three Months Ended</w:t>
            </w:r>
          </w:p>
        </w:tc>
        <w:tc>
          <w:tcPr>
            <w:tcW w:w="220" w:type="dxa"/>
            <w:vAlign w:val="bottom"/>
          </w:tcPr>
          <w:p>
            <w:pPr>
              <w:spacing w:after="0"/>
              <w:rPr>
                <w:sz w:val="19"/>
                <w:szCs w:val="19"/>
                <w:color w:val="auto"/>
              </w:rPr>
            </w:pPr>
          </w:p>
        </w:tc>
        <w:tc>
          <w:tcPr>
            <w:tcW w:w="2060" w:type="dxa"/>
            <w:vAlign w:val="bottom"/>
            <w:gridSpan w:val="4"/>
          </w:tcPr>
          <w:p>
            <w:pPr>
              <w:jc w:val="right"/>
              <w:ind w:right="330"/>
              <w:spacing w:after="0"/>
              <w:rPr>
                <w:sz w:val="20"/>
                <w:szCs w:val="20"/>
                <w:color w:val="auto"/>
              </w:rPr>
            </w:pPr>
            <w:r>
              <w:rPr>
                <w:rFonts w:ascii="Arial" w:cs="Arial" w:eastAsia="Arial" w:hAnsi="Arial"/>
                <w:sz w:val="18"/>
                <w:szCs w:val="18"/>
                <w:color w:val="auto"/>
              </w:rPr>
              <w:t>Nine Months Ended</w:t>
            </w:r>
          </w:p>
        </w:tc>
      </w:tr>
      <w:tr>
        <w:trPr>
          <w:trHeight w:val="230"/>
        </w:trPr>
        <w:tc>
          <w:tcPr>
            <w:tcW w:w="4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center"/>
              <w:ind w:right="64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0"/>
                <w:szCs w:val="20"/>
                <w:color w:val="auto"/>
              </w:rPr>
            </w:pPr>
          </w:p>
        </w:tc>
        <w:tc>
          <w:tcPr>
            <w:tcW w:w="2060" w:type="dxa"/>
            <w:vAlign w:val="bottom"/>
            <w:gridSpan w:val="4"/>
          </w:tcPr>
          <w:p>
            <w:pPr>
              <w:jc w:val="right"/>
              <w:ind w:right="530"/>
              <w:spacing w:after="0"/>
              <w:rPr>
                <w:sz w:val="20"/>
                <w:szCs w:val="20"/>
                <w:color w:val="auto"/>
              </w:rPr>
            </w:pPr>
            <w:r>
              <w:rPr>
                <w:rFonts w:ascii="Arial" w:cs="Arial" w:eastAsia="Arial" w:hAnsi="Arial"/>
                <w:sz w:val="18"/>
                <w:szCs w:val="18"/>
                <w:color w:val="auto"/>
              </w:rPr>
              <w:t>September 30,</w:t>
            </w:r>
          </w:p>
        </w:tc>
      </w:tr>
      <w:tr>
        <w:trPr>
          <w:trHeight w:val="223"/>
        </w:trPr>
        <w:tc>
          <w:tcPr>
            <w:tcW w:w="45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c>
          <w:tcPr>
            <w:tcW w:w="4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4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r>
      <w:tr>
        <w:trPr>
          <w:trHeight w:val="230"/>
        </w:trPr>
        <w:tc>
          <w:tcPr>
            <w:tcW w:w="45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and nine months ended September 30, 2023 compared to 2022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sales decreased primarily due to lower volumes and the pass-through of lower aluminum costs partially offset by the contractual recovery of prior years' inflationary cost increases and favorable foreign currency translation of $27 and $9 for the three and nine months ended September 30, 2023. Volumes were 5% lower for the three months of 2023 compared to 2022.</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income increased primarily due to contractual pass-through mechanisms put in place to recover cost inflation, partially offset by lower volumes.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 Pacific</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Asia Pacific segment consists of beverage can operations in Cambodia, China, Indonesia, Malaysia, Myanmar, Singapore, Thailand and Vietnam and non-beverage can operations, primarily food cans and specialty packaging. In recent years, the beverage can market in Southeast Asia has been growing driven by increased per capita incomes and consumption, combined with an increased preference for cans over other forms of beverage packaging. To meet volume requirements in Southeast Asia, the Company began commercial production of a third line in Phnom Penh, Cambodia in August 2022.</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June 2022, the Company's Yangon, Myanmar beverage can plant was temporarily idled due to currency restrictions, which resulted in the inability to source U.S. dollars required to procure U.S. dollar raw materials. During the first nine months of 2023, the Company has been able to complete U.S. dollar conversions and resumed production on a limited basis. For the nine months ended September, 30, 2023, the plant had net sales of $7. Property, plant and equipment as of September 30, 2023 was $52, including $25 of land and buildings and $27 of machinery and</w:t>
      </w:r>
    </w:p>
    <w:p>
      <w:pPr>
        <w:spacing w:after="0" w:line="200" w:lineRule="exact"/>
        <w:rPr>
          <w:sz w:val="20"/>
          <w:szCs w:val="20"/>
          <w:color w:val="auto"/>
        </w:rPr>
      </w:pPr>
    </w:p>
    <w:p>
      <w:pPr>
        <w:spacing w:after="0" w:line="295"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8" w:name="page29"/>
    <w:bookmarkEnd w:id="28"/>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equipment. The Company will continue to monitor the economic conditions and the impact to its business in Myanmar, including any alternative uses for its machinery and equipment.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Asia Pacific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spacing w:after="0"/>
              <w:rPr>
                <w:sz w:val="19"/>
                <w:szCs w:val="19"/>
                <w:color w:val="auto"/>
              </w:rPr>
            </w:pPr>
          </w:p>
        </w:tc>
        <w:tc>
          <w:tcPr>
            <w:tcW w:w="1960" w:type="dxa"/>
            <w:vAlign w:val="bottom"/>
            <w:gridSpan w:val="4"/>
          </w:tcPr>
          <w:p>
            <w:pPr>
              <w:jc w:val="center"/>
              <w:ind w:left="27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64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70"/>
              <w:spacing w:after="0"/>
              <w:rPr>
                <w:sz w:val="20"/>
                <w:szCs w:val="20"/>
                <w:color w:val="auto"/>
              </w:rPr>
            </w:pPr>
            <w:r>
              <w:rPr>
                <w:rFonts w:ascii="Arial" w:cs="Arial" w:eastAsia="Arial" w:hAnsi="Arial"/>
                <w:sz w:val="18"/>
                <w:szCs w:val="18"/>
                <w:color w:val="auto"/>
                <w:w w:val="88"/>
              </w:rPr>
              <w:t>September 30,</w:t>
            </w:r>
          </w:p>
        </w:tc>
        <w:tc>
          <w:tcPr>
            <w:tcW w:w="3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46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307</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375</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and nine months ended September 30, 2023 compared to 2022</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sales and segment income decreased primarily due to 9% and 13% lower volumes for the three and nine months ended September 30, 2023 compared to 2022. Net sales were also negatively impacted by the pass-through of lower aluminum costs in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 Packaging</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Transit Packaging segment includes the Company's worldwide industrial products, protective solutions, and automation, equipment and tools business. Industrial products include steel strap, plastic strap, industrial film and other related products that are used in a wide range of industries. Protective solutions include transit protection products, such as airbags, edge protectors, and honeycomb products that help prevent movement of, and/or damage to, a wide range of industrial and consumer goods during transport. Automation, equipment and tools includes manual, semi-automatic and automatic equipment and tools, which are primarily used in end-of-line operations to apply consumables such as strap and film.</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the Transit Packaging segment were as follows: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620" w:type="dxa"/>
            <w:vAlign w:val="bottom"/>
          </w:tcPr>
          <w:p>
            <w:pPr>
              <w:spacing w:after="0"/>
              <w:rPr>
                <w:sz w:val="20"/>
                <w:szCs w:val="20"/>
                <w:color w:val="auto"/>
              </w:rPr>
            </w:pPr>
          </w:p>
        </w:tc>
        <w:tc>
          <w:tcPr>
            <w:tcW w:w="198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8"/>
              </w:rPr>
              <w:t>September 30,</w:t>
            </w:r>
          </w:p>
        </w:tc>
        <w:tc>
          <w:tcPr>
            <w:tcW w:w="3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554</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609</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75</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210</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and nine months ended September 30, 2023 compared to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sales decreased primarily due to lower consumables volumes and the pass-through of lower material costs.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Segment income increased primarily due to costs savings from headcount reductions across the business, partially offset by lower consumables volumes. Additionally, the nine months ended September 30, 2022 were negatively impacted by $14 from the repricing of higher cost inventory from prior year in the steel strap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Other includes the Company's food can, aerosol can and closures businesses in North America, and beverage tooling and equipment operations in the U.S. and U.K. The Company added a third two-piece food can line to its Owatonna, Minnesota plant in 2022 and expects to begin commercial production on a pet food can line in it's Dubuque, Iowa plant in 2024. The Company recorded restructuring charges of $3 during the nine months ended September 30, 2023, to right-size the beverage can equipment operations in the U.K. to reflect the expected significant reduction in orders from global beverage can manufacturers.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Net sales and segment income in Other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29" w:name="page30"/>
    <w:bookmarkEnd w:id="29"/>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19"/>
                <w:szCs w:val="19"/>
                <w:color w:val="auto"/>
              </w:rPr>
            </w:pPr>
          </w:p>
        </w:tc>
        <w:tc>
          <w:tcPr>
            <w:tcW w:w="1980" w:type="dxa"/>
            <w:vAlign w:val="bottom"/>
            <w:gridSpan w:val="4"/>
          </w:tcPr>
          <w:p>
            <w:pPr>
              <w:jc w:val="center"/>
              <w:ind w:left="25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4"/>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620" w:type="dxa"/>
            <w:vAlign w:val="bottom"/>
          </w:tcPr>
          <w:p>
            <w:pPr>
              <w:spacing w:after="0"/>
              <w:rPr>
                <w:sz w:val="20"/>
                <w:szCs w:val="20"/>
                <w:color w:val="auto"/>
              </w:rPr>
            </w:pPr>
          </w:p>
        </w:tc>
        <w:tc>
          <w:tcPr>
            <w:tcW w:w="1980" w:type="dxa"/>
            <w:vAlign w:val="bottom"/>
            <w:tcBorders>
              <w:bottom w:val="single" w:sz="8" w:color="auto"/>
            </w:tcBorders>
            <w:gridSpan w:val="4"/>
          </w:tcPr>
          <w:p>
            <w:pPr>
              <w:jc w:val="center"/>
              <w:ind w:left="250"/>
              <w:spacing w:after="0"/>
              <w:rPr>
                <w:sz w:val="20"/>
                <w:szCs w:val="20"/>
                <w:color w:val="auto"/>
              </w:rPr>
            </w:pPr>
            <w:r>
              <w:rPr>
                <w:rFonts w:ascii="Arial" w:cs="Arial" w:eastAsia="Arial" w:hAnsi="Arial"/>
                <w:sz w:val="18"/>
                <w:szCs w:val="18"/>
                <w:color w:val="auto"/>
                <w:w w:val="88"/>
              </w:rPr>
              <w:t>September 30,</w:t>
            </w:r>
          </w:p>
        </w:tc>
        <w:tc>
          <w:tcPr>
            <w:tcW w:w="34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8"/>
                <w:szCs w:val="18"/>
                <w:color w:val="auto"/>
              </w:rPr>
              <w:t>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2022</w:t>
            </w:r>
          </w:p>
        </w:tc>
      </w:tr>
      <w:tr>
        <w:trPr>
          <w:trHeight w:val="223"/>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377</w:t>
            </w: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411</w:t>
            </w: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w:t>
            </w:r>
          </w:p>
        </w:tc>
      </w:tr>
      <w:tr>
        <w:trPr>
          <w:trHeight w:val="230"/>
        </w:trPr>
        <w:tc>
          <w:tcPr>
            <w:tcW w:w="46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r>
    </w:tbl>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and nine months ended September 30, 2023 compared to 2022</w:t>
      </w:r>
    </w:p>
    <w:p>
      <w:pPr>
        <w:spacing w:after="0" w:line="25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Net sales decreased primarily due to lower volumes across all businesses, including a 13% decrease in aerosol volumes in the third quarter of 2023 compared to 2022, and the pass-through of lower steel costs, partially offset by contractual pass-through mechanisms put in place to recover cost inflation.</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Segment income decreased primarily due to lower volumes. Additionally, segment income decreased in the nine months ended September 30, 2023 due to a steel repricing gain of $48 in the nine months ended September 30, 2022 as compared to a repricing loss of $12 in 2023.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Corporate and unallocated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unallocated items include corporate and administrative costs, research and development, and unallocated items such as stock-based compensation and insurance costs.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spacing w:after="0"/>
              <w:rPr>
                <w:sz w:val="19"/>
                <w:szCs w:val="19"/>
                <w:color w:val="auto"/>
              </w:rPr>
            </w:pPr>
          </w:p>
        </w:tc>
        <w:tc>
          <w:tcPr>
            <w:tcW w:w="1960" w:type="dxa"/>
            <w:vAlign w:val="bottom"/>
            <w:gridSpan w:val="4"/>
          </w:tcPr>
          <w:p>
            <w:pPr>
              <w:jc w:val="center"/>
              <w:ind w:left="230"/>
              <w:spacing w:after="0"/>
              <w:rPr>
                <w:sz w:val="20"/>
                <w:szCs w:val="20"/>
                <w:color w:val="auto"/>
              </w:rPr>
            </w:pPr>
            <w:r>
              <w:rPr>
                <w:rFonts w:ascii="Arial" w:cs="Arial" w:eastAsia="Arial" w:hAnsi="Arial"/>
                <w:sz w:val="18"/>
                <w:szCs w:val="18"/>
                <w:color w:val="auto"/>
                <w:w w:val="90"/>
              </w:rPr>
              <w:t>Three Months Ended</w:t>
            </w: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80" w:type="dxa"/>
            <w:vAlign w:val="bottom"/>
            <w:gridSpan w:val="4"/>
          </w:tcPr>
          <w:p>
            <w:pPr>
              <w:jc w:val="center"/>
              <w:ind w:right="13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4540" w:type="dxa"/>
            <w:vAlign w:val="bottom"/>
          </w:tcPr>
          <w:p>
            <w:pPr>
              <w:spacing w:after="0"/>
              <w:rPr>
                <w:sz w:val="20"/>
                <w:szCs w:val="20"/>
                <w:color w:val="auto"/>
              </w:rPr>
            </w:pPr>
          </w:p>
        </w:tc>
        <w:tc>
          <w:tcPr>
            <w:tcW w:w="1960" w:type="dxa"/>
            <w:vAlign w:val="bottom"/>
            <w:tcBorders>
              <w:bottom w:val="single" w:sz="8" w:color="auto"/>
            </w:tcBorders>
            <w:gridSpan w:val="4"/>
          </w:tcPr>
          <w:p>
            <w:pPr>
              <w:jc w:val="center"/>
              <w:ind w:left="230"/>
              <w:spacing w:after="0"/>
              <w:rPr>
                <w:sz w:val="20"/>
                <w:szCs w:val="20"/>
                <w:color w:val="auto"/>
              </w:rPr>
            </w:pPr>
            <w:r>
              <w:rPr>
                <w:rFonts w:ascii="Arial" w:cs="Arial" w:eastAsia="Arial" w:hAnsi="Arial"/>
                <w:sz w:val="18"/>
                <w:szCs w:val="18"/>
                <w:color w:val="auto"/>
                <w:w w:val="88"/>
              </w:rPr>
              <w:t>September 30,</w:t>
            </w:r>
          </w:p>
        </w:tc>
        <w:tc>
          <w:tcPr>
            <w:tcW w:w="32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jc w:val="center"/>
              <w:ind w:right="150"/>
              <w:spacing w:after="0"/>
              <w:rPr>
                <w:sz w:val="20"/>
                <w:szCs w:val="20"/>
                <w:color w:val="auto"/>
              </w:rPr>
            </w:pPr>
            <w:r>
              <w:rPr>
                <w:rFonts w:ascii="Arial" w:cs="Arial" w:eastAsia="Arial" w:hAnsi="Arial"/>
                <w:sz w:val="18"/>
                <w:szCs w:val="18"/>
                <w:color w:val="auto"/>
                <w:w w:val="88"/>
              </w:rPr>
              <w:t>September 30,</w:t>
            </w:r>
          </w:p>
        </w:tc>
      </w:tr>
      <w:tr>
        <w:trPr>
          <w:trHeight w:val="223"/>
        </w:trPr>
        <w:tc>
          <w:tcPr>
            <w:tcW w:w="454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auto"/>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r>
      <w:tr>
        <w:trPr>
          <w:trHeight w:val="22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 expense</w:t>
            </w:r>
          </w:p>
        </w:tc>
        <w:tc>
          <w:tcPr>
            <w:tcW w:w="7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w:t>
            </w: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w:t>
            </w:r>
          </w:p>
        </w:tc>
        <w:tc>
          <w:tcPr>
            <w:tcW w:w="4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bl>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unallocated expenses increased for the three and nine months ended September 30, 2023 compared to 2022, primarily due to lower incentive and stock-based compensation expense in 2022 and higher property insurance costs in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and other</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nine months ended September 30, 2023, restructuring and other net charges of $32 primarily included business reorganization activities in the Company's European Beverage segment and the beverage can equipment operations in the Other segment during the second quarter and asset impairment charges in the Company's Asia Pacific and Other segments during the third quarter. The Company continues to review its costs structure and may record additional restructuring charges in the future.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2022, the restructuring and other net benefit of $75 was primarily due to the $113 gain from the sale of the Transit Packaging segment's Kiwiplan business, partially offset by $29 of charges related to an overhead cost reduction program initiated by the Transit Packaging segment in the second quarter of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pension and postretirement</w:t>
      </w:r>
    </w:p>
    <w:p>
      <w:pPr>
        <w:spacing w:after="0" w:line="24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Other pension and postretirement costs increased to $11 and $38 for the three and nine months ended September 30, 2023 as compared to benefits of $5 and $13 for the three and nine months ended September 30, 2022 due to higher post-retirement expense as unamortized gains from prior year plan amendments are now fully amortized and higher pension expense due to higher interest rates and lower expected return on plan assets. Additionally, the second quarter of 2023 included $6 for a one-time pension termination charge related to business reorganization activities in Europe.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September 30, 2023 compared to 2022, interest expense increased from $76 to $111 due to higher interest rates.</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30" w:name="page31"/>
    <w:bookmarkEnd w:id="30"/>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nine months ended September 30, 2023 compared to 2022, interest expense increased from $194 to $323 due to higher outstanding debt balances and higher interest rates.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 in net earnings of affiliates</w:t>
      </w:r>
    </w:p>
    <w:p>
      <w:pPr>
        <w:spacing w:after="0" w:line="24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nine months ended September 30, 2023, equity in net earnings of affiliates decreased from $39 to $20, primarily due to lower earnings in the Company's European tinplate equity method investment.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income attributable to noncontrolling interest</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September 30, 2023 compared to 2022, net income from noncontrolling interests increased from $31 to $41 primarily due to higher earnings in the Company's beverage can operations in Brazil.</w:t>
      </w:r>
    </w:p>
    <w:p>
      <w:pPr>
        <w:spacing w:after="0" w:line="193" w:lineRule="exact"/>
        <w:rPr>
          <w:sz w:val="20"/>
          <w:szCs w:val="20"/>
          <w:color w:val="auto"/>
        </w:rPr>
      </w:pPr>
    </w:p>
    <w:p>
      <w:pPr>
        <w:ind w:left="3400"/>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5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Cash provided by operating activities increased from $134 for the nine months ended September 30, 2022 to $832 for the nine months ended September 30, 2023, primarily due to working capital improvements offset by lower earnings.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Days sales outstanding for trade receivables, excluding the impact of unbilled receivables, decreased from 36 days as of September 30, 2022 to 32 days as of September 30,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Inventory turnover increased from 64 days at September 30, 2022 to 67 days at September 30, 2023.</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Days outstanding for trade payables decreased from 93 days at September 30, 2022 to 78 days at September 30, 2023 primarily resulting from decreased purchases due to higher year end inventory levels.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used for investing activities increased from $412 for the nine months ended September 30, 2022 to $520 for the nine months ended September 30, 2023. Cash used for operating activities for the nine months ended September 30, 2023 included a $56 distribution from a European tinplate investment accounted for by the equity method. The nine months ended September 30, 2022 included proceeds received from the sale of the Company's Transit Packaging segment's Kiwiplan business in April 2022.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capital expenditures in 2023 to be approximately $900 and $500 in 2024.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Financing activities provided cash of $232 for the nine months ended September 30, 2022 and used cash of $35 for the nine months ended September 30, 2023.</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May 2023, the Company issued €500 principal amount of 5.0% senior unsecured notes due 2028. In March 2022, the Company issued $500 principal amount of 5.250% senior unsecured notes due 2030. In August 2022, the Company amended the credit agreement governing its senior secured credit facilities and used proceeds to redeem senior notes due in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Additionally, during the nine months ended September 30, 2022, the Company repurchased $722 of common stock.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September 30, 2023, $686 of the Company's $807 of cash and cash equivalents was located outside the U.S. The Company is not currently aware of any legal restrictions under foreign law that materially impact its access to cash held outside the U.S. The Company funds its cash needs in the U.S. through a combination of cash flows from operations, dividends from certain foreign subsidiaries, borrowings under its revolving credit facility and the acceleration of cash receipts under its receivable securitization and factoring facilities. Of the cash and cash</w:t>
      </w:r>
    </w:p>
    <w:p>
      <w:pPr>
        <w:sectPr>
          <w:pgSz w:w="11900" w:h="16838" w:orient="portrait"/>
          <w:cols w:equalWidth="0" w:num="1">
            <w:col w:w="10580"/>
          </w:cols>
          <w:pgMar w:left="980" w:top="121" w:right="3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85090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type w:val="continuous"/>
        </w:sectPr>
      </w:pPr>
    </w:p>
    <w:bookmarkStart w:id="31" w:name="page32"/>
    <w:bookmarkEnd w:id="31"/>
    <w:p>
      <w:pPr>
        <w:ind w:left="41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equivalents located outside the U.S., $594 was held by subsidiaries for which earnings are considered indefinitely reinvested.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revolving credit agreements provide capacity of $1,650. As of September 30, 2023, the Company had available capacity of $1,585 under its revolving credit facilities. The Company could have borrowed this amount at September 30, 2023 and still have been in compliance with its leverage ratio covenants.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debt agreements contain covenants that limit the ability of the Company and its subsidiaries to, among other things, incur additional debt, pay dividends or repurchase capital stock, make certain other restricted payments, create liens and engage in sale and leaseback transactions. These restrictions are subject to a number of exceptions, however, which allow the Company to incur additional debt, create liens or make otherwise restricted payments provided that the Company is in compliance with applicable financial and other covenants and meets certain liquidity requirements.</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Company’s revolving credit facilities and term loan facilities also contain a total leverage ratio covenant. The leverage ratio is calculated as total net debt divided by Consolidated EBITDA (as defined in the credit agreement). Total net debt is defined in the credit agreement as total debt less cash and cash equivalents. Consolidated EBITDA is calculated as the sum of, among other things, net income attributable to Crown Holdings, net income attributable to certain of the Company's subsidiaries, income taxes, interest expense, depreciation and amortization, and certain non-cash charges. The Company’s total net leverage ratio of 3.35 to 1.0 at September 30, 2023 was in compliance with the covenant requiring a ratio no greater than 5.0 to 1.0. The ratio is calculated at the end of each quarter using debt and cash balances as of the end of the quarter and Consolidated EBITDA for the most recent twelve months. Failure to meet the financial covenant could result in the acceleration of any outstanding amounts due under the revolving credit facilities and term loan facilities. The required net total leverage ratio under the agreement reduces to 4.5 to 1.0 at December 31, 2023.</w:t>
      </w:r>
    </w:p>
    <w:p>
      <w:pPr>
        <w:spacing w:after="0" w:line="2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current sources of liquidity also include various securitization facilities. In July 2023, the Company amended a securitization agreement to extend the term through July 2025 and increased the program limit from $700 to $800. Additionally, the Company has securitization facilities with program limits of $200 and $160 that expire in December 2023 and November 2025.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2023, the Company had approximately $192 of capital commitments primarily related to Americas Beverage. The Company expects to fund these commitments primarily through cash flows from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no material changes to the Company's contractual obligations provided within Part II, Item 7, “Management's Discussion and Analysis of Financial Condition and Results of Operations” of the Company's Annual Report on Form 10-K for the year ended December 31, 2022, which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Supplemental Guarantor Financial Information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and certain of its 100% directly or indirectly owned subsidiaries provide guarantees of senior notes and debentures issued by other 100% directly or indirectly owned subsidiaries. These senior notes and debentures are fully and unconditionally guaranteed by the Company and substantially all of its subsidiaries in the United States, except in the case of the Company’s outstanding senior notes issued by Crown Cork &amp; Seal Company, Inc., which are fully and unconditionally guaranteed by Crown Holdings, Inc. (Parent). No other subsidiary guarantees the debt and the guarantees are made on a joint and several basis.</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following tables present summarized financial information related to the senior notes issued by the Company’s subsidiary debt issuers and guarantors on a combined basis for each issuer and its guarantors (together, an “obligor group”) after elimination of (i) intercompany transactions and balances among the Parent and the guarantors and (ii) equity in earnings from and investments in any subsidiary that is a non-guarantor. Crown Cork Obligor group consists of Crown Cork &amp; Seal Company, Inc. and the Parent. Crown Americas Obligor group consists of Crown Americas LLC, Crown Americas Capital Corp. IV, Crown Americas Capital Corp. V, Crown Americas Capital Corp. VI, the Parent, and substantially all of the Company’s subsidiaries in the United States.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32" w:name="page33"/>
    <w:bookmarkEnd w:id="32"/>
    <w:p>
      <w:pPr>
        <w:ind w:left="4144"/>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4140" w:type="dxa"/>
            <w:vAlign w:val="bottom"/>
            <w:gridSpan w:val="2"/>
          </w:tcPr>
          <w:p>
            <w:pPr>
              <w:spacing w:after="0"/>
              <w:rPr>
                <w:sz w:val="20"/>
                <w:szCs w:val="20"/>
                <w:color w:val="auto"/>
              </w:rPr>
            </w:pPr>
            <w:r>
              <w:rPr>
                <w:rFonts w:ascii="Arial" w:cs="Arial" w:eastAsia="Arial" w:hAnsi="Arial"/>
                <w:sz w:val="18"/>
                <w:szCs w:val="18"/>
                <w:i w:val="1"/>
                <w:iCs w:val="1"/>
                <w:color w:val="auto"/>
              </w:rPr>
              <w:t>Crown Cork Obligor Group</w:t>
            </w:r>
          </w:p>
        </w:tc>
        <w:tc>
          <w:tcPr>
            <w:tcW w:w="3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76"/>
        </w:trPr>
        <w:tc>
          <w:tcPr>
            <w:tcW w:w="200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2"/>
          </w:tcPr>
          <w:p>
            <w:pPr>
              <w:ind w:left="400"/>
              <w:spacing w:after="0"/>
              <w:rPr>
                <w:sz w:val="20"/>
                <w:szCs w:val="20"/>
                <w:color w:val="auto"/>
              </w:rPr>
            </w:pPr>
            <w:r>
              <w:rPr>
                <w:rFonts w:ascii="Arial" w:cs="Arial" w:eastAsia="Arial" w:hAnsi="Arial"/>
                <w:sz w:val="18"/>
                <w:szCs w:val="18"/>
                <w:color w:val="auto"/>
                <w:w w:val="93"/>
              </w:rPr>
              <w:t>Nine Months Ended</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30"/>
        </w:trPr>
        <w:tc>
          <w:tcPr>
            <w:tcW w:w="2000" w:type="dxa"/>
            <w:vAlign w:val="bottom"/>
            <w:tcBorders>
              <w:bottom w:val="single" w:sz="8" w:color="CCEEFF"/>
            </w:tcBorders>
          </w:tcPr>
          <w:p>
            <w:pPr>
              <w:spacing w:after="0"/>
              <w:rPr>
                <w:sz w:val="20"/>
                <w:szCs w:val="20"/>
                <w:color w:val="auto"/>
              </w:rPr>
            </w:pPr>
          </w:p>
        </w:tc>
        <w:tc>
          <w:tcPr>
            <w:tcW w:w="214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w w:val="90"/>
              </w:rPr>
              <w:t>September 30, 2023</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41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1</w:t>
            </w: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9"/>
              </w:rPr>
              <w:t>(50)</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41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(50)</w:t>
            </w:r>
          </w:p>
        </w:tc>
        <w:tc>
          <w:tcPr>
            <w:tcW w:w="1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71"/>
        </w:trPr>
        <w:tc>
          <w:tcPr>
            <w:tcW w:w="6360" w:type="dxa"/>
            <w:vAlign w:val="bottom"/>
            <w:gridSpan w:val="5"/>
          </w:tcPr>
          <w:p>
            <w:pPr>
              <w:spacing w:after="0"/>
              <w:rPr>
                <w:sz w:val="20"/>
                <w:szCs w:val="20"/>
                <w:color w:val="auto"/>
              </w:rPr>
            </w:pPr>
            <w:r>
              <w:rPr>
                <w:rFonts w:ascii="Arial" w:cs="Arial" w:eastAsia="Arial" w:hAnsi="Arial"/>
                <w:sz w:val="14"/>
                <w:szCs w:val="14"/>
                <w:color w:val="auto"/>
              </w:rPr>
              <w:t>(1) Includes $40 of expense related to intercompany interest with non-guarantor subsidiaries</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998"/>
        </w:trPr>
        <w:tc>
          <w:tcPr>
            <w:tcW w:w="20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gridSpan w:val="2"/>
          </w:tcPr>
          <w:p>
            <w:pPr>
              <w:ind w:left="20"/>
              <w:spacing w:after="0"/>
              <w:rPr>
                <w:sz w:val="20"/>
                <w:szCs w:val="20"/>
                <w:color w:val="auto"/>
              </w:rPr>
            </w:pPr>
            <w:r>
              <w:rPr>
                <w:rFonts w:ascii="Arial" w:cs="Arial" w:eastAsia="Arial" w:hAnsi="Arial"/>
                <w:sz w:val="18"/>
                <w:szCs w:val="18"/>
                <w:color w:val="auto"/>
              </w:rPr>
              <w:t>September 30, 2023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jc w:val="right"/>
              <w:ind w:right="250"/>
              <w:spacing w:after="0"/>
              <w:rPr>
                <w:sz w:val="20"/>
                <w:szCs w:val="20"/>
                <w:color w:val="auto"/>
              </w:rPr>
            </w:pPr>
            <w:r>
              <w:rPr>
                <w:rFonts w:ascii="Arial" w:cs="Arial" w:eastAsia="Arial" w:hAnsi="Arial"/>
                <w:sz w:val="18"/>
                <w:szCs w:val="18"/>
                <w:color w:val="auto"/>
                <w:w w:val="96"/>
              </w:rPr>
              <w:t>December 31, 2022</w:t>
            </w:r>
          </w:p>
        </w:tc>
      </w:tr>
      <w:tr>
        <w:trPr>
          <w:trHeight w:val="223"/>
        </w:trPr>
        <w:tc>
          <w:tcPr>
            <w:tcW w:w="4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Non-current assets</w:t>
            </w:r>
          </w:p>
        </w:tc>
        <w:tc>
          <w:tcPr>
            <w:tcW w:w="3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9"/>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4140" w:type="dxa"/>
            <w:vAlign w:val="bottom"/>
            <w:gridSpan w:val="2"/>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1</w:t>
            </w:r>
          </w:p>
        </w:tc>
        <w:tc>
          <w:tcPr>
            <w:tcW w:w="32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6,249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6,143</w:t>
            </w:r>
          </w:p>
        </w:tc>
      </w:tr>
    </w:tbl>
    <w:p>
      <w:pPr>
        <w:ind w:left="4" w:right="3220"/>
        <w:spacing w:after="0" w:line="589" w:lineRule="auto"/>
        <w:rPr>
          <w:sz w:val="20"/>
          <w:szCs w:val="20"/>
          <w:color w:val="auto"/>
        </w:rPr>
      </w:pPr>
      <w:r>
        <w:rPr>
          <w:rFonts w:ascii="Arial" w:cs="Arial" w:eastAsia="Arial" w:hAnsi="Arial"/>
          <w:sz w:val="14"/>
          <w:szCs w:val="14"/>
          <w:color w:val="auto"/>
        </w:rPr>
        <w:t xml:space="preserve">(1) Includes payables of $5,426 and $5,378 due to non-guarantor subsidiaries as of September 30, 2023 and December 31, 2022 </w:t>
      </w:r>
      <w:r>
        <w:rPr>
          <w:rFonts w:ascii="Arial" w:cs="Arial" w:eastAsia="Arial" w:hAnsi="Arial"/>
          <w:sz w:val="17"/>
          <w:szCs w:val="17"/>
          <w:i w:val="1"/>
          <w:iCs w:val="1"/>
          <w:u w:val="single" w:color="auto"/>
          <w:color w:val="auto"/>
        </w:rPr>
        <w:t>Crown Americas Obligor Group</w:t>
      </w:r>
    </w:p>
    <w:p>
      <w:pPr>
        <w:spacing w:after="0" w:line="36"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60" w:type="dxa"/>
            <w:vAlign w:val="bottom"/>
          </w:tcPr>
          <w:p>
            <w:pPr>
              <w:jc w:val="right"/>
              <w:ind w:right="350"/>
              <w:spacing w:after="0"/>
              <w:rPr>
                <w:sz w:val="20"/>
                <w:szCs w:val="20"/>
                <w:color w:val="auto"/>
              </w:rPr>
            </w:pPr>
            <w:r>
              <w:rPr>
                <w:rFonts w:ascii="Arial" w:cs="Arial" w:eastAsia="Arial" w:hAnsi="Arial"/>
                <w:sz w:val="18"/>
                <w:szCs w:val="18"/>
                <w:color w:val="auto"/>
              </w:rPr>
              <w:t>Nine Months Ended</w:t>
            </w:r>
          </w:p>
        </w:tc>
      </w:tr>
      <w:tr>
        <w:trPr>
          <w:trHeight w:val="230"/>
        </w:trPr>
        <w:tc>
          <w:tcPr>
            <w:tcW w:w="45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8"/>
              </w:rPr>
              <w:t>September 30, 2023</w:t>
            </w:r>
          </w:p>
        </w:tc>
      </w:tr>
      <w:tr>
        <w:trPr>
          <w:trHeight w:val="223"/>
        </w:trPr>
        <w:tc>
          <w:tcPr>
            <w:tcW w:w="458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Net sales</w:t>
            </w:r>
            <w:r>
              <w:rPr>
                <w:rFonts w:ascii="Arial" w:cs="Arial" w:eastAsia="Arial" w:hAnsi="Arial"/>
                <w:sz w:val="23"/>
                <w:szCs w:val="23"/>
                <w:color w:val="auto"/>
                <w:vertAlign w:val="superscript"/>
              </w:rPr>
              <w:t>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r>
      <w:tr>
        <w:trPr>
          <w:trHeight w:val="229"/>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597</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Income from operations</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4580" w:type="dxa"/>
            <w:vAlign w:val="bottom"/>
          </w:tcPr>
          <w:p>
            <w:pPr>
              <w:ind w:left="20"/>
              <w:spacing w:after="0" w:line="230" w:lineRule="exact"/>
              <w:rPr>
                <w:sz w:val="20"/>
                <w:szCs w:val="20"/>
                <w:color w:val="auto"/>
              </w:rPr>
            </w:pPr>
            <w:r>
              <w:rPr>
                <w:rFonts w:ascii="Arial" w:cs="Arial" w:eastAsia="Arial" w:hAnsi="Arial"/>
                <w:sz w:val="18"/>
                <w:szCs w:val="18"/>
                <w:color w:val="auto"/>
              </w:rPr>
              <w:t>Net income</w:t>
            </w:r>
            <w:r>
              <w:rPr>
                <w:rFonts w:ascii="Arial" w:cs="Arial" w:eastAsia="Arial" w:hAnsi="Arial"/>
                <w:sz w:val="23"/>
                <w:szCs w:val="23"/>
                <w:color w:val="auto"/>
                <w:vertAlign w:val="superscript"/>
              </w:rPr>
              <w:t>3</w:t>
            </w:r>
          </w:p>
        </w:tc>
        <w:tc>
          <w:tcPr>
            <w:tcW w:w="260" w:type="dxa"/>
            <w:vAlign w:val="bottom"/>
          </w:tcPr>
          <w:p>
            <w:pPr>
              <w:spacing w:after="0"/>
              <w:rPr>
                <w:sz w:val="19"/>
                <w:szCs w:val="19"/>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Net income attributable to Crown Holdings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bl>
    <w:p>
      <w:pPr>
        <w:spacing w:after="0" w:line="76" w:lineRule="exact"/>
        <w:rPr>
          <w:sz w:val="20"/>
          <w:szCs w:val="20"/>
          <w:color w:val="auto"/>
        </w:rPr>
      </w:pPr>
    </w:p>
    <w:p>
      <w:pPr>
        <w:ind w:left="204" w:hanging="204"/>
        <w:spacing w:after="0"/>
        <w:tabs>
          <w:tab w:leader="none" w:pos="204"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$373 of sales to non-guarantor subsidiaries</w:t>
      </w:r>
    </w:p>
    <w:p>
      <w:pPr>
        <w:spacing w:after="0" w:line="21" w:lineRule="exact"/>
        <w:rPr>
          <w:rFonts w:ascii="Arial" w:cs="Arial" w:eastAsia="Arial" w:hAnsi="Arial"/>
          <w:sz w:val="14"/>
          <w:szCs w:val="14"/>
          <w:color w:val="auto"/>
        </w:rPr>
      </w:pPr>
    </w:p>
    <w:p>
      <w:pPr>
        <w:ind w:left="204" w:hanging="204"/>
        <w:spacing w:after="0"/>
        <w:tabs>
          <w:tab w:leader="none" w:pos="204"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$37 of gross profit related to sales to non-guarantor subsidiaries</w:t>
      </w:r>
    </w:p>
    <w:p>
      <w:pPr>
        <w:spacing w:after="0" w:line="6" w:lineRule="exact"/>
        <w:rPr>
          <w:rFonts w:ascii="Arial" w:cs="Arial" w:eastAsia="Arial" w:hAnsi="Arial"/>
          <w:sz w:val="14"/>
          <w:szCs w:val="14"/>
          <w:color w:val="auto"/>
        </w:rPr>
      </w:pPr>
    </w:p>
    <w:p>
      <w:pPr>
        <w:ind w:left="204" w:hanging="204"/>
        <w:spacing w:after="0"/>
        <w:tabs>
          <w:tab w:leader="none" w:pos="204"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$21 of income related to intercompany interest and technology royalties with non-guarantor subsidiaries</w:t>
      </w:r>
    </w:p>
    <w:p>
      <w:pPr>
        <w:spacing w:after="0" w:line="200" w:lineRule="exact"/>
        <w:rPr>
          <w:sz w:val="20"/>
          <w:szCs w:val="20"/>
          <w:color w:val="auto"/>
        </w:rPr>
      </w:pPr>
    </w:p>
    <w:p>
      <w:pPr>
        <w:spacing w:after="0" w:line="333"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80" w:type="dxa"/>
            <w:vAlign w:val="bottom"/>
            <w:gridSpan w:val="2"/>
          </w:tcPr>
          <w:p>
            <w:pPr>
              <w:ind w:left="140"/>
              <w:spacing w:after="0"/>
              <w:rPr>
                <w:sz w:val="20"/>
                <w:szCs w:val="20"/>
                <w:color w:val="auto"/>
              </w:rPr>
            </w:pPr>
            <w:r>
              <w:rPr>
                <w:rFonts w:ascii="Arial" w:cs="Arial" w:eastAsia="Arial" w:hAnsi="Arial"/>
                <w:sz w:val="18"/>
                <w:szCs w:val="18"/>
                <w:color w:val="auto"/>
              </w:rPr>
              <w:t>September 30, 2023</w:t>
            </w:r>
          </w:p>
        </w:tc>
        <w:tc>
          <w:tcPr>
            <w:tcW w:w="260" w:type="dxa"/>
            <w:vAlign w:val="bottom"/>
          </w:tcPr>
          <w:p>
            <w:pPr>
              <w:spacing w:after="0"/>
              <w:rPr>
                <w:sz w:val="20"/>
                <w:szCs w:val="20"/>
                <w:color w:val="auto"/>
              </w:rPr>
            </w:pPr>
          </w:p>
        </w:tc>
        <w:tc>
          <w:tcPr>
            <w:tcW w:w="2000" w:type="dxa"/>
            <w:vAlign w:val="bottom"/>
          </w:tcPr>
          <w:p>
            <w:pPr>
              <w:jc w:val="right"/>
              <w:ind w:right="330"/>
              <w:spacing w:after="0"/>
              <w:rPr>
                <w:sz w:val="20"/>
                <w:szCs w:val="20"/>
                <w:color w:val="auto"/>
              </w:rPr>
            </w:pPr>
            <w:r>
              <w:rPr>
                <w:rFonts w:ascii="Arial" w:cs="Arial" w:eastAsia="Arial" w:hAnsi="Arial"/>
                <w:sz w:val="18"/>
                <w:szCs w:val="18"/>
                <w:color w:val="auto"/>
                <w:w w:val="98"/>
              </w:rPr>
              <w:t>December 31, 2022</w:t>
            </w:r>
          </w:p>
        </w:tc>
      </w:tr>
      <w:tr>
        <w:trPr>
          <w:trHeight w:val="223"/>
        </w:trPr>
        <w:tc>
          <w:tcPr>
            <w:tcW w:w="444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Current assets</w:t>
            </w:r>
            <w:r>
              <w:rPr>
                <w:rFonts w:ascii="Arial" w:cs="Arial" w:eastAsia="Arial" w:hAnsi="Arial"/>
                <w:sz w:val="23"/>
                <w:szCs w:val="23"/>
                <w:color w:val="auto"/>
                <w:vertAlign w:val="superscript"/>
              </w:rPr>
              <w:t>1</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4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30"/>
        </w:trPr>
        <w:tc>
          <w:tcPr>
            <w:tcW w:w="4440" w:type="dxa"/>
            <w:vAlign w:val="bottom"/>
          </w:tcPr>
          <w:p>
            <w:pPr>
              <w:ind w:left="20"/>
              <w:spacing w:after="0" w:line="230" w:lineRule="exact"/>
              <w:rPr>
                <w:sz w:val="20"/>
                <w:szCs w:val="20"/>
                <w:color w:val="auto"/>
              </w:rPr>
            </w:pPr>
            <w:r>
              <w:rPr>
                <w:rFonts w:ascii="Arial" w:cs="Arial" w:eastAsia="Arial" w:hAnsi="Arial"/>
                <w:sz w:val="18"/>
                <w:szCs w:val="18"/>
                <w:color w:val="auto"/>
              </w:rPr>
              <w:t>Non-current assets</w:t>
            </w:r>
            <w:r>
              <w:rPr>
                <w:rFonts w:ascii="Arial" w:cs="Arial" w:eastAsia="Arial" w:hAnsi="Arial"/>
                <w:sz w:val="23"/>
                <w:szCs w:val="23"/>
                <w:color w:val="auto"/>
                <w:vertAlign w:val="superscript"/>
              </w:rPr>
              <w:t>2</w:t>
            </w: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3,968</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3,830</w:t>
            </w:r>
          </w:p>
        </w:tc>
      </w:tr>
      <w:tr>
        <w:trPr>
          <w:trHeight w:val="230"/>
        </w:trPr>
        <w:tc>
          <w:tcPr>
            <w:tcW w:w="4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3</w:t>
            </w: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4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r>
      <w:tr>
        <w:trPr>
          <w:trHeight w:val="312"/>
        </w:trPr>
        <w:tc>
          <w:tcPr>
            <w:tcW w:w="4440" w:type="dxa"/>
            <w:vAlign w:val="bottom"/>
          </w:tcPr>
          <w:p>
            <w:pPr>
              <w:ind w:left="20"/>
              <w:spacing w:after="0"/>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4</w:t>
            </w:r>
          </w:p>
        </w:tc>
        <w:tc>
          <w:tcPr>
            <w:tcW w:w="26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6,191</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6,048</w:t>
            </w:r>
          </w:p>
        </w:tc>
      </w:tr>
    </w:tbl>
    <w:p>
      <w:pPr>
        <w:ind w:left="204" w:hanging="204"/>
        <w:spacing w:after="0"/>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receivables of $41 and $33 due from non-guarantor subsidiaries as of September 30, 2023 and December 31, 2022</w:t>
      </w:r>
    </w:p>
    <w:p>
      <w:pPr>
        <w:spacing w:after="0" w:line="14" w:lineRule="exact"/>
        <w:rPr>
          <w:rFonts w:ascii="Arial" w:cs="Arial" w:eastAsia="Arial" w:hAnsi="Arial"/>
          <w:sz w:val="14"/>
          <w:szCs w:val="14"/>
          <w:color w:val="auto"/>
        </w:rPr>
      </w:pPr>
    </w:p>
    <w:p>
      <w:pPr>
        <w:ind w:left="204" w:hanging="204"/>
        <w:spacing w:after="0"/>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receivables of $298 and $185 due from non-guarantor subsidiaries as of September 30, 2023 and December 31, 2022</w:t>
      </w:r>
    </w:p>
    <w:p>
      <w:pPr>
        <w:spacing w:after="0" w:line="14" w:lineRule="exact"/>
        <w:rPr>
          <w:rFonts w:ascii="Arial" w:cs="Arial" w:eastAsia="Arial" w:hAnsi="Arial"/>
          <w:sz w:val="14"/>
          <w:szCs w:val="14"/>
          <w:color w:val="auto"/>
        </w:rPr>
      </w:pPr>
    </w:p>
    <w:p>
      <w:pPr>
        <w:ind w:left="204" w:hanging="204"/>
        <w:spacing w:after="0"/>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payables of $34 and $37 due to non-guarantor subsidiaries as of September 30, 2023 and December 31, 2022</w:t>
      </w:r>
    </w:p>
    <w:p>
      <w:pPr>
        <w:spacing w:after="0" w:line="6" w:lineRule="exact"/>
        <w:rPr>
          <w:rFonts w:ascii="Arial" w:cs="Arial" w:eastAsia="Arial" w:hAnsi="Arial"/>
          <w:sz w:val="14"/>
          <w:szCs w:val="14"/>
          <w:color w:val="auto"/>
        </w:rPr>
      </w:pPr>
    </w:p>
    <w:p>
      <w:pPr>
        <w:ind w:left="204" w:hanging="204"/>
        <w:spacing w:after="0"/>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Includes payables of $1,564 and $1,314 due to non-guarantor subsidiaries as of September 30, 2023 and December 31, 2022</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56"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r>
        <w:rPr>
          <w:rFonts w:ascii="Arial" w:cs="Arial" w:eastAsia="Arial" w:hAnsi="Arial"/>
          <w:sz w:val="18"/>
          <w:szCs w:val="18"/>
          <w:u w:val="single" w:color="auto"/>
          <w:color w:val="0000FF"/>
        </w:rPr>
        <w:t>Note I</w:t>
      </w:r>
      <w:r>
        <w:rPr>
          <w:rFonts w:ascii="Arial" w:cs="Arial" w:eastAsia="Arial" w:hAnsi="Arial"/>
          <w:sz w:val="18"/>
          <w:szCs w:val="18"/>
          <w:color w:val="auto"/>
        </w:rPr>
        <w:t>, entitled “Commitments and Contingent Liabilities,” to the consolidated financial statements, and in Part II within Item 1A of this report which information is incorporated herein by reference.</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which require that management make numerous estimates and assumptions.</w:t>
      </w:r>
    </w:p>
    <w:p>
      <w:pPr>
        <w:sectPr>
          <w:pgSz w:w="11900" w:h="16838" w:orient="portrait"/>
          <w:cols w:equalWidth="0" w:num="1">
            <w:col w:w="10584"/>
          </w:cols>
          <w:pgMar w:left="976"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884"/>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85090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 10-K for the year ended December 31, 2022 describe the significant accounting estimates and policies used in the preparation of the consolidated financial statements. Updates to the Company's accounting policies related to new accounting pronouncements, as applicable, are included in the notes to the consolidated financial statements included in this Quarterly Report on Form 10-Q.</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56"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 xml:space="preserve">Statements included herein, including, but not limited to, those in “Management's Discussion and Analysis of Financial Condition and Results of Operations” and in the discussions of asbestos in </w:t>
      </w:r>
      <w:r>
        <w:rPr>
          <w:rFonts w:ascii="Arial" w:cs="Arial" w:eastAsia="Arial" w:hAnsi="Arial"/>
          <w:sz w:val="17"/>
          <w:szCs w:val="17"/>
          <w:u w:val="single" w:color="auto"/>
          <w:color w:val="0000FF"/>
        </w:rPr>
        <w:t>Note H</w:t>
      </w:r>
      <w:r>
        <w:rPr>
          <w:rFonts w:ascii="Arial" w:cs="Arial" w:eastAsia="Arial" w:hAnsi="Arial"/>
          <w:sz w:val="17"/>
          <w:szCs w:val="17"/>
          <w:color w:val="auto"/>
        </w:rPr>
        <w:t xml:space="preserve"> and commitments and contingencies in </w:t>
      </w:r>
      <w:r>
        <w:rPr>
          <w:rFonts w:ascii="Arial" w:cs="Arial" w:eastAsia="Arial" w:hAnsi="Arial"/>
          <w:sz w:val="17"/>
          <w:szCs w:val="17"/>
          <w:u w:val="single" w:color="auto"/>
          <w:color w:val="0000FF"/>
        </w:rPr>
        <w:t>Note I</w:t>
      </w:r>
      <w:r>
        <w:rPr>
          <w:rFonts w:ascii="Arial" w:cs="Arial" w:eastAsia="Arial" w:hAnsi="Arial"/>
          <w:sz w:val="17"/>
          <w:szCs w:val="17"/>
          <w:color w:val="auto"/>
        </w:rPr>
        <w:t xml:space="preserve"> 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2022, which are not historical facts (including any statements concerning the direct or indirect impact of the COVID-19 pandemic and the Russia-Ukraine war, objectives of management for capacity additions, share repurchases, dividends, future operations or economic performance, or assumptions related thereto, including the potential for higher interest rates and energy prices), are “forward-looking statements” within the meaning of the federal securities laws. In addition, the Company and its representatives may, from time to time, make oral or written statements which are also “forward-looking statements.”</w:t>
      </w:r>
    </w:p>
    <w:p>
      <w:pPr>
        <w:spacing w:after="0" w:line="208"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forward-looking statements are not guarantees and that actual results could differ materially from those expressed or implied in the forward-looking statements.</w:t>
      </w:r>
    </w:p>
    <w:p>
      <w:pPr>
        <w:spacing w:after="0" w:line="211"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U.S. Securities and Exchange Commission (“SEC”), the Company does not intend to review or revise any particular forward-looking statement in light of future events.</w:t>
      </w:r>
    </w:p>
    <w:p>
      <w:pPr>
        <w:spacing w:after="0" w:line="198"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2022 within Part II, Item 7: “Management's Discussion and Analysis of Financial Condition and Results of Operations” under the caption “Forward Looking Statements” and is incorporated herein by reference. Some of the factors are also discussed elsewhere in this Form 10-Q (including under Item 1A of Part II below) and in prior Company filings with the SEC. In addition, other factors have been or may be discussed from time to time in the Company's SEC filings.</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September 30, 2023, see </w:t>
      </w:r>
      <w:r>
        <w:rPr>
          <w:rFonts w:ascii="Arial" w:cs="Arial" w:eastAsia="Arial" w:hAnsi="Arial"/>
          <w:sz w:val="17"/>
          <w:szCs w:val="17"/>
          <w:u w:val="single" w:color="auto"/>
          <w:color w:val="0000FF"/>
        </w:rPr>
        <w:t>Note K</w:t>
      </w:r>
      <w:r>
        <w:rPr>
          <w:rFonts w:ascii="Arial" w:cs="Arial" w:eastAsia="Arial" w:hAnsi="Arial"/>
          <w:sz w:val="17"/>
          <w:szCs w:val="17"/>
          <w:color w:val="auto"/>
        </w:rPr>
        <w:t xml:space="preserve"> to the consolidated financial statements included in this Quarterly Report on Form 10-Q.</w:t>
      </w:r>
    </w:p>
    <w:p>
      <w:pPr>
        <w:spacing w:after="0" w:line="208"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As of September 30, 2023, the Company had $2.4 billion principal floating interest rate debt and $1.3 billion of securitization and factoring. A change of 0.25% in these floating interest rates would change annual interest expense by approximately $9 million before tax.</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56"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20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 xml:space="preserve">For information regarding the Company's potential asbestos-related liabilities and other litigation, see </w:t>
      </w:r>
      <w:r>
        <w:rPr>
          <w:rFonts w:ascii="Arial" w:cs="Arial" w:eastAsia="Arial" w:hAnsi="Arial"/>
          <w:sz w:val="18"/>
          <w:szCs w:val="18"/>
          <w:u w:val="single" w:color="auto"/>
          <w:color w:val="0000FF"/>
        </w:rPr>
        <w:t>Note H</w:t>
      </w:r>
      <w:r>
        <w:rPr>
          <w:rFonts w:ascii="Arial" w:cs="Arial" w:eastAsia="Arial" w:hAnsi="Arial"/>
          <w:sz w:val="18"/>
          <w:szCs w:val="18"/>
          <w:color w:val="auto"/>
        </w:rPr>
        <w:t xml:space="preserve"> entitled “Asbestos-Related Liabilities” and </w:t>
      </w:r>
      <w:r>
        <w:rPr>
          <w:rFonts w:ascii="Arial" w:cs="Arial" w:eastAsia="Arial" w:hAnsi="Arial"/>
          <w:sz w:val="18"/>
          <w:szCs w:val="18"/>
          <w:u w:val="single" w:color="auto"/>
          <w:color w:val="0000FF"/>
        </w:rPr>
        <w:t>Note I</w:t>
      </w:r>
      <w:r>
        <w:rPr>
          <w:rFonts w:ascii="Arial" w:cs="Arial" w:eastAsia="Arial" w:hAnsi="Arial"/>
          <w:sz w:val="18"/>
          <w:szCs w:val="18"/>
          <w:color w:val="auto"/>
        </w:rPr>
        <w:t xml:space="preserve"> entitled “Commitments and Contingent Liabilities” to the consolidated financial statements within Part I, Item 1 of this Quarterly Report on Form 10-Q, which information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35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2022. Such risks are not the only risks facing the Company. Additional risks and uncertainties not currently known to the Company or that the Company currently deems to be immaterial may also materially adversely affect the Company's business, financial condition and/or operating results.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three months ended September 30, 2023, 7,216 shares were surrendered to cover taxes on the vesting of restricted stock.</w:t>
      </w:r>
    </w:p>
    <w:p>
      <w:pPr>
        <w:spacing w:after="0" w:line="26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December 2021, the Company's Board of Directors authorized the repurchase of an aggregate amount of $3,000 of Company common stock through the end of 2024. Share repurchases under the Company's program may be made in the open market or through privately negotiated transactions, and at times and in such amounts as management deems appropriate. The Company has remaining Board authorization to repurchase $2,300 of the Company's common stock under the program as of September 30, 2023.</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events required to be reported under Item 3 for the nine months ended September 30, 2023.</w:t>
      </w:r>
    </w:p>
    <w:p>
      <w:pPr>
        <w:spacing w:after="0" w:line="248"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36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6" w:lineRule="exact"/>
        <w:rPr>
          <w:sz w:val="20"/>
          <w:szCs w:val="20"/>
          <w:color w:val="auto"/>
        </w:rPr>
      </w:pPr>
    </w:p>
    <w:p>
      <w:pPr>
        <w:jc w:val="both"/>
        <w:ind w:left="660" w:right="240"/>
        <w:spacing w:after="0" w:line="255" w:lineRule="auto"/>
        <w:rPr>
          <w:sz w:val="20"/>
          <w:szCs w:val="20"/>
          <w:color w:val="auto"/>
        </w:rPr>
      </w:pPr>
      <w:r>
        <w:rPr>
          <w:rFonts w:ascii="Arial" w:cs="Arial" w:eastAsia="Arial" w:hAnsi="Arial"/>
          <w:sz w:val="18"/>
          <w:szCs w:val="18"/>
          <w:color w:val="auto"/>
        </w:rPr>
        <w:t>On September 8, 2023, Timothy J. Donahue, President and Chief Executive Officer of the Company, entered into a new 10b5-1 plan intended to satisfy the affirmative defense conditions of Rule 10b5-1 under the Securities and Exchange Act of 1934, as amended. The plan provides for the sale of up to 90,000 shares of the Company's common stock and expires on December 6, 2024 or upon the earlier completion of all authorized transactions under the plan. No other director or executive officer of the Company adopted or terminated any "Rule 10b5-1 trading arrangement" or "non-Rule 10b5-1 trading arrangement," as each term is defined in Item 408 of Regulation S-K, during the quarter ended September 30, 2023.</w:t>
      </w:r>
    </w:p>
    <w:p>
      <w:pPr>
        <w:spacing w:after="0" w:line="21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9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u w:val="single" w:color="auto"/>
          <w:color w:val="0000FF"/>
        </w:rPr>
        <w:t>Securities Trading and SEC Compliance and Reporting Policy</w:t>
      </w:r>
    </w:p>
    <w:p>
      <w:pPr>
        <w:spacing w:after="0" w:line="347" w:lineRule="exact"/>
        <w:rPr>
          <w:sz w:val="20"/>
          <w:szCs w:val="20"/>
          <w:color w:val="auto"/>
        </w:rPr>
      </w:pPr>
    </w:p>
    <w:p>
      <w:pPr>
        <w:ind w:left="980" w:hanging="95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0000FF"/>
        </w:rPr>
        <w:t>List of Guarantor Subsidiaries</w:t>
      </w:r>
    </w:p>
    <w:p>
      <w:pPr>
        <w:spacing w:after="0" w:line="198" w:lineRule="exact"/>
        <w:rPr>
          <w:sz w:val="20"/>
          <w:szCs w:val="20"/>
          <w:color w:val="auto"/>
        </w:rPr>
      </w:pPr>
    </w:p>
    <w:p>
      <w:pPr>
        <w:ind w:left="980" w:right="1080" w:hanging="957"/>
        <w:spacing w:after="0" w:line="277" w:lineRule="auto"/>
        <w:tabs>
          <w:tab w:leader="none" w:pos="9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u w:val="single" w:color="auto"/>
          <w:color w:val="0000FF"/>
        </w:rPr>
        <w:t>Certification of Chief Executive Officer pursuant to Rule 13a-14(a) or 15d-14(a) of the Securities Exchange Act of 1934, as adopted pursuant to Section 302 of the Sarbanes-Oxley Act of 2002.</w:t>
      </w:r>
    </w:p>
    <w:p>
      <w:pPr>
        <w:spacing w:after="0" w:line="157" w:lineRule="exact"/>
        <w:rPr>
          <w:sz w:val="20"/>
          <w:szCs w:val="20"/>
          <w:color w:val="auto"/>
        </w:rPr>
      </w:pPr>
    </w:p>
    <w:p>
      <w:pPr>
        <w:ind w:left="980" w:right="1060" w:hanging="957"/>
        <w:spacing w:after="0" w:line="277" w:lineRule="auto"/>
        <w:tabs>
          <w:tab w:leader="none" w:pos="9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u w:val="single" w:color="auto"/>
          <w:color w:val="0000FF"/>
        </w:rPr>
        <w:t>Certification of Chief Financial Officer pursuant to Rule 13a-14(a) or 15d-14(a) of the Securities Exchange Act of 1934, as adopted pursuant to Section 302 of the Sarbanes-Oxley Act of 2002.</w:t>
      </w:r>
    </w:p>
    <w:p>
      <w:pPr>
        <w:spacing w:after="0" w:line="170" w:lineRule="exact"/>
        <w:rPr>
          <w:sz w:val="20"/>
          <w:szCs w:val="20"/>
          <w:color w:val="auto"/>
        </w:rPr>
      </w:pPr>
    </w:p>
    <w:p>
      <w:pPr>
        <w:jc w:val="both"/>
        <w:ind w:left="980" w:right="1060" w:hanging="954"/>
        <w:spacing w:after="0" w:line="263"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0000FF"/>
        </w:rPr>
        <w:t>Certification pursuant to 18 U.S.C. Section 1350, as adopted pursuant to Section 906 of the Sarbanes-Oxley Act of 2002, executed by Timothy J. Donahue, President and Chief Executive Officer of Crown Holdings, Inc. and Kevin C. Clothier, Senior Vice President and Chief Financial Officer of Crown Holdings, Inc.</w:t>
      </w:r>
    </w:p>
    <w:p>
      <w:pPr>
        <w:spacing w:after="0" w:line="170" w:lineRule="exact"/>
        <w:rPr>
          <w:sz w:val="20"/>
          <w:szCs w:val="20"/>
          <w:color w:val="auto"/>
        </w:rPr>
      </w:pPr>
    </w:p>
    <w:p>
      <w:pPr>
        <w:jc w:val="both"/>
        <w:ind w:left="980" w:right="1060" w:hanging="954"/>
        <w:spacing w:after="0" w:line="272" w:lineRule="auto"/>
        <w:tabs>
          <w:tab w:leader="none" w:pos="9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following financial information from the Registrant's Quarterly Report on Form 10-Q for the quarter ended September 30, 2023 formatted in inline XBRL (eXtensible Business Reporting Language): (i) Consolidated Statements of Operations for the three and nine months ended September 30, 2023 and 2022, (ii) Consolidated Statements of Comprehensive Income for the three and nine months ended September 30, 2023 and 2022, (iii) Consolidated Balance Sheets as of September 30, 2023 and December 31, 2022, (iv) Consolidated Statements of Cash Flows for the nine months ended September 30, 2023 and 2022, (v) Consolidated Statements of Changes in Equity for the three and nine months ended September 30, 2023 and 2022 and (vi) Notes to Consolidated Financial Statements.</w:t>
      </w:r>
    </w:p>
    <w:p>
      <w:pPr>
        <w:spacing w:after="0" w:line="150"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3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tbl>
      <w:tblPr>
        <w:tblLayout w:type="fixed"/>
        <w:tblInd w:w="650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Crown Holdings, Inc.</w:t>
            </w:r>
          </w:p>
        </w:tc>
      </w:tr>
      <w:tr>
        <w:trPr>
          <w:trHeight w:val="224"/>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440" w:type="dxa"/>
            <w:vAlign w:val="bottom"/>
          </w:tcPr>
          <w:p>
            <w:pPr>
              <w:spacing w:after="0"/>
              <w:rPr>
                <w:sz w:val="19"/>
                <w:szCs w:val="19"/>
                <w:color w:val="auto"/>
              </w:rPr>
            </w:pPr>
          </w:p>
        </w:tc>
      </w:tr>
      <w:tr>
        <w:trPr>
          <w:trHeight w:val="485"/>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Christy L. Kalaus</w:t>
            </w:r>
          </w:p>
        </w:tc>
      </w:tr>
      <w:tr>
        <w:trPr>
          <w:trHeight w:val="222"/>
        </w:trPr>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Christy L. Kalaus</w:t>
            </w:r>
          </w:p>
        </w:tc>
      </w:tr>
      <w:tr>
        <w:trPr>
          <w:trHeight w:val="230"/>
        </w:trPr>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Vice President and Corporate Controller</w:t>
            </w:r>
          </w:p>
        </w:tc>
      </w:tr>
    </w:tbl>
    <w:p>
      <w:pPr>
        <w:spacing w:after="0" w:line="3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October 30,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240"/>
          </w:cols>
          <w:pgMar w:left="320" w:top="121" w:right="339" w:bottom="1440" w:gutter="0" w:footer="0" w:header="0"/>
          <w:type w:val="continuous"/>
        </w:sectPr>
      </w:pPr>
    </w:p>
    <w:bookmarkStart w:id="36" w:name="page37"/>
    <w:bookmarkEnd w:id="36"/>
    <w:p>
      <w:pPr>
        <w:spacing w:after="0" w:line="50" w:lineRule="exact"/>
        <w:rPr>
          <w:sz w:val="20"/>
          <w:szCs w:val="20"/>
          <w:color w:val="auto"/>
        </w:rPr>
      </w:pPr>
    </w:p>
    <w:p>
      <w:pPr>
        <w:jc w:val="right"/>
        <w:ind w:left="4420" w:right="20"/>
        <w:spacing w:after="0" w:line="308" w:lineRule="auto"/>
        <w:rPr>
          <w:sz w:val="20"/>
          <w:szCs w:val="20"/>
          <w:color w:val="auto"/>
        </w:rPr>
      </w:pPr>
      <w:r>
        <w:rPr>
          <w:sz w:val="1"/>
          <w:szCs w:val="1"/>
          <w:color w:val="auto"/>
        </w:rPr>
        <w:drawing>
          <wp:inline distT="0" distB="0" distL="0" distR="0">
            <wp:extent cx="1551305" cy="4972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51305" cy="497205"/>
                    </a:xfrm>
                    <a:prstGeom prst="rect">
                      <a:avLst/>
                    </a:prstGeom>
                    <a:noFill/>
                    <a:ln>
                      <a:noFill/>
                    </a:ln>
                  </pic:spPr>
                </pic:pic>
              </a:graphicData>
            </a:graphic>
          </wp:inline>
        </w:drawing>
      </w:r>
      <w:r>
        <w:rPr>
          <w:rFonts w:ascii="Arial" w:cs="Arial" w:eastAsia="Arial" w:hAnsi="Arial"/>
          <w:sz w:val="42"/>
          <w:szCs w:val="42"/>
          <w:color w:val="008000"/>
        </w:rPr>
        <w:t xml:space="preserve"> Securities Trading and SEC Compliance and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Insider Trading</w:t>
      </w:r>
    </w:p>
    <w:p>
      <w:pPr>
        <w:spacing w:after="0" w:line="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The United States securities laws and the Crown Holdings’ Code of Business Conduct and Ethics prohibit Directors, officers and other employees from buying, selling or advising others to buy or sell Crown securities while in possession of non-public, material information and from disclosing such information to others for securities trading purposes. The rule applies to any and all transactions in Crown’s securities, including common stock and options to purchase common stock (unless the employee pays the Company cash to cover the exercise price and withholding tax obligations and does not sell any of the shares acquired upon option exercise of the stock option). This rule also applies to discretionary transactions involving Crown stock within Company benefit plans, such as the Company’s 401(k) Plan, publicly traded notes, and any other types of securities that Crown may issue, such as preferred stock, restricted or deferred stock, convertible debentures, warrants, exchange-traded options and other derivative securities relating to Crown securities (such as “call” or “put” options).</w:t>
      </w:r>
    </w:p>
    <w:p>
      <w:pPr>
        <w:spacing w:after="0" w:line="18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1"/>
          <w:szCs w:val="21"/>
          <w:color w:val="auto"/>
        </w:rPr>
        <w:t>The securities laws also apply to trading in stock of other companies. No one should buy or sell securities or advise others to trade in securities of any company (including customers, suppliers or competitors) based on non-public information. For example, insiders should not trade in the stock of another company that is (or has subsidiaries, assets, or business units that are) an acquisition or merger target of Crown. Crown also strongly discourages all Directors, officers and other insiders from giving trading advice concerning the Company to third parties even when the Director, officer or other insider does not possess material nonpublic information about the Company.</w:t>
      </w:r>
    </w:p>
    <w:p>
      <w:pPr>
        <w:spacing w:after="0" w:line="201"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Information is material if it would affect the market price of Crown stock or other securities or the decision of an investor to purchase, sell or hold the securities. This may include information about earnings, mergers and acquisitions, write-offs, dividends, customers, suppliers, pricing, regulatory investigations or proceedings, litigation and product or other significant business developments. Information is non-public until it has been publicly disclosed and evaluated by public investors. Thus, after any significant press release, insiders should allow a reasonable period (normally two business days) to elapse before buying or selling Crown securities.</w:t>
      </w:r>
    </w:p>
    <w:p>
      <w:pPr>
        <w:spacing w:after="0" w:line="215"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22"/>
          <w:szCs w:val="22"/>
          <w:color w:val="auto"/>
        </w:rPr>
        <w:t>Any employee who has a concern that a prospective stock transaction may be considered illegal insider trading should seek advice from Crown’s Legal Department.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8980"/>
        <w:spacing w:after="0"/>
        <w:tabs>
          <w:tab w:leader="none" w:pos="97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Revised 08/08/2023</w:t>
      </w:r>
    </w:p>
    <w:p>
      <w:pPr>
        <w:sectPr>
          <w:pgSz w:w="11900" w:h="16838" w:orient="portrait"/>
          <w:cols w:equalWidth="0" w:num="1">
            <w:col w:w="11240"/>
          </w:cols>
          <w:pgMar w:left="320" w:top="1440" w:right="339" w:bottom="1440" w:gutter="0" w:footer="0" w:header="0"/>
        </w:sectPr>
      </w:pPr>
    </w:p>
    <w:bookmarkStart w:id="37" w:name="page38"/>
    <w:bookmarkEnd w:id="37"/>
    <w:p>
      <w:pPr>
        <w:spacing w:after="0"/>
        <w:rPr>
          <w:sz w:val="20"/>
          <w:szCs w:val="20"/>
          <w:color w:val="auto"/>
        </w:rPr>
      </w:pPr>
      <w:r>
        <w:rPr>
          <w:rFonts w:ascii="Arial" w:cs="Arial" w:eastAsia="Arial" w:hAnsi="Arial"/>
          <w:sz w:val="22"/>
          <w:szCs w:val="22"/>
          <w:b w:val="1"/>
          <w:bCs w:val="1"/>
          <w:color w:val="auto"/>
        </w:rPr>
        <w:t>Black-Out Period</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As a general rule, insiders including Directors, Executive Officers, and other officers who generally have access to material non-public information and who are designated as insiders by the Chief Financial Officer or the General Counsel should not buy or sell Crown stock during each quarterly black-out period. The pre-clearance and black-out requirements of this Policy apply even if that person does not have access to such information at the time of a contemplated transaction. The quarterly black-out period starts during the last two weeks of the final month of each fiscal quarter and ends after the second business day following the publication by the Company of its earnings release for such quarter. The projected black-out dates are marked on the calendar attached to this Policy. However, because the precise date of the publication of the Company’s earnings releases may vary from those marked in the calendar, please confirm the applicable quarterly black-out period prior to any purchase or sale. These timing restrictions also apply to (1) the sale of stock in the market to pay for the exercise of options, (2) transactions by spouses and other relatives living in the same home as well as trusts or estates in which an insider or family member has investment control or pecuniary interest, and (3) gifts. The timing restrictions do not apply to the exercise of stock options paid for in cash. However, the restrictions do apply to the sale of the underlying stock. As a precaution, we nevertheless require that any exercise of options be cleared in advance with the General Counsel.</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 xml:space="preserve">Outside of the black-out periods, insiders are generally free to trade in Crown stock, so long as they are not in the possession of non-public, material information regarding the Company and there is no black-out period under the Company’s employee benefit or pension plans or any applicable rules of the U.S. Securities and Exchange Commission (the “SEC”). The black-out period for purchases and sales is not a hard-and-fast rule. In certain circumstances, transactions inside the blackout period may well be appropriate, while transactions outside the blackout period may not be advisable. </w:t>
      </w:r>
      <w:r>
        <w:rPr>
          <w:rFonts w:ascii="Arial" w:cs="Arial" w:eastAsia="Arial" w:hAnsi="Arial"/>
          <w:sz w:val="19"/>
          <w:szCs w:val="19"/>
          <w:b w:val="1"/>
          <w:bCs w:val="1"/>
          <w:color w:val="auto"/>
        </w:rPr>
        <w:t>For this reason, any</w:t>
      </w:r>
      <w:r>
        <w:rPr>
          <w:rFonts w:ascii="Arial" w:cs="Arial" w:eastAsia="Arial" w:hAnsi="Arial"/>
          <w:sz w:val="19"/>
          <w:szCs w:val="19"/>
          <w:color w:val="auto"/>
        </w:rPr>
        <w:t xml:space="preserve"> </w:t>
      </w:r>
      <w:r>
        <w:rPr>
          <w:rFonts w:ascii="Arial" w:cs="Arial" w:eastAsia="Arial" w:hAnsi="Arial"/>
          <w:sz w:val="19"/>
          <w:szCs w:val="19"/>
          <w:b w:val="1"/>
          <w:bCs w:val="1"/>
          <w:color w:val="auto"/>
        </w:rPr>
        <w:t>proposed transactions involving Crown stock must be cleared in advance with the General Counsel.</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Standing Orders and 10b5-1 Plans</w:t>
      </w:r>
    </w:p>
    <w:p>
      <w:pPr>
        <w:spacing w:after="0" w:line="23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As the facts known to an insider will necessarily change from time to time (as will the facts available to the public), it is generally inappropriate to place a standing order for the purchase or sale of Crown stock with a broker (for example, a limit order or good-until-canceled order). In addition, any trading plan or other arrangement designed to satisfy the requirements of Rule 10b5-1 (a “10b5-1 Plan”) executed by any insider, including Directors, Executive Officers, and other officers who generally have access to material non-public information and who are designated as insiders by the Chief Financial Officer or the General Counsel, must be submitted to the Legal Department for prior approval, as Crown will be required to make certain disclosures regarding any such 10b5-1 Plans in its filings with the SEC. Directors and certain executives designated as “Section 16 Insiders” by the Board also must submit their 10b5-1 Plans to the Nominating and Corporate Governance Committee for prior approval. Please note that pursuant Rule 10b5-1(c)(1), no trading may commence under a 10b5-1 Plan for at least 30 days, and potentially up to 120 days (depending on the type of insider seeking to adopt a 10b5-1 Plan and the timing of Crown’s next disclosure of quarterly financial results) after the 10b5-1 Plan was most recently modified or adopted.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08" w:right="339" w:bottom="1440" w:gutter="0" w:footer="0" w:header="0"/>
        </w:sectPr>
      </w:pPr>
    </w:p>
    <w:bookmarkStart w:id="38" w:name="page39"/>
    <w:bookmarkEnd w:id="38"/>
    <w:p>
      <w:pPr>
        <w:spacing w:after="0"/>
        <w:rPr>
          <w:sz w:val="20"/>
          <w:szCs w:val="20"/>
          <w:color w:val="auto"/>
        </w:rPr>
      </w:pPr>
      <w:r>
        <w:rPr>
          <w:rFonts w:ascii="Arial" w:cs="Arial" w:eastAsia="Arial" w:hAnsi="Arial"/>
          <w:sz w:val="22"/>
          <w:szCs w:val="22"/>
          <w:b w:val="1"/>
          <w:bCs w:val="1"/>
          <w:color w:val="auto"/>
        </w:rPr>
        <w:t>Margin Accounts and Pledging Company Securities</w:t>
      </w:r>
    </w:p>
    <w:p>
      <w:pPr>
        <w:spacing w:after="0" w:line="23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2"/>
          <w:szCs w:val="22"/>
          <w:color w:val="auto"/>
        </w:rPr>
        <w:t>Generally, securities held in a margin account may be sold by the broker without the customer’s consent if the customer fails to meet a margin call. Likewise, securities pledged to a bank or financial institution may be sold without the customer’s consent if the customer fails to repay the obligation secured by the pledge. Because such sales may occur at a time when a Director, officer or other insider had material inside information or is otherwise not permitted to trade in Crown securities, the Company prohibits Directors, officers and other insiders from purchasing Crown securities on margin or holding Crown securities in a margin account. Furthermore, Directors, executive officers and other insiders are not permitted to pledge Crown securities.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Short-Swing Profit Recapture</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Under the regulations enacted by the SEC, the short-swing profit recapture and reporting rules apply to Directors, executive officers and 10% shareholders.</w:t>
      </w:r>
    </w:p>
    <w:p>
      <w:pPr>
        <w:spacing w:after="0" w:line="20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The general rule is that any profit made by a Director, executive officer or 10% shareholder from any purchase and sale of Crown stock within a six-month period is recoverable by the Company. This includes any two transactions of an opposite nature (a purchase and a sale) however unrelated and regardless of the order in which they occurred.</w:t>
      </w:r>
    </w:p>
    <w:p>
      <w:pPr>
        <w:spacing w:after="0" w:line="19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9"/>
          <w:szCs w:val="19"/>
          <w:color w:val="auto"/>
        </w:rPr>
        <w:t>Under the SEC regulations, however, certain transactions that are not open-market purchases and sales of Crown stock will not result in short-swing profits that are subject to recapture by the Company. The following transactions will not generate short-swing profits subject to recapture: (1) the grant and exercise of stock options approved by the Compensation Committee under the Crown Stock Option Plans, (2) the use of Crown stock as payment to the Company, subject to preapproval by the Compensation Committee, for the exercise of a stock option, (3) the sale of restricted or deferred stock back to the Company, subject to preapproval by the Compensation Committee, to cover tax withholding obligations, and (4) gifts.</w:t>
      </w:r>
    </w:p>
    <w:p>
      <w:pPr>
        <w:spacing w:after="0" w:line="18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Thus, an executive officer may exercise a stock option and immediately sell any amount of Crown stock because the exercise of the option is exempt and therefore is not matched against the sale to generate short-swing profits. However, any non-exempt purchase of Company stock within six months before or after a sale of stock in conjunction with exercise of a stock option can be matched with such sale to produce recapturable short-swing profit. (Also remember, that the sale of stock in connection with exercise of a Company stock option may nevertheless be prohibited insider trading if, at the time of the sale, the executive officer is in possession of material non-public information.)</w:t>
      </w:r>
    </w:p>
    <w:p>
      <w:pPr>
        <w:spacing w:after="0" w:line="204"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A purchase or sale of Crown stock after a person has ceased to be a Director or executive officer can still be matched against an opposite transaction occurring during the preceding six months while that person was a Director or executive officer. Transactions by members of a Director’s, officer’s or 10% shareholder’s immediate family and certain other affiliated entities may be attributed to the Director, executive officer or 10% shareholder. See the explanation of “beneficial ownership” below under Reporting of Transactions on Forms 3, 4 and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8" w:right="339" w:bottom="1440" w:gutter="0" w:footer="0" w:header="0"/>
        </w:sectPr>
      </w:pPr>
    </w:p>
    <w:bookmarkStart w:id="39" w:name="page40"/>
    <w:bookmarkEnd w:id="39"/>
    <w:p>
      <w:pPr>
        <w:spacing w:after="0"/>
        <w:rPr>
          <w:sz w:val="20"/>
          <w:szCs w:val="20"/>
          <w:color w:val="auto"/>
        </w:rPr>
      </w:pPr>
      <w:r>
        <w:rPr>
          <w:rFonts w:ascii="Arial" w:cs="Arial" w:eastAsia="Arial" w:hAnsi="Arial"/>
          <w:sz w:val="22"/>
          <w:szCs w:val="22"/>
          <w:b w:val="1"/>
          <w:bCs w:val="1"/>
          <w:color w:val="auto"/>
        </w:rPr>
        <w:t>Short Sales and Trading in Third Party Options and Hedging Transactions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Directors, executive officers and 10% shareholders may not make short sales of Crown stock. A “short sale” is one in which the seller does not own the security sold, but borrows the security and sells it expecting a decline in its price. Directors, executive officers and other insiders should not trade in “call” or “put” options on Crown stock or otherwise engage in hedging transactions relating to Crown stock.</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Reporting of Transactions on Forms 3, 4 and 5</w:t>
      </w:r>
    </w:p>
    <w:p>
      <w:pPr>
        <w:spacing w:after="0" w:line="239" w:lineRule="exact"/>
        <w:rPr>
          <w:sz w:val="20"/>
          <w:szCs w:val="20"/>
          <w:color w:val="auto"/>
        </w:rPr>
      </w:pPr>
    </w:p>
    <w:p>
      <w:pPr>
        <w:jc w:val="both"/>
        <w:ind w:firstLine="648"/>
        <w:spacing w:after="0" w:line="233" w:lineRule="auto"/>
        <w:rPr>
          <w:sz w:val="20"/>
          <w:szCs w:val="20"/>
          <w:color w:val="auto"/>
        </w:rPr>
      </w:pPr>
      <w:r>
        <w:rPr>
          <w:rFonts w:ascii="Arial" w:cs="Arial" w:eastAsia="Arial" w:hAnsi="Arial"/>
          <w:sz w:val="22"/>
          <w:szCs w:val="22"/>
          <w:color w:val="auto"/>
        </w:rPr>
        <w:t>Directors, executive officers and 10% shareholders must file the following reports with the SEC and New York Stock Exchange disclosing their beneficial holdings of Crown stock and any changes in those holdings. Crown’s Legal Department will file these forms on behalf of Directors and executive officers. Beneficial ownership includes stock owned directly, stock owned through Crown’s 401(k) Savings Plan, Company stock options, restricted or deferred stock, performance shares, stock owned by one’s spouse or one’s relatives living in the same home, and may also include stock held by a trust, estate or other entity in which one has an interest.</w:t>
      </w:r>
    </w:p>
    <w:p>
      <w:pPr>
        <w:spacing w:after="0" w:line="208" w:lineRule="exact"/>
        <w:rPr>
          <w:sz w:val="20"/>
          <w:szCs w:val="20"/>
          <w:color w:val="auto"/>
        </w:rPr>
      </w:pPr>
    </w:p>
    <w:p>
      <w:pPr>
        <w:ind w:left="940" w:hanging="284"/>
        <w:spacing w:after="0"/>
        <w:tabs>
          <w:tab w:leader="none" w:pos="940"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Form 3: Initial Statement of Ownership</w:t>
      </w:r>
    </w:p>
    <w:p>
      <w:pPr>
        <w:spacing w:after="0" w:line="239" w:lineRule="exact"/>
        <w:rPr>
          <w:sz w:val="20"/>
          <w:szCs w:val="20"/>
          <w:color w:val="auto"/>
        </w:rPr>
      </w:pPr>
    </w:p>
    <w:p>
      <w:pPr>
        <w:jc w:val="both"/>
        <w:ind w:left="1300"/>
        <w:spacing w:after="0"/>
        <w:rPr>
          <w:sz w:val="20"/>
          <w:szCs w:val="20"/>
          <w:color w:val="auto"/>
        </w:rPr>
      </w:pPr>
      <w:r>
        <w:rPr>
          <w:rFonts w:ascii="Arial" w:cs="Arial" w:eastAsia="Arial" w:hAnsi="Arial"/>
          <w:sz w:val="22"/>
          <w:szCs w:val="22"/>
          <w:color w:val="auto"/>
        </w:rPr>
        <w:t>Form 3 must be filed within 10 days of election as a Director or executive officer or becoming a 10% shareholder. Form 3 must be filed even if the Director or executive officer has no beneficial holding of Crown stock at the time of election.</w:t>
      </w:r>
    </w:p>
    <w:p>
      <w:pPr>
        <w:spacing w:after="0" w:line="207" w:lineRule="exact"/>
        <w:rPr>
          <w:sz w:val="20"/>
          <w:szCs w:val="20"/>
          <w:color w:val="auto"/>
        </w:rPr>
      </w:pPr>
    </w:p>
    <w:p>
      <w:pPr>
        <w:ind w:left="960" w:hanging="304"/>
        <w:spacing w:after="0"/>
        <w:tabs>
          <w:tab w:leader="none" w:pos="960" w:val="left"/>
        </w:tabs>
        <w:numPr>
          <w:ilvl w:val="0"/>
          <w:numId w:val="23"/>
        </w:numPr>
        <w:rPr>
          <w:rFonts w:ascii="Arial" w:cs="Arial" w:eastAsia="Arial" w:hAnsi="Arial"/>
          <w:sz w:val="22"/>
          <w:szCs w:val="22"/>
          <w:color w:val="auto"/>
        </w:rPr>
      </w:pPr>
      <w:r>
        <w:rPr>
          <w:rFonts w:ascii="Arial" w:cs="Arial" w:eastAsia="Arial" w:hAnsi="Arial"/>
          <w:sz w:val="22"/>
          <w:szCs w:val="22"/>
          <w:b w:val="1"/>
          <w:bCs w:val="1"/>
          <w:color w:val="auto"/>
        </w:rPr>
        <w:t>Form 4: Statement of Changes in Beneficial Ownership</w:t>
      </w:r>
    </w:p>
    <w:p>
      <w:pPr>
        <w:spacing w:after="0" w:line="239" w:lineRule="exact"/>
        <w:rPr>
          <w:sz w:val="20"/>
          <w:szCs w:val="20"/>
          <w:color w:val="auto"/>
        </w:rPr>
      </w:pPr>
    </w:p>
    <w:p>
      <w:pPr>
        <w:jc w:val="both"/>
        <w:ind w:left="1300"/>
        <w:spacing w:after="0" w:line="236" w:lineRule="auto"/>
        <w:rPr>
          <w:sz w:val="20"/>
          <w:szCs w:val="20"/>
          <w:color w:val="auto"/>
        </w:rPr>
      </w:pPr>
      <w:r>
        <w:rPr>
          <w:rFonts w:ascii="Arial" w:cs="Arial" w:eastAsia="Arial" w:hAnsi="Arial"/>
          <w:sz w:val="22"/>
          <w:szCs w:val="22"/>
          <w:color w:val="auto"/>
        </w:rPr>
        <w:t>Form 4 must be filed within 2 business days after the date on which a transaction involving Crown stock occurs (except certain exempted transactions). Transactions requiring filing of a Form 4 include quarterly grants of Director stock compensation, open-market purchase or sales of Company stock, restricted or deferred stock grants, tax withholdings associated with the vesting of restricted or deferred stock to satisfy tax obligations, stock option grants and the exercise of stock options.</w:t>
      </w:r>
    </w:p>
    <w:p>
      <w:pPr>
        <w:spacing w:after="0" w:line="201" w:lineRule="exact"/>
        <w:rPr>
          <w:sz w:val="20"/>
          <w:szCs w:val="20"/>
          <w:color w:val="auto"/>
        </w:rPr>
      </w:pPr>
    </w:p>
    <w:p>
      <w:pPr>
        <w:jc w:val="both"/>
        <w:ind w:left="1300"/>
        <w:spacing w:after="0" w:line="252" w:lineRule="auto"/>
        <w:rPr>
          <w:sz w:val="20"/>
          <w:szCs w:val="20"/>
          <w:color w:val="auto"/>
        </w:rPr>
      </w:pPr>
      <w:r>
        <w:rPr>
          <w:rFonts w:ascii="Arial" w:cs="Arial" w:eastAsia="Arial" w:hAnsi="Arial"/>
          <w:sz w:val="21"/>
          <w:szCs w:val="21"/>
          <w:color w:val="auto"/>
        </w:rPr>
        <w:t>Note that Directors and executive officers are still required to file Form 4’s for certain transactions occurring within six months after leaving the Board or ceasing to be an executive officer that are matchable with non-exempt transactions within six months while the individual was serving as a Director or executive officer (for example, a market purchase that can be matched against a market sale).</w:t>
      </w:r>
    </w:p>
    <w:p>
      <w:pPr>
        <w:spacing w:after="0" w:line="195" w:lineRule="exact"/>
        <w:rPr>
          <w:sz w:val="20"/>
          <w:szCs w:val="20"/>
          <w:color w:val="auto"/>
        </w:rPr>
      </w:pPr>
    </w:p>
    <w:p>
      <w:pPr>
        <w:ind w:left="940" w:hanging="284"/>
        <w:spacing w:after="0"/>
        <w:tabs>
          <w:tab w:leader="none" w:pos="940" w:val="left"/>
        </w:tabs>
        <w:numPr>
          <w:ilvl w:val="0"/>
          <w:numId w:val="24"/>
        </w:numPr>
        <w:rPr>
          <w:rFonts w:ascii="Arial" w:cs="Arial" w:eastAsia="Arial" w:hAnsi="Arial"/>
          <w:sz w:val="22"/>
          <w:szCs w:val="22"/>
          <w:color w:val="auto"/>
        </w:rPr>
      </w:pPr>
      <w:r>
        <w:rPr>
          <w:rFonts w:ascii="Arial" w:cs="Arial" w:eastAsia="Arial" w:hAnsi="Arial"/>
          <w:sz w:val="22"/>
          <w:szCs w:val="22"/>
          <w:b w:val="1"/>
          <w:bCs w:val="1"/>
          <w:color w:val="auto"/>
        </w:rPr>
        <w:t>Form 5: Annual Statement of Changes in Beneficial Ownership</w:t>
      </w:r>
    </w:p>
    <w:p>
      <w:pPr>
        <w:spacing w:after="0" w:line="239" w:lineRule="exact"/>
        <w:rPr>
          <w:sz w:val="20"/>
          <w:szCs w:val="20"/>
          <w:color w:val="auto"/>
        </w:rPr>
      </w:pPr>
    </w:p>
    <w:p>
      <w:pPr>
        <w:jc w:val="both"/>
        <w:ind w:left="1300"/>
        <w:spacing w:after="0"/>
        <w:rPr>
          <w:sz w:val="20"/>
          <w:szCs w:val="20"/>
          <w:color w:val="auto"/>
        </w:rPr>
      </w:pPr>
      <w:r>
        <w:rPr>
          <w:rFonts w:ascii="Arial" w:cs="Arial" w:eastAsia="Arial" w:hAnsi="Arial"/>
          <w:sz w:val="22"/>
          <w:szCs w:val="22"/>
          <w:color w:val="auto"/>
        </w:rPr>
        <w:t>A Form 5 must be filed by February 14 of each year to report transactions involving Company stock in the prior year that were exempt from prior reporting and not reported on Form 4 or that should have been reported but were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08" w:right="339" w:bottom="1440" w:gutter="0" w:footer="0" w:header="0"/>
        </w:sectPr>
      </w:pPr>
    </w:p>
    <w:bookmarkStart w:id="40" w:name="page41"/>
    <w:bookmarkEnd w:id="40"/>
    <w:p>
      <w:pPr>
        <w:spacing w:after="0" w:line="21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Crown will be required to identify in its proxy statement any Director, Section 16 “insider” or 10% shareholder known to have failed during the past year to report a transaction or holding of Crown stock within the time periods required by the SEC regulations. The purpose of this requirement (as well as the threat of enforcement action against delinquent filers) is to force Directors, Section 16 “insiders” and 10% shareholders to comply with the reporting requirements in a timely manner.</w:t>
      </w:r>
    </w:p>
    <w:p>
      <w:pPr>
        <w:spacing w:after="0" w:line="17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 xml:space="preserve">Because of the complexity of the rules and the importance of filing timely reports, the Legal Department will prepare and file all the required reports of Directors and Section 16 “insiders,” unless an individual Director advises the Legal Department in writing that he or she will prepare and file his or her own reports. </w:t>
      </w:r>
      <w:r>
        <w:rPr>
          <w:rFonts w:ascii="Arial" w:cs="Arial" w:eastAsia="Arial" w:hAnsi="Arial"/>
          <w:sz w:val="19"/>
          <w:szCs w:val="19"/>
          <w:b w:val="1"/>
          <w:bCs w:val="1"/>
          <w:color w:val="auto"/>
        </w:rPr>
        <w:t>Directors and Section 16 “insiders” must submit a request</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for pre-clearance to the Legal Department at least two days prior to any proposed transaction involving Crown stock (including transactions by immediate family members, trusts or others that would be attributed to them under the SEC rules). </w:t>
      </w:r>
      <w:r>
        <w:rPr>
          <w:rFonts w:ascii="Arial" w:cs="Arial" w:eastAsia="Arial" w:hAnsi="Arial"/>
          <w:sz w:val="19"/>
          <w:szCs w:val="19"/>
          <w:color w:val="auto"/>
        </w:rPr>
        <w:t>After the transaction is pre-cleared, in cases where the Company does not have a valid power-of-attorney, the Directors</w:t>
      </w:r>
      <w:r>
        <w:rPr>
          <w:rFonts w:ascii="Arial" w:cs="Arial" w:eastAsia="Arial" w:hAnsi="Arial"/>
          <w:sz w:val="19"/>
          <w:szCs w:val="19"/>
          <w:b w:val="1"/>
          <w:bCs w:val="1"/>
          <w:color w:val="auto"/>
        </w:rPr>
        <w:t xml:space="preserve"> </w:t>
      </w:r>
      <w:r>
        <w:rPr>
          <w:rFonts w:ascii="Arial" w:cs="Arial" w:eastAsia="Arial" w:hAnsi="Arial"/>
          <w:sz w:val="19"/>
          <w:szCs w:val="19"/>
          <w:color w:val="auto"/>
        </w:rPr>
        <w:t>and Section 16 “insiders” will be asked to sign the required reports before they are filed with the SEC.</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Rule 144</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Directors and Section 16 “insiders” must also comply with SEC Rule 144 that requires them to file a Form 144 in connection with any open-market sale of Company stock. The broker handling the sale of Crown stock should be advised that a “Rule 144 sale” is being made and that a Form 144 should be filed by the broker with the SEC and New York Stock Exchange when the order is placed. Form 144 includes a certificate that the seller does not know of any material adverse non-public information about the Company.</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Restrictions on Purchases of Company Stock</w:t>
      </w:r>
    </w:p>
    <w:p>
      <w:pPr>
        <w:spacing w:after="0" w:line="239"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In order to prevent market manipulation, the SEC has adopted Regulation M and Rule 10b-18. Regulation M generally prohibits Crown or any of its affiliates from buying Crown stock in the open market during certain periods while a public offering is taking place. Rule 10b-18 sets forth guidelines for purchases of Crown stock by Crown or its affiliates while a stock buyback program is occurring. While the guidelines are optional, compliance with them provides immunity from a stock manipulation (as opposed to anti-fraud) charge. As with any other transaction in the Company’s securities, Directors, officers and other insiders should consult with the Legal Department prior to purchasing Crown stock during any period that Crown is making a public offering or buying stock from the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41" w:name="page42"/>
    <w:bookmarkEnd w:id="41"/>
    <w:p>
      <w:pPr>
        <w:jc w:val="center"/>
        <w:ind w:right="-79"/>
        <w:spacing w:after="0"/>
        <w:rPr>
          <w:sz w:val="20"/>
          <w:szCs w:val="20"/>
          <w:color w:val="auto"/>
        </w:rPr>
      </w:pPr>
      <w:r>
        <w:rPr>
          <w:rFonts w:ascii="Arial" w:cs="Arial" w:eastAsia="Arial" w:hAnsi="Arial"/>
          <w:sz w:val="25"/>
          <w:szCs w:val="25"/>
          <w:b w:val="1"/>
          <w:bCs w:val="1"/>
          <w:color w:val="auto"/>
        </w:rPr>
        <w:t>Exhibit 22 - List of Guarantor Subsidiaries</w:t>
      </w:r>
    </w:p>
    <w:p>
      <w:pPr>
        <w:spacing w:after="0" w:line="259" w:lineRule="exact"/>
        <w:rPr>
          <w:sz w:val="20"/>
          <w:szCs w:val="20"/>
          <w:color w:val="auto"/>
        </w:rPr>
      </w:pPr>
    </w:p>
    <w:p>
      <w:pPr>
        <w:ind w:right="300"/>
        <w:spacing w:after="0" w:line="274" w:lineRule="auto"/>
        <w:rPr>
          <w:sz w:val="20"/>
          <w:szCs w:val="20"/>
          <w:color w:val="auto"/>
        </w:rPr>
      </w:pPr>
      <w:r>
        <w:rPr>
          <w:rFonts w:ascii="Arial" w:cs="Arial" w:eastAsia="Arial" w:hAnsi="Arial"/>
          <w:sz w:val="20"/>
          <w:szCs w:val="20"/>
          <w:color w:val="auto"/>
        </w:rPr>
        <w:t>The following subsidiaries of Crown Holdings, Inc. (the "Company") were, as of September 30, 2023, guarantors of the Company's $350 principal 7.375% senior notes due 2026 and $40 principal 7.5% senior notes due 2096:</w:t>
      </w:r>
    </w:p>
    <w:tbl>
      <w:tblPr>
        <w:tblLayout w:type="fixed"/>
        <w:tblInd w:w="110" w:type="dxa"/>
        <w:tblCellMar>
          <w:top w:w="0" w:type="dxa"/>
          <w:left w:w="0" w:type="dxa"/>
          <w:bottom w:w="0" w:type="dxa"/>
          <w:right w:w="0" w:type="dxa"/>
        </w:tblCellMar>
      </w:tblPr>
      <w:tr>
        <w:trPr>
          <w:trHeight w:val="187"/>
        </w:trPr>
        <w:tc>
          <w:tcPr>
            <w:tcW w:w="3640" w:type="dxa"/>
            <w:vAlign w:val="bottom"/>
            <w:tcBorders>
              <w:top w:val="single" w:sz="8" w:color="auto"/>
              <w:left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3660" w:type="dxa"/>
            <w:vAlign w:val="bottom"/>
            <w:tcBorders>
              <w:top w:val="single" w:sz="8" w:color="auto"/>
              <w:right w:val="single" w:sz="8" w:color="auto"/>
            </w:tcBorders>
          </w:tcPr>
          <w:p>
            <w:pPr>
              <w:spacing w:after="0"/>
              <w:rPr>
                <w:sz w:val="16"/>
                <w:szCs w:val="16"/>
                <w:color w:val="auto"/>
              </w:rPr>
            </w:pPr>
          </w:p>
        </w:tc>
        <w:tc>
          <w:tcPr>
            <w:tcW w:w="3160" w:type="dxa"/>
            <w:vAlign w:val="bottom"/>
            <w:tcBorders>
              <w:top w:val="single" w:sz="8" w:color="auto"/>
              <w:right w:val="single" w:sz="8" w:color="auto"/>
            </w:tcBorders>
            <w:gridSpan w:val="3"/>
          </w:tcPr>
          <w:p>
            <w:pPr>
              <w:jc w:val="center"/>
              <w:ind w:right="20"/>
              <w:spacing w:after="0" w:line="187"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93"/>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93"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12"/>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2"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bl>
    <w:p>
      <w:pPr>
        <w:spacing w:after="0" w:line="91" w:lineRule="exact"/>
        <w:rPr>
          <w:sz w:val="20"/>
          <w:szCs w:val="20"/>
          <w:color w:val="auto"/>
        </w:rPr>
      </w:pPr>
    </w:p>
    <w:p>
      <w:pPr>
        <w:ind w:right="40"/>
        <w:spacing w:after="0" w:line="283" w:lineRule="auto"/>
        <w:rPr>
          <w:sz w:val="20"/>
          <w:szCs w:val="20"/>
          <w:color w:val="auto"/>
        </w:rPr>
      </w:pPr>
      <w:r>
        <w:rPr>
          <w:rFonts w:ascii="Arial" w:cs="Arial" w:eastAsia="Arial" w:hAnsi="Arial"/>
          <w:sz w:val="19"/>
          <w:szCs w:val="19"/>
          <w:color w:val="auto"/>
        </w:rPr>
        <w:t>The following subsidiaries of the Company were, as of September 30, 2023, guarantors of the Company's $400 principal 4.25% senior notes due 2026, $875 principal 4.75% senior notes due 2026 and $500 principal 5.250% senior notes due 2030:</w:t>
      </w:r>
    </w:p>
    <w:tbl>
      <w:tblPr>
        <w:tblLayout w:type="fixed"/>
        <w:tblInd w:w="110" w:type="dxa"/>
        <w:tblCellMar>
          <w:top w:w="0" w:type="dxa"/>
          <w:left w:w="0" w:type="dxa"/>
          <w:bottom w:w="0" w:type="dxa"/>
          <w:right w:w="0" w:type="dxa"/>
        </w:tblCellMar>
      </w:tblPr>
      <w:tr>
        <w:trPr>
          <w:trHeight w:val="184"/>
        </w:trPr>
        <w:tc>
          <w:tcPr>
            <w:tcW w:w="3640" w:type="dxa"/>
            <w:vAlign w:val="bottom"/>
            <w:tcBorders>
              <w:top w:val="single" w:sz="8" w:color="auto"/>
              <w:left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660" w:type="dxa"/>
            <w:vAlign w:val="bottom"/>
            <w:tcBorders>
              <w:top w:val="single" w:sz="8" w:color="auto"/>
              <w:right w:val="single" w:sz="8" w:color="auto"/>
            </w:tcBorders>
          </w:tcPr>
          <w:p>
            <w:pPr>
              <w:spacing w:after="0"/>
              <w:rPr>
                <w:sz w:val="15"/>
                <w:szCs w:val="15"/>
                <w:color w:val="auto"/>
              </w:rPr>
            </w:pPr>
          </w:p>
        </w:tc>
        <w:tc>
          <w:tcPr>
            <w:tcW w:w="3160" w:type="dxa"/>
            <w:vAlign w:val="bottom"/>
            <w:tcBorders>
              <w:top w:val="single" w:sz="8" w:color="auto"/>
              <w:right w:val="single" w:sz="8" w:color="auto"/>
            </w:tcBorders>
            <w:gridSpan w:val="3"/>
          </w:tcPr>
          <w:p>
            <w:pPr>
              <w:jc w:val="center"/>
              <w:ind w:right="20"/>
              <w:spacing w:after="0" w:line="184" w:lineRule="exact"/>
              <w:rPr>
                <w:sz w:val="20"/>
                <w:szCs w:val="20"/>
                <w:color w:val="auto"/>
              </w:rPr>
            </w:pPr>
            <w:r>
              <w:rPr>
                <w:rFonts w:ascii="Arial" w:cs="Arial" w:eastAsia="Arial" w:hAnsi="Arial"/>
                <w:sz w:val="20"/>
                <w:szCs w:val="20"/>
                <w:b w:val="1"/>
                <w:bCs w:val="1"/>
                <w:color w:val="auto"/>
                <w:w w:val="97"/>
              </w:rPr>
              <w:t>STATE OR COUNTRY OF</w:t>
            </w:r>
          </w:p>
        </w:tc>
        <w:tc>
          <w:tcPr>
            <w:tcW w:w="0" w:type="dxa"/>
            <w:vAlign w:val="bottom"/>
          </w:tcPr>
          <w:p>
            <w:pPr>
              <w:spacing w:after="0"/>
              <w:rPr>
                <w:sz w:val="1"/>
                <w:szCs w:val="1"/>
                <w:color w:val="auto"/>
              </w:rPr>
            </w:pPr>
          </w:p>
        </w:tc>
      </w:tr>
      <w:tr>
        <w:trPr>
          <w:trHeight w:val="193"/>
        </w:trPr>
        <w:tc>
          <w:tcPr>
            <w:tcW w:w="7900" w:type="dxa"/>
            <w:vAlign w:val="bottom"/>
            <w:tcBorders>
              <w:left w:val="single" w:sz="8" w:color="auto"/>
              <w:right w:val="single" w:sz="8" w:color="auto"/>
            </w:tcBorders>
            <w:gridSpan w:val="3"/>
            <w:vMerge w:val="restart"/>
          </w:tcPr>
          <w:p>
            <w:pPr>
              <w:ind w:left="3640"/>
              <w:spacing w:after="0"/>
              <w:rPr>
                <w:sz w:val="20"/>
                <w:szCs w:val="20"/>
                <w:color w:val="auto"/>
              </w:rPr>
            </w:pPr>
            <w:r>
              <w:rPr>
                <w:rFonts w:ascii="Arial" w:cs="Arial" w:eastAsia="Arial" w:hAnsi="Arial"/>
                <w:sz w:val="20"/>
                <w:szCs w:val="20"/>
                <w:b w:val="1"/>
                <w:bCs w:val="1"/>
                <w:color w:val="auto"/>
              </w:rPr>
              <w:t>NAME</w:t>
            </w:r>
          </w:p>
        </w:tc>
        <w:tc>
          <w:tcPr>
            <w:tcW w:w="3160" w:type="dxa"/>
            <w:vAlign w:val="bottom"/>
            <w:tcBorders>
              <w:right w:val="single" w:sz="8" w:color="auto"/>
            </w:tcBorders>
            <w:gridSpan w:val="3"/>
          </w:tcPr>
          <w:p>
            <w:pPr>
              <w:jc w:val="center"/>
              <w:ind w:right="20"/>
              <w:spacing w:after="0" w:line="193" w:lineRule="exact"/>
              <w:rPr>
                <w:sz w:val="20"/>
                <w:szCs w:val="20"/>
                <w:color w:val="auto"/>
              </w:rPr>
            </w:pPr>
            <w:r>
              <w:rPr>
                <w:rFonts w:ascii="Arial" w:cs="Arial" w:eastAsia="Arial" w:hAnsi="Arial"/>
                <w:sz w:val="20"/>
                <w:szCs w:val="20"/>
                <w:b w:val="1"/>
                <w:bCs w:val="1"/>
                <w:color w:val="auto"/>
              </w:rPr>
              <w:t>INCORPORATION OR</w:t>
            </w:r>
          </w:p>
        </w:tc>
        <w:tc>
          <w:tcPr>
            <w:tcW w:w="0" w:type="dxa"/>
            <w:vAlign w:val="bottom"/>
          </w:tcPr>
          <w:p>
            <w:pPr>
              <w:spacing w:after="0"/>
              <w:rPr>
                <w:sz w:val="1"/>
                <w:szCs w:val="1"/>
                <w:color w:val="auto"/>
              </w:rPr>
            </w:pPr>
          </w:p>
        </w:tc>
      </w:tr>
      <w:tr>
        <w:trPr>
          <w:trHeight w:val="212"/>
        </w:trPr>
        <w:tc>
          <w:tcPr>
            <w:tcW w:w="7900" w:type="dxa"/>
            <w:vAlign w:val="bottom"/>
            <w:tcBorders>
              <w:left w:val="single" w:sz="8" w:color="auto"/>
              <w:right w:val="single" w:sz="8" w:color="auto"/>
            </w:tcBorders>
            <w:gridSpan w:val="3"/>
            <w:vMerge w:val="continue"/>
          </w:tcPr>
          <w:p>
            <w:pPr>
              <w:spacing w:after="0"/>
              <w:rPr>
                <w:sz w:val="18"/>
                <w:szCs w:val="18"/>
                <w:color w:val="auto"/>
              </w:rPr>
            </w:pPr>
          </w:p>
        </w:tc>
        <w:tc>
          <w:tcPr>
            <w:tcW w:w="3160" w:type="dxa"/>
            <w:vAlign w:val="bottom"/>
            <w:tcBorders>
              <w:right w:val="single" w:sz="8" w:color="auto"/>
            </w:tcBorders>
            <w:gridSpan w:val="3"/>
          </w:tcPr>
          <w:p>
            <w:pPr>
              <w:jc w:val="center"/>
              <w:ind w:right="20"/>
              <w:spacing w:after="0" w:line="212" w:lineRule="exact"/>
              <w:rPr>
                <w:sz w:val="20"/>
                <w:szCs w:val="20"/>
                <w:color w:val="auto"/>
              </w:rPr>
            </w:pPr>
            <w:r>
              <w:rPr>
                <w:rFonts w:ascii="Arial" w:cs="Arial" w:eastAsia="Arial" w:hAnsi="Arial"/>
                <w:sz w:val="20"/>
                <w:szCs w:val="20"/>
                <w:b w:val="1"/>
                <w:bCs w:val="1"/>
                <w:color w:val="auto"/>
              </w:rPr>
              <w:t>ORGANIZATION</w:t>
            </w:r>
          </w:p>
        </w:tc>
        <w:tc>
          <w:tcPr>
            <w:tcW w:w="0" w:type="dxa"/>
            <w:vAlign w:val="bottom"/>
          </w:tcPr>
          <w:p>
            <w:pPr>
              <w:spacing w:after="0"/>
              <w:rPr>
                <w:sz w:val="1"/>
                <w:szCs w:val="1"/>
                <w:color w:val="auto"/>
              </w:rPr>
            </w:pPr>
          </w:p>
        </w:tc>
      </w:tr>
      <w:tr>
        <w:trPr>
          <w:trHeight w:val="34"/>
        </w:trPr>
        <w:tc>
          <w:tcPr>
            <w:tcW w:w="3640" w:type="dxa"/>
            <w:vAlign w:val="bottom"/>
            <w:tcBorders>
              <w:left w:val="single" w:sz="8" w:color="auto"/>
              <w:bottom w:val="single" w:sz="8" w:color="auto"/>
            </w:tcBorders>
          </w:tcPr>
          <w:p>
            <w:pPr>
              <w:spacing w:after="0"/>
              <w:rPr>
                <w:sz w:val="2"/>
                <w:szCs w:val="2"/>
                <w:color w:val="auto"/>
              </w:rPr>
            </w:pPr>
          </w:p>
        </w:tc>
        <w:tc>
          <w:tcPr>
            <w:tcW w:w="600" w:type="dxa"/>
            <w:vAlign w:val="bottom"/>
            <w:tcBorders>
              <w:top w:val="single" w:sz="8" w:color="auto"/>
              <w:bottom w:val="single" w:sz="8" w:color="auto"/>
            </w:tcBorders>
          </w:tcPr>
          <w:p>
            <w:pPr>
              <w:spacing w:after="0"/>
              <w:rPr>
                <w:sz w:val="2"/>
                <w:szCs w:val="2"/>
                <w:color w:val="auto"/>
              </w:rPr>
            </w:pPr>
          </w:p>
        </w:tc>
        <w:tc>
          <w:tcPr>
            <w:tcW w:w="366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580" w:type="dxa"/>
            <w:vAlign w:val="bottom"/>
            <w:tcBorders>
              <w:top w:val="single" w:sz="8" w:color="auto"/>
              <w:bottom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Consultants,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20"/>
                <w:szCs w:val="20"/>
                <w:color w:val="auto"/>
                <w:w w:val="89"/>
              </w:rPr>
              <w:t>Pennsylvania</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IV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Americas Capital Corp. VI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Beverage Packaging Puerto Rico,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Company (DE),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Cork &amp; Seal USA,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International Holdings,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CROWN Packaging Technology,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Foreign Manufacturers Finance Corporation</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Holdings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Industrial Group US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International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Pickling Holding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Signode US IP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TopFrame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89"/>
              </w:rPr>
              <w:t>Delaware</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Package Design and Manufacturing, Inc.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Michigan</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Simplimatic Engineering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Simplimatic Automation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SE International Holdings</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SE International Holdings II</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4"/>
              </w:rPr>
              <w:t>Ohio</w:t>
            </w:r>
          </w:p>
        </w:tc>
        <w:tc>
          <w:tcPr>
            <w:tcW w:w="0" w:type="dxa"/>
            <w:vAlign w:val="bottom"/>
          </w:tcPr>
          <w:p>
            <w:pPr>
              <w:spacing w:after="0"/>
              <w:rPr>
                <w:sz w:val="1"/>
                <w:szCs w:val="1"/>
                <w:color w:val="auto"/>
              </w:rPr>
            </w:pPr>
          </w:p>
        </w:tc>
      </w:tr>
      <w:tr>
        <w:trPr>
          <w:trHeight w:val="250"/>
        </w:trPr>
        <w:tc>
          <w:tcPr>
            <w:tcW w:w="7900" w:type="dxa"/>
            <w:vAlign w:val="bottom"/>
            <w:tcBorders>
              <w:left w:val="single" w:sz="8" w:color="auto"/>
              <w:bottom w:val="single" w:sz="8" w:color="auto"/>
              <w:right w:val="single" w:sz="8" w:color="auto"/>
            </w:tcBorders>
            <w:gridSpan w:val="3"/>
          </w:tcPr>
          <w:p>
            <w:pPr>
              <w:ind w:left="40"/>
              <w:spacing w:after="0"/>
              <w:rPr>
                <w:sz w:val="20"/>
                <w:szCs w:val="20"/>
                <w:color w:val="auto"/>
              </w:rPr>
            </w:pPr>
            <w:r>
              <w:rPr>
                <w:rFonts w:ascii="Arial" w:cs="Arial" w:eastAsia="Arial" w:hAnsi="Arial"/>
                <w:sz w:val="20"/>
                <w:szCs w:val="20"/>
                <w:color w:val="auto"/>
              </w:rPr>
              <w:t>SEH Real Estate Holdings LLC</w:t>
            </w:r>
          </w:p>
        </w:tc>
        <w:tc>
          <w:tcPr>
            <w:tcW w:w="780" w:type="dxa"/>
            <w:vAlign w:val="bottom"/>
            <w:tcBorders>
              <w:bottom w:val="single" w:sz="8" w:color="auto"/>
            </w:tcBorders>
          </w:tcPr>
          <w:p>
            <w:pPr>
              <w:spacing w:after="0"/>
              <w:rPr>
                <w:sz w:val="21"/>
                <w:szCs w:val="21"/>
                <w:color w:val="auto"/>
              </w:rPr>
            </w:pPr>
          </w:p>
        </w:tc>
        <w:tc>
          <w:tcPr>
            <w:tcW w:w="2380" w:type="dxa"/>
            <w:vAlign w:val="bottom"/>
            <w:tcBorders>
              <w:bottom w:val="single" w:sz="8" w:color="auto"/>
              <w:right w:val="single" w:sz="8" w:color="auto"/>
            </w:tcBorders>
            <w:gridSpan w:val="2"/>
          </w:tcPr>
          <w:p>
            <w:pPr>
              <w:jc w:val="center"/>
              <w:ind w:right="820"/>
              <w:spacing w:after="0"/>
              <w:rPr>
                <w:sz w:val="20"/>
                <w:szCs w:val="20"/>
                <w:color w:val="auto"/>
              </w:rPr>
            </w:pPr>
            <w:r>
              <w:rPr>
                <w:rFonts w:ascii="Arial" w:cs="Arial" w:eastAsia="Arial" w:hAnsi="Arial"/>
                <w:sz w:val="20"/>
                <w:szCs w:val="20"/>
                <w:color w:val="auto"/>
                <w:w w:val="95"/>
              </w:rPr>
              <w:t>Virginia</w:t>
            </w:r>
          </w:p>
        </w:tc>
        <w:tc>
          <w:tcPr>
            <w:tcW w:w="0" w:type="dxa"/>
            <w:vAlign w:val="bottom"/>
          </w:tcPr>
          <w:p>
            <w:pPr>
              <w:spacing w:after="0"/>
              <w:rPr>
                <w:sz w:val="1"/>
                <w:szCs w:val="1"/>
                <w:color w:val="auto"/>
              </w:rPr>
            </w:pPr>
          </w:p>
        </w:tc>
      </w:tr>
    </w:tbl>
    <w:p>
      <w:pPr>
        <w:sectPr>
          <w:pgSz w:w="11900" w:h="16838" w:orient="portrait"/>
          <w:cols w:equalWidth="0" w:num="1">
            <w:col w:w="11160"/>
          </w:cols>
          <w:pgMar w:left="320" w:top="886" w:right="419" w:bottom="1440" w:gutter="0" w:footer="0" w:header="0"/>
        </w:sectPr>
      </w:pPr>
    </w:p>
    <w:bookmarkStart w:id="42" w:name="page43"/>
    <w:bookmarkEnd w:id="42"/>
    <w:p>
      <w:pPr>
        <w:ind w:left="9720"/>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52"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right="80" w:hanging="332"/>
        <w:spacing w:after="0" w:line="263"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340" w:right="100" w:hanging="332"/>
        <w:spacing w:after="0" w:line="263"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340" w:right="80" w:hanging="332"/>
        <w:spacing w:after="0" w:line="263"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100" w:hanging="324"/>
        <w:spacing w:after="0" w:line="263" w:lineRule="auto"/>
        <w:tabs>
          <w:tab w:leader="none" w:pos="9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right="100" w:hanging="324"/>
        <w:spacing w:after="0" w:line="263" w:lineRule="auto"/>
        <w:tabs>
          <w:tab w:leader="none" w:pos="9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100" w:hanging="324"/>
        <w:spacing w:after="0" w:line="263" w:lineRule="auto"/>
        <w:tabs>
          <w:tab w:leader="none" w:pos="9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980" w:right="80" w:hanging="324"/>
        <w:spacing w:after="0" w:line="263" w:lineRule="auto"/>
        <w:tabs>
          <w:tab w:leader="none" w:pos="978"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jc w:val="both"/>
        <w:ind w:left="340" w:right="80" w:hanging="332"/>
        <w:spacing w:after="0" w:line="263" w:lineRule="auto"/>
        <w:tabs>
          <w:tab w:leader="none" w:pos="3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980" w:right="80" w:hanging="324"/>
        <w:spacing w:after="0" w:line="263" w:lineRule="auto"/>
        <w:tabs>
          <w:tab w:leader="none" w:pos="89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980" w:hanging="324"/>
        <w:spacing w:after="0" w:line="275" w:lineRule="auto"/>
        <w:tabs>
          <w:tab w:leader="none" w:pos="1153"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4"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Date: October 30, 2023</w:t>
      </w:r>
      <w:r>
        <w:rPr>
          <w:sz w:val="20"/>
          <w:szCs w:val="20"/>
          <w:color w:val="auto"/>
        </w:rPr>
        <w:tab/>
      </w:r>
      <w:r>
        <w:rPr>
          <w:rFonts w:ascii="Arial" w:cs="Arial" w:eastAsia="Arial" w:hAnsi="Arial"/>
          <w:sz w:val="17"/>
          <w:szCs w:val="17"/>
          <w:u w:val="single" w:color="auto"/>
          <w:color w:val="auto"/>
        </w:rPr>
        <w:t>/s/ Timothy J. Donahue</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Timothy J. Donahue</w:t>
      </w:r>
    </w:p>
    <w:p>
      <w:pPr>
        <w:spacing w:after="0" w:line="9"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0920"/>
          </w:cols>
          <w:pgMar w:left="320" w:top="1129" w:right="65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CERTIFICATION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 Kevin C. Clothier, certify that:</w:t>
      </w:r>
    </w:p>
    <w:p>
      <w:pPr>
        <w:spacing w:after="0" w:line="252"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52" w:lineRule="exact"/>
        <w:rPr>
          <w:rFonts w:ascii="Arial" w:cs="Arial" w:eastAsia="Arial" w:hAnsi="Arial"/>
          <w:sz w:val="18"/>
          <w:szCs w:val="18"/>
          <w:color w:val="auto"/>
        </w:rPr>
      </w:pPr>
    </w:p>
    <w:p>
      <w:pPr>
        <w:jc w:val="both"/>
        <w:ind w:left="340" w:hanging="332"/>
        <w:spacing w:after="0" w:line="263"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jc w:val="both"/>
        <w:ind w:left="340" w:right="20" w:hanging="332"/>
        <w:spacing w:after="0" w:line="263"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right="20" w:hanging="324"/>
        <w:spacing w:after="0" w:line="263" w:lineRule="auto"/>
        <w:tabs>
          <w:tab w:leader="none" w:pos="97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right="20" w:hanging="324"/>
        <w:spacing w:after="0" w:line="263" w:lineRule="auto"/>
        <w:tabs>
          <w:tab w:leader="none" w:pos="97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980" w:right="20" w:hanging="324"/>
        <w:spacing w:after="0" w:line="263" w:lineRule="auto"/>
        <w:tabs>
          <w:tab w:leader="none" w:pos="9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78"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jc w:val="both"/>
        <w:ind w:left="340" w:hanging="332"/>
        <w:spacing w:after="0" w:line="263"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10" w:lineRule="exact"/>
        <w:rPr>
          <w:rFonts w:ascii="Arial" w:cs="Arial" w:eastAsia="Arial" w:hAnsi="Arial"/>
          <w:sz w:val="18"/>
          <w:szCs w:val="18"/>
          <w:color w:val="auto"/>
        </w:rPr>
      </w:pPr>
    </w:p>
    <w:p>
      <w:pPr>
        <w:ind w:left="980" w:hanging="324"/>
        <w:spacing w:after="0" w:line="263" w:lineRule="auto"/>
        <w:tabs>
          <w:tab w:leader="none" w:pos="893" w:val="left"/>
        </w:tabs>
        <w:numPr>
          <w:ilvl w:val="1"/>
          <w:numId w:val="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0" w:lineRule="exact"/>
        <w:rPr>
          <w:rFonts w:ascii="Arial" w:cs="Arial" w:eastAsia="Arial" w:hAnsi="Arial"/>
          <w:sz w:val="18"/>
          <w:szCs w:val="18"/>
          <w:color w:val="auto"/>
        </w:rPr>
      </w:pPr>
    </w:p>
    <w:p>
      <w:pPr>
        <w:ind w:left="980" w:hanging="324"/>
        <w:spacing w:after="0" w:line="275" w:lineRule="auto"/>
        <w:tabs>
          <w:tab w:leader="none" w:pos="1139"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Date: October 30, 2023</w:t>
      </w:r>
      <w:r>
        <w:rPr>
          <w:sz w:val="20"/>
          <w:szCs w:val="20"/>
          <w:color w:val="auto"/>
        </w:rPr>
        <w:tab/>
      </w:r>
      <w:r>
        <w:rPr>
          <w:rFonts w:ascii="Arial" w:cs="Arial" w:eastAsia="Arial" w:hAnsi="Arial"/>
          <w:sz w:val="17"/>
          <w:szCs w:val="17"/>
          <w:u w:val="single" w:color="auto"/>
          <w:color w:val="auto"/>
        </w:rPr>
        <w:t>/s/ Kevin C. Clothier</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Kevin C. Clothier</w:t>
      </w:r>
    </w:p>
    <w:p>
      <w:pPr>
        <w:spacing w:after="0" w:line="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840"/>
          </w:cols>
          <w:pgMar w:left="320" w:top="1129" w:right="7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340" w:right="2700"/>
        <w:spacing w:after="0" w:line="272"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19" w:lineRule="exact"/>
        <w:rPr>
          <w:sz w:val="20"/>
          <w:szCs w:val="20"/>
          <w:color w:val="auto"/>
        </w:rPr>
      </w:pPr>
    </w:p>
    <w:p>
      <w:pPr>
        <w:jc w:val="both"/>
        <w:ind w:firstLine="351"/>
        <w:spacing w:after="0" w:line="254"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September 30, 2023 (the “Report”), each of the undersigned officers certify, pursuant to 18 U.S.C. § 1350, as adopted pursuant to § 906 of the Sarbanes-Oxley Act of 2002, that:</w:t>
      </w:r>
    </w:p>
    <w:p>
      <w:pPr>
        <w:spacing w:after="0" w:line="209" w:lineRule="exact"/>
        <w:rPr>
          <w:sz w:val="20"/>
          <w:szCs w:val="20"/>
          <w:color w:val="auto"/>
        </w:rPr>
      </w:pPr>
    </w:p>
    <w:p>
      <w:pPr>
        <w:ind w:firstLine="8"/>
        <w:spacing w:after="0" w:line="277" w:lineRule="auto"/>
        <w:tabs>
          <w:tab w:leader="none" w:pos="602"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Report fully complies with the requirements of Section 13(a) or 15(d) of the Securities Exchange Act of 1934; and</w:t>
      </w:r>
    </w:p>
    <w:p>
      <w:pPr>
        <w:spacing w:after="0" w:line="185" w:lineRule="exact"/>
        <w:rPr>
          <w:rFonts w:ascii="Arial" w:cs="Arial" w:eastAsia="Arial" w:hAnsi="Arial"/>
          <w:sz w:val="22"/>
          <w:szCs w:val="22"/>
          <w:color w:val="auto"/>
        </w:rPr>
      </w:pPr>
    </w:p>
    <w:p>
      <w:pPr>
        <w:ind w:right="20" w:firstLine="8"/>
        <w:spacing w:after="0" w:line="264" w:lineRule="auto"/>
        <w:tabs>
          <w:tab w:leader="none" w:pos="515"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760" w:type="dxa"/>
            <w:vAlign w:val="bottom"/>
          </w:tcPr>
          <w:p>
            <w:pPr>
              <w:ind w:left="120"/>
              <w:spacing w:after="0"/>
              <w:rPr>
                <w:sz w:val="20"/>
                <w:szCs w:val="20"/>
                <w:color w:val="auto"/>
              </w:rPr>
            </w:pPr>
            <w:r>
              <w:rPr>
                <w:rFonts w:ascii="Arial" w:cs="Arial" w:eastAsia="Arial" w:hAnsi="Arial"/>
                <w:sz w:val="22"/>
                <w:szCs w:val="22"/>
                <w:color w:val="auto"/>
              </w:rPr>
              <w:t>October 30, 2023</w:t>
            </w:r>
          </w:p>
        </w:tc>
        <w:tc>
          <w:tcPr>
            <w:tcW w:w="5780" w:type="dxa"/>
            <w:vAlign w:val="bottom"/>
            <w:gridSpan w:val="3"/>
          </w:tcPr>
          <w:p>
            <w:pPr>
              <w:spacing w:after="0"/>
              <w:rPr>
                <w:sz w:val="20"/>
                <w:szCs w:val="20"/>
                <w:color w:val="auto"/>
              </w:rPr>
            </w:pPr>
            <w:r>
              <w:rPr>
                <w:rFonts w:ascii="Arial" w:cs="Arial" w:eastAsia="Arial" w:hAnsi="Arial"/>
                <w:sz w:val="22"/>
                <w:szCs w:val="22"/>
                <w:color w:val="auto"/>
              </w:rPr>
              <w:t>/s/ Timothy J. Donahue</w:t>
            </w:r>
          </w:p>
        </w:tc>
      </w:tr>
      <w:tr>
        <w:trPr>
          <w:trHeight w:val="20"/>
        </w:trPr>
        <w:tc>
          <w:tcPr>
            <w:tcW w:w="6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68"/>
        </w:trPr>
        <w:tc>
          <w:tcPr>
            <w:tcW w:w="64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3"/>
          </w:tcPr>
          <w:p>
            <w:pPr>
              <w:ind w:left="1140"/>
              <w:spacing w:after="0"/>
              <w:rPr>
                <w:sz w:val="20"/>
                <w:szCs w:val="20"/>
                <w:color w:val="auto"/>
              </w:rPr>
            </w:pPr>
            <w:r>
              <w:rPr>
                <w:rFonts w:ascii="Arial" w:cs="Arial" w:eastAsia="Arial" w:hAnsi="Arial"/>
                <w:sz w:val="22"/>
                <w:szCs w:val="22"/>
                <w:color w:val="auto"/>
              </w:rPr>
              <w:t>Timothy J. Donahue</w:t>
            </w:r>
          </w:p>
        </w:tc>
      </w:tr>
      <w:tr>
        <w:trPr>
          <w:trHeight w:val="275"/>
        </w:trPr>
        <w:tc>
          <w:tcPr>
            <w:tcW w:w="64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3"/>
          </w:tcPr>
          <w:p>
            <w:pPr>
              <w:ind w:left="1140"/>
              <w:spacing w:after="0"/>
              <w:rPr>
                <w:sz w:val="20"/>
                <w:szCs w:val="20"/>
                <w:color w:val="auto"/>
              </w:rPr>
            </w:pPr>
            <w:r>
              <w:rPr>
                <w:rFonts w:ascii="Arial" w:cs="Arial" w:eastAsia="Arial" w:hAnsi="Arial"/>
                <w:sz w:val="22"/>
                <w:szCs w:val="22"/>
                <w:color w:val="auto"/>
                <w:w w:val="97"/>
              </w:rPr>
              <w:t>Chairman, President and Chief Executive Officer</w:t>
            </w:r>
          </w:p>
        </w:tc>
      </w:tr>
      <w:tr>
        <w:trPr>
          <w:trHeight w:val="463"/>
        </w:trPr>
        <w:tc>
          <w:tcPr>
            <w:tcW w:w="640" w:type="dxa"/>
            <w:vAlign w:val="bottom"/>
          </w:tcPr>
          <w:p>
            <w:pPr>
              <w:spacing w:after="0"/>
              <w:rPr>
                <w:sz w:val="20"/>
                <w:szCs w:val="20"/>
                <w:color w:val="auto"/>
              </w:rPr>
            </w:pPr>
            <w:r>
              <w:rPr>
                <w:rFonts w:ascii="Arial" w:cs="Arial" w:eastAsia="Arial" w:hAnsi="Arial"/>
                <w:sz w:val="22"/>
                <w:szCs w:val="22"/>
                <w:color w:val="auto"/>
              </w:rPr>
              <w:t>Date:</w:t>
            </w:r>
          </w:p>
        </w:tc>
        <w:tc>
          <w:tcPr>
            <w:tcW w:w="2760" w:type="dxa"/>
            <w:vAlign w:val="bottom"/>
          </w:tcPr>
          <w:p>
            <w:pPr>
              <w:ind w:left="120"/>
              <w:spacing w:after="0"/>
              <w:rPr>
                <w:sz w:val="20"/>
                <w:szCs w:val="20"/>
                <w:color w:val="auto"/>
              </w:rPr>
            </w:pPr>
            <w:r>
              <w:rPr>
                <w:rFonts w:ascii="Arial" w:cs="Arial" w:eastAsia="Arial" w:hAnsi="Arial"/>
                <w:sz w:val="22"/>
                <w:szCs w:val="22"/>
                <w:color w:val="auto"/>
              </w:rPr>
              <w:t>October 30, 2023</w:t>
            </w:r>
          </w:p>
        </w:tc>
        <w:tc>
          <w:tcPr>
            <w:tcW w:w="5780" w:type="dxa"/>
            <w:vAlign w:val="bottom"/>
            <w:gridSpan w:val="3"/>
          </w:tcPr>
          <w:p>
            <w:pPr>
              <w:spacing w:after="0"/>
              <w:rPr>
                <w:sz w:val="20"/>
                <w:szCs w:val="20"/>
                <w:color w:val="auto"/>
              </w:rPr>
            </w:pPr>
            <w:r>
              <w:rPr>
                <w:rFonts w:ascii="Arial" w:cs="Arial" w:eastAsia="Arial" w:hAnsi="Arial"/>
                <w:sz w:val="22"/>
                <w:szCs w:val="22"/>
                <w:color w:val="auto"/>
              </w:rPr>
              <w:t>/s/ Kevin C. Clothier</w:t>
            </w:r>
          </w:p>
        </w:tc>
      </w:tr>
      <w:tr>
        <w:trPr>
          <w:trHeight w:val="20"/>
        </w:trPr>
        <w:tc>
          <w:tcPr>
            <w:tcW w:w="6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bl>
    <w:p>
      <w:pPr>
        <w:spacing w:after="0" w:line="18"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Kevin C. Clothier</w:t>
      </w:r>
    </w:p>
    <w:p>
      <w:pPr>
        <w:spacing w:after="0" w:line="20"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Senior Vice President</w:t>
      </w:r>
    </w:p>
    <w:p>
      <w:pPr>
        <w:spacing w:after="0" w:line="4" w:lineRule="exact"/>
        <w:rPr>
          <w:sz w:val="20"/>
          <w:szCs w:val="20"/>
          <w:color w:val="auto"/>
        </w:rPr>
      </w:pPr>
    </w:p>
    <w:p>
      <w:pPr>
        <w:ind w:left="2100"/>
        <w:spacing w:after="0"/>
        <w:rPr>
          <w:sz w:val="20"/>
          <w:szCs w:val="20"/>
          <w:color w:val="auto"/>
        </w:rPr>
      </w:pPr>
      <w:r>
        <w:rPr>
          <w:rFonts w:ascii="Arial" w:cs="Arial" w:eastAsia="Arial" w:hAnsi="Arial"/>
          <w:sz w:val="22"/>
          <w:szCs w:val="22"/>
          <w:color w:val="auto"/>
        </w:rPr>
        <w:t>and Chief Financial Officer</w:t>
      </w:r>
    </w:p>
    <w:p>
      <w:pPr>
        <w:spacing w:after="0" w:line="200" w:lineRule="exact"/>
        <w:rPr>
          <w:sz w:val="20"/>
          <w:szCs w:val="20"/>
          <w:color w:val="auto"/>
        </w:rPr>
      </w:pP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240"/>
      </w:cols>
      <w:pgMar w:left="320" w:top="11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upperLetter"/>
      <w:start w:val="1"/>
    </w:lvl>
  </w:abstractNum>
  <w:abstractNum w:abstractNumId="3">
    <w:nsid w:val="41A7C4C9"/>
    <w:multiLevelType w:val="hybridMultilevel"/>
    <w:lvl w:ilvl="0">
      <w:lvlJc w:val="left"/>
      <w:lvlText w:val="%1."/>
      <w:numFmt w:val="upperLetter"/>
      <w:start w:val="6"/>
    </w:lvl>
  </w:abstractNum>
  <w:abstractNum w:abstractNumId="4">
    <w:nsid w:val="6B68079A"/>
    <w:multiLevelType w:val="hybridMultilevel"/>
    <w:lvl w:ilvl="0">
      <w:lvlJc w:val="left"/>
      <w:lvlText w:val="%1."/>
      <w:numFmt w:val="upperLetter"/>
      <w:start w:val="7"/>
    </w:lvl>
  </w:abstractNum>
  <w:abstractNum w:abstractNumId="5">
    <w:nsid w:val="4E6AFB66"/>
    <w:multiLevelType w:val="hybridMultilevel"/>
    <w:lvl w:ilvl="0">
      <w:lvlJc w:val="left"/>
      <w:lvlText w:val="%1."/>
      <w:numFmt w:val="upperLetter"/>
      <w:start w:val="8"/>
    </w:lvl>
  </w:abstractNum>
  <w:abstractNum w:abstractNumId="6">
    <w:nsid w:val="25E45D32"/>
    <w:multiLevelType w:val="hybridMultilevel"/>
    <w:lvl w:ilvl="0">
      <w:lvlJc w:val="left"/>
      <w:lvlText w:val="%1."/>
      <w:numFmt w:val="upperLetter"/>
      <w:start w:val="9"/>
    </w:lvl>
  </w:abstractNum>
  <w:abstractNum w:abstractNumId="7">
    <w:nsid w:val="519B500D"/>
    <w:multiLevelType w:val="hybridMultilevel"/>
    <w:lvl w:ilvl="0">
      <w:lvlJc w:val="left"/>
      <w:lvlText w:val="%1."/>
      <w:numFmt w:val="upperLetter"/>
      <w:start w:val="10"/>
    </w:lvl>
  </w:abstractNum>
  <w:abstractNum w:abstractNumId="8">
    <w:nsid w:val="431BD7B7"/>
    <w:multiLevelType w:val="hybridMultilevel"/>
    <w:lvl w:ilvl="0">
      <w:lvlJc w:val="left"/>
      <w:lvlText w:val="%1."/>
      <w:numFmt w:val="upperLetter"/>
      <w:start w:val="11"/>
    </w:lvl>
  </w:abstractNum>
  <w:abstractNum w:abstractNumId="9">
    <w:nsid w:val="3F2DBA31"/>
    <w:multiLevelType w:val="hybridMultilevel"/>
    <w:lvl w:ilvl="0">
      <w:lvlJc w:val="left"/>
      <w:lvlText w:val="%1."/>
      <w:numFmt w:val="upperLetter"/>
      <w:start w:val="12"/>
    </w:lvl>
  </w:abstractNum>
  <w:abstractNum w:abstractNumId="10">
    <w:nsid w:val="7C83E458"/>
    <w:multiLevelType w:val="hybridMultilevel"/>
    <w:lvl w:ilvl="0">
      <w:lvlJc w:val="left"/>
      <w:lvlText w:val="%1."/>
      <w:numFmt w:val="upperLetter"/>
      <w:start w:val="13"/>
    </w:lvl>
  </w:abstractNum>
  <w:abstractNum w:abstractNumId="11">
    <w:nsid w:val="257130A3"/>
    <w:multiLevelType w:val="hybridMultilevel"/>
    <w:lvl w:ilvl="0">
      <w:lvlJc w:val="left"/>
      <w:lvlText w:val="%1."/>
      <w:numFmt w:val="upperLetter"/>
      <w:start w:val="14"/>
    </w:lvl>
  </w:abstractNum>
  <w:abstractNum w:abstractNumId="12">
    <w:nsid w:val="62BBD95A"/>
    <w:multiLevelType w:val="hybridMultilevel"/>
    <w:lvl w:ilvl="0">
      <w:lvlJc w:val="left"/>
      <w:lvlText w:val="%1."/>
      <w:numFmt w:val="upperLetter"/>
      <w:start w:val="16"/>
    </w:lvl>
  </w:abstractNum>
  <w:abstractNum w:abstractNumId="13">
    <w:nsid w:val="436C6125"/>
    <w:multiLevelType w:val="hybridMultilevel"/>
    <w:lvl w:ilvl="0">
      <w:lvlJc w:val="left"/>
      <w:lvlText w:val="%1."/>
      <w:numFmt w:val="upperLetter"/>
      <w:start w:val="17"/>
    </w:lvl>
  </w:abstractNum>
  <w:abstractNum w:abstractNumId="14">
    <w:nsid w:val="628C895D"/>
    <w:multiLevelType w:val="hybridMultilevel"/>
    <w:lvl w:ilvl="0">
      <w:lvlJc w:val="left"/>
      <w:lvlText w:val="%1."/>
      <w:numFmt w:val="upperLetter"/>
      <w:start w:val="18"/>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decimal"/>
      <w:start w:val="1"/>
    </w:lvl>
  </w:abstractNum>
  <w:abstractNum w:abstractNumId="18">
    <w:nsid w:val="2D1D5AE9"/>
    <w:multiLevelType w:val="hybridMultilevel"/>
    <w:lvl w:ilvl="0">
      <w:lvlJc w:val="left"/>
      <w:lvlText w:val="%1"/>
      <w:numFmt w:val="decimal"/>
      <w:start w:val="22"/>
    </w:lvl>
  </w:abstractNum>
  <w:abstractNum w:abstractNumId="19">
    <w:nsid w:val="6763845E"/>
    <w:multiLevelType w:val="hybridMultilevel"/>
    <w:lvl w:ilvl="0">
      <w:lvlJc w:val="left"/>
      <w:lvlText w:val="%1"/>
      <w:numFmt w:val="decimal"/>
      <w:start w:val="32"/>
    </w:lvl>
  </w:abstractNum>
  <w:abstractNum w:abstractNumId="20">
    <w:nsid w:val="75A2A8D4"/>
    <w:multiLevelType w:val="hybridMultilevel"/>
    <w:lvl w:ilvl="0">
      <w:lvlJc w:val="left"/>
      <w:lvlText w:val="%1"/>
      <w:numFmt w:val="decimal"/>
      <w:start w:val="10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lowerLetter"/>
      <w:start w:val="2"/>
    </w:lvl>
  </w:abstractNum>
  <w:abstractNum w:abstractNumId="23">
    <w:nsid w:val="4353D0CD"/>
    <w:multiLevelType w:val="hybridMultilevel"/>
    <w:lvl w:ilvl="0">
      <w:lvlJc w:val="left"/>
      <w:lvlText w:val="(%1)"/>
      <w:numFmt w:val="lowerLetter"/>
      <w:start w:val="3"/>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2023-10-30T11:19:34Z</dcterms:created>
  <dcterms:modified xsi:type="dcterms:W3CDTF">2023-10-30T11:19:34Z</dcterms:modified>
</cp:coreProperties>
</file>