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#228368106</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#228368106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7,437,663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8,787,602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8,787,602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7.284%</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#228368106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8,787,602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8,787,602</w:t>
      </w:r>
    </w:p>
    <w:p>
      <w:pPr>
        <w:spacing w:after="0"/>
        <w:rPr>
          <w:sz w:val="20"/>
          <w:szCs w:val="20"/>
          <w:color w:val="auto"/>
        </w:rPr>
      </w:pPr>
      <w:r>
        <w:rPr>
          <w:rFonts w:ascii="Courier New" w:cs="Courier New" w:eastAsia="Courier New" w:hAnsi="Courier New"/>
          <w:sz w:val="18"/>
          <w:szCs w:val="18"/>
          <w:color w:val="auto"/>
        </w:rPr>
        <w:t>Item 11: 7.284%</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14025 RIVEREDGE DRIVE, SUITE 300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TAMPA, FL 33637</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228368106</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8,787,602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7.284%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8,787,602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CROWN HOLDINGS INC. No one other person's interest in the COMMON STOCK of CROWN HOLDINGS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2"/>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110" w:right="1440" w:bottom="0" w:gutter="0" w:footer="0" w:header="0"/>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8, 2024, agree and consent to the joint filing on their behalf of this Schedule 13G in connection with their beneficial ownership of the COMMON STOCK of CROWN HOLDINGS INC at September 30,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2"/>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2024-11-12T09:19:02Z</dcterms:created>
  <dcterms:modified xsi:type="dcterms:W3CDTF">2024-11-12T09:19:02Z</dcterms:modified>
</cp:coreProperties>
</file>