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40" w:right="118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2024</w:t>
      </w:r>
    </w:p>
    <w:p>
      <w:pPr>
        <w:spacing w:after="0" w:line="233" w:lineRule="exact"/>
        <w:rPr>
          <w:sz w:val="24"/>
          <w:szCs w:val="24"/>
          <w:color w:val="auto"/>
        </w:rPr>
      </w:pPr>
    </w:p>
    <w:p>
      <w:pPr>
        <w:ind w:left="440" w:right="116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001-41550</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640" w:type="dxa"/>
            <w:vAlign w:val="bottom"/>
          </w:tcPr>
          <w:p>
            <w:pPr>
              <w:jc w:val="center"/>
              <w:ind w:left="122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46"/>
        </w:trPr>
        <w:tc>
          <w:tcPr>
            <w:tcW w:w="3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8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Tampa</w:t>
            </w: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FL</w:t>
            </w:r>
          </w:p>
        </w:tc>
        <w:tc>
          <w:tcPr>
            <w:tcW w:w="168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33637</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7"/>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jc w:val="right"/>
              <w:ind w:right="1156"/>
              <w:spacing w:after="0"/>
              <w:rPr>
                <w:sz w:val="20"/>
                <w:szCs w:val="20"/>
                <w:color w:val="auto"/>
              </w:rPr>
            </w:pPr>
            <w:r>
              <w:rPr>
                <w:rFonts w:ascii="Times New Roman" w:cs="Times New Roman" w:eastAsia="Times New Roman" w:hAnsi="Times New Roman"/>
                <w:sz w:val="18"/>
                <w:szCs w:val="18"/>
                <w:b w:val="1"/>
                <w:bCs w:val="1"/>
                <w:color w:val="auto"/>
              </w:rPr>
              <w:t>215-698-5100</w:t>
            </w:r>
          </w:p>
        </w:tc>
        <w:tc>
          <w:tcPr>
            <w:tcW w:w="168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4"/>
                <w:szCs w:val="14"/>
                <w:color w:val="auto"/>
              </w:rPr>
            </w:pPr>
          </w:p>
        </w:tc>
      </w:tr>
      <w:tr>
        <w:trPr>
          <w:trHeight w:val="188"/>
        </w:trPr>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rPr>
              <w:t>____________________</w:t>
            </w:r>
          </w:p>
        </w:tc>
        <w:tc>
          <w:tcPr>
            <w:tcW w:w="1680" w:type="dxa"/>
            <w:vAlign w:val="bottom"/>
          </w:tcPr>
          <w:p>
            <w:pPr>
              <w:spacing w:after="0"/>
              <w:rPr>
                <w:sz w:val="16"/>
                <w:szCs w:val="16"/>
                <w:color w:val="auto"/>
              </w:rPr>
            </w:pPr>
          </w:p>
        </w:tc>
      </w:tr>
      <w:tr>
        <w:trPr>
          <w:trHeight w:val="301"/>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80" w:type="dxa"/>
            <w:vAlign w:val="bottom"/>
          </w:tcPr>
          <w:p>
            <w:pPr>
              <w:spacing w:after="0"/>
              <w:rPr>
                <w:sz w:val="24"/>
                <w:szCs w:val="24"/>
                <w:color w:val="auto"/>
              </w:rPr>
            </w:pPr>
          </w:p>
        </w:tc>
      </w:tr>
      <w:tr>
        <w:trPr>
          <w:trHeight w:val="327"/>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Trading Symbols</w:t>
            </w:r>
          </w:p>
        </w:tc>
        <w:tc>
          <w:tcPr>
            <w:tcW w:w="3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680" w:type="dxa"/>
            <w:vAlign w:val="bottom"/>
            <w:tcBorders>
              <w:bottom w:val="single" w:sz="8" w:color="auto"/>
            </w:tcBorders>
          </w:tcPr>
          <w:p>
            <w:pPr>
              <w:spacing w:after="0"/>
              <w:rPr>
                <w:sz w:val="24"/>
                <w:szCs w:val="24"/>
                <w:color w:val="auto"/>
              </w:rPr>
            </w:pP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7"/>
                <w:szCs w:val="17"/>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CCK26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CCK96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119,632,290 shares of Common Stock outstanding as of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20" w:type="dxa"/>
            <w:vAlign w:val="bottom"/>
            <w:gridSpan w:val="3"/>
          </w:tcPr>
          <w:p>
            <w:pPr>
              <w:ind w:left="384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17"/>
                <w:szCs w:val="17"/>
                <w:color w:val="auto"/>
              </w:rPr>
            </w:pPr>
          </w:p>
        </w:tc>
      </w:tr>
      <w:tr>
        <w:trPr>
          <w:trHeight w:val="6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8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Basis of Presentation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B.  Recent Accounting and Reporting Pronouncements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  Cash, Cash Equivalents, and Restricted Cash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w:t>
            </w:r>
          </w:p>
        </w:tc>
        <w:tc>
          <w:tcPr>
            <w:tcW w:w="8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G.  Supplier Finance Program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Asbestos-Related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J.  Commitments and Contingent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K.  Derivative and Other 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M.  Pension and Other Postretirement Benefits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O.  Accumulated Other Comprehensive Loss Attributable to Crown Holdings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Segment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992"/>
        </w:trPr>
        <w:tc>
          <w:tcPr>
            <w:tcW w:w="8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5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8"/>
        </w:trPr>
        <w:tc>
          <w:tcPr>
            <w:tcW w:w="3800" w:type="dxa"/>
            <w:vAlign w:val="bottom"/>
          </w:tcPr>
          <w:p>
            <w:pPr>
              <w:spacing w:after="0"/>
              <w:rPr>
                <w:sz w:val="24"/>
                <w:szCs w:val="24"/>
                <w:color w:val="auto"/>
              </w:rPr>
            </w:pPr>
          </w:p>
        </w:tc>
        <w:tc>
          <w:tcPr>
            <w:tcW w:w="34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34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8"/>
          </w:tcPr>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3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25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0" w:type="dxa"/>
            <w:vAlign w:val="bottom"/>
          </w:tcPr>
          <w:p>
            <w:pPr>
              <w:spacing w:after="0"/>
              <w:rPr>
                <w:sz w:val="1"/>
                <w:szCs w:val="1"/>
                <w:color w:val="auto"/>
              </w:rPr>
            </w:pPr>
          </w:p>
        </w:tc>
      </w:tr>
      <w:tr>
        <w:trPr>
          <w:trHeight w:val="223"/>
        </w:trPr>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taxes and equity in net earnings of affiliates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9"/>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6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income (loss) attributable to Crown Holdings</w:t>
            </w:r>
          </w:p>
        </w:tc>
        <w:tc>
          <w:tcPr>
            <w:tcW w:w="2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 attributable to Crown Holdings: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500" w:type="dxa"/>
            <w:vAlign w:val="bottom"/>
            <w:gridSpan w:val="2"/>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1.33</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0.55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w:t>
            </w:r>
          </w:p>
        </w:tc>
        <w:tc>
          <w:tcPr>
            <w:tcW w:w="4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0.55</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 w:name="page4"/>
    <w:bookmarkEnd w:id="3"/>
    <w:tbl>
      <w:tblPr>
        <w:tblLayout w:type="fixed"/>
        <w:tblInd w:w="16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747"/>
        </w:trPr>
        <w:tc>
          <w:tcPr>
            <w:tcW w:w="8700" w:type="dxa"/>
            <w:vAlign w:val="bottom"/>
            <w:gridSpan w:val="8"/>
          </w:tcPr>
          <w:p>
            <w:pPr>
              <w:ind w:left="28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8"/>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4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50"/>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540" w:type="dxa"/>
            <w:vAlign w:val="bottom"/>
            <w:shd w:val="clear" w:color="auto" w:fill="CCEE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1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0"/>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540" w:type="dxa"/>
            <w:vAlign w:val="bottom"/>
            <w:shd w:val="clear" w:color="auto" w:fill="CCEE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7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3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1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47"/>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0"/>
        </w:trPr>
        <w:tc>
          <w:tcPr>
            <w:tcW w:w="35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0000FF"/>
              </w:rPr>
              <w:t>Note J</w:t>
            </w:r>
            <w:r>
              <w:rPr>
                <w:rFonts w:ascii="Times New Roman" w:cs="Times New Roman" w:eastAsia="Times New Roman" w:hAnsi="Times New Roman"/>
                <w:sz w:val="18"/>
                <w:szCs w:val="18"/>
                <w:i w:val="1"/>
                <w:iCs w:val="1"/>
                <w:color w:val="auto"/>
              </w:rPr>
              <w:t>)</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3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45"/>
        </w:trPr>
        <w:tc>
          <w:tcPr>
            <w:tcW w:w="846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(Condensed)</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8"/>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earnings, net of distributions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hedge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from equity method investment</w:t>
            </w:r>
          </w:p>
        </w:tc>
        <w:tc>
          <w:tcPr>
            <w:tcW w:w="2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September 30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ind w:left="48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1"/>
        </w:trPr>
        <w:tc>
          <w:tcPr>
            <w:tcW w:w="37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7" w:right="1179" w:bottom="1440" w:gutter="0" w:footer="0" w:header="0"/>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131"/>
        </w:trPr>
        <w:tc>
          <w:tcPr>
            <w:tcW w:w="3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9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87" w:right="7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2024 and the results of its operations for the three and nine months ended September 30, 2024 and 2023 and of its cash flows for the nine months ended September 30, 2024 and 2023.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1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2023.</w:t>
      </w:r>
    </w:p>
    <w:p>
      <w:pPr>
        <w:spacing w:after="0" w:line="20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 the European Beverage segment. Prior periods have been recast to conform to the new presentation.</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first quarter of 2024, the Company completed a review of the useful lives of its beverage machinery and equipment and buildings based on the Company’s experience with the duration over which equipment and buildings of its aluminum beverage can business can be utilized. The Company engaged a third-party appraiser to assist in this review and, as a result, effective January 1, 2024, the Company revised the estimated useful lives of buildings up to 50 years and machinery and equipment up to 23 years. The change in useful lives resulted in a net reduction in depreciation expense of approximately $16 or $0.10 and $48 or $0.30 per diluted share for the three and nine months ended September 30, 2024, respectively, as compared to the amount of depreciation expense that would have been recorded by utilizing the prior depreciable lives.</w:t>
      </w:r>
    </w:p>
    <w:p>
      <w:pPr>
        <w:spacing w:after="0" w:line="21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quarter of 2024, the Company corrected its presentation of certain borrowings and repayments of short-term debt that did not qualify for net presentation in our previously issued Consolidated Statements of Cash Flows. The Company now presents these borrowings and repayments of short-term debt on a gross basis within cash flows from financing activities. The Company determined that the corrections, which had no impact to cash flows (used for) provided by financing activities, were not material to any prior annual or interim periods and therefore, amendments of previously filed reports are not required.</w:t>
      </w:r>
    </w:p>
    <w:p>
      <w:pPr>
        <w:spacing w:after="0" w:line="210"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effects of the revisions on each of the impacted financial statement line items within the Company's Consolidated Statements of Cash Flows for the years ended December 31, 2021, 2022 and 2023, as well as the nine months ended September 30, 2023 were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660" w:type="dxa"/>
        <w:tblCellMar>
          <w:top w:w="0" w:type="dxa"/>
          <w:left w:w="0" w:type="dxa"/>
          <w:bottom w:w="0" w:type="dxa"/>
          <w:right w:w="0" w:type="dxa"/>
        </w:tblCellMar>
      </w:tblPr>
      <w:tr>
        <w:trPr>
          <w:trHeight w:val="238"/>
        </w:trPr>
        <w:tc>
          <w:tcPr>
            <w:tcW w:w="680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810"/>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Nine Months Ended September 30,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2022</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2021</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r>
    </w:tbl>
    <w:p>
      <w:pPr>
        <w:spacing w:after="0" w:line="200" w:lineRule="exact"/>
        <w:rPr>
          <w:sz w:val="20"/>
          <w:szCs w:val="20"/>
          <w:color w:val="auto"/>
        </w:rPr>
      </w:pPr>
    </w:p>
    <w:p>
      <w:pPr>
        <w:spacing w:after="0" w:line="380" w:lineRule="exact"/>
        <w:rPr>
          <w:sz w:val="20"/>
          <w:szCs w:val="20"/>
          <w:color w:val="auto"/>
        </w:rPr>
      </w:pPr>
    </w:p>
    <w:p>
      <w:pPr>
        <w:ind w:left="660" w:right="6640" w:hanging="652"/>
        <w:spacing w:after="0" w:line="534" w:lineRule="auto"/>
        <w:tabs>
          <w:tab w:leader="none" w:pos="64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Recent Accounting and Reporting Pronouncements </w:t>
      </w:r>
      <w:r>
        <w:rPr>
          <w:rFonts w:ascii="Times New Roman" w:cs="Times New Roman" w:eastAsia="Times New Roman" w:hAnsi="Times New Roman"/>
          <w:sz w:val="18"/>
          <w:szCs w:val="18"/>
          <w:u w:val="single" w:color="auto"/>
          <w:color w:val="auto"/>
        </w:rPr>
        <w:t>Recently Issued Accounting Standards</w:t>
      </w: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Financial Accounting Standards Board issued new guidance that requires incremental disclosures related to reportable segments. That standard requires disclosure, on an annual and interim basis, of significant segment expenses that are regularly provided to the chief operating decision maker ("CODM") and included within each reported measure of profit or loss. The title and position of the CODM and how the reported measure of segment profit or loss is used by the CODM to assess segment performance and allocate resources is also required to be disclosed. The standard also permits disclosure of additional measures of segment profit. The standard is effective for fiscal years beginning after December 15, 2023, and interim periods within fiscal years beginning after December 15, 2024. As the guidance impacts disclosure only, it will not have an impact on the Company's financial results. These changes in disclosure will initially be reflected in the annual financial statement footnotes for the year ended December 31, 2024.</w:t>
      </w:r>
    </w:p>
    <w:p>
      <w:pPr>
        <w:spacing w:after="0" w:line="218"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income taxes paid disaggregated by federal, state and foreign based on a quantitative threshold. The standard is effective for fiscal years beginning after December 15, 2024. Early adoption is permitted. The standard is applied prospectively with an option for retrospective adoption. The Company is currently evaluating the impact of adopting this standard on its disclosures.</w:t>
      </w:r>
    </w:p>
    <w:p>
      <w:pPr>
        <w:spacing w:after="0" w:line="199"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 of Cash Flows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September 30, 2024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w w:val="99"/>
              </w:rPr>
              <w:t>Restricted cash included in prepaid expenses and other current assets</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24"/>
                <w:szCs w:val="24"/>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September 30, 2024</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w:t>
            </w: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53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60" w:type="dxa"/>
            <w:vAlign w:val="bottom"/>
            <w:vMerge w:val="continue"/>
          </w:tcPr>
          <w:p>
            <w:pPr>
              <w:spacing w:after="0"/>
              <w:rPr>
                <w:sz w:val="24"/>
                <w:szCs w:val="24"/>
                <w:color w:val="auto"/>
              </w:rPr>
            </w:pPr>
          </w:p>
        </w:tc>
        <w:tc>
          <w:tcPr>
            <w:tcW w:w="538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color w:val="auto"/>
              </w:rPr>
              <w:t>September 30, 2024</w:t>
            </w:r>
          </w:p>
        </w:tc>
        <w:tc>
          <w:tcPr>
            <w:tcW w:w="260" w:type="dxa"/>
            <w:vAlign w:val="bottom"/>
          </w:tcPr>
          <w:p>
            <w:pPr>
              <w:spacing w:after="0"/>
              <w:rPr>
                <w:sz w:val="24"/>
                <w:szCs w:val="24"/>
                <w:color w:val="auto"/>
              </w:rPr>
            </w:pPr>
          </w:p>
        </w:tc>
        <w:tc>
          <w:tcPr>
            <w:tcW w:w="32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3"/>
        </w:trPr>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21"/>
                <w:szCs w:val="21"/>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180" w:type="dxa"/>
            <w:vAlign w:val="bottom"/>
          </w:tcPr>
          <w:p>
            <w:pPr>
              <w:spacing w:after="0"/>
              <w:rPr>
                <w:sz w:val="21"/>
                <w:szCs w:val="21"/>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1"/>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the three and nine months ended September 30, 2024 and 2023 included amortization expense of $41 and $122,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Supplier Finance Program Obligations</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$877 and $862 confirmed obligations outstanding under these supplier finance programs as of September 30, 2024 and December 31, 2023 included in Accounts Payable.</w:t>
      </w:r>
    </w:p>
    <w:p>
      <w:pPr>
        <w:spacing w:after="0" w:line="212"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0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sales and impairments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5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
        </w:trPr>
        <w:tc>
          <w:tcPr>
            <w:tcW w:w="4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closed its food can plant in La Villa, Mexico and entered into an agreement to sell equipment for $30 to be paid in three annual installments. The first $10 installment was received during the second quarter. The Company recognized a gain of $22 in the third quarter of 2024, when control of the equipment transferred.</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September 30, 2023, restructuring primarily included headcount reductions and other exit costs in the Company's European Beverage and Other segments.</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made payments of $50 and had a restructuring accrual of $13, primarily related to previously announced restructuring actions and the items referenced above. The Company expects to pay these amounts over the next twelve months. The Company continues to review its costs structure and may record additional restructuring charges in the future.</w:t>
      </w:r>
    </w:p>
    <w:p>
      <w:pPr>
        <w:spacing w:after="0" w:line="199"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paid $7 to settle asbestos claims and pay related legal and defense costs and had approximate claims activity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1,000</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these claims by year of exposure and state filed. As of December 31, 2023, the Company's outstanding claims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9"/>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percentage of outstanding claims related to claimants alleging serious diseases (primarily mesothelioma and other malignancies) were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3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2024.</w:t>
      </w:r>
    </w:p>
    <w:p>
      <w:pPr>
        <w:spacing w:after="0" w:line="20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accrual for pending and future asbestos-related claims and related legal costs was $196, including $122 for unasserted claims. The Company determines its accrual without limitation to a specific time period.</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2023),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The Company is considering an appeal of the General Court’s judgment to the European Court of Justice. If the Company does decide to appeal the judgement, there can be no assurance regarding the outcome of such appeal.</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Company for the years 2004 through 2015 when the PIS and COFINS indirect taxes were calculated by fixed rates and assessed interest and penalties. The Company does not believe that a loss for this assessment is probable and plans to challenge the assessment at the administrative and judicial level, if necessary. There can be no assurances that the Company will be successful in contesting the assessment.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2024, the Company was party to certain indemnification agreements covering environmental remediation, lease payments and other potential costs associated with properties sold or businesses divested. The</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accrues for costs related to these items when it is probable that a liability has been incurred and the amount can be reasonably estimated.</w:t>
      </w:r>
    </w:p>
    <w:p>
      <w:pPr>
        <w:spacing w:after="0" w:line="248" w:lineRule="exact"/>
        <w:rPr>
          <w:sz w:val="20"/>
          <w:szCs w:val="20"/>
          <w:color w:val="auto"/>
        </w:rPr>
      </w:pPr>
    </w:p>
    <w:p>
      <w:pPr>
        <w:ind w:left="660" w:right="7480" w:hanging="652"/>
        <w:spacing w:after="0" w:line="534" w:lineRule="auto"/>
        <w:tabs>
          <w:tab w:leader="none" w:pos="37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Derivative and Other Financial Instruments </w:t>
      </w:r>
      <w:r>
        <w:rPr>
          <w:rFonts w:ascii="Times New Roman" w:cs="Times New Roman" w:eastAsia="Times New Roman" w:hAnsi="Times New Roman"/>
          <w:sz w:val="18"/>
          <w:szCs w:val="18"/>
          <w:u w:val="single" w:color="auto"/>
          <w:color w:val="auto"/>
        </w:rPr>
        <w:t>Fair Value Measurements</w:t>
      </w:r>
    </w:p>
    <w:p>
      <w:pPr>
        <w:spacing w:after="0" w:line="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for fair value disclosures related to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reclassification from accumulated comprehensive income is the same as that of the underlying exposure. Contracts outstanding at September 30, 2024 mature between one and twenty-seven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primarily aluminum as well as natural gas and electricity, and these exposures are hedged by a central treasury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of derivative instruments.</w:t>
      </w:r>
    </w:p>
    <w:tbl>
      <w:tblPr>
        <w:tblLayout w:type="fixed"/>
        <w:tblInd w:w="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auto"/>
              </w:rPr>
              <w:t>Amount of gain/(loss)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9"/>
              </w:rPr>
              <w:t>Amount of gain/(loss)</w:t>
            </w:r>
          </w:p>
        </w:tc>
      </w:tr>
      <w:tr>
        <w:trPr>
          <w:trHeight w:val="239"/>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recognized in OCI</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recognized in OCI</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3"/>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center"/>
              <w:ind w:left="190"/>
              <w:spacing w:after="0" w:line="173" w:lineRule="exact"/>
              <w:rPr>
                <w:sz w:val="20"/>
                <w:szCs w:val="20"/>
                <w:color w:val="auto"/>
              </w:rPr>
            </w:pPr>
            <w:r>
              <w:rPr>
                <w:rFonts w:ascii="Times New Roman" w:cs="Times New Roman" w:eastAsia="Times New Roman" w:hAnsi="Times New Roman"/>
                <w:sz w:val="18"/>
                <w:szCs w:val="18"/>
                <w:color w:val="auto"/>
                <w:w w:val="99"/>
              </w:rPr>
              <w:t>Nine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r>
      <w:tr>
        <w:trPr>
          <w:trHeight w:val="248"/>
        </w:trPr>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21"/>
                <w:szCs w:val="2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sectPr>
          <w:pgSz w:w="11900" w:h="16838" w:orient="portrait"/>
          <w:cols w:equalWidth="0" w:num="1">
            <w:col w:w="10580"/>
          </w:cols>
          <w:pgMar w:left="980" w:top="11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Amount of gain/(loss)</w:t>
            </w:r>
          </w:p>
        </w:tc>
        <w:tc>
          <w:tcPr>
            <w:tcW w:w="200" w:type="dxa"/>
            <w:vAlign w:val="bottom"/>
          </w:tcPr>
          <w:p>
            <w:pPr>
              <w:spacing w:after="0"/>
              <w:rPr>
                <w:sz w:val="17"/>
                <w:szCs w:val="17"/>
                <w:color w:val="auto"/>
              </w:rPr>
            </w:pPr>
          </w:p>
        </w:tc>
        <w:tc>
          <w:tcPr>
            <w:tcW w:w="19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 gain/(loss)</w:t>
            </w:r>
          </w:p>
        </w:tc>
      </w:tr>
      <w:tr>
        <w:trPr>
          <w:trHeight w:val="18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c>
          <w:tcPr>
            <w:tcW w:w="218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r>
      <w:tr>
        <w:trPr>
          <w:trHeight w:val="234"/>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income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income</w:t>
            </w:r>
          </w:p>
        </w:tc>
        <w:tc>
          <w:tcPr>
            <w:tcW w:w="760" w:type="dxa"/>
            <w:vAlign w:val="bottom"/>
            <w:tcBorders>
              <w:bottom w:val="single" w:sz="8" w:color="auto"/>
            </w:tcBorders>
          </w:tcPr>
          <w:p>
            <w:pPr>
              <w:spacing w:after="0"/>
              <w:rPr>
                <w:sz w:val="20"/>
                <w:szCs w:val="20"/>
                <w:color w:val="auto"/>
              </w:rPr>
            </w:pPr>
          </w:p>
        </w:tc>
      </w:tr>
      <w:tr>
        <w:trPr>
          <w:trHeight w:val="169"/>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4"/>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Nine Months Ended</w:t>
            </w:r>
          </w:p>
        </w:tc>
      </w:tr>
      <w:tr>
        <w:trPr>
          <w:trHeight w:val="239"/>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19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40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8"/>
        </w:trPr>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672084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20840" cy="2654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-685165</wp:posOffset>
            </wp:positionV>
            <wp:extent cx="672084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08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79"/>
        <w:spacing w:after="0" w:line="237" w:lineRule="auto"/>
        <w:rPr>
          <w:sz w:val="20"/>
          <w:szCs w:val="20"/>
          <w:color w:val="auto"/>
        </w:rPr>
      </w:pPr>
      <w:r>
        <w:rPr>
          <w:rFonts w:ascii="Times New Roman" w:cs="Times New Roman" w:eastAsia="Times New Roman" w:hAnsi="Times New Roman"/>
          <w:sz w:val="18"/>
          <w:szCs w:val="18"/>
          <w:color w:val="auto"/>
        </w:rPr>
        <w:t>Affected line items in the Statement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right="840"/>
        <w:spacing w:after="0" w:line="234" w:lineRule="auto"/>
        <w:rPr>
          <w:sz w:val="20"/>
          <w:szCs w:val="20"/>
          <w:color w:val="auto"/>
        </w:rPr>
      </w:pPr>
      <w:r>
        <w:rPr>
          <w:rFonts w:ascii="Times New Roman" w:cs="Times New Roman" w:eastAsia="Times New Roman" w:hAnsi="Times New Roman"/>
          <w:sz w:val="18"/>
          <w:szCs w:val="18"/>
          <w:color w:val="auto"/>
        </w:rPr>
        <w:t>Cost of products sold, excluding depreciation and amortization</w:t>
      </w:r>
    </w:p>
    <w:p>
      <w:pPr>
        <w:spacing w:after="0" w:line="10" w:lineRule="exact"/>
        <w:rPr>
          <w:sz w:val="20"/>
          <w:szCs w:val="20"/>
          <w:color w:val="auto"/>
        </w:rPr>
      </w:pPr>
    </w:p>
    <w:p>
      <w:pPr>
        <w:ind w:right="840"/>
        <w:spacing w:after="0" w:line="237" w:lineRule="auto"/>
        <w:rPr>
          <w:sz w:val="20"/>
          <w:szCs w:val="20"/>
          <w:color w:val="auto"/>
        </w:rPr>
      </w:pPr>
      <w:r>
        <w:rPr>
          <w:rFonts w:ascii="Times New Roman" w:cs="Times New Roman" w:eastAsia="Times New Roman" w:hAnsi="Times New Roman"/>
          <w:sz w:val="18"/>
          <w:szCs w:val="18"/>
          <w:color w:val="auto"/>
        </w:rPr>
        <w:t>Cost of products sold, excluding depreciation and amortization</w:t>
      </w:r>
    </w:p>
    <w:p>
      <w:pPr>
        <w:spacing w:after="0" w:line="15" w:lineRule="exact"/>
        <w:rPr>
          <w:sz w:val="20"/>
          <w:szCs w:val="20"/>
          <w:color w:val="auto"/>
        </w:rPr>
      </w:pPr>
    </w:p>
    <w:p>
      <w:pPr>
        <w:sectPr>
          <w:pgSz w:w="11900" w:h="16838" w:orient="portrait"/>
          <w:cols w:equalWidth="0" w:num="2">
            <w:col w:w="7280" w:space="120"/>
            <w:col w:w="3180"/>
          </w:cols>
          <w:pgMar w:left="98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8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30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Income before taxes and equity in net</w:t>
            </w:r>
          </w:p>
        </w:tc>
      </w:tr>
      <w:tr>
        <w:trPr>
          <w:trHeight w:val="243"/>
        </w:trPr>
        <w:tc>
          <w:tcPr>
            <w:tcW w:w="28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earnings of affiliates</w:t>
            </w:r>
          </w:p>
        </w:tc>
      </w:tr>
      <w:tr>
        <w:trPr>
          <w:trHeight w:val="223"/>
        </w:trPr>
        <w:tc>
          <w:tcPr>
            <w:tcW w:w="28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28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2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September 30, 2025, a net gain of $3 ($2, net of tax) is expected to be reclassified to earnings for commodity and foreign exchange contracts. No material amounts were reclassified during the nine months ended September 30, 2024 and 2023 in connection with anticipated transactions that were considered probable of not occurring.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a loss of $7 and a gain of $8, respectively, from foreign exchange contracts designated as fair value hedges. For the three and nine months ended</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17" w:name="page18"/>
    <w:bookmarkEnd w:id="1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September 30, 2023, the Company recorded a gain of $3 and a loss of $7 from foreign exchange contracts designated as fair value hedges. These adjustments were reported within foreign exchange in the Consolidated Statements of Operations.</w:t>
      </w: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impact on earnings from derivatives not designated as hedges.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Pre-tax amounts of</w:t>
            </w: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Pre-tax amounts of gain/(loss)</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84"/>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9"/>
              </w:rPr>
              <w:t>gain/(loss) recognized in</w:t>
            </w:r>
          </w:p>
        </w:tc>
        <w:tc>
          <w:tcPr>
            <w:tcW w:w="222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8"/>
                <w:szCs w:val="18"/>
                <w:color w:val="auto"/>
              </w:rPr>
              <w:t>recognized in income on</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4"/>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 on derivative</w:t>
            </w:r>
          </w:p>
        </w:tc>
        <w:tc>
          <w:tcPr>
            <w:tcW w:w="720" w:type="dxa"/>
            <w:vAlign w:val="bottom"/>
          </w:tcPr>
          <w:p>
            <w:pPr>
              <w:spacing w:after="0"/>
              <w:rPr>
                <w:sz w:val="20"/>
                <w:szCs w:val="20"/>
                <w:color w:val="auto"/>
              </w:rPr>
            </w:pPr>
          </w:p>
        </w:tc>
        <w:tc>
          <w:tcPr>
            <w:tcW w:w="120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derivative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169"/>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4"/>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4"/>
                <w:szCs w:val="14"/>
                <w:color w:val="auto"/>
              </w:rPr>
            </w:pPr>
          </w:p>
        </w:tc>
        <w:tc>
          <w:tcPr>
            <w:tcW w:w="1920" w:type="dxa"/>
            <w:vAlign w:val="bottom"/>
            <w:tcBorders>
              <w:top w:val="single" w:sz="8" w:color="auto"/>
            </w:tcBorders>
            <w:gridSpan w:val="4"/>
          </w:tcPr>
          <w:p>
            <w:pPr>
              <w:jc w:val="center"/>
              <w:ind w:left="190"/>
              <w:spacing w:after="0" w:line="169" w:lineRule="exact"/>
              <w:rPr>
                <w:sz w:val="20"/>
                <w:szCs w:val="20"/>
                <w:color w:val="auto"/>
              </w:rPr>
            </w:pPr>
            <w:r>
              <w:rPr>
                <w:rFonts w:ascii="Times New Roman" w:cs="Times New Roman" w:eastAsia="Times New Roman" w:hAnsi="Times New Roman"/>
                <w:sz w:val="18"/>
                <w:szCs w:val="18"/>
                <w:color w:val="auto"/>
                <w:w w:val="99"/>
              </w:rPr>
              <w:t>Nine Months Ended</w:t>
            </w: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37"/>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9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September 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ind w:left="320"/>
              <w:spacing w:after="0" w:line="162"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6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Statement of Operations</w:t>
            </w:r>
          </w:p>
        </w:tc>
      </w:tr>
      <w:tr>
        <w:trPr>
          <w:trHeight w:val="169"/>
        </w:trPr>
        <w:tc>
          <w:tcPr>
            <w:tcW w:w="3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Cost of products sold, excluding</w:t>
            </w:r>
          </w:p>
        </w:tc>
      </w:tr>
      <w:tr>
        <w:trPr>
          <w:trHeight w:val="24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5"/>
              </w:rPr>
              <w:t>(5)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5"/>
              </w:rPr>
              <w:t>(4)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losses of $64 ($55, net of tax) and $11 ($11, net of tax) in other comprehensive income for certain debt instruments that are designated as hedges of its net investment in a euro-based subsidiary. During the three and nine months ended September 30, 2023, the Company recorded gains of $37 ($31, net of tax) and $15 ($12, net of tax) in other comprehensive income for certain debt instruments that are designated as hedges of its net investment in a euro-based subsidiary. As of September 30, 2024 and December 31, 2023, cumulative gains of $38 ($57, net of tax) and $49 ($68, net of tax) were recognized in accumulated other comprehensive income related to these net investment hedges and the carrying amount of the hedging instrument was approximately €1,232 ($1,371) at September 30, 2024.</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values of $875 designated as hedges of the Company's net investment in a euro-based subsidiary. These swaps mature in 2026 and reduced interest expense by $6 and $18 for the three and nine months ended September 30, 2024 and 2023.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Amount of gain / (loss) recognized in</w:t>
            </w:r>
          </w:p>
        </w:tc>
        <w:tc>
          <w:tcPr>
            <w:tcW w:w="27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Amount of gain / (loss) recognized</w:t>
            </w:r>
          </w:p>
        </w:tc>
      </w:tr>
      <w:tr>
        <w:trPr>
          <w:trHeight w:val="239"/>
        </w:trPr>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AOCI</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 AOCI</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3"/>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left="230"/>
              <w:spacing w:after="0" w:line="173"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8" w:name="page19"/>
    <w:bookmarkEnd w:id="18"/>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September 30, 2024 and December 31, 2023, respectively. The fair values of these financial instruments were reported under Level 2 of the fair value hierarchy.</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Pr>
          <w:p>
            <w:pPr>
              <w:spacing w:after="0"/>
              <w:rPr>
                <w:sz w:val="17"/>
                <w:szCs w:val="17"/>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December</w:t>
            </w:r>
          </w:p>
        </w:tc>
        <w:tc>
          <w:tcPr>
            <w:tcW w:w="80" w:type="dxa"/>
            <w:vAlign w:val="bottom"/>
          </w:tcPr>
          <w:p>
            <w:pPr>
              <w:spacing w:after="0"/>
              <w:rPr>
                <w:sz w:val="17"/>
                <w:szCs w:val="17"/>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Balance Sheet</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9"/>
        </w:trPr>
        <w:tc>
          <w:tcPr>
            <w:tcW w:w="1720" w:type="dxa"/>
            <w:vAlign w:val="bottom"/>
          </w:tcPr>
          <w:p>
            <w:pPr>
              <w:spacing w:after="0"/>
              <w:rPr>
                <w:sz w:val="20"/>
                <w:szCs w:val="20"/>
                <w:color w:val="auto"/>
              </w:rPr>
            </w:pP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31, 2023</w:t>
            </w:r>
          </w:p>
        </w:tc>
        <w:tc>
          <w:tcPr>
            <w:tcW w:w="80" w:type="dxa"/>
            <w:vAlign w:val="bottom"/>
          </w:tcPr>
          <w:p>
            <w:pPr>
              <w:spacing w:after="0"/>
              <w:rPr>
                <w:sz w:val="20"/>
                <w:szCs w:val="20"/>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classification</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31, 2023</w:t>
            </w:r>
          </w:p>
        </w:tc>
      </w:tr>
      <w:tr>
        <w:trPr>
          <w:trHeight w:val="214"/>
        </w:trPr>
        <w:tc>
          <w:tcPr>
            <w:tcW w:w="17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w:t>
            </w:r>
          </w:p>
        </w:tc>
        <w:tc>
          <w:tcPr>
            <w:tcW w:w="1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169"/>
        </w:trPr>
        <w:tc>
          <w:tcPr>
            <w:tcW w:w="17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6"/>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9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fair value</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Commodities</w:t>
            </w:r>
          </w:p>
        </w:tc>
        <w:tc>
          <w:tcPr>
            <w:tcW w:w="1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75"/>
        </w:trPr>
        <w:tc>
          <w:tcPr>
            <w:tcW w:w="17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17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55"/>
        </w:trPr>
        <w:tc>
          <w:tcPr>
            <w:tcW w:w="36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9"/>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r>
      <w:tr>
        <w:trPr>
          <w:trHeight w:val="173"/>
        </w:trPr>
        <w:tc>
          <w:tcPr>
            <w:tcW w:w="17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7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17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2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color w:val="auto"/>
        </w:rPr>
        <w:t>Carrying amount of the hedged assets /</w:t>
      </w:r>
    </w:p>
    <w:p>
      <w:pPr>
        <w:jc w:val="center"/>
        <w:ind w:left="6440"/>
        <w:spacing w:after="0"/>
        <w:rPr>
          <w:sz w:val="20"/>
          <w:szCs w:val="20"/>
          <w:color w:val="auto"/>
        </w:rPr>
      </w:pPr>
      <w:r>
        <w:rPr>
          <w:rFonts w:ascii="Times New Roman" w:cs="Times New Roman" w:eastAsia="Times New Roman" w:hAnsi="Times New Roman"/>
          <w:sz w:val="18"/>
          <w:szCs w:val="18"/>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jc w:val="center"/>
              <w:ind w:right="620"/>
              <w:spacing w:after="0" w:line="182" w:lineRule="exact"/>
              <w:rPr>
                <w:sz w:val="20"/>
                <w:szCs w:val="20"/>
                <w:color w:val="auto"/>
              </w:rPr>
            </w:pPr>
            <w:r>
              <w:rPr>
                <w:rFonts w:ascii="Times New Roman" w:cs="Times New Roman" w:eastAsia="Times New Roman" w:hAnsi="Times New Roman"/>
                <w:sz w:val="18"/>
                <w:szCs w:val="18"/>
                <w:color w:val="auto"/>
                <w:w w:val="99"/>
              </w:rPr>
              <w:t>September 30,</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Line item in the Balance Sheet in which the hedged item is included</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cumulative amount of fair value hedging adjustments included in the carrying amount of the hedged assets and liabilities were net gains of $2 and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5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5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2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Gross amounts not offset in the</w:t>
            </w:r>
          </w:p>
        </w:tc>
        <w:tc>
          <w:tcPr>
            <w:tcW w:w="1480" w:type="dxa"/>
            <w:vAlign w:val="bottom"/>
          </w:tcPr>
          <w:p>
            <w:pPr>
              <w:spacing w:after="0"/>
              <w:rPr>
                <w:sz w:val="24"/>
                <w:szCs w:val="24"/>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Balance Sheet</w:t>
            </w:r>
          </w:p>
        </w:tc>
        <w:tc>
          <w:tcPr>
            <w:tcW w:w="2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Balance at September 30, 2024</w:t>
            </w:r>
          </w:p>
        </w:tc>
        <w:tc>
          <w:tcPr>
            <w:tcW w:w="30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30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$65</w:t>
            </w:r>
          </w:p>
        </w:tc>
        <w:tc>
          <w:tcPr>
            <w:tcW w:w="25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$7</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0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26</w:t>
            </w:r>
          </w:p>
        </w:tc>
        <w:tc>
          <w:tcPr>
            <w:tcW w:w="2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19</w:t>
            </w:r>
          </w:p>
        </w:tc>
      </w:tr>
      <w:tr>
        <w:trPr>
          <w:trHeight w:val="162"/>
        </w:trPr>
        <w:tc>
          <w:tcPr>
            <w:tcW w:w="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30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30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$64</w:t>
            </w:r>
          </w:p>
        </w:tc>
        <w:tc>
          <w:tcPr>
            <w:tcW w:w="25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$7</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0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20</w:t>
            </w:r>
          </w:p>
        </w:tc>
        <w:tc>
          <w:tcPr>
            <w:tcW w:w="2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September 30, 2024 and December 31, 2023 were: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200" w:lineRule="exact"/>
        <w:rPr>
          <w:sz w:val="20"/>
          <w:szCs w:val="20"/>
          <w:color w:val="auto"/>
        </w:rPr>
      </w:pPr>
    </w:p>
    <w:p>
      <w:pPr>
        <w:sectPr>
          <w:pgSz w:w="11900" w:h="16838" w:orient="portrait"/>
          <w:cols w:equalWidth="0" w:num="1">
            <w:col w:w="10360"/>
          </w:cols>
          <w:pgMar w:left="980" w:top="11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980" w:top="117" w:right="5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9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 2024</w:t>
            </w:r>
          </w:p>
        </w:tc>
        <w:tc>
          <w:tcPr>
            <w:tcW w:w="120" w:type="dxa"/>
            <w:vAlign w:val="bottom"/>
          </w:tcPr>
          <w:p>
            <w:pPr>
              <w:spacing w:after="0"/>
              <w:rPr>
                <w:sz w:val="20"/>
                <w:szCs w:val="20"/>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89</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U.S. dollar due 2027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64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€600 at 2.625% due 2024</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2.875%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€500 at 5.00% due 2028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4.75% due 2029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€600 at 4.50% due 2030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20" w:type="dxa"/>
            <w:vAlign w:val="bottom"/>
          </w:tcPr>
          <w:p>
            <w:pPr>
              <w:spacing w:after="0"/>
              <w:rPr>
                <w:sz w:val="19"/>
                <w:szCs w:val="19"/>
                <w:color w:val="auto"/>
              </w:rPr>
            </w:pPr>
          </w:p>
        </w:tc>
        <w:tc>
          <w:tcPr>
            <w:tcW w:w="45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3"/>
        </w:trPr>
        <w:tc>
          <w:tcPr>
            <w:tcW w:w="20" w:type="dxa"/>
            <w:vAlign w:val="bottom"/>
          </w:tcPr>
          <w:p>
            <w:pPr>
              <w:spacing w:after="0"/>
              <w:rPr>
                <w:sz w:val="19"/>
                <w:szCs w:val="19"/>
                <w:color w:val="auto"/>
              </w:rPr>
            </w:pPr>
          </w:p>
        </w:tc>
        <w:tc>
          <w:tcPr>
            <w:tcW w:w="45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€520 and €533 at September 30, 2024 and December 31, 2023</w:t>
      </w:r>
    </w:p>
    <w:p>
      <w:pPr>
        <w:spacing w:after="0" w:line="27" w:lineRule="exact"/>
        <w:rPr>
          <w:sz w:val="20"/>
          <w:szCs w:val="20"/>
          <w:color w:val="auto"/>
        </w:rPr>
      </w:pPr>
    </w:p>
    <w:p>
      <w:pPr>
        <w:jc w:val="both"/>
        <w:ind w:left="660" w:right="20"/>
        <w:spacing w:after="0" w:line="260"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$7,596 at September 30, 2024 and $7,484 at December 31, 2023.</w:t>
      </w:r>
    </w:p>
    <w:p>
      <w:pPr>
        <w:spacing w:after="0" w:line="20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August 2024, the Company issued €600 principal amount of 4.50% senior unsecured notes due 2030 issued at par by its subsidiary Crown European Holdings S.A. The Company paid $10 in issuance costs that will be amortized over the term of the notes. The Company used the August 2024 note issuance proceeds to repay the €600 principal amount of 2.625% senior unsecured notes due September 2024.</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U.S. dollar term loan interest rate was SOFR plus 1.35% and the Euro term loan interest rate was EURIBOR plus 1.25% at September 30, 2024 and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25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other postretirement benefits costs for the three and nine months ended September 30, 2024 and 2023 were as follows:</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9"/>
                <w:szCs w:val="19"/>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U.S. plans</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and curtailments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Non-U.S. plans</w:t>
            </w: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 and curtailments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gridSpan w:val="3"/>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cost other than the service cost component are included in Other pension and postretirement in the Consolidated Statement of Operations.</w:t>
      </w:r>
    </w:p>
    <w:p>
      <w:pPr>
        <w:spacing w:after="0" w:line="18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Company's Canadian and primary U.S. defined benefit pension plans (the "Canadian Plan" and the "U.S. Plans", respectively) entered into transactions to transfer a significant portion of their pension liabilities through the purchase of group annuity insurance contracts for the benefit of nearly all their respective retiree and deferred vested participants. The issuers of the group annuity insurance contracts fully guarantee and are solely responsible for paying each participant's future benefits in full. The Company used plan assets to settle $120 of Canadian Plan obligations and $740 of U.S. Plans obligations and recorded settlement charges of $48 and $469, respectively, for the Canadian and U.S. Plans. As part of the transaction, the Company also made a cash contribution of approximately $100 to the U.S. Plans.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amounts reclassified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tbl>
      <w:tblPr>
        <w:tblLayout w:type="fixed"/>
        <w:tblInd w:w="66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5"/>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24"/>
                <w:szCs w:val="24"/>
                <w:color w:val="auto"/>
              </w:rPr>
            </w:pPr>
          </w:p>
        </w:tc>
        <w:tc>
          <w:tcPr>
            <w:tcW w:w="17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Details about accumulated other</w:t>
            </w:r>
          </w:p>
        </w:tc>
        <w:tc>
          <w:tcPr>
            <w:tcW w:w="160" w:type="dxa"/>
            <w:vAlign w:val="bottom"/>
          </w:tcPr>
          <w:p>
            <w:pPr>
              <w:spacing w:after="0"/>
              <w:rPr>
                <w:sz w:val="20"/>
                <w:szCs w:val="20"/>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17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20"/>
                <w:szCs w:val="20"/>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Affected line items in the statement of</w:t>
            </w:r>
          </w:p>
        </w:tc>
        <w:tc>
          <w:tcPr>
            <w:tcW w:w="0" w:type="dxa"/>
            <w:vAlign w:val="bottom"/>
          </w:tcPr>
          <w:p>
            <w:pPr>
              <w:spacing w:after="0"/>
              <w:rPr>
                <w:sz w:val="1"/>
                <w:szCs w:val="1"/>
                <w:color w:val="auto"/>
              </w:rPr>
            </w:pPr>
          </w:p>
        </w:tc>
      </w:tr>
      <w:tr>
        <w:trPr>
          <w:trHeight w:val="156"/>
        </w:trPr>
        <w:tc>
          <w:tcPr>
            <w:tcW w:w="25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comprehensive income</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ind w:left="1080"/>
              <w:spacing w:after="0" w:line="184" w:lineRule="exact"/>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34"/>
        </w:trPr>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components</w:t>
            </w: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0" w:type="dxa"/>
            <w:vAlign w:val="bottom"/>
          </w:tcPr>
          <w:p>
            <w:pPr>
              <w:spacing w:after="0"/>
              <w:rPr>
                <w:sz w:val="1"/>
                <w:szCs w:val="1"/>
                <w:color w:val="auto"/>
              </w:rPr>
            </w:pPr>
          </w:p>
        </w:tc>
      </w:tr>
      <w:tr>
        <w:trPr>
          <w:trHeight w:val="156"/>
        </w:trPr>
        <w:tc>
          <w:tcPr>
            <w:tcW w:w="2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taxes and equity in net</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N.</w:t>
      </w:r>
      <w:r>
        <w:rPr>
          <w:sz w:val="20"/>
          <w:szCs w:val="20"/>
          <w:color w:val="auto"/>
        </w:rPr>
        <w:tab/>
      </w:r>
      <w:r>
        <w:rPr>
          <w:rFonts w:ascii="Times New Roman" w:cs="Times New Roman" w:eastAsia="Times New Roman" w:hAnsi="Times New Roman"/>
          <w:sz w:val="17"/>
          <w:szCs w:val="17"/>
          <w:b w:val="1"/>
          <w:bCs w:val="1"/>
          <w:u w:val="single" w:color="auto"/>
          <w:color w:val="auto"/>
        </w:rPr>
        <w:t>Capital Stock</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$117 of its shares during the nine months ended September 30, 2024, including $107 from the Canadian and U.S. pension plans in conjunction with the partial settlements of their pension obligations.</w:t>
      </w:r>
    </w:p>
    <w:p>
      <w:pPr>
        <w:spacing w:after="0" w:line="21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2024 and 2023, the Company declared and paid cash dividends of $0.25 per share and $0.75 per share and $0.24 per share and $0.72 per share, respectively. Additionally, on October 24, 2024, the Company's Board of Directors declared a dividend of $0.25 per share payable on November 27, 2024 to shareholders of record as of November 14, 2024.</w:t>
      </w:r>
    </w:p>
    <w:p>
      <w:pPr>
        <w:spacing w:after="0" w:line="19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income/(loss).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8"/>
                <w:szCs w:val="18"/>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Gains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benefit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cash flow</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plans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200" w:type="dxa"/>
            <w:vAlign w:val="bottom"/>
          </w:tcPr>
          <w:p>
            <w:pPr>
              <w:spacing w:after="0"/>
              <w:rPr>
                <w:sz w:val="21"/>
                <w:szCs w:val="21"/>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further details of amounts related to cash flow hedges and defined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   Revenue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79"/>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recognized revenue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27"/>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disaggregation of the Company's revenue.</w:t>
      </w:r>
    </w:p>
    <w:p>
      <w:pPr>
        <w:spacing w:after="0" w:line="18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$16 and $8 as of September 30, 2024 and December 31, 2023, respectively, included in prepaid and other current assets. During the nine months ended September 30, 2024, the Company satisfied performance obligations related to contract assets at December 31, 2023 and also recorded new contract assets primarily related to work in process for the equipment business.</w:t>
      </w:r>
    </w:p>
    <w:p>
      <w:pPr>
        <w:spacing w:after="0" w:line="152"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53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Crown Holdings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9"/>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0.57 million and 0.68 million and 0.08 million and 0.2 million contingently issuable common shares were excluded from the computation of diluted earnings per share because the effect would be anti-dilutive.</w:t>
      </w:r>
    </w:p>
    <w:p>
      <w:pPr>
        <w:spacing w:after="0" w:line="185"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should not be considered in isolation or as a substitute for net income prepared in accordance with GAAP and may not be comparable to calculations of similarly titled measures by other companies.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operating segments.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External Sales</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External Sales</w:t>
            </w:r>
          </w:p>
        </w:tc>
      </w:tr>
      <w:tr>
        <w:trPr>
          <w:trHeight w:val="218"/>
        </w:trPr>
        <w:tc>
          <w:tcPr>
            <w:tcW w:w="4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10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4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w:t>
            </w: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sources of revenue included in Other are the Company's food can, aerosol can, and closures businesses in North America, and beverage tooling and equipment operations in the U.S. and U.K.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Intersegment Sales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Intersegment Sales</w:t>
            </w:r>
          </w:p>
        </w:tc>
      </w:tr>
      <w:tr>
        <w:trPr>
          <w:trHeight w:val="218"/>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46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6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Intersegment sales primarily include equipment and parts used in the manufacturing process.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 Income</w:t>
            </w:r>
          </w:p>
        </w:tc>
      </w:tr>
      <w:tr>
        <w:trPr>
          <w:trHeight w:val="218"/>
        </w:trPr>
        <w:tc>
          <w:tcPr>
            <w:tcW w:w="46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5"/>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24"/>
                <w:szCs w:val="24"/>
                <w:color w:val="auto"/>
              </w:rPr>
            </w:pPr>
          </w:p>
        </w:tc>
        <w:tc>
          <w:tcPr>
            <w:tcW w:w="22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Pr>
          <w:p>
            <w:pPr>
              <w:spacing w:after="0"/>
              <w:rPr>
                <w:sz w:val="20"/>
                <w:szCs w:val="20"/>
                <w:color w:val="auto"/>
              </w:rPr>
            </w:pPr>
          </w:p>
        </w:tc>
        <w:tc>
          <w:tcPr>
            <w:tcW w:w="22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of other</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55"/>
        </w:trPr>
        <w:tc>
          <w:tcPr>
            <w:tcW w:w="49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operations before taxes and equity in net earnings of</w:t>
            </w: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16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2023, intercompany profits of $1 and $10 were eliminated within segment income of other.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6" w:name="page27"/>
    <w:bookmarkEnd w:id="26"/>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right="3520" w:hanging="17"/>
        <w:spacing w:after="0" w:line="286" w:lineRule="auto"/>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(dollars in millions)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56"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The following discussion presents management's analysis of the results of operations for the three and nine months ended September 30, 2024 compared to 2023 and changes in financial condition and liquidity from December 31, 2023. This discussion should be read in conjunction with the consolidated financial statements and notes thereto included in the Company's Annual Report on Form 10-K for the year ended December 31, 2023, along with the consolidated financial statements and related notes included in and referred to within this report.</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and Trends</w:t>
      </w:r>
    </w:p>
    <w:p>
      <w:pPr>
        <w:spacing w:after="0" w:line="24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growth opportunities while returning cash to shareholders through dividends and share repurchases.</w:t>
      </w:r>
    </w:p>
    <w:p>
      <w:pPr>
        <w:spacing w:after="0" w:line="189" w:lineRule="exact"/>
        <w:rPr>
          <w:sz w:val="20"/>
          <w:szCs w:val="20"/>
          <w:color w:val="auto"/>
        </w:rPr>
      </w:pPr>
    </w:p>
    <w:p>
      <w:pPr>
        <w:jc w:val="both"/>
        <w:ind w:left="480"/>
        <w:spacing w:after="0" w:line="238"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Europe, and Southeast Asia. Growth has been driven by new product introductions in North America, customer and consumer focus on the sustainability benefits of aluminum, and population and GDP growth in many markets. To meet such demand, the Company made long-term investments of approximately $2,000 for new manufacturing facilities and additional production lines in existing facilities since 2021. In 2023, the impact of higher inflation and interest rates slowed growth in many markets. Based on current market conditions, the Company expects to have the ability to meet current and future demand growth with its current installed capital base and expects capital spending to be no more than $450 in 2024.</w:t>
      </w:r>
    </w:p>
    <w:p>
      <w:pPr>
        <w:spacing w:after="0" w:line="213" w:lineRule="exact"/>
        <w:rPr>
          <w:sz w:val="20"/>
          <w:szCs w:val="20"/>
          <w:color w:val="auto"/>
        </w:rPr>
      </w:pPr>
    </w:p>
    <w:p>
      <w:pPr>
        <w:jc w:val="both"/>
        <w:ind w:left="480"/>
        <w:spacing w:after="0" w:line="242"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long-term net leverage ratio target of 2.5x adjusted EBITDA (a non-GAAP measure). The Company believes it has the flexibility and resources to fund growth, repay debt and return excess cash flow to shareholders in the future. On July 25,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w:t>
      </w:r>
    </w:p>
    <w:p>
      <w:pPr>
        <w:spacing w:after="0" w:line="225"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which is a core value of the Company.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In September 2021, the Company joined The Climate Pledge, a commitment to be net-zero carbon across business operations by 2040.</w:t>
      </w:r>
    </w:p>
    <w:p>
      <w:pPr>
        <w:spacing w:after="0" w:line="207"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To date the war between Russia and Ukraine and the conflicts in the Middle East have not had a direct material impact on the Company's business, financial condition, or results of operations.</w:t>
      </w:r>
    </w:p>
    <w:p>
      <w:pPr>
        <w:spacing w:after="0" w:line="189"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in the heading "Results of Operations" below.</w:t>
      </w: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sectPr>
      </w:pPr>
    </w:p>
    <w:bookmarkStart w:id="27" w:name="page28"/>
    <w:bookmarkEnd w:id="2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the euro and pound sterling in the Company's European Beverage segment, the Thai baht in the Company's Asia Pacific segment. The Company's Transit Packaging segment is a global business and the foreign currency translation impacts referred to in the discussion below are primarily related to the Indian rupee, the Japanese yen and the Brazilian real.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2"/>
        </w:trPr>
        <w:tc>
          <w:tcPr>
            <w:tcW w:w="2360" w:type="dxa"/>
            <w:vAlign w:val="bottom"/>
            <w:tcBorders>
              <w:top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3"/>
                <w:szCs w:val="23"/>
                <w:color w:val="auto"/>
              </w:rPr>
            </w:pPr>
          </w:p>
        </w:tc>
        <w:tc>
          <w:tcPr>
            <w:tcW w:w="206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06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2024 compared to 2023</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higher beverage can shipments in the Americas and European Beverage segments, partially offset by lower shipments in Asia Pacific, Transit Packaging and Other segments and unfavorable foreign currency translation of $9.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compared to 2023</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$214 from the pass-through of lower aluminum, steel and other commodity costs and lower shipments in Asia Pacific, Transit Packaging and Other segments, partially offset by higher beverage can shipments in the Americas and European Beverage segments.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meet volume requirements in these markets, the Company added a new greenfield facility in Mesquite, Nevada in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1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2024 compared to 2023</w:t>
      </w:r>
    </w:p>
    <w:p>
      <w:pPr>
        <w:spacing w:after="0" w:line="2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2023, net sales increased primarily due to 10% and 8% higher shipments, partially offset by unfavorable foreign currency translation of $12 and $6. The nine months of 2024 was also impacted by the pass-through of $67 in lower aluminum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8" w:name="page29"/>
    <w:bookmarkEnd w:id="28"/>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shipments and improved manufacturing performance, including lower start-up costs compared to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a market shift to cans versus other packaging formats. To meet volume requirements, in 2023 the Company added additional line capacity in Agoncillo, Spain, a new greenfield facility in Peterborough, U.K. and acquired Helvetia Packaging AG, a beverage can and end manufacturing facility in Saarlouis, Germany.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 the European Beverage segment. Prior periods were recast to conform to the new presentation.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0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2024 compared to 2023</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2023, net sales increased primarily due to higher shipments of 6% in both periods.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2023, segment income increased primarily due to higher shipments, improved cost performance, including savings realized as part of prior year restructuring actions and lower start-up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volume softness was noted across each country in the Asia Pacific segment as the region continued to struggle with the effects of higher inflation and interest rates. In the fourth quarter of 2023, the Company announced the closure of its beverage can facilities in Ho Chi Minh City, Vietnam and Singapore with capacity relocated to the Company's Vung Tau, Vietnam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began production on a limited basis in 2023 and had net sales of $6 for the nine months ended September 30, 2024. Property, plant and equipment in Myanmar as of September 30, 2024 was $49, including $24 of land and buildings and $25 of machinery and equipment. The Company will continue to monitor the economic conditions and the impact to its business in Myanmar, including any alternative uses for its machinery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322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805"/>
        </w:trPr>
        <w:tc>
          <w:tcPr>
            <w:tcW w:w="2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0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2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268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2024 compared to 2023</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2023, net sales decreased primarily due to 11% and 8% lower shipments, respectively. The nine months ended September 30, 2024 was also impacted by the pass-through of $32 lower aluminum costs and unfavorable foreign currency translation of $10.</w:t>
      </w:r>
    </w:p>
    <w:p>
      <w:pPr>
        <w:spacing w:after="0" w:line="20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2034 compared to 2023, segment income increased primarily due to cost savings realized as part of prior year restructuring actions, improved matching of aluminum pass-through provisions as a result of lower inventory in 2024, favorable customer mix and $5 and $13, respectively, lower depreciation expense driven by useful life change effective January 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62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526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554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2024 compared to 2023</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2023, net sales decreased primarily due $13 and $57 lower material costs and $12 and $51 lower volumes across most product lines.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2023, segment income decreased primarily related to lower volumes across most product lines and margin compression due to lower selling prices, partially offset by improved cost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The Company added a pet food can line to its Dubuque, Iowa plant in the first half of 2024.</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2023, the Company right-sized the beverage can equipment operations in the U.K. to reflect the expected significant reduction in orders from global beverage can manufacturers. Additionally, in the fourth quarter of 2023, the Company announced the closure of its Decatur, IL aerosol can plant in response to lower aerosol can demand.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second quarter of 2024, the Company closed its food can plant in La Villa, Mexico and entered into an agreement to sell equipment for $30 to be paid in three annual installments, with the first $10</w:t>
      </w:r>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0" w:name="page31"/>
    <w:bookmarkEnd w:id="30"/>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installment received during 2024. The Company recognized a gain of $22 for the sale of the equipment in the third quarter of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95"/>
        </w:trPr>
        <w:tc>
          <w:tcPr>
            <w:tcW w:w="4580" w:type="dxa"/>
            <w:vAlign w:val="bottom"/>
          </w:tcPr>
          <w:p>
            <w:pPr>
              <w:spacing w:after="0"/>
              <w:rPr>
                <w:sz w:val="24"/>
                <w:szCs w:val="24"/>
                <w:color w:val="auto"/>
              </w:rPr>
            </w:pPr>
          </w:p>
        </w:tc>
        <w:tc>
          <w:tcPr>
            <w:tcW w:w="20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80" w:type="dxa"/>
            <w:vAlign w:val="bottom"/>
          </w:tcPr>
          <w:p>
            <w:pPr>
              <w:spacing w:after="0"/>
              <w:rPr>
                <w:sz w:val="20"/>
                <w:szCs w:val="20"/>
                <w:color w:val="auto"/>
              </w:rPr>
            </w:pPr>
          </w:p>
        </w:tc>
        <w:tc>
          <w:tcPr>
            <w:tcW w:w="200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323</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2024 compared to 2023</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segment income decreased primarily due to lower volumes in the equipment, aerosol can and Mexico food can businesses. Net sales was also negatively impacted $17 from the pass-through of lower steel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2024 compared to 2023</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and segment income decreased primarily due to lower volumes in the food can, aerosol can and equipment businesses. Net sales were also negatively impacted $40 from the pass-through of lower steel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2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September 30,</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5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expenses increased for the three and nine months ended September 30, 2024 compared to 2023, primarily due to higher incentive compensation, including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Depreciation and Amortization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periodically reviews the useful lives of property, plant and equipment. Based on the Company’s experience with the duration over which equipment and buildings of its aluminum beverage can business can be utilized, the Company engaged a third-party appraiser to assist in this review and, as a result, increased the estimated useful lives of buildings up to 50 years and machinery and equipment up to 23 years effective January 1, 2024. The change in accounting estimate will be applied on a prospective basis. The change in useful lives resulted in a net reduction in depreciation expense of $16 and $48 for the three and nine months ended September 30, 2024, respectively, as compared to the amount of depreciation expense that would have been recorded by utilizing the prior depreciable lives.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net</w:t>
      </w:r>
    </w:p>
    <w:p>
      <w:pPr>
        <w:spacing w:after="0" w:line="24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For the three months ended September 30, 2024, restructuring and other net gains of $13, included a $22 gain for the sale of food can equipment in Mexico. For the nine months ended September 30, 2024, restructuring and other net charges of $27, primarily included business reorganization activities in the Company's European Beverage and Other segments. The Company continually evaluates its cost structure and is currently evaluating the potential closure of a plant which has property, plant and equipment of $25 as of September 30, 2024. This action may also result in charges for severance and other exit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pension and postretirement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Other pension and postretirement expense included settlement charges of $517 related to the transfer of portions of the Company's Canadian and primary U.S. defined</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31" w:name="page32"/>
    <w:bookmarkEnd w:id="31"/>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benefit pension liabilities through the purchase of group annuity insurance contracts. See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-119380</wp:posOffset>
            </wp:positionV>
            <wp:extent cx="101981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Pr>
          <w:p>
            <w:pPr>
              <w:spacing w:after="0"/>
              <w:rPr>
                <w:sz w:val="20"/>
                <w:szCs w:val="20"/>
                <w:color w:val="auto"/>
              </w:rPr>
            </w:pPr>
          </w:p>
        </w:tc>
        <w:tc>
          <w:tcPr>
            <w:tcW w:w="22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156"/>
        </w:trPr>
        <w:tc>
          <w:tcPr>
            <w:tcW w:w="41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taxes and equity in net earnings of</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652</w:t>
            </w:r>
          </w:p>
        </w:tc>
      </w:tr>
      <w:tr>
        <w:trPr>
          <w:trHeight w:val="22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September 30, 2024 compared to 2023, was primarily due to the tax benefit from the pension settlement charges taken during the quarter, offset by an increase in earnings in higher-tax jurisdictions.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2024 was comparable to 2023, as the tax benefit from the pension settlement charges and the benefit of $16 taken in 2024 related to the release of a valuation allowance resulting from improved profitability in a European subsidiary were offset by an increase in earnings in higher-tax jurisdictions.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2024, various jurisdictions in which the Company operates have enacted the Pillar II directive which establishes a global minimum corporate tax rate of 15% initiated by the Organisation for Economic Co-operation and Development. The Company does not expect Pillar II to have a material impact on its financial results, including its annual estimated effective tax rate or liquidity for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compared to 2023, net income from noncontrolling interests increased primarily due to higher earnings in the Company's beverage can operations in Brazil.</w:t>
      </w:r>
    </w:p>
    <w:p>
      <w:pPr>
        <w:spacing w:after="0" w:line="1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2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increased from $832 for the nine months ended September 30, 2023 to $897 for the nine months ended September 30, 2024, primarily due to higher income from operations and working capital improvements, partially offset by higher pension contributions related to the settlement of a portion of the U.S. pension plan.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sales outstanding for trade receivables, excluding the impact of unbilled receivables, decreased from 32 days as of September 30, 2023 to 29 days at September 30,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turnover decreased from 67 days at September 30, 2023 to 60 days at September 30, 2024, primarily due to efforts to reduce inventory levels across most businesses.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outstanding for trade payables increased from 78 days at September 30, 2023 to 93 days at September 30, 2024 primarily due to lower purchases in 2023 as a result of prior year inventory builds.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decreased from $520 for the nine months ended September 30, 2023 to $208 for the nine months ended September 30, 2024, primarily due to lower capital expenditures. Additionally, the nine months ended September 30, 2023 included a distribution from an equity method investment of $56.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2024 to be no more than $450.</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32" w:name="page33"/>
    <w:bookmarkEnd w:id="32"/>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for financing activities increased from $35 for the nine months ended September 30, 2023 to $260 for the nine months ended September 30, 2024, primarily due to payments of long-term debt and common stock repurchased in the third quarter of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issued €600 principal amount of 4.50% senior unsecured notes due 2030 and used the proceeds to pay down the €600 principal amount of 2.625% senior unsecured notes due September 2024. In May 2023, the Company issued €500 principal amount of 5.0% senior unsecured notes due 2028. In March 2022, the Company issued $500 principal amount of 5.250% senior unsecured notes due 2030.</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repurchased $107 of common stock from the Canadian and U.S. pension plans in conjunction with the partial settlements of their pension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$1,229 of the Company's $1,738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$433 was held by subsidiaries for which earnings are considered indefinitely reinvested.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September 30, 2024, the Company had available capacity of $1,613. The Company could have borrowed this amount at September 30, 2024 and still have been in compliance with its leverage ratio covenants.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2.9 to 1.0 at September 30, 2024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sources of liquidity also include a securitization facility with a program limit up to a maximum of $800 that expires in July 2025 and securitization facilities with program limits of $230 and $160 that expire in November 2025.</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3" w:name="page34"/>
    <w:bookmarkEnd w:id="3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Long-term debt payments due in the next twelve months include the Company's €600 ($668) 3.375% senior notes in May 2025. The Company expects to have sufficient liquidity to refinance the senior notes or repay them at maturity.</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June 2024, KPS Capital Partners announced the sale of Eviosys. The Company's approximately 20% stake in Eviosys is included as part of the agreement. The closing of the transaction is anticipated by the end of 2024 and the Company expects proceeds of approximately $300, net of tax. The carrying value of the Company's investment in Eviosys was $60 as of September 30, 2024.</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third quarter of 2024, the Company's Canadian and primary U.S. defined benefit pension plans (the "Canadian Plan" and the "U.S. Plans", respectively) entered into transactions to transfer a significant portion of their respective pension liabilities through the purchase of group annuity insurance contracts. The Company used plan assets to settle $120 of the Canadian Plan obligations and $740 of the U.S Plans obligations for nearly all of their retiree and deferred vested participants. As part of the transaction, the Company also made a cash contribution of approximately $100 to the U.S.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$75 of capital commitments primarily related to Americas Beverage and European Beverage. The Company expects to fund these commitments primarily through cash flows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2023,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72"/>
        </w:trPr>
        <w:tc>
          <w:tcPr>
            <w:tcW w:w="2000" w:type="dxa"/>
            <w:vAlign w:val="bottom"/>
            <w:tcBorders>
              <w:top w:val="single" w:sz="8" w:color="auto"/>
            </w:tcBorders>
          </w:tcPr>
          <w:p>
            <w:pPr>
              <w:spacing w:after="0"/>
              <w:rPr>
                <w:sz w:val="23"/>
                <w:szCs w:val="23"/>
                <w:color w:val="auto"/>
              </w:rPr>
            </w:pPr>
          </w:p>
        </w:tc>
        <w:tc>
          <w:tcPr>
            <w:tcW w:w="2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20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 attributable to Crown Holdings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$41 of expense related to intercompany interest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4" w:name="page35"/>
    <w:bookmarkEnd w:id="34"/>
    <w:tbl>
      <w:tblPr>
        <w:tblLayout w:type="fixed"/>
        <w:tblInd w:w="4"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810"/>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24"/>
                <w:szCs w:val="24"/>
                <w:color w:val="auto"/>
              </w:rPr>
            </w:pP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bl>
    <w:p>
      <w:pPr>
        <w:ind w:left="4" w:right="3220"/>
        <w:spacing w:after="0" w:line="586" w:lineRule="auto"/>
        <w:rPr>
          <w:sz w:val="20"/>
          <w:szCs w:val="20"/>
          <w:color w:val="auto"/>
        </w:rPr>
      </w:pPr>
      <w:r>
        <w:rPr>
          <w:rFonts w:ascii="Times New Roman" w:cs="Times New Roman" w:eastAsia="Times New Roman" w:hAnsi="Times New Roman"/>
          <w:sz w:val="14"/>
          <w:szCs w:val="14"/>
          <w:color w:val="auto"/>
        </w:rPr>
        <w:t xml:space="preserve">(1) Includes payables of $5,691 and $5,514 due to non-guarantor subsidiaries as of September 30, 2024 and December 31, 2023 </w:t>
      </w:r>
      <w:r>
        <w:rPr>
          <w:rFonts w:ascii="Times New Roman" w:cs="Times New Roman" w:eastAsia="Times New Roman" w:hAnsi="Times New Roman"/>
          <w:sz w:val="17"/>
          <w:szCs w:val="17"/>
          <w:i w:val="1"/>
          <w:iCs w:val="1"/>
          <w:u w:val="single" w:color="auto"/>
          <w:color w:val="auto"/>
        </w:rPr>
        <w:t>Crown Americas Obligor Group</w:t>
      </w:r>
    </w:p>
    <w:p>
      <w:pPr>
        <w:spacing w:after="0" w:line="33"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23"/>
        </w:trPr>
        <w:tc>
          <w:tcPr>
            <w:tcW w:w="4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bl>
    <w:p>
      <w:pPr>
        <w:spacing w:after="0" w:line="72" w:lineRule="exact"/>
        <w:rPr>
          <w:sz w:val="20"/>
          <w:szCs w:val="20"/>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$332 of sales to non-guarantor subsidiaries</w:t>
      </w:r>
    </w:p>
    <w:p>
      <w:pPr>
        <w:spacing w:after="0" w:line="27"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 of gross profit related to sales to non-guarantor subsidiaries</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 of expense related to intercompany interest and technology royalties with non-guarantor subsidiaries</w:t>
      </w:r>
    </w:p>
    <w:p>
      <w:pPr>
        <w:spacing w:after="0" w:line="200" w:lineRule="exact"/>
        <w:rPr>
          <w:sz w:val="20"/>
          <w:szCs w:val="20"/>
          <w:color w:val="auto"/>
        </w:rPr>
      </w:pP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30, 2024</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4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9"/>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30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r>
    </w:tbl>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$41 and $30 due from non-guarantor subsidiaries as of September 30, 2024 and December 31, 2023</w:t>
      </w:r>
    </w:p>
    <w:p>
      <w:pPr>
        <w:spacing w:after="0" w:line="11"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$257 and $189 due from non-guarantor subsidiaries as of September 30, 2024 and December 31, 2023</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$18 and $35 due to non-guarantor subsidiaries as of September 30, 2024 and December 31, 2023</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$2,160 and $2,134 due to non-guarantor subsidiaries as of September 30, 2024 and December 31, 2023</w:t>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the Company's commitments and contingent liabilities appears in Part I within Item 1 of this report under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entitled “Commitments and Contingent Liabilities,” to the consolidated financial statements, and in Part II within Item 1A of this report which information is incorporated herein by reference.</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require that management make numerous estimates and assumptions.</w:t>
      </w:r>
    </w:p>
    <w:p>
      <w:pPr>
        <w:spacing w:after="0" w:line="234"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2023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 xml:space="preserve">Statements included herein, including, but not limited to, those in “Management's Discussion and Analysis of Financial Condition and Results of Operations” and in the discussions of asbestos in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and commitments and contingencies in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to the consolidated financial statements included in this Quarterly Report on Form 10-Q, and also in Part I, Item 1, “Business” and Item 3, “Legal Proceedings” and in Part II, Item 7, “Management's Discussion</w:t>
      </w:r>
    </w:p>
    <w:p>
      <w:pPr>
        <w:sectPr>
          <w:pgSz w:w="11900" w:h="16838" w:orient="portrait"/>
          <w:cols w:equalWidth="0" w:num="1">
            <w:col w:w="10584"/>
          </w:cols>
          <w:pgMar w:left="976"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type w:val="continuous"/>
        </w:sectPr>
      </w:pPr>
    </w:p>
    <w:bookmarkStart w:id="35" w:name="page36"/>
    <w:bookmarkEnd w:id="35"/>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733"/>
        <w:spacing w:after="0" w:line="256" w:lineRule="auto"/>
        <w:rPr>
          <w:sz w:val="20"/>
          <w:szCs w:val="20"/>
          <w:color w:val="auto"/>
        </w:rPr>
      </w:pPr>
      <w:r>
        <w:rPr>
          <w:rFonts w:ascii="Times New Roman" w:cs="Times New Roman" w:eastAsia="Times New Roman" w:hAnsi="Times New Roman"/>
          <w:sz w:val="18"/>
          <w:szCs w:val="18"/>
          <w:color w:val="auto"/>
        </w:rPr>
        <w:t>and Analysis of Financial Condition and Results of Operations,” within the Company's Annual Report on Form 10-K for the year ended December 31, 2023, which are not historical facts (including any statements concerning the direct or indirect impact of the COVID-19 pandemic, conflicts in the Middle East and the Russia-Ukraine war, objectives of management for share repurchases, dividends, future operations or economic performance, or assumptions related thereto, including the potential for higher interest rates and energy prices), are “forward-looking statements” within the meaning of the federal securities laws. In addition, the Company and its representatives may, from time to time, make oral or written statements which are also “forward-looking statements.”</w:t>
      </w:r>
    </w:p>
    <w:p>
      <w:pPr>
        <w:spacing w:after="0" w:line="214" w:lineRule="exact"/>
        <w:rPr>
          <w:sz w:val="20"/>
          <w:szCs w:val="20"/>
          <w:color w:val="auto"/>
        </w:rPr>
      </w:pPr>
    </w:p>
    <w:p>
      <w:pPr>
        <w:jc w:val="both"/>
        <w:ind w:left="733"/>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ind w:left="733"/>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207" w:lineRule="exact"/>
        <w:rPr>
          <w:sz w:val="20"/>
          <w:szCs w:val="20"/>
          <w:color w:val="auto"/>
        </w:rPr>
      </w:pPr>
    </w:p>
    <w:p>
      <w:pPr>
        <w:jc w:val="both"/>
        <w:ind w:left="733"/>
        <w:spacing w:after="0" w:line="253" w:lineRule="auto"/>
        <w:rPr>
          <w:sz w:val="20"/>
          <w:szCs w:val="20"/>
          <w:color w:val="auto"/>
        </w:rPr>
      </w:pPr>
      <w:r>
        <w:rPr>
          <w:rFonts w:ascii="Times New Roman" w:cs="Times New Roman" w:eastAsia="Times New Roman" w:hAnsi="Times New Roman"/>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2023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5" w:lineRule="exact"/>
        <w:rPr>
          <w:sz w:val="20"/>
          <w:szCs w:val="20"/>
          <w:color w:val="auto"/>
        </w:rPr>
      </w:pPr>
    </w:p>
    <w:p>
      <w:pPr>
        <w:ind w:left="313" w:hanging="313"/>
        <w:spacing w:after="0"/>
        <w:tabs>
          <w:tab w:leader="none" w:pos="313"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34" w:lineRule="exact"/>
        <w:rPr>
          <w:sz w:val="20"/>
          <w:szCs w:val="20"/>
          <w:color w:val="auto"/>
        </w:rPr>
      </w:pPr>
    </w:p>
    <w:p>
      <w:pPr>
        <w:jc w:val="both"/>
        <w:ind w:left="733"/>
        <w:spacing w:after="0" w:line="254"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2024, 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to the consolidated financial statements included in this Quarterly Report on Form 10-Q.</w:t>
      </w:r>
    </w:p>
    <w:p>
      <w:pPr>
        <w:spacing w:after="0" w:line="215" w:lineRule="exact"/>
        <w:rPr>
          <w:sz w:val="20"/>
          <w:szCs w:val="20"/>
          <w:color w:val="auto"/>
        </w:rPr>
      </w:pPr>
    </w:p>
    <w:p>
      <w:pPr>
        <w:jc w:val="both"/>
        <w:ind w:left="733"/>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$2.3 billion principal floating interest rate debt and $1.4 billion of securitization and factoring. A change of 0.25% in these floating interest rates would change annual interest expense by approximately $9 million before tax.</w:t>
      </w:r>
    </w:p>
    <w:p>
      <w:pPr>
        <w:spacing w:after="0" w:line="185" w:lineRule="exact"/>
        <w:rPr>
          <w:sz w:val="20"/>
          <w:szCs w:val="20"/>
          <w:color w:val="auto"/>
        </w:rPr>
      </w:pPr>
    </w:p>
    <w:p>
      <w:pPr>
        <w:ind w:left="73"/>
        <w:spacing w:after="0"/>
        <w:tabs>
          <w:tab w:leader="none" w:pos="773"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left="733"/>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17" w:right="339" w:bottom="1440" w:gutter="0" w:footer="0" w:header="0"/>
        </w:sectPr>
      </w:pPr>
    </w:p>
    <w:bookmarkStart w:id="36" w:name="page37"/>
    <w:bookmarkEnd w:id="36"/>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the Company's potential asbestos-related liabilities and other litigation,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entitled “Asbestos-Related Liabilities” and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5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discussed in Item 1A of the Company's Annual Report on Form 10-K for the year ended December 31, 2023.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three months ended September 30, 2024.</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excludes 35,767 shares surrendered to cover taxes on the vesting of restricted stock during the three months ended September 30, 2024.</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Approximate dollar value of shares that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20" w:type="dxa"/>
            <w:vAlign w:val="bottom"/>
          </w:tcPr>
          <w:p>
            <w:pPr>
              <w:spacing w:after="0"/>
              <w:rPr>
                <w:sz w:val="15"/>
                <w:szCs w:val="15"/>
                <w:color w:val="auto"/>
              </w:rPr>
            </w:pPr>
          </w:p>
        </w:tc>
        <w:tc>
          <w:tcPr>
            <w:tcW w:w="31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may yet be purchased under the programs</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rPr>
              <w:t>price per</w:t>
            </w:r>
          </w:p>
        </w:tc>
        <w:tc>
          <w:tcPr>
            <w:tcW w:w="2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as of the end of the period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share</w:t>
            </w:r>
          </w:p>
        </w:tc>
        <w:tc>
          <w:tcPr>
            <w:tcW w:w="20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(millions of 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2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660" w:hanging="4"/>
        <w:spacing w:after="0" w:line="258" w:lineRule="auto"/>
        <w:tabs>
          <w:tab w:leader="none" w:pos="9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events required to be reported under Item 3 for the nine months ended September 30, 2024.</w:t>
      </w:r>
    </w:p>
    <w:p>
      <w:pPr>
        <w:spacing w:after="0" w:line="248"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43"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The Company continually evaluates its cost structure and is currently evaluating the potential closure of a plant which has property, plant and equipment of $25 as of September 30, 2024. This action may also result in charges for severance and other exit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40"/>
          </w:cols>
          <w:pgMar w:left="320" w:top="117" w:right="339" w:bottom="1440" w:gutter="0" w:footer="0" w:header="0"/>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3320"/>
        <w:spacing w:after="0" w:line="266"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Articles of Incorporation of Crown Holdings, Inc., as amended (incorporated by reference to</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Exhibit 3.a of the Registrant’s Annual Report on Form 10-K for the year ended December 31, 2004</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(File No. 000-50189))</w:t>
        </w:r>
      </w:hyperlink>
    </w:p>
    <w:p>
      <w:pPr>
        <w:spacing w:after="0" w:line="16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Amendment No. 1 to the Crown Holdings, Inc. Stock Purchase Plan, effective August 1, 2024.</w:t>
      </w:r>
    </w:p>
    <w:p>
      <w:pPr>
        <w:spacing w:after="0" w:line="21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Guarantor Subsidiaries</w:t>
      </w:r>
    </w:p>
    <w:p>
      <w:pPr>
        <w:spacing w:after="0" w:line="198"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60" w:space="300"/>
            <w:col w:w="10480"/>
          </w:cols>
          <w:pgMar w:left="320" w:top="117" w:right="339" w:bottom="1440" w:gutter="0" w:footer="0" w:header="0"/>
          <w:type w:val="continuous"/>
        </w:sectPr>
      </w:pPr>
    </w:p>
    <w:p>
      <w:pPr>
        <w:ind w:left="760" w:right="334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48" w:lineRule="exact"/>
        <w:rPr>
          <w:rFonts w:ascii="Times New Roman" w:cs="Times New Roman" w:eastAsia="Times New Roman" w:hAnsi="Times New Roman"/>
          <w:sz w:val="18"/>
          <w:szCs w:val="18"/>
          <w:u w:val="single" w:color="auto"/>
          <w:color w:val="0000FF"/>
        </w:rPr>
      </w:pPr>
    </w:p>
    <w:p>
      <w:pPr>
        <w:ind w:left="760" w:right="3320" w:hanging="74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62" w:lineRule="exact"/>
        <w:rPr>
          <w:rFonts w:ascii="Times New Roman" w:cs="Times New Roman" w:eastAsia="Times New Roman" w:hAnsi="Times New Roman"/>
          <w:sz w:val="18"/>
          <w:szCs w:val="18"/>
          <w:u w:val="single" w:color="auto"/>
          <w:color w:val="0000FF"/>
        </w:rPr>
      </w:pPr>
    </w:p>
    <w:p>
      <w:pPr>
        <w:jc w:val="both"/>
        <w:ind w:left="760" w:right="3320" w:hanging="734"/>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66" w:lineRule="exact"/>
        <w:rPr>
          <w:rFonts w:ascii="Times New Roman" w:cs="Times New Roman" w:eastAsia="Times New Roman" w:hAnsi="Times New Roman"/>
          <w:sz w:val="18"/>
          <w:szCs w:val="18"/>
          <w:u w:val="single" w:color="auto"/>
          <w:color w:val="0000FF"/>
        </w:rPr>
      </w:pPr>
    </w:p>
    <w:p>
      <w:pPr>
        <w:jc w:val="both"/>
        <w:ind w:left="760" w:right="3320" w:hanging="734"/>
        <w:spacing w:after="0" w:line="254"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September 30, 2024 formatted in inline XBRL (eXtensible Business Reporting Language): (i) Consolidated Statements of Operations for the three and nine months ended September 30, 2024 and 2023, (ii) Consolidated Statements of Comprehensive Income for the three and nine months ended September 30, 2024 and 2023, (iii) Consolidated Balance Sheets as of September 30, 2024 and December 31, 2023, (iv) Consolidated Statements of Cash Flows for the nine months ended September 30, 2024 and 2023, (v) Consolidated Statements of Changes in Equity for the three and nine months ended September 30, 2024 and 2023 and (vi) Notes to Consolidated Financial Statements.</w:t>
      </w:r>
    </w:p>
    <w:p>
      <w:pPr>
        <w:spacing w:after="0" w:line="161" w:lineRule="exact"/>
        <w:rPr>
          <w:rFonts w:ascii="Times New Roman" w:cs="Times New Roman" w:eastAsia="Times New Roman" w:hAnsi="Times New Roman"/>
          <w:sz w:val="18"/>
          <w:szCs w:val="18"/>
          <w:u w:val="single" w:color="auto"/>
          <w:color w:val="0000FF"/>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tbl>
      <w:tblPr>
        <w:tblLayout w:type="fixed"/>
        <w:tblInd w:w="650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Holdings, Inc.</w:t>
            </w:r>
          </w:p>
        </w:tc>
      </w:tr>
      <w:tr>
        <w:trPr>
          <w:trHeight w:val="228"/>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2440" w:type="dxa"/>
            <w:vAlign w:val="bottom"/>
          </w:tcPr>
          <w:p>
            <w:pPr>
              <w:spacing w:after="0"/>
              <w:rPr>
                <w:sz w:val="19"/>
                <w:szCs w:val="19"/>
                <w:color w:val="auto"/>
              </w:rPr>
            </w:pPr>
          </w:p>
        </w:tc>
      </w:tr>
      <w:tr>
        <w:trPr>
          <w:trHeight w:val="48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Christy L. Kalaus</w:t>
            </w:r>
          </w:p>
        </w:tc>
      </w:tr>
      <w:tr>
        <w:trPr>
          <w:trHeight w:val="218"/>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bl>
    <w:p>
      <w:pPr>
        <w:spacing w:after="0" w:line="346" w:lineRule="exact"/>
        <w:rPr>
          <w:rFonts w:ascii="Times New Roman" w:cs="Times New Roman" w:eastAsia="Times New Roman" w:hAnsi="Times New Roman"/>
          <w:sz w:val="18"/>
          <w:szCs w:val="18"/>
          <w:u w:val="single" w:color="auto"/>
          <w:color w:val="0000FF"/>
        </w:rPr>
      </w:pPr>
    </w:p>
    <w:p>
      <w:pPr>
        <w:ind w:left="660"/>
        <w:spacing w:after="0"/>
        <w:rPr>
          <w:sz w:val="20"/>
          <w:szCs w:val="20"/>
          <w:color w:val="auto"/>
        </w:rPr>
      </w:pPr>
      <w:r>
        <w:rPr>
          <w:rFonts w:ascii="Times New Roman" w:cs="Times New Roman" w:eastAsia="Times New Roman" w:hAnsi="Times New Roman"/>
          <w:sz w:val="18"/>
          <w:szCs w:val="18"/>
          <w:color w:val="auto"/>
        </w:rPr>
        <w:t>Date: November 1, 2024</w:t>
      </w:r>
    </w:p>
    <w:p>
      <w:pPr>
        <w:sectPr>
          <w:pgSz w:w="11900" w:h="16838" w:orient="portrait"/>
          <w:cols w:equalWidth="0" w:num="1">
            <w:col w:w="11240"/>
          </w:cols>
          <w:pgMar w:left="320" w:top="117"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6"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7" w:right="339" w:bottom="1440" w:gutter="0" w:footer="0" w:header="0"/>
          <w:type w:val="continuous"/>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Amendment No. 1</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to the</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Crown Holdings, Inc. Stock Purchase Plan</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Crown Holdings, Inc. Stock Purchase Plan (the “Plan”) is hereby amended, effective August 1, 2024, as follows:</w:t>
      </w:r>
    </w:p>
    <w:p>
      <w:pPr>
        <w:spacing w:after="0" w:line="229" w:lineRule="exact"/>
        <w:rPr>
          <w:sz w:val="20"/>
          <w:szCs w:val="20"/>
          <w:color w:val="auto"/>
        </w:rPr>
      </w:pPr>
    </w:p>
    <w:p>
      <w:pPr>
        <w:ind w:left="880" w:hanging="224"/>
        <w:spacing w:after="0"/>
        <w:tabs>
          <w:tab w:leader="none" w:pos="88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1.5 is hereby deleted in its entirety.</w:t>
      </w:r>
    </w:p>
    <w:p>
      <w:pPr>
        <w:spacing w:after="0" w:line="233" w:lineRule="exact"/>
        <w:rPr>
          <w:rFonts w:ascii="Times New Roman" w:cs="Times New Roman" w:eastAsia="Times New Roman" w:hAnsi="Times New Roman"/>
          <w:sz w:val="22"/>
          <w:szCs w:val="22"/>
          <w:b w:val="1"/>
          <w:bCs w:val="1"/>
          <w:color w:val="auto"/>
        </w:rPr>
      </w:pPr>
    </w:p>
    <w:p>
      <w:pPr>
        <w:ind w:left="880" w:hanging="224"/>
        <w:spacing w:after="0"/>
        <w:tabs>
          <w:tab w:leader="none" w:pos="88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2.3 is hereby amended in its entirety to read as follows:</w:t>
      </w:r>
    </w:p>
    <w:p>
      <w:pPr>
        <w:spacing w:after="0" w:line="224"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Eligibility Restrictions</w:t>
      </w:r>
      <w:r>
        <w:rPr>
          <w:rFonts w:ascii="Times New Roman" w:cs="Times New Roman" w:eastAsia="Times New Roman" w:hAnsi="Times New Roman"/>
          <w:sz w:val="22"/>
          <w:szCs w:val="22"/>
          <w:color w:val="auto"/>
        </w:rPr>
        <w:t>. An Employee who elects to terminate participation in the Plan in accordance with Section 3.5 or who sells Non-Vested Shares in accordance with Section 6.2 shall be prohibited from participating in the Plan until the Entry Date coinciding with or next following the six-month anniversary of such termination or sale.”</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3. Section 3.5 is hereby amended in its entirety to read as follows:</w:t>
      </w:r>
    </w:p>
    <w:p>
      <w:pPr>
        <w:spacing w:after="0" w:line="237" w:lineRule="exact"/>
        <w:rPr>
          <w:sz w:val="20"/>
          <w:szCs w:val="20"/>
          <w:color w:val="auto"/>
        </w:rPr>
      </w:pPr>
    </w:p>
    <w:p>
      <w:pPr>
        <w:ind w:right="4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Suspension and Resumption of Payroll Deductions</w:t>
      </w:r>
      <w:r>
        <w:rPr>
          <w:rFonts w:ascii="Times New Roman" w:cs="Times New Roman" w:eastAsia="Times New Roman" w:hAnsi="Times New Roman"/>
          <w:sz w:val="22"/>
          <w:szCs w:val="22"/>
          <w:color w:val="auto"/>
        </w:rPr>
        <w:t>. A Participant may terminate contributions under the Plan as of the first day of any payroll period by filing notice thereof, in accordance with procedures established by the Company, at least 10 Business Days before the effective date of the termination. In addition, all contributions by a Participant shall be automatically suspended upon such Participant’s sale of Non-Vested Shares in accordance with Section 6.2. A Participant whose contributions have been terminated or suspended in accordance with the preceding provisions, may resume contributions under the Plan in accordance with Section 2.3.”</w:t>
      </w:r>
    </w:p>
    <w:p>
      <w:pPr>
        <w:spacing w:after="0" w:line="200" w:lineRule="exact"/>
        <w:rPr>
          <w:sz w:val="20"/>
          <w:szCs w:val="20"/>
          <w:color w:val="auto"/>
        </w:rPr>
      </w:pPr>
    </w:p>
    <w:p>
      <w:pPr>
        <w:spacing w:after="0" w:line="25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To record the adoption of this Amendment No. 1, Crown Holdings, Inc. has caused its authorized officer to affix its corporate name the 24th day of October,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ectPr>
          <w:pgSz w:w="11900" w:h="16838" w:orient="portrait"/>
          <w:cols w:equalWidth="0" w:num="1">
            <w:col w:w="11200"/>
          </w:cols>
          <w:pgMar w:left="320" w:top="1408" w:right="37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September 30, 2024,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September 30, 2024,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40" w:name="page41"/>
    <w:bookmarkEnd w:id="40"/>
    <w:p>
      <w:pPr>
        <w:ind w:left="97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100" w:hanging="332"/>
        <w:spacing w:after="0" w:line="268"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80" w:hanging="324"/>
        <w:spacing w:after="0" w:line="268" w:lineRule="auto"/>
        <w:tabs>
          <w:tab w:leader="none" w:pos="9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80" w:hanging="324"/>
        <w:spacing w:after="0" w:line="268" w:lineRule="auto"/>
        <w:tabs>
          <w:tab w:leader="none" w:pos="8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4" w:lineRule="auto"/>
        <w:tabs>
          <w:tab w:leader="none" w:pos="11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tbl>
      <w:tblPr>
        <w:tblLayout w:type="fixed"/>
        <w:tblInd w:w="4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 2024</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18"/>
        </w:trPr>
        <w:tc>
          <w:tcPr>
            <w:tcW w:w="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0920"/>
          </w:cols>
          <w:pgMar w:left="320" w:top="1133" w:right="6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420" w:hanging="332"/>
        <w:spacing w:after="0" w:line="268"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400" w:hanging="324"/>
        <w:spacing w:after="0" w:line="268"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400" w:hanging="324"/>
        <w:spacing w:after="0" w:line="268" w:lineRule="auto"/>
        <w:tabs>
          <w:tab w:leader="none" w:pos="8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400" w:hanging="324"/>
        <w:spacing w:after="0" w:line="287" w:lineRule="auto"/>
        <w:tabs>
          <w:tab w:leader="none" w:pos="11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1, 2024</w:t>
            </w:r>
          </w:p>
        </w:tc>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18"/>
        </w:trPr>
        <w:tc>
          <w:tcPr>
            <w:tcW w:w="6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6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70"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1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September 30, 2024 (the “Report”), each of the undersigned officers certify, pursuant to 18 U.S.C. § 1350, as adopted pursuant to § 906 of the Sarbanes-Oxley Act of 2002, that:</w:t>
      </w:r>
    </w:p>
    <w:p>
      <w:pPr>
        <w:spacing w:after="0" w:line="200" w:lineRule="exact"/>
        <w:rPr>
          <w:sz w:val="20"/>
          <w:szCs w:val="20"/>
          <w:color w:val="auto"/>
        </w:rPr>
      </w:pPr>
    </w:p>
    <w:p>
      <w:pPr>
        <w:ind w:firstLine="8"/>
        <w:spacing w:after="0" w:line="285" w:lineRule="auto"/>
        <w:tabs>
          <w:tab w:leader="none" w:pos="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68" w:lineRule="exact"/>
        <w:rPr>
          <w:rFonts w:ascii="Arial" w:cs="Arial" w:eastAsia="Arial" w:hAnsi="Arial"/>
          <w:sz w:val="22"/>
          <w:szCs w:val="22"/>
          <w:color w:val="auto"/>
        </w:rPr>
      </w:pPr>
    </w:p>
    <w:p>
      <w:pPr>
        <w:ind w:firstLine="8"/>
        <w:spacing w:after="0" w:line="272" w:lineRule="auto"/>
        <w:tabs>
          <w:tab w:leader="none" w:pos="51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November 1, 2024</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Timothy J. Donahue</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Timothy J. Donahue</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tc>
      </w:tr>
      <w:tr>
        <w:trPr>
          <w:trHeight w:val="541"/>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November 1, 2024</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Kevin C. Clothier</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Kevin C. Clothier</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 and Chief Financial Officer</w:t>
            </w:r>
          </w:p>
        </w:tc>
      </w:tr>
    </w:tbl>
    <w:p>
      <w:pPr>
        <w:spacing w:after="0" w:line="32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2"/>
    </w:lvl>
  </w:abstractNum>
  <w:abstractNum w:abstractNumId="4">
    <w:nsid w:val="41A7C4C9"/>
    <w:multiLevelType w:val="hybridMultilevel"/>
    <w:lvl w:ilvl="0">
      <w:lvlJc w:val="left"/>
      <w:lvlText w:val="%1."/>
      <w:numFmt w:val="upperLetter"/>
      <w:start w:val="3"/>
    </w:lvl>
  </w:abstractNum>
  <w:abstractNum w:abstractNumId="5">
    <w:nsid w:val="6B68079A"/>
    <w:multiLevelType w:val="hybridMultilevel"/>
    <w:lvl w:ilvl="0">
      <w:lvlJc w:val="left"/>
      <w:lvlText w:val="%1."/>
      <w:numFmt w:val="upperLetter"/>
      <w:start w:val="6"/>
    </w:lvl>
  </w:abstractNum>
  <w:abstractNum w:abstractNumId="6">
    <w:nsid w:val="4E6AFB66"/>
    <w:multiLevelType w:val="hybridMultilevel"/>
    <w:lvl w:ilvl="0">
      <w:lvlJc w:val="left"/>
      <w:lvlText w:val="%1."/>
      <w:numFmt w:val="upperLetter"/>
      <w:start w:val="7"/>
    </w:lvl>
  </w:abstractNum>
  <w:abstractNum w:abstractNumId="7">
    <w:nsid w:val="25E45D32"/>
    <w:multiLevelType w:val="hybridMultilevel"/>
    <w:lvl w:ilvl="0">
      <w:lvlJc w:val="left"/>
      <w:lvlText w:val="%1."/>
      <w:numFmt w:val="upperLetter"/>
      <w:start w:val="8"/>
    </w:lvl>
  </w:abstractNum>
  <w:abstractNum w:abstractNumId="8">
    <w:nsid w:val="519B500D"/>
    <w:multiLevelType w:val="hybridMultilevel"/>
    <w:lvl w:ilvl="0">
      <w:lvlJc w:val="left"/>
      <w:lvlText w:val="%1."/>
      <w:numFmt w:val="upperLetter"/>
      <w:start w:val="9"/>
    </w:lvl>
  </w:abstractNum>
  <w:abstractNum w:abstractNumId="9">
    <w:nsid w:val="431BD7B7"/>
    <w:multiLevelType w:val="hybridMultilevel"/>
    <w:lvl w:ilvl="0">
      <w:lvlJc w:val="left"/>
      <w:lvlText w:val="%1."/>
      <w:numFmt w:val="upperLetter"/>
      <w:start w:val="10"/>
    </w:lvl>
  </w:abstractNum>
  <w:abstractNum w:abstractNumId="10">
    <w:nsid w:val="3F2DBA31"/>
    <w:multiLevelType w:val="hybridMultilevel"/>
    <w:lvl w:ilvl="0">
      <w:lvlJc w:val="left"/>
      <w:lvlText w:val="%1."/>
      <w:numFmt w:val="upperLetter"/>
      <w:start w:val="11"/>
    </w:lvl>
  </w:abstractNum>
  <w:abstractNum w:abstractNumId="11">
    <w:nsid w:val="7C83E458"/>
    <w:multiLevelType w:val="hybridMultilevel"/>
    <w:lvl w:ilvl="0">
      <w:lvlJc w:val="left"/>
      <w:lvlText w:val="%1."/>
      <w:numFmt w:val="upperLetter"/>
      <w:start w:val="12"/>
    </w:lvl>
  </w:abstractNum>
  <w:abstractNum w:abstractNumId="12">
    <w:nsid w:val="257130A3"/>
    <w:multiLevelType w:val="hybridMultilevel"/>
    <w:lvl w:ilvl="0">
      <w:lvlJc w:val="left"/>
      <w:lvlText w:val="%1."/>
      <w:numFmt w:val="upperLetter"/>
      <w:start w:val="13"/>
    </w:lvl>
  </w:abstractNum>
  <w:abstractNum w:abstractNumId="13">
    <w:nsid w:val="62BBD95A"/>
    <w:multiLevelType w:val="hybridMultilevel"/>
    <w:lvl w:ilvl="0">
      <w:lvlJc w:val="left"/>
      <w:lvlText w:val="%1."/>
      <w:numFmt w:val="upperLetter"/>
      <w:start w:val="15"/>
    </w:lvl>
  </w:abstractNum>
  <w:abstractNum w:abstractNumId="14">
    <w:nsid w:val="436C6125"/>
    <w:multiLevelType w:val="hybridMultilevel"/>
    <w:lvl w:ilvl="0">
      <w:lvlJc w:val="left"/>
      <w:lvlText w:val="%1."/>
      <w:numFmt w:val="upperLetter"/>
      <w:start w:val="17"/>
    </w:lvl>
  </w:abstractNum>
  <w:abstractNum w:abstractNumId="15">
    <w:nsid w:val="628C895D"/>
    <w:multiLevelType w:val="hybridMultilevel"/>
    <w:lvl w:ilvl="0">
      <w:lvlJc w:val="left"/>
      <w:lvlText w:val="%1."/>
      <w:numFmt w:val="upperLetter"/>
      <w:start w:val="18"/>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3"/>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32"/>
    </w:lvl>
  </w:abstractNum>
  <w:abstractNum w:abstractNumId="21">
    <w:nsid w:val="75A2A8D4"/>
    <w:multiLevelType w:val="hybridMultilevel"/>
    <w:lvl w:ilvl="0">
      <w:lvlJc w:val="left"/>
      <w:lvlText w:val="%1"/>
      <w:numFmt w:val="decimal"/>
      <w:start w:val="10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hyperlink" Target="https://www.sec.gov/Archives/edgar/data/1219601/000121960105000069/ex3a2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2024-11-01T13:11:33Z</dcterms:created>
  <dcterms:modified xsi:type="dcterms:W3CDTF">2024-11-01T13:11:33Z</dcterms:modified>
</cp:coreProperties>
</file>