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30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579"/>
          </w:cols>
          <w:pgMar w:left="880" w:top="1440" w:right="1440" w:bottom="1440" w:gutter="0" w:footer="0" w:header="0"/>
        </w:sectPr>
      </w:pPr>
    </w:p>
    <w:p>
      <w:pPr>
        <w:spacing w:after="0" w:line="4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60" w:space="720"/>
            <w:col w:w="7899"/>
          </w:cols>
          <w:pgMar w:left="880" w:top="1440" w:right="1440" w:bottom="1440" w:gutter="0" w:footer="0" w:header="0"/>
          <w:type w:val="continuous"/>
        </w:sectPr>
      </w:pPr>
    </w:p>
    <w:p>
      <w:pPr>
        <w:spacing w:after="0" w:line="347" w:lineRule="exact"/>
        <w:rPr>
          <w:sz w:val="24"/>
          <w:szCs w:val="24"/>
          <w:color w:val="auto"/>
        </w:rPr>
      </w:pPr>
    </w:p>
    <w:p>
      <w:pPr>
        <w:ind w:left="1680"/>
        <w:spacing w:after="0"/>
        <w:rPr>
          <w:sz w:val="20"/>
          <w:szCs w:val="20"/>
          <w:color w:val="auto"/>
        </w:rPr>
      </w:pPr>
      <w:r>
        <w:rPr>
          <w:rFonts w:ascii="Arial" w:cs="Arial" w:eastAsia="Arial" w:hAnsi="Arial"/>
          <w:sz w:val="19"/>
          <w:szCs w:val="19"/>
          <w:b w:val="1"/>
          <w:bCs w:val="1"/>
          <w:color w:val="auto"/>
        </w:rPr>
        <w:t>For the fiscal year ended December 31, 2022</w:t>
      </w:r>
    </w:p>
    <w:p>
      <w:pPr>
        <w:spacing w:after="0" w:line="322" w:lineRule="exact"/>
        <w:rPr>
          <w:sz w:val="24"/>
          <w:szCs w:val="24"/>
          <w:color w:val="auto"/>
        </w:rPr>
      </w:pPr>
    </w:p>
    <w:p>
      <w:pPr>
        <w:ind w:left="1680"/>
        <w:spacing w:after="0"/>
        <w:rPr>
          <w:sz w:val="20"/>
          <w:szCs w:val="20"/>
          <w:color w:val="auto"/>
        </w:rPr>
      </w:pPr>
      <w:r>
        <w:rPr>
          <w:rFonts w:ascii="Arial" w:cs="Arial" w:eastAsia="Arial" w:hAnsi="Arial"/>
          <w:sz w:val="22"/>
          <w:szCs w:val="22"/>
          <w:b w:val="1"/>
          <w:bCs w:val="1"/>
          <w:color w:val="auto"/>
        </w:rPr>
        <w:t>Commission File Number 0-50189</w:t>
      </w:r>
    </w:p>
    <w:p>
      <w:pPr>
        <w:sectPr>
          <w:pgSz w:w="11900" w:h="16838" w:orient="portrait"/>
          <w:cols w:equalWidth="0" w:num="1">
            <w:col w:w="9579"/>
          </w:cols>
          <w:pgMar w:left="88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40" w:hanging="462"/>
        <w:spacing w:after="0"/>
        <w:tabs>
          <w:tab w:leader="none" w:pos="22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287" w:lineRule="exact"/>
        <w:rPr>
          <w:rFonts w:ascii="Arial" w:cs="Arial" w:eastAsia="Arial" w:hAnsi="Arial"/>
          <w:sz w:val="22"/>
          <w:szCs w:val="22"/>
          <w:b w:val="1"/>
          <w:bCs w:val="1"/>
          <w:color w:val="auto"/>
        </w:rPr>
      </w:pPr>
    </w:p>
    <w:p>
      <w:pPr>
        <w:ind w:left="2240" w:right="4099"/>
        <w:spacing w:after="0" w:line="282" w:lineRule="auto"/>
        <w:rPr>
          <w:rFonts w:ascii="Arial" w:cs="Arial" w:eastAsia="Arial" w:hAnsi="Arial"/>
          <w:sz w:val="22"/>
          <w:szCs w:val="22"/>
          <w:b w:val="1"/>
          <w:bCs w:val="1"/>
          <w:color w:val="auto"/>
        </w:rPr>
      </w:pPr>
      <w:r>
        <w:rPr>
          <w:rFonts w:ascii="Arial" w:cs="Arial" w:eastAsia="Arial" w:hAnsi="Arial"/>
          <w:sz w:val="22"/>
          <w:szCs w:val="22"/>
          <w:b w:val="1"/>
          <w:bCs w:val="1"/>
          <w:color w:val="auto"/>
        </w:rPr>
        <w:t>Crown Cork &amp; Seal Company, Inc. Retirement Thrift Plan</w:t>
      </w:r>
    </w:p>
    <w:p>
      <w:pPr>
        <w:spacing w:after="0" w:line="215" w:lineRule="exact"/>
        <w:rPr>
          <w:rFonts w:ascii="Arial" w:cs="Arial" w:eastAsia="Arial" w:hAnsi="Arial"/>
          <w:sz w:val="22"/>
          <w:szCs w:val="22"/>
          <w:b w:val="1"/>
          <w:bCs w:val="1"/>
          <w:color w:val="auto"/>
        </w:rPr>
      </w:pPr>
    </w:p>
    <w:p>
      <w:pPr>
        <w:ind w:left="2240" w:right="2059" w:hanging="450"/>
        <w:spacing w:after="0" w:line="364" w:lineRule="auto"/>
        <w:tabs>
          <w:tab w:leader="none" w:pos="224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3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CROWN HOLDINGS,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14025 Riveredge Drive, Suite 300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Tampa, FL 33637-2015</w:t>
      </w:r>
    </w:p>
    <w:p>
      <w:pPr>
        <w:sectPr>
          <w:pgSz w:w="11900" w:h="16838" w:orient="portrait"/>
          <w:cols w:equalWidth="0" w:num="1">
            <w:col w:w="9579"/>
          </w:cols>
          <w:pgMar w:left="88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Thrift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7580" w:type="dxa"/>
            <w:vAlign w:val="bottom"/>
          </w:tcPr>
          <w:p>
            <w:pPr>
              <w:spacing w:after="0"/>
              <w:rPr>
                <w:sz w:val="21"/>
                <w:szCs w:val="21"/>
                <w:color w:val="auto"/>
              </w:rPr>
            </w:pPr>
          </w:p>
        </w:tc>
        <w:tc>
          <w:tcPr>
            <w:tcW w:w="1180" w:type="dxa"/>
            <w:vAlign w:val="bottom"/>
          </w:tcPr>
          <w:p>
            <w:pPr>
              <w:ind w:left="600"/>
              <w:spacing w:after="0"/>
              <w:rPr>
                <w:sz w:val="20"/>
                <w:szCs w:val="20"/>
                <w:color w:val="auto"/>
              </w:rPr>
            </w:pPr>
            <w:r>
              <w:rPr>
                <w:rFonts w:ascii="Arial" w:cs="Arial" w:eastAsia="Arial" w:hAnsi="Arial"/>
                <w:sz w:val="20"/>
                <w:szCs w:val="20"/>
                <w:color w:val="auto"/>
                <w:w w:val="79"/>
              </w:rPr>
              <w:t>Page(s)</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1180" w:type="dxa"/>
            <w:vAlign w:val="bottom"/>
          </w:tcPr>
          <w:p>
            <w:pPr>
              <w:jc w:val="center"/>
              <w:ind w:left="50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Arial" w:cs="Arial" w:eastAsia="Arial" w:hAnsi="Arial"/>
                <w:sz w:val="20"/>
                <w:szCs w:val="20"/>
                <w:color w:val="auto"/>
              </w:rPr>
              <w:t>Financial Statements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580" w:type="dxa"/>
            <w:vAlign w:val="bottom"/>
          </w:tcPr>
          <w:p>
            <w:pPr>
              <w:ind w:left="480"/>
              <w:spacing w:after="0"/>
              <w:rPr>
                <w:sz w:val="20"/>
                <w:szCs w:val="20"/>
                <w:color w:val="auto"/>
              </w:rPr>
            </w:pPr>
            <w:r>
              <w:rPr>
                <w:rFonts w:ascii="Arial" w:cs="Arial" w:eastAsia="Arial" w:hAnsi="Arial"/>
                <w:sz w:val="20"/>
                <w:szCs w:val="20"/>
                <w:color w:val="auto"/>
                <w:w w:val="97"/>
              </w:rPr>
              <w:t>Statement of Net Assets Available for Benefits as of December 31, 2022 and 2021</w:t>
            </w:r>
          </w:p>
        </w:tc>
        <w:tc>
          <w:tcPr>
            <w:tcW w:w="1180" w:type="dxa"/>
            <w:vAlign w:val="bottom"/>
          </w:tcPr>
          <w:p>
            <w:pPr>
              <w:jc w:val="center"/>
              <w:ind w:left="50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482"/>
        </w:trPr>
        <w:tc>
          <w:tcPr>
            <w:tcW w:w="7580" w:type="dxa"/>
            <w:vAlign w:val="bottom"/>
          </w:tcPr>
          <w:p>
            <w:pPr>
              <w:ind w:left="480"/>
              <w:spacing w:after="0"/>
              <w:rPr>
                <w:sz w:val="20"/>
                <w:szCs w:val="20"/>
                <w:color w:val="auto"/>
              </w:rPr>
            </w:pPr>
            <w:r>
              <w:rPr>
                <w:rFonts w:ascii="Arial" w:cs="Arial" w:eastAsia="Arial" w:hAnsi="Arial"/>
                <w:sz w:val="20"/>
                <w:szCs w:val="20"/>
                <w:color w:val="auto"/>
              </w:rPr>
              <w:t>Statement of Changes in Net Assets Available for Benefits for the years ended</w:t>
            </w:r>
          </w:p>
        </w:tc>
        <w:tc>
          <w:tcPr>
            <w:tcW w:w="1180" w:type="dxa"/>
            <w:vAlign w:val="bottom"/>
            <w:vMerge w:val="restart"/>
          </w:tcPr>
          <w:p>
            <w:pPr>
              <w:jc w:val="center"/>
              <w:ind w:left="50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50"/>
        </w:trPr>
        <w:tc>
          <w:tcPr>
            <w:tcW w:w="7580" w:type="dxa"/>
            <w:vAlign w:val="bottom"/>
          </w:tcPr>
          <w:p>
            <w:pPr>
              <w:ind w:left="480"/>
              <w:spacing w:after="0"/>
              <w:rPr>
                <w:sz w:val="20"/>
                <w:szCs w:val="20"/>
                <w:color w:val="auto"/>
              </w:rPr>
            </w:pPr>
            <w:r>
              <w:rPr>
                <w:rFonts w:ascii="Arial" w:cs="Arial" w:eastAsia="Arial" w:hAnsi="Arial"/>
                <w:sz w:val="20"/>
                <w:szCs w:val="20"/>
                <w:color w:val="auto"/>
              </w:rPr>
              <w:t>December 31, 2022 and 2021</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37"/>
        </w:trPr>
        <w:tc>
          <w:tcPr>
            <w:tcW w:w="7580" w:type="dxa"/>
            <w:vAlign w:val="bottom"/>
          </w:tcPr>
          <w:p>
            <w:pPr>
              <w:ind w:left="480"/>
              <w:spacing w:after="0"/>
              <w:rPr>
                <w:sz w:val="20"/>
                <w:szCs w:val="20"/>
                <w:color w:val="auto"/>
              </w:rPr>
            </w:pPr>
            <w:r>
              <w:rPr>
                <w:rFonts w:ascii="Arial" w:cs="Arial" w:eastAsia="Arial" w:hAnsi="Arial"/>
                <w:sz w:val="20"/>
                <w:szCs w:val="20"/>
                <w:color w:val="auto"/>
              </w:rPr>
              <w:t>Notes to Financial Statements</w:t>
            </w:r>
          </w:p>
        </w:tc>
        <w:tc>
          <w:tcPr>
            <w:tcW w:w="1180" w:type="dxa"/>
            <w:vAlign w:val="bottom"/>
          </w:tcPr>
          <w:p>
            <w:pPr>
              <w:jc w:val="center"/>
              <w:ind w:left="501"/>
              <w:spacing w:after="0"/>
              <w:rPr>
                <w:sz w:val="20"/>
                <w:szCs w:val="20"/>
                <w:color w:val="auto"/>
              </w:rPr>
            </w:pPr>
            <w:r>
              <w:rPr>
                <w:rFonts w:ascii="Arial" w:cs="Arial" w:eastAsia="Arial" w:hAnsi="Arial"/>
                <w:sz w:val="20"/>
                <w:szCs w:val="20"/>
                <w:color w:val="auto"/>
                <w:w w:val="89"/>
              </w:rPr>
              <w:t>4-9</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580" w:type="dxa"/>
            <w:vAlign w:val="bottom"/>
          </w:tcPr>
          <w:p>
            <w:pPr>
              <w:ind w:left="480"/>
              <w:spacing w:after="0"/>
              <w:rPr>
                <w:sz w:val="20"/>
                <w:szCs w:val="20"/>
                <w:color w:val="auto"/>
              </w:rPr>
            </w:pPr>
            <w:r>
              <w:rPr>
                <w:rFonts w:ascii="Arial" w:cs="Arial" w:eastAsia="Arial" w:hAnsi="Arial"/>
                <w:sz w:val="20"/>
                <w:szCs w:val="20"/>
                <w:color w:val="auto"/>
              </w:rPr>
              <w:t>Schedule H, Line 4i - Schedule of Assets (Held at End of Year)</w:t>
            </w:r>
          </w:p>
        </w:tc>
        <w:tc>
          <w:tcPr>
            <w:tcW w:w="1180" w:type="dxa"/>
            <w:vAlign w:val="bottom"/>
          </w:tcPr>
          <w:p>
            <w:pPr>
              <w:jc w:val="center"/>
              <w:ind w:left="501"/>
              <w:spacing w:after="0"/>
              <w:rPr>
                <w:sz w:val="20"/>
                <w:szCs w:val="20"/>
                <w:color w:val="auto"/>
              </w:rPr>
            </w:pPr>
            <w:r>
              <w:rPr>
                <w:rFonts w:ascii="Arial" w:cs="Arial" w:eastAsia="Arial" w:hAnsi="Arial"/>
                <w:sz w:val="20"/>
                <w:szCs w:val="20"/>
                <w:color w:val="auto"/>
                <w:w w:val="80"/>
              </w:rPr>
              <w:t>10</w:t>
            </w:r>
          </w:p>
        </w:tc>
        <w:tc>
          <w:tcPr>
            <w:tcW w:w="0" w:type="dxa"/>
            <w:vAlign w:val="bottom"/>
          </w:tcPr>
          <w:p>
            <w:pPr>
              <w:spacing w:after="0"/>
              <w:rPr>
                <w:sz w:val="1"/>
                <w:szCs w:val="1"/>
                <w:color w:val="auto"/>
              </w:rPr>
            </w:pPr>
          </w:p>
        </w:tc>
      </w:tr>
      <w:tr>
        <w:trPr>
          <w:trHeight w:val="540"/>
        </w:trPr>
        <w:tc>
          <w:tcPr>
            <w:tcW w:w="7580" w:type="dxa"/>
            <w:vAlign w:val="bottom"/>
          </w:tcPr>
          <w:p>
            <w:pPr>
              <w:ind w:left="480"/>
              <w:spacing w:after="0"/>
              <w:rPr>
                <w:sz w:val="20"/>
                <w:szCs w:val="20"/>
                <w:color w:val="auto"/>
              </w:rPr>
            </w:pPr>
            <w:r>
              <w:rPr>
                <w:rFonts w:ascii="Arial" w:cs="Arial" w:eastAsia="Arial" w:hAnsi="Arial"/>
                <w:sz w:val="20"/>
                <w:szCs w:val="20"/>
                <w:color w:val="auto"/>
              </w:rPr>
              <w:t>Exhibit Index</w:t>
            </w:r>
          </w:p>
        </w:tc>
        <w:tc>
          <w:tcPr>
            <w:tcW w:w="1180" w:type="dxa"/>
            <w:vAlign w:val="bottom"/>
          </w:tcPr>
          <w:p>
            <w:pPr>
              <w:jc w:val="center"/>
              <w:ind w:left="501"/>
              <w:spacing w:after="0"/>
              <w:rPr>
                <w:sz w:val="20"/>
                <w:szCs w:val="20"/>
                <w:color w:val="auto"/>
              </w:rPr>
            </w:pPr>
            <w:r>
              <w:rPr>
                <w:rFonts w:ascii="Arial" w:cs="Arial" w:eastAsia="Arial" w:hAnsi="Arial"/>
                <w:sz w:val="20"/>
                <w:szCs w:val="20"/>
                <w:color w:val="auto"/>
                <w:w w:val="80"/>
              </w:rPr>
              <w:t>11</w:t>
            </w:r>
          </w:p>
        </w:tc>
        <w:tc>
          <w:tcPr>
            <w:tcW w:w="0" w:type="dxa"/>
            <w:vAlign w:val="bottom"/>
          </w:tcPr>
          <w:p>
            <w:pPr>
              <w:spacing w:after="0"/>
              <w:rPr>
                <w:sz w:val="1"/>
                <w:szCs w:val="1"/>
                <w:color w:val="auto"/>
              </w:rPr>
            </w:pPr>
          </w:p>
        </w:tc>
      </w:tr>
      <w:tr>
        <w:trPr>
          <w:trHeight w:val="540"/>
        </w:trPr>
        <w:tc>
          <w:tcPr>
            <w:tcW w:w="7580" w:type="dxa"/>
            <w:vAlign w:val="bottom"/>
          </w:tcPr>
          <w:p>
            <w:pPr>
              <w:ind w:left="480"/>
              <w:spacing w:after="0"/>
              <w:rPr>
                <w:sz w:val="20"/>
                <w:szCs w:val="20"/>
                <w:color w:val="auto"/>
              </w:rPr>
            </w:pPr>
            <w:r>
              <w:rPr>
                <w:rFonts w:ascii="Arial" w:cs="Arial" w:eastAsia="Arial" w:hAnsi="Arial"/>
                <w:sz w:val="20"/>
                <w:szCs w:val="20"/>
                <w:color w:val="auto"/>
              </w:rPr>
              <w:t>Signature</w:t>
            </w:r>
          </w:p>
        </w:tc>
        <w:tc>
          <w:tcPr>
            <w:tcW w:w="1180" w:type="dxa"/>
            <w:vAlign w:val="bottom"/>
          </w:tcPr>
          <w:p>
            <w:pPr>
              <w:jc w:val="center"/>
              <w:ind w:left="501"/>
              <w:spacing w:after="0"/>
              <w:rPr>
                <w:sz w:val="20"/>
                <w:szCs w:val="20"/>
                <w:color w:val="auto"/>
              </w:rPr>
            </w:pPr>
            <w:r>
              <w:rPr>
                <w:rFonts w:ascii="Arial" w:cs="Arial" w:eastAsia="Arial" w:hAnsi="Arial"/>
                <w:sz w:val="20"/>
                <w:szCs w:val="20"/>
                <w:color w:val="auto"/>
                <w:w w:val="80"/>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hanging="172"/>
        <w:spacing w:after="0" w:line="277"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68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and Plan Participants of the Crown Cork &amp; Seal Company, Inc. Retirement Thrift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have audited the accompanying statement of net assets available for benefits of the Crown Cork &amp; Seal Company, Inc. Retirement Thrift Plan (the Plan) as of December 31, 2022 and 2021, and the related statement of changes in net assets available for benefits for the years then ended, and the related notes (collectively referred to as the financial statements). In our opinion, the financial statements present fairly,</w:t>
      </w:r>
    </w:p>
    <w:p>
      <w:pPr>
        <w:spacing w:after="0" w:line="1"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in all material respects, the net assets available for benefits of the Plan as of December 31, 2022 and 2021, and the changes in net assets available for benefits for the years then ended,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0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supplemental Schedule H, Line 4i – Schedule of Assets (Held at End of Year) as of December 31, 2022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June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877" w:right="379" w:bottom="1440" w:gutter="0" w:footer="0" w:header="0"/>
        </w:sectPr>
      </w:pPr>
    </w:p>
    <w:bookmarkStart w:id="3" w:name="page4"/>
    <w:bookmarkEnd w:id="3"/>
    <w:p>
      <w:pPr>
        <w:ind w:left="180"/>
        <w:spacing w:after="0"/>
        <w:rPr>
          <w:sz w:val="20"/>
          <w:szCs w:val="20"/>
          <w:color w:val="auto"/>
        </w:rPr>
      </w:pPr>
      <w:r>
        <w:rPr>
          <w:rFonts w:ascii="Arial" w:cs="Arial" w:eastAsia="Arial" w:hAnsi="Arial"/>
          <w:sz w:val="22"/>
          <w:szCs w:val="22"/>
          <w:b w:val="1"/>
          <w:bCs w:val="1"/>
          <w:color w:val="auto"/>
        </w:rPr>
        <w:t>CROWN CORK &amp; SEAL COMPANY, INC.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RETIREMENT THRIFT PLAN</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60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2"/>
                <w:szCs w:val="22"/>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2021</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Baird Core Plus Bond Fund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7,696,908</w:t>
            </w:r>
          </w:p>
        </w:tc>
        <w:tc>
          <w:tcPr>
            <w:tcW w:w="162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9,734,452</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DFA Emerging Markets Core Equity Portfolio</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736,338</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726,794</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814,230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549,751</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8,682,195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13,063,336</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T. Rowe Price International Discovery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219,687</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146,588</w:t>
            </w:r>
          </w:p>
        </w:tc>
      </w:tr>
      <w:tr>
        <w:trPr>
          <w:trHeight w:val="25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3,076,463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3,584,674</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7,085,747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11,013,090</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Cash Reserve Federal Money Market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151,705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137,078</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2015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2,395,033</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716,642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1,948,592</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2025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4,744,197</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6,210,880</w:t>
            </w:r>
          </w:p>
        </w:tc>
      </w:tr>
      <w:tr>
        <w:trPr>
          <w:trHeight w:val="257"/>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5,616,495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7,142,564</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2035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4,584,308</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5,145,738</w:t>
            </w:r>
          </w:p>
        </w:tc>
      </w:tr>
      <w:tr>
        <w:trPr>
          <w:trHeight w:val="257"/>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4,008,682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4,556,745</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2,440,353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2,597,358</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2050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3,323,241</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3,898,235</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1,873,233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1,916,861</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1,521,075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1,362,498</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2065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432,046</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284,104</w:t>
            </w:r>
          </w:p>
        </w:tc>
      </w:tr>
      <w:tr>
        <w:trPr>
          <w:trHeight w:val="257"/>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2070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Income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3,817,026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1,997,623</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Total Stock Market Index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38,869,375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54,497,940</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U.S.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1,612,921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2,645,038</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Wellington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9,715,992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12,874,209</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Windsor II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2,271,610</w:t>
            </w:r>
          </w:p>
        </w:tc>
        <w:tc>
          <w:tcPr>
            <w:tcW w:w="1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2,942,200</w:t>
            </w:r>
          </w:p>
        </w:tc>
      </w:tr>
      <w:tr>
        <w:trPr>
          <w:trHeight w:val="237"/>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114,011,561</w:t>
            </w: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151,371,381</w:t>
            </w:r>
          </w:p>
        </w:tc>
      </w:tr>
      <w:tr>
        <w:trPr>
          <w:trHeight w:val="243"/>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25,645,430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26,855,347</w:t>
            </w:r>
          </w:p>
        </w:tc>
      </w:tr>
      <w:tr>
        <w:trPr>
          <w:trHeight w:val="25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Crown Holdings, Inc. Stock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4,871,250</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6,926,663</w:t>
            </w:r>
          </w:p>
        </w:tc>
      </w:tr>
      <w:tr>
        <w:trPr>
          <w:trHeight w:val="240"/>
        </w:trPr>
        <w:tc>
          <w:tcPr>
            <w:tcW w:w="6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144,528,241</w:t>
            </w:r>
          </w:p>
        </w:tc>
        <w:tc>
          <w:tcPr>
            <w:tcW w:w="1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185,153,391</w:t>
            </w:r>
          </w:p>
        </w:tc>
      </w:tr>
      <w:tr>
        <w:trPr>
          <w:trHeight w:val="155"/>
        </w:trPr>
        <w:tc>
          <w:tcPr>
            <w:tcW w:w="6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3"/>
        </w:trPr>
        <w:tc>
          <w:tcPr>
            <w:tcW w:w="600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3,479,341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3,698,836</w:t>
            </w:r>
          </w:p>
        </w:tc>
      </w:tr>
      <w:tr>
        <w:trPr>
          <w:trHeight w:val="260"/>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Employer's contributions</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634,967</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696,734</w:t>
            </w:r>
          </w:p>
        </w:tc>
      </w:tr>
      <w:tr>
        <w:trPr>
          <w:trHeight w:val="236"/>
        </w:trPr>
        <w:tc>
          <w:tcPr>
            <w:tcW w:w="6000" w:type="dxa"/>
            <w:vAlign w:val="bottom"/>
          </w:tcPr>
          <w:p>
            <w:pPr>
              <w:ind w:left="860"/>
              <w:spacing w:after="0"/>
              <w:rPr>
                <w:sz w:val="20"/>
                <w:szCs w:val="20"/>
                <w:color w:val="auto"/>
              </w:rPr>
            </w:pPr>
            <w:r>
              <w:rPr>
                <w:rFonts w:ascii="Arial" w:cs="Arial" w:eastAsia="Arial" w:hAnsi="Arial"/>
                <w:sz w:val="20"/>
                <w:szCs w:val="20"/>
                <w:b w:val="1"/>
                <w:bCs w:val="1"/>
                <w:color w:val="auto"/>
              </w:rPr>
              <w:t>Total receivables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4,114,308</w:t>
            </w:r>
          </w:p>
        </w:tc>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4,395,570</w:t>
            </w:r>
          </w:p>
        </w:tc>
      </w:tr>
      <w:tr>
        <w:trPr>
          <w:trHeight w:val="156"/>
        </w:trPr>
        <w:tc>
          <w:tcPr>
            <w:tcW w:w="6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56"/>
        </w:trPr>
        <w:tc>
          <w:tcPr>
            <w:tcW w:w="6000" w:type="dxa"/>
            <w:vAlign w:val="bottom"/>
          </w:tcPr>
          <w:p>
            <w:pPr>
              <w:ind w:left="820"/>
              <w:spacing w:after="0"/>
              <w:rPr>
                <w:sz w:val="20"/>
                <w:szCs w:val="20"/>
                <w:color w:val="auto"/>
              </w:rPr>
            </w:pPr>
            <w:r>
              <w:rPr>
                <w:rFonts w:ascii="Arial" w:cs="Arial" w:eastAsia="Arial" w:hAnsi="Arial"/>
                <w:sz w:val="20"/>
                <w:szCs w:val="20"/>
                <w:b w:val="1"/>
                <w:bCs w:val="1"/>
                <w:color w:val="auto"/>
              </w:rPr>
              <w:t>Total assets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148,642,549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189,548,961</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LIABILITIES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148,642,549</w:t>
            </w:r>
          </w:p>
        </w:tc>
        <w:tc>
          <w:tcPr>
            <w:tcW w:w="130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189,548,961</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0580"/>
          </w:cols>
          <w:pgMar w:left="580" w:top="1017" w:right="7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580"/>
          </w:cols>
          <w:pgMar w:left="580" w:top="1017" w:right="7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2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tcBorders>
            <w:gridSpan w:val="4"/>
          </w:tcPr>
          <w:p>
            <w:pPr>
              <w:jc w:val="right"/>
              <w:ind w:right="581"/>
              <w:spacing w:after="0"/>
              <w:rPr>
                <w:sz w:val="20"/>
                <w:szCs w:val="20"/>
                <w:color w:val="auto"/>
              </w:rPr>
            </w:pPr>
            <w:r>
              <w:rPr>
                <w:rFonts w:ascii="Arial" w:cs="Arial" w:eastAsia="Arial" w:hAnsi="Arial"/>
                <w:sz w:val="20"/>
                <w:szCs w:val="20"/>
                <w:b w:val="1"/>
                <w:bCs w:val="1"/>
                <w:color w:val="auto"/>
              </w:rPr>
              <w:t>For the Year Ended December 31,</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2022</w:t>
            </w: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Changes/Additions: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200" w:type="dxa"/>
            <w:vAlign w:val="bottom"/>
          </w:tcPr>
          <w:p>
            <w:pPr>
              <w:ind w:left="20"/>
              <w:spacing w:after="0"/>
              <w:rPr>
                <w:sz w:val="20"/>
                <w:szCs w:val="20"/>
                <w:color w:val="auto"/>
              </w:rPr>
            </w:pPr>
            <w:r>
              <w:rPr>
                <w:rFonts w:ascii="Arial" w:cs="Arial" w:eastAsia="Arial" w:hAnsi="Arial"/>
                <w:sz w:val="20"/>
                <w:szCs w:val="20"/>
                <w:color w:val="auto"/>
              </w:rPr>
              <w:t>Investment (loss) income:</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2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4,275,578</w:t>
            </w:r>
          </w:p>
        </w:tc>
        <w:tc>
          <w:tcPr>
            <w:tcW w:w="1420" w:type="dxa"/>
            <w:vAlign w:val="bottom"/>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7,769,832</w:t>
            </w: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Net (depreciation) appreciation in fair value of investments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(33,561,334)</w:t>
            </w:r>
          </w:p>
        </w:tc>
        <w:tc>
          <w:tcPr>
            <w:tcW w:w="1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13,938,542</w:t>
            </w:r>
          </w:p>
        </w:tc>
        <w:tc>
          <w:tcPr>
            <w:tcW w:w="0" w:type="dxa"/>
            <w:vAlign w:val="bottom"/>
          </w:tcPr>
          <w:p>
            <w:pPr>
              <w:spacing w:after="0"/>
              <w:rPr>
                <w:sz w:val="1"/>
                <w:szCs w:val="1"/>
                <w:color w:val="auto"/>
              </w:rPr>
            </w:pPr>
          </w:p>
        </w:tc>
      </w:tr>
      <w:tr>
        <w:trPr>
          <w:trHeight w:val="247"/>
        </w:trPr>
        <w:tc>
          <w:tcPr>
            <w:tcW w:w="620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Total investment (loss) income</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(29,285,756)</w:t>
            </w:r>
          </w:p>
        </w:tc>
        <w:tc>
          <w:tcPr>
            <w:tcW w:w="1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21,708,374</w:t>
            </w:r>
          </w:p>
        </w:tc>
        <w:tc>
          <w:tcPr>
            <w:tcW w:w="0" w:type="dxa"/>
            <w:vAlign w:val="bottom"/>
          </w:tcPr>
          <w:p>
            <w:pPr>
              <w:spacing w:after="0"/>
              <w:rPr>
                <w:sz w:val="1"/>
                <w:szCs w:val="1"/>
                <w:color w:val="auto"/>
              </w:rPr>
            </w:pPr>
          </w:p>
        </w:tc>
      </w:tr>
      <w:tr>
        <w:trPr>
          <w:trHeight w:val="253"/>
        </w:trPr>
        <w:tc>
          <w:tcPr>
            <w:tcW w:w="6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162,038</w:t>
            </w: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178,357</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Contributions: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200" w:type="dxa"/>
            <w:vAlign w:val="bottom"/>
          </w:tcPr>
          <w:p>
            <w:pPr>
              <w:ind w:left="180"/>
              <w:spacing w:after="0"/>
              <w:rPr>
                <w:sz w:val="20"/>
                <w:szCs w:val="20"/>
                <w:color w:val="auto"/>
              </w:rPr>
            </w:pPr>
            <w:r>
              <w:rPr>
                <w:rFonts w:ascii="Arial" w:cs="Arial" w:eastAsia="Arial" w:hAnsi="Arial"/>
                <w:sz w:val="20"/>
                <w:szCs w:val="20"/>
                <w:color w:val="auto"/>
              </w:rPr>
              <w:t>Employer</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2,242,368</w:t>
            </w: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2,215,534</w:t>
            </w:r>
          </w:p>
        </w:tc>
        <w:tc>
          <w:tcPr>
            <w:tcW w:w="0" w:type="dxa"/>
            <w:vAlign w:val="bottom"/>
          </w:tcPr>
          <w:p>
            <w:pPr>
              <w:spacing w:after="0"/>
              <w:rPr>
                <w:sz w:val="1"/>
                <w:szCs w:val="1"/>
                <w:color w:val="auto"/>
              </w:rPr>
            </w:pPr>
          </w:p>
        </w:tc>
      </w:tr>
      <w:tr>
        <w:trPr>
          <w:trHeight w:val="260"/>
        </w:trPr>
        <w:tc>
          <w:tcPr>
            <w:tcW w:w="62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Participant</w:t>
            </w: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7,874,870</w:t>
            </w:r>
          </w:p>
        </w:tc>
        <w:tc>
          <w:tcPr>
            <w:tcW w:w="1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6,927,242</w:t>
            </w:r>
          </w:p>
        </w:tc>
        <w:tc>
          <w:tcPr>
            <w:tcW w:w="0" w:type="dxa"/>
            <w:vAlign w:val="bottom"/>
          </w:tcPr>
          <w:p>
            <w:pPr>
              <w:spacing w:after="0"/>
              <w:rPr>
                <w:sz w:val="1"/>
                <w:szCs w:val="1"/>
                <w:color w:val="auto"/>
              </w:rPr>
            </w:pPr>
          </w:p>
        </w:tc>
      </w:tr>
      <w:tr>
        <w:trPr>
          <w:trHeight w:val="237"/>
        </w:trPr>
        <w:tc>
          <w:tcPr>
            <w:tcW w:w="6200" w:type="dxa"/>
            <w:vAlign w:val="bottom"/>
          </w:tcPr>
          <w:p>
            <w:pPr>
              <w:ind w:left="620"/>
              <w:spacing w:after="0"/>
              <w:rPr>
                <w:sz w:val="20"/>
                <w:szCs w:val="20"/>
                <w:color w:val="auto"/>
              </w:rPr>
            </w:pPr>
            <w:r>
              <w:rPr>
                <w:rFonts w:ascii="Arial" w:cs="Arial" w:eastAsia="Arial" w:hAnsi="Arial"/>
                <w:sz w:val="20"/>
                <w:szCs w:val="20"/>
                <w:b w:val="1"/>
                <w:bCs w:val="1"/>
                <w:color w:val="auto"/>
              </w:rPr>
              <w:t>Total contributions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10,117,238</w:t>
            </w:r>
          </w:p>
        </w:tc>
        <w:tc>
          <w:tcPr>
            <w:tcW w:w="1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9,142,776</w:t>
            </w:r>
          </w:p>
        </w:tc>
        <w:tc>
          <w:tcPr>
            <w:tcW w:w="0" w:type="dxa"/>
            <w:vAlign w:val="bottom"/>
          </w:tcPr>
          <w:p>
            <w:pPr>
              <w:spacing w:after="0"/>
              <w:rPr>
                <w:sz w:val="1"/>
                <w:szCs w:val="1"/>
                <w:color w:val="auto"/>
              </w:rPr>
            </w:pPr>
          </w:p>
        </w:tc>
      </w:tr>
      <w:tr>
        <w:trPr>
          <w:trHeight w:val="263"/>
        </w:trPr>
        <w:tc>
          <w:tcPr>
            <w:tcW w:w="6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additions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18,573</w:t>
            </w:r>
          </w:p>
        </w:tc>
        <w:tc>
          <w:tcPr>
            <w:tcW w:w="1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24,069</w:t>
            </w:r>
          </w:p>
        </w:tc>
        <w:tc>
          <w:tcPr>
            <w:tcW w:w="0" w:type="dxa"/>
            <w:vAlign w:val="bottom"/>
          </w:tcPr>
          <w:p>
            <w:pPr>
              <w:spacing w:after="0"/>
              <w:rPr>
                <w:sz w:val="1"/>
                <w:szCs w:val="1"/>
                <w:color w:val="auto"/>
              </w:rPr>
            </w:pPr>
          </w:p>
        </w:tc>
      </w:tr>
      <w:tr>
        <w:trPr>
          <w:trHeight w:val="240"/>
        </w:trPr>
        <w:tc>
          <w:tcPr>
            <w:tcW w:w="6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b w:val="1"/>
                <w:bCs w:val="1"/>
                <w:color w:val="auto"/>
              </w:rPr>
              <w:t>Total changes/additions</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(18,987,907)</w:t>
            </w: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31,053,576</w:t>
            </w: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Deductions: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200" w:type="dxa"/>
            <w:vAlign w:val="bottom"/>
          </w:tcPr>
          <w:p>
            <w:pPr>
              <w:ind w:left="20"/>
              <w:spacing w:after="0"/>
              <w:rPr>
                <w:sz w:val="20"/>
                <w:szCs w:val="20"/>
                <w:color w:val="auto"/>
              </w:rPr>
            </w:pPr>
            <w:r>
              <w:rPr>
                <w:rFonts w:ascii="Arial" w:cs="Arial" w:eastAsia="Arial" w:hAnsi="Arial"/>
                <w:sz w:val="20"/>
                <w:szCs w:val="20"/>
                <w:color w:val="auto"/>
              </w:rPr>
              <w:t>Benefits paid to participants</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15,848,716</w:t>
            </w: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16,840,271</w:t>
            </w:r>
          </w:p>
        </w:tc>
        <w:tc>
          <w:tcPr>
            <w:tcW w:w="0" w:type="dxa"/>
            <w:vAlign w:val="bottom"/>
          </w:tcPr>
          <w:p>
            <w:pPr>
              <w:spacing w:after="0"/>
              <w:rPr>
                <w:sz w:val="1"/>
                <w:szCs w:val="1"/>
                <w:color w:val="auto"/>
              </w:rPr>
            </w:pPr>
          </w:p>
        </w:tc>
      </w:tr>
      <w:tr>
        <w:trPr>
          <w:trHeight w:val="260"/>
        </w:trPr>
        <w:tc>
          <w:tcPr>
            <w:tcW w:w="6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Administrative expenses</w:t>
            </w: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231,705</w:t>
            </w:r>
          </w:p>
        </w:tc>
        <w:tc>
          <w:tcPr>
            <w:tcW w:w="1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220,183</w:t>
            </w:r>
          </w:p>
        </w:tc>
        <w:tc>
          <w:tcPr>
            <w:tcW w:w="0" w:type="dxa"/>
            <w:vAlign w:val="bottom"/>
          </w:tcPr>
          <w:p>
            <w:pPr>
              <w:spacing w:after="0"/>
              <w:rPr>
                <w:sz w:val="1"/>
                <w:szCs w:val="1"/>
                <w:color w:val="auto"/>
              </w:rPr>
            </w:pPr>
          </w:p>
        </w:tc>
      </w:tr>
      <w:tr>
        <w:trPr>
          <w:trHeight w:val="237"/>
        </w:trPr>
        <w:tc>
          <w:tcPr>
            <w:tcW w:w="6200" w:type="dxa"/>
            <w:vAlign w:val="bottom"/>
          </w:tcPr>
          <w:p>
            <w:pPr>
              <w:ind w:left="620"/>
              <w:spacing w:after="0"/>
              <w:rPr>
                <w:sz w:val="20"/>
                <w:szCs w:val="20"/>
                <w:color w:val="auto"/>
              </w:rPr>
            </w:pPr>
            <w:r>
              <w:rPr>
                <w:rFonts w:ascii="Arial" w:cs="Arial" w:eastAsia="Arial" w:hAnsi="Arial"/>
                <w:sz w:val="20"/>
                <w:szCs w:val="20"/>
                <w:b w:val="1"/>
                <w:bCs w:val="1"/>
                <w:color w:val="auto"/>
              </w:rPr>
              <w:t>Total deductions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16,080,421</w:t>
            </w:r>
          </w:p>
        </w:tc>
        <w:tc>
          <w:tcPr>
            <w:tcW w:w="1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17,060,454</w:t>
            </w:r>
          </w:p>
        </w:tc>
        <w:tc>
          <w:tcPr>
            <w:tcW w:w="0" w:type="dxa"/>
            <w:vAlign w:val="bottom"/>
          </w:tcPr>
          <w:p>
            <w:pPr>
              <w:spacing w:after="0"/>
              <w:rPr>
                <w:sz w:val="1"/>
                <w:szCs w:val="1"/>
                <w:color w:val="auto"/>
              </w:rPr>
            </w:pPr>
          </w:p>
        </w:tc>
      </w:tr>
      <w:tr>
        <w:trPr>
          <w:trHeight w:val="263"/>
        </w:trPr>
        <w:tc>
          <w:tcPr>
            <w:tcW w:w="6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20"/>
                <w:szCs w:val="20"/>
                <w:b w:val="1"/>
                <w:bCs w:val="1"/>
                <w:color w:val="auto"/>
              </w:rPr>
              <w:t>Net (decrease) increase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(35,068,328)</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13,993,122</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6200" w:type="dxa"/>
            <w:vAlign w:val="bottom"/>
          </w:tcPr>
          <w:p>
            <w:pPr>
              <w:ind w:left="20"/>
              <w:spacing w:after="0" w:line="199" w:lineRule="exact"/>
              <w:rPr>
                <w:sz w:val="20"/>
                <w:szCs w:val="20"/>
                <w:color w:val="auto"/>
              </w:rPr>
            </w:pPr>
            <w:r>
              <w:rPr>
                <w:rFonts w:ascii="Arial" w:cs="Arial" w:eastAsia="Arial" w:hAnsi="Arial"/>
                <w:sz w:val="20"/>
                <w:szCs w:val="20"/>
                <w:color w:val="auto"/>
                <w:w w:val="91"/>
              </w:rPr>
              <w:t>Transfers from Crown Cork &amp; Seal Company Inc. 401(k) Retirement Savings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20"/>
              <w:spacing w:after="0"/>
              <w:rPr>
                <w:sz w:val="20"/>
                <w:szCs w:val="20"/>
                <w:color w:val="auto"/>
              </w:rPr>
            </w:pPr>
            <w:r>
              <w:rPr>
                <w:rFonts w:ascii="Arial" w:cs="Arial" w:eastAsia="Arial" w:hAnsi="Arial"/>
                <w:sz w:val="20"/>
                <w:szCs w:val="20"/>
                <w:color w:val="auto"/>
              </w:rPr>
              <w:t>Plan</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54,285</w:t>
            </w: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6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line="189" w:lineRule="exact"/>
              <w:rPr>
                <w:sz w:val="20"/>
                <w:szCs w:val="20"/>
                <w:color w:val="auto"/>
              </w:rPr>
            </w:pPr>
            <w:r>
              <w:rPr>
                <w:rFonts w:ascii="Arial" w:cs="Arial" w:eastAsia="Arial" w:hAnsi="Arial"/>
                <w:sz w:val="20"/>
                <w:szCs w:val="20"/>
                <w:color w:val="auto"/>
                <w:w w:val="94"/>
              </w:rPr>
              <w:t>Transfers to Crown Cork &amp; Seal Company Inc. 401(k) Retirement Savings</w:t>
            </w:r>
          </w:p>
        </w:tc>
        <w:tc>
          <w:tcPr>
            <w:tcW w:w="3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20"/>
                <w:szCs w:val="20"/>
                <w:color w:val="auto"/>
              </w:rPr>
              <w:t>(5,892,369)</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3"/>
        </w:trPr>
        <w:tc>
          <w:tcPr>
            <w:tcW w:w="6200" w:type="dxa"/>
            <w:vAlign w:val="bottom"/>
          </w:tcPr>
          <w:p>
            <w:pPr>
              <w:ind w:left="20"/>
              <w:spacing w:after="0"/>
              <w:rPr>
                <w:sz w:val="20"/>
                <w:szCs w:val="20"/>
                <w:color w:val="auto"/>
              </w:rPr>
            </w:pPr>
            <w:r>
              <w:rPr>
                <w:rFonts w:ascii="Arial" w:cs="Arial" w:eastAsia="Arial" w:hAnsi="Arial"/>
                <w:sz w:val="20"/>
                <w:szCs w:val="20"/>
                <w:color w:val="auto"/>
              </w:rPr>
              <w:t>Plan</w:t>
            </w:r>
          </w:p>
        </w:tc>
        <w:tc>
          <w:tcPr>
            <w:tcW w:w="30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20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Beginning of year</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189,548,961</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175,555,839</w:t>
            </w: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20"/>
                <w:szCs w:val="20"/>
                <w:color w:val="auto"/>
              </w:rPr>
              <w:t>End of year</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148,642,549</w:t>
            </w:r>
          </w:p>
        </w:tc>
        <w:tc>
          <w:tcPr>
            <w:tcW w:w="1100" w:type="dxa"/>
            <w:vAlign w:val="bottom"/>
          </w:tcPr>
          <w:p>
            <w:pPr>
              <w:spacing w:after="0"/>
              <w:rPr>
                <w:sz w:val="22"/>
                <w:szCs w:val="22"/>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189,548,961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400"/>
          </w:cols>
          <w:pgMar w:left="740" w:top="100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400"/>
          </w:cols>
          <w:pgMar w:left="740" w:top="1008" w:right="7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 of the Crown Cork &amp; Seal Company, Inc. Retirement Thrift Plan (the "Plan") provides only general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Participants should refer to the Plan document for a more complete description of the Plan's provisions.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The Plan is subject to the provisions of the Employee Retirement Income Security Act of 1974 (“ERISA”).</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Secure 2.0 Act of 2022 was signed into law on December 29, 2022. This legislation includes a vast array of provisional changes to retirement plans, becoming effective in 2023 and beyond. Plan management is evaluating the impact of the adoption and implementation of this legislation on the Plan.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Participants may elect to make basic and supplemental contributions (where permitted) each pay period as defined in the Plan document. Participants direct the investment of their contributions into various investment options offered by the Plan. Company contributions are invested in accordance with participant investment directions. Basic contributions may be matched by the Company at various rates as determined by the employer company, as defined in the Plan document. Supplemental contributions (where permitted) are not matched by the Company. In addition, certain participants receive profit sharing contributions, some of which are discretionary, from the Company at varying rates as determined by the employer company, as defined in the Plan document. Discretionary contributions in 2022 and 2021 totaled $634,967 and $696,734, respectively. Contribution amounts are subject to certain Internal Revenue Service (“IRS”) limitations.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2022 and 2021 range from 4.25% to 8.50% and 4.25% to 6.50%, respectively. Principal and interest are paid ratably through monthly payroll deductions.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When certain terminations of participation in the Plan occur, the non-vested portion of the participant’s account, as defined, represents a forfeiture. Total unallocated forfeitures, which will be used to reduce future Company contributions, were $14 and $0 at December 31, 2022</w:t>
      </w:r>
    </w:p>
    <w:p>
      <w:pPr>
        <w:spacing w:after="0"/>
        <w:rPr>
          <w:sz w:val="20"/>
          <w:szCs w:val="20"/>
          <w:color w:val="auto"/>
        </w:rPr>
      </w:pPr>
      <w:r>
        <w:rPr>
          <w:rFonts w:ascii="Arial" w:cs="Arial" w:eastAsia="Arial" w:hAnsi="Arial"/>
          <w:sz w:val="20"/>
          <w:szCs w:val="20"/>
          <w:color w:val="auto"/>
        </w:rPr>
        <w:t>and 2021. Forfeitures used to offset Company contributions in 2022 and 2021 totaled $74,422 and $201,770,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Plan’s investments are reported at fair value</w:t>
      </w:r>
      <w:r>
        <w:rPr>
          <w:rFonts w:ascii="Arial" w:cs="Arial" w:eastAsia="Arial" w:hAnsi="Arial"/>
          <w:sz w:val="19"/>
          <w:szCs w:val="19"/>
          <w:color w:val="auto"/>
        </w:rPr>
        <w:t>.</w:t>
      </w:r>
      <w:r>
        <w:rPr>
          <w:rFonts w:ascii="Arial" w:cs="Arial" w:eastAsia="Arial" w:hAnsi="Arial"/>
          <w:sz w:val="18"/>
          <w:szCs w:val="18"/>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Purchases and sales of securities are recorded on the trade-date basis. Interest income is recorded on the accrual basis. Dividends are recorded on the ex-dividend date. Net (depreciation)/appreciation includes the Plan’s gains and losses on investments bought and sold as well as held during the year.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2022 and 2021.</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Recordkeeping expenses, investment advisory fees, and fees related to the administration of notes receivable from participants are charged directly to the participant’s account and are included in administrative expenses. Investment related expenses are included in net (depreciation)/appreciation in fair value of investments. Expenses paid by the Company are excluded from these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84" w:lineRule="exact"/>
        <w:rPr>
          <w:sz w:val="20"/>
          <w:szCs w:val="20"/>
          <w:color w:val="auto"/>
        </w:rPr>
      </w:pPr>
    </w:p>
    <w:p>
      <w:pPr>
        <w:ind w:left="660"/>
        <w:spacing w:after="0" w:line="274"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204"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21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identical or similar assets or liabilities in inactive markets;</w:t>
      </w:r>
    </w:p>
    <w:p>
      <w:pPr>
        <w:spacing w:after="0" w:line="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spacing w:after="0" w:line="13"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35" w:lineRule="exact"/>
        <w:rPr>
          <w:sz w:val="20"/>
          <w:szCs w:val="20"/>
          <w:color w:val="auto"/>
        </w:rPr>
      </w:pPr>
    </w:p>
    <w:p>
      <w:pPr>
        <w:ind w:left="660"/>
        <w:spacing w:after="0" w:line="274"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85" w:lineRule="exact"/>
        <w:rPr>
          <w:sz w:val="20"/>
          <w:szCs w:val="20"/>
          <w:color w:val="auto"/>
        </w:rPr>
      </w:pPr>
    </w:p>
    <w:tbl>
      <w:tblPr>
        <w:tblLayout w:type="fixed"/>
        <w:tblInd w:w="680" w:type="dxa"/>
        <w:tblCellMar>
          <w:top w:w="0" w:type="dxa"/>
          <w:left w:w="0" w:type="dxa"/>
          <w:bottom w:w="0" w:type="dxa"/>
          <w:right w:w="0" w:type="dxa"/>
        </w:tblCellMar>
      </w:tblPr>
      <w:tr>
        <w:trPr>
          <w:trHeight w:val="252"/>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w w:val="92"/>
              </w:rPr>
              <w:t>Assets at Fair Value as of December 31, 2022</w:t>
            </w:r>
          </w:p>
        </w:tc>
      </w:tr>
      <w:tr>
        <w:trPr>
          <w:trHeight w:val="250"/>
        </w:trPr>
        <w:tc>
          <w:tcPr>
            <w:tcW w:w="5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Level 1</w:t>
            </w:r>
          </w:p>
        </w:tc>
        <w:tc>
          <w:tcPr>
            <w:tcW w:w="13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114,011,561</w:t>
            </w:r>
          </w:p>
        </w:tc>
        <w:tc>
          <w:tcPr>
            <w:tcW w:w="13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114,011,561</w:t>
            </w:r>
          </w:p>
        </w:tc>
      </w:tr>
      <w:tr>
        <w:trPr>
          <w:trHeight w:val="243"/>
        </w:trPr>
        <w:tc>
          <w:tcPr>
            <w:tcW w:w="5000" w:type="dxa"/>
            <w:vAlign w:val="bottom"/>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4,871,250</w:t>
            </w:r>
          </w:p>
        </w:tc>
        <w:tc>
          <w:tcPr>
            <w:tcW w:w="1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4,871,250</w:t>
            </w:r>
          </w:p>
        </w:tc>
      </w:tr>
      <w:tr>
        <w:trPr>
          <w:trHeight w:val="209"/>
        </w:trPr>
        <w:tc>
          <w:tcPr>
            <w:tcW w:w="5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000" w:type="dxa"/>
            <w:vAlign w:val="bottom"/>
          </w:tcPr>
          <w:p>
            <w:pPr>
              <w:ind w:left="24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118,882,811</w:t>
            </w: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118,882,811</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23"/>
        </w:trPr>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25,645,430</w:t>
            </w:r>
          </w:p>
        </w:tc>
      </w:tr>
      <w:tr>
        <w:trPr>
          <w:trHeight w:val="237"/>
        </w:trPr>
        <w:tc>
          <w:tcPr>
            <w:tcW w:w="5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144,528,241</w:t>
            </w:r>
          </w:p>
        </w:tc>
      </w:tr>
      <w:tr>
        <w:trPr>
          <w:trHeight w:val="20"/>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680" w:type="dxa"/>
        <w:tblCellMar>
          <w:top w:w="0" w:type="dxa"/>
          <w:left w:w="0" w:type="dxa"/>
          <w:bottom w:w="0" w:type="dxa"/>
          <w:right w:w="0" w:type="dxa"/>
        </w:tblCellMar>
      </w:tblPr>
      <w:tr>
        <w:trPr>
          <w:trHeight w:val="252"/>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w w:val="92"/>
              </w:rPr>
              <w:t>Assets at Fair Value as of December 31, 2021</w:t>
            </w:r>
          </w:p>
        </w:tc>
      </w:tr>
      <w:tr>
        <w:trPr>
          <w:trHeight w:val="250"/>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Level 1</w:t>
            </w:r>
          </w:p>
        </w:tc>
        <w:tc>
          <w:tcPr>
            <w:tcW w:w="1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151,371,381</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151,371,381</w:t>
            </w:r>
          </w:p>
        </w:tc>
      </w:tr>
      <w:tr>
        <w:trPr>
          <w:trHeight w:val="243"/>
        </w:trPr>
        <w:tc>
          <w:tcPr>
            <w:tcW w:w="5000" w:type="dxa"/>
            <w:vAlign w:val="bottom"/>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6,926,663</w:t>
            </w:r>
          </w:p>
        </w:tc>
        <w:tc>
          <w:tcPr>
            <w:tcW w:w="1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6,926,663</w:t>
            </w:r>
          </w:p>
        </w:tc>
      </w:tr>
      <w:tr>
        <w:trPr>
          <w:trHeight w:val="250"/>
        </w:trPr>
        <w:tc>
          <w:tcPr>
            <w:tcW w:w="5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5000" w:type="dxa"/>
            <w:vAlign w:val="bottom"/>
          </w:tcPr>
          <w:p>
            <w:pPr>
              <w:ind w:left="36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158,298,044</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158,298,044</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24"/>
        </w:trPr>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26,855,347</w:t>
            </w:r>
          </w:p>
        </w:tc>
      </w:tr>
      <w:tr>
        <w:trPr>
          <w:trHeight w:val="240"/>
        </w:trPr>
        <w:tc>
          <w:tcPr>
            <w:tcW w:w="5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185,153,391</w:t>
            </w:r>
          </w:p>
        </w:tc>
      </w:tr>
      <w:tr>
        <w:trPr>
          <w:trHeight w:val="20"/>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left="98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20"/>
          <w:szCs w:val="20"/>
          <w:color w:val="auto"/>
        </w:rPr>
        <w:t>Certain investments that were measured at net asset value ("NAV") per share (or its equivalent) have not been classified in the fair value hierarchy. The amounts presented in this table are intended to permit reconciliation of the fair value hierarchy to the line items presented in the Statement of Net Assets Available for Benefits.</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2022 and 2021.</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88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2022 and 2021, respectively. There are no participant redemption restrictions for these investments; the redemption notice period is applicable only to the Plan.</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261"/>
        </w:trPr>
        <w:tc>
          <w:tcPr>
            <w:tcW w:w="3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3"/>
          </w:tcPr>
          <w:p>
            <w:pPr>
              <w:ind w:left="800"/>
              <w:spacing w:after="0"/>
              <w:rPr>
                <w:sz w:val="20"/>
                <w:szCs w:val="20"/>
                <w:color w:val="auto"/>
              </w:rPr>
            </w:pPr>
            <w:r>
              <w:rPr>
                <w:rFonts w:ascii="Arial" w:cs="Arial" w:eastAsia="Arial" w:hAnsi="Arial"/>
                <w:sz w:val="20"/>
                <w:szCs w:val="20"/>
                <w:b w:val="1"/>
                <w:bCs w:val="1"/>
                <w:color w:val="auto"/>
              </w:rPr>
              <w:t>December 31, 2022</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Fair Value</w:t>
            </w:r>
          </w:p>
        </w:tc>
        <w:tc>
          <w:tcPr>
            <w:tcW w:w="160" w:type="dxa"/>
            <w:vAlign w:val="bottom"/>
          </w:tcPr>
          <w:p>
            <w:pPr>
              <w:spacing w:after="0"/>
              <w:rPr>
                <w:sz w:val="16"/>
                <w:szCs w:val="16"/>
                <w:color w:val="auto"/>
              </w:rPr>
            </w:pPr>
          </w:p>
        </w:tc>
        <w:tc>
          <w:tcPr>
            <w:tcW w:w="1600" w:type="dxa"/>
            <w:vAlign w:val="bottom"/>
          </w:tcPr>
          <w:p>
            <w:pPr>
              <w:jc w:val="center"/>
              <w:spacing w:after="0" w:line="191" w:lineRule="exact"/>
              <w:rPr>
                <w:sz w:val="20"/>
                <w:szCs w:val="20"/>
                <w:color w:val="auto"/>
              </w:rPr>
            </w:pPr>
            <w:r>
              <w:rPr>
                <w:rFonts w:ascii="Arial" w:cs="Arial" w:eastAsia="Arial" w:hAnsi="Arial"/>
                <w:sz w:val="20"/>
                <w:szCs w:val="20"/>
                <w:b w:val="1"/>
                <w:bCs w:val="1"/>
                <w:color w:val="auto"/>
                <w:w w:val="89"/>
              </w:rPr>
              <w:t>Unfunded</w:t>
            </w:r>
          </w:p>
        </w:tc>
        <w:tc>
          <w:tcPr>
            <w:tcW w:w="16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20"/>
                <w:szCs w:val="20"/>
                <w:b w:val="1"/>
                <w:bCs w:val="1"/>
                <w:color w:val="auto"/>
                <w:w w:val="89"/>
              </w:rPr>
              <w:t>Redemption</w:t>
            </w:r>
          </w:p>
        </w:tc>
        <w:tc>
          <w:tcPr>
            <w:tcW w:w="16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Arial" w:cs="Arial" w:eastAsia="Arial" w:hAnsi="Arial"/>
                <w:sz w:val="20"/>
                <w:szCs w:val="20"/>
                <w:b w:val="1"/>
                <w:bCs w:val="1"/>
                <w:color w:val="auto"/>
                <w:w w:val="88"/>
              </w:rPr>
              <w:t>Redemption</w:t>
            </w: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Commitments</w:t>
            </w:r>
          </w:p>
        </w:tc>
        <w:tc>
          <w:tcPr>
            <w:tcW w:w="16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Frequency</w:t>
            </w: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25,645,430</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522"/>
        </w:trPr>
        <w:tc>
          <w:tcPr>
            <w:tcW w:w="3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ind w:left="800"/>
              <w:spacing w:after="0"/>
              <w:rPr>
                <w:sz w:val="20"/>
                <w:szCs w:val="20"/>
                <w:color w:val="auto"/>
              </w:rPr>
            </w:pPr>
            <w:r>
              <w:rPr>
                <w:rFonts w:ascii="Arial" w:cs="Arial" w:eastAsia="Arial" w:hAnsi="Arial"/>
                <w:sz w:val="20"/>
                <w:szCs w:val="20"/>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Fair Value</w:t>
            </w:r>
          </w:p>
        </w:tc>
        <w:tc>
          <w:tcPr>
            <w:tcW w:w="160" w:type="dxa"/>
            <w:vAlign w:val="bottom"/>
          </w:tcPr>
          <w:p>
            <w:pPr>
              <w:spacing w:after="0"/>
              <w:rPr>
                <w:sz w:val="16"/>
                <w:szCs w:val="16"/>
                <w:color w:val="auto"/>
              </w:rPr>
            </w:pPr>
          </w:p>
        </w:tc>
        <w:tc>
          <w:tcPr>
            <w:tcW w:w="160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89"/>
              </w:rPr>
              <w:t>Unfunded</w:t>
            </w:r>
          </w:p>
        </w:tc>
        <w:tc>
          <w:tcPr>
            <w:tcW w:w="160" w:type="dxa"/>
            <w:vAlign w:val="bottom"/>
          </w:tcPr>
          <w:p>
            <w:pPr>
              <w:spacing w:after="0"/>
              <w:rPr>
                <w:sz w:val="16"/>
                <w:szCs w:val="16"/>
                <w:color w:val="auto"/>
              </w:rPr>
            </w:pPr>
          </w:p>
        </w:tc>
        <w:tc>
          <w:tcPr>
            <w:tcW w:w="148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89"/>
              </w:rPr>
              <w:t>Redemption</w:t>
            </w:r>
          </w:p>
        </w:tc>
        <w:tc>
          <w:tcPr>
            <w:tcW w:w="16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88"/>
              </w:rPr>
              <w:t>Redemption</w:t>
            </w: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Commitments</w:t>
            </w:r>
          </w:p>
        </w:tc>
        <w:tc>
          <w:tcPr>
            <w:tcW w:w="16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Frequency</w:t>
            </w:r>
          </w:p>
        </w:tc>
        <w:tc>
          <w:tcPr>
            <w:tcW w:w="16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26,855,347</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59,254 and 62,617 shares of Crown Holdings, Inc. common stock representing 3.3% and 3.7% of Plan assets as of December 31, 2022 and 2021, respectively. For the years 2022 and 2021, the Company common stock fund had purchases of $1,009,404 and $666,235, respectively, and sales of $1,369,528 and $983,555, respectively. Dividend income from the Company’s common stock fund totaled $52,719 and $51,968 in 2022 and 2021, respectively.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24"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As of December 31, 2022 and 2021, the Plan had investments of $64,514,805 and $81,353,287, respectively, that were concentrated in two funds.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886"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Supplemental Information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CROWN CORK &amp; SEAL COMPANY, INC. RETIREMENT THRIFT PLAN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635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Crown Cork &amp; Seal Company, Inc. Retirement Thrift Plan</w:t>
      </w:r>
    </w:p>
    <w:p>
      <w:pPr>
        <w:ind w:left="20"/>
        <w:spacing w:after="0"/>
        <w:rPr>
          <w:sz w:val="20"/>
          <w:szCs w:val="20"/>
          <w:color w:val="auto"/>
        </w:rPr>
      </w:pPr>
      <w:r>
        <w:rPr>
          <w:rFonts w:ascii="Arial" w:cs="Arial" w:eastAsia="Arial" w:hAnsi="Arial"/>
          <w:sz w:val="18"/>
          <w:szCs w:val="18"/>
          <w:color w:val="auto"/>
        </w:rPr>
        <w:t>EIN 23-1526444 Plan No. 105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Identity of Participant-Directed Issues</w:t>
            </w:r>
          </w:p>
        </w:tc>
        <w:tc>
          <w:tcPr>
            <w:tcW w:w="4500" w:type="dxa"/>
            <w:vAlign w:val="bottom"/>
            <w:tcBorders>
              <w:bottom w:val="single" w:sz="8" w:color="auto"/>
            </w:tcBorders>
          </w:tcPr>
          <w:p>
            <w:pPr>
              <w:ind w:left="1400"/>
              <w:spacing w:after="0"/>
              <w:rPr>
                <w:sz w:val="20"/>
                <w:szCs w:val="20"/>
                <w:color w:val="auto"/>
              </w:rPr>
            </w:pPr>
            <w:r>
              <w:rPr>
                <w:rFonts w:ascii="Arial" w:cs="Arial" w:eastAsia="Arial" w:hAnsi="Arial"/>
                <w:sz w:val="20"/>
                <w:szCs w:val="20"/>
                <w:b w:val="1"/>
                <w:bCs w:val="1"/>
                <w:color w:val="auto"/>
              </w:rPr>
              <w:t>Investment Type</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w w:val="91"/>
              </w:rPr>
              <w:t>Current Value</w:t>
            </w: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Baird Core Plus Bond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7,696,908</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DFA Emerging Markets Core Equity Portfolio</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736,338</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DFA US Targeted Value Portfolio</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814,230</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Fidelity Small Cap Growth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8,682,195</w:t>
            </w:r>
          </w:p>
        </w:tc>
      </w:tr>
      <w:tr>
        <w:trPr>
          <w:trHeight w:val="23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International Discovery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 Vanguard Developed Markets Index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3,076,463</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International Growth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7,085,747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 Vanguard Cash Reserve Federal Money Market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151,705</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Target Retirement 2020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716,642</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 Vanguard Target Retirement 2025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4,744,197</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Target Retirement 2030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5,616,495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 Vanguard Target Retirement 2035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4,584,308</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Target Retirement 2040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4,008,682</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 Vanguard Target Retirement 2045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2,440,353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Target Retirement 2050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3,323,241</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 Vanguard Target Retirement 2055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1,873,233</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Target Retirement 2060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1,521,075</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 Vanguard Target Retirement 2065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432,046</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Target Retirement 2070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 Vanguard Target Retirement Income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3,817,026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Total Stock Market Index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38,869,375</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 Vanguard U.S. Growth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1,612,921</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Wellington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9,715,992</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 Vanguard Windsor II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2,271,610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Vanguard Retirement Savings Trust</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Collective Trust Fund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25,645,430</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 Crown Holdings, Inc. Stock Fund</w:t>
            </w:r>
          </w:p>
        </w:tc>
        <w:tc>
          <w:tcPr>
            <w:tcW w:w="4500" w:type="dxa"/>
            <w:vAlign w:val="bottom"/>
          </w:tcPr>
          <w:p>
            <w:pPr>
              <w:ind w:left="680"/>
              <w:spacing w:after="0"/>
              <w:rPr>
                <w:sz w:val="20"/>
                <w:szCs w:val="20"/>
                <w:color w:val="auto"/>
              </w:rPr>
            </w:pPr>
            <w:r>
              <w:rPr>
                <w:rFonts w:ascii="Arial" w:cs="Arial" w:eastAsia="Arial" w:hAnsi="Arial"/>
                <w:sz w:val="18"/>
                <w:szCs w:val="18"/>
                <w:color w:val="auto"/>
              </w:rPr>
              <w:t>Common Stock Fund</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4,871,250</w:t>
            </w: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Notes receivable from participants</w:t>
            </w:r>
          </w:p>
        </w:tc>
        <w:tc>
          <w:tcPr>
            <w:tcW w:w="4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rates: 4.25% - 8.50%</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3,479,341</w:t>
            </w:r>
          </w:p>
        </w:tc>
      </w:tr>
      <w:tr>
        <w:trPr>
          <w:trHeight w:val="223"/>
        </w:trPr>
        <w:tc>
          <w:tcPr>
            <w:tcW w:w="4700" w:type="dxa"/>
            <w:vAlign w:val="bottom"/>
          </w:tcPr>
          <w:p>
            <w:pPr>
              <w:ind w:left="180"/>
              <w:spacing w:after="0" w:line="223" w:lineRule="exact"/>
              <w:rPr>
                <w:sz w:val="20"/>
                <w:szCs w:val="20"/>
                <w:color w:val="auto"/>
              </w:rPr>
            </w:pPr>
            <w:r>
              <w:rPr>
                <w:rFonts w:ascii="Arial" w:cs="Arial" w:eastAsia="Arial" w:hAnsi="Arial"/>
                <w:sz w:val="20"/>
                <w:szCs w:val="20"/>
                <w:b w:val="1"/>
                <w:bCs w:val="1"/>
                <w:color w:val="auto"/>
              </w:rPr>
              <w:t>Total (Held at End of Year)</w:t>
            </w: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148,007,582</w:t>
            </w:r>
          </w:p>
        </w:tc>
      </w:tr>
      <w:tr>
        <w:trPr>
          <w:trHeight w:val="21"/>
        </w:trPr>
        <w:tc>
          <w:tcPr>
            <w:tcW w:w="4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Party-in-Interest as defined by ERISA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40"/>
          </w:cols>
          <w:pgMar w:left="720" w:top="733" w:right="7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224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71"/>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518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Arial" w:cs="Arial" w:eastAsia="Arial" w:hAnsi="Arial"/>
                <w:sz w:val="22"/>
                <w:szCs w:val="22"/>
                <w:color w:val="auto"/>
              </w:rPr>
              <w:t>23</w:t>
            </w:r>
          </w:p>
        </w:tc>
        <w:tc>
          <w:tcPr>
            <w:tcW w:w="80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Arial" w:cs="Arial" w:eastAsia="Arial" w:hAnsi="Arial"/>
                <w:sz w:val="22"/>
                <w:szCs w:val="22"/>
                <w:color w:val="0000FF"/>
                <w:w w:val="89"/>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58"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Crown Cork &amp; Seal Company,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Retirement Thrift Plan</w:t>
      </w:r>
    </w:p>
    <w:p>
      <w:pPr>
        <w:spacing w:after="0" w:line="200" w:lineRule="exact"/>
        <w:rPr>
          <w:sz w:val="20"/>
          <w:szCs w:val="20"/>
          <w:color w:val="auto"/>
        </w:rPr>
      </w:pPr>
    </w:p>
    <w:p>
      <w:pPr>
        <w:spacing w:after="0" w:line="353"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Christy L. Kalaus</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Christy L. Kalaus</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23, 2023</w:t>
      </w:r>
    </w:p>
    <w:p>
      <w:pPr>
        <w:sectPr>
          <w:pgSz w:w="11900" w:h="16838" w:orient="portrait"/>
          <w:cols w:equalWidth="0" w:num="1">
            <w:col w:w="10960"/>
          </w:cols>
          <w:pgMar w:left="320" w:top="113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1138" w:right="6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 333-140992 and No. 333-230008) on Form S-8 of our report dated June 23, 2023, which appears in this annual report on Form 11-K of the Crown Cork &amp; Seal Company, Inc. Retirement Thrift Plan for the year ended December 31, 2022.</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2023-06-23T13:21:22Z</dcterms:created>
  <dcterms:modified xsi:type="dcterms:W3CDTF">2023-06-23T13:21:22Z</dcterms:modified>
</cp:coreProperties>
</file>