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24, 2022</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000-50189</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89"/>
        </w:trPr>
        <w:tc>
          <w:tcPr>
            <w:tcW w:w="3160" w:type="dxa"/>
            <w:vAlign w:val="bottom"/>
          </w:tcPr>
          <w:p>
            <w:pPr>
              <w:jc w:val="center"/>
              <w:ind w:right="87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10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rPr>
              <w:t>(Commission</w:t>
            </w:r>
          </w:p>
        </w:tc>
        <w:tc>
          <w:tcPr>
            <w:tcW w:w="2500" w:type="dxa"/>
            <w:vAlign w:val="bottom"/>
          </w:tcPr>
          <w:p>
            <w:pPr>
              <w:jc w:val="center"/>
              <w:ind w:left="1070"/>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770 Township Line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Trading Symbols</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7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CCK</w:t>
            </w:r>
          </w:p>
        </w:tc>
        <w:tc>
          <w:tcPr>
            <w:tcW w:w="5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400" w:type="dxa"/>
            <w:vAlign w:val="bottom"/>
          </w:tcPr>
          <w:p>
            <w:pPr>
              <w:spacing w:after="0"/>
              <w:rPr>
                <w:sz w:val="17"/>
                <w:szCs w:val="17"/>
                <w:color w:val="auto"/>
              </w:rPr>
            </w:pP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CCK26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CCK96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2"/>
        </w:trPr>
        <w:tc>
          <w:tcPr>
            <w:tcW w:w="25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979"/>
        </w:trPr>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798" w:gutter="0" w:footer="0" w:header="0"/>
        </w:sectPr>
      </w:pPr>
    </w:p>
    <w:bookmarkStart w:id="1" w:name="page2"/>
    <w:bookmarkEnd w:id="1"/>
    <w:p>
      <w:pPr>
        <w:spacing w:after="0" w:line="36"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2.02. RESULTS OF OPERATIONS AND FINANCIAL CONDITION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9.01. FINANCIAL STATEMENTS AND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EX-99 PRESS RELEASE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On October 24, 2022 Crown Holdings, Inc. issued a press release announcing its earnings for the third quarter ended September 30, 2022. A copy of the press release is attached hereto as Exhibit 99 and incorporated herein by reference.</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furnished as an exhibit to this report.</w:t>
      </w:r>
    </w:p>
    <w:p>
      <w:pPr>
        <w:spacing w:after="0" w:line="8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Press release, dated October 24, 2022, issued by Crown Holdings, Inc.</w:t>
      </w:r>
    </w:p>
    <w:p>
      <w:pPr>
        <w:spacing w:after="0" w:line="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Christy L. Kalaus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257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14"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314960</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CROWN HOLDINGS, INC. REPORTS THIRD QUARTER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90805</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Yardley, PA - October 24, 2022. </w:t>
      </w:r>
      <w:r>
        <w:rPr>
          <w:rFonts w:ascii="Times New Roman" w:cs="Times New Roman" w:eastAsia="Times New Roman" w:hAnsi="Times New Roman"/>
          <w:sz w:val="20"/>
          <w:szCs w:val="20"/>
          <w:color w:val="auto"/>
        </w:rPr>
        <w:t>Crown Holdings, Inc. (NYSE: CCK) today announced its financial results for the third quarter 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September 30,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Highlights</w:t>
      </w:r>
    </w:p>
    <w:p>
      <w:pPr>
        <w:spacing w:after="0" w:line="243"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Earnings per share of $1.06 versus $0.79 in 2021</w:t>
      </w:r>
    </w:p>
    <w:p>
      <w:pPr>
        <w:spacing w:after="0" w:line="1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Global beverage can volumes grew 6%</w:t>
      </w:r>
    </w:p>
    <w:p>
      <w:pPr>
        <w:ind w:left="640" w:hanging="308"/>
        <w:spacing w:after="0"/>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Repurchased $722 million in Company shares year to date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Net sales in the third quarter were $3,259 million compared to $2,920 million in the third quarter of 2021 reflecting increased beverage can unit volumes and the pass through of higher raw material costs partially offset by unfavorable foreign currency translation of $127 million.</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Income from operations was $297 million in the third quarter compared to $348 million in the third quarter of 2021. Segment income in the third quarter of 2022 was $336 million compared to $379 million in the prior year third quarter reflecting higher energy prices, costs associated with higher inventory levels and unfavorable foreign currency translation of $8 million.</w:t>
      </w:r>
    </w:p>
    <w:p>
      <w:pPr>
        <w:spacing w:after="0" w:line="1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Commenting on the quarter, Timothy J. Donahue, Chairman, President and Chief Executive Officer, stated, “Third quarter global beverage can shipments outpaced the prior year third quarter by 6% led by robust shipments in Brazil, Mexico and Vietnam. While shipments advanced versus the prior year, they were short of our earlier expectations leading to more inventory on hand throughout and at the end of the quarter. Since our last earnings release in mid-July, the impacts from inflation, European energy prices, interest rates and currency have become more challenging. With input costs expected to remain elevated prior to our contractual inflationary resets in 2023, and many customers adjusting their order patterns in response to lower consumer spending, we expect the operating environment and margins to remain under pressure for the balance of 2022.</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“While the short-term environment is expected to remain challenging, we continue to focus on activities that will enhance our long-term success and remain confident in our outlook for 2023. Our global beverage can expansion projects remain on schedule, including both new two-line plants in the United States, with Martinsville, Virginia expecting to commence operations in November 2022 and Mesquite, Nevada in June 2023. The first line of our new facility in Uberaba, Brazil began commercial production in May and the second line earlier this month. The Company has begun construction on a multi-line facility in Peterborough, United Kingdom, with the first line scheduled to start up in June 2023. Additional production lines are being added to existing plants in Phnom Penh, Cambodia; Agoncillo, Spain; and Parma, Italy.</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“Understanding we cannot control inflation or interest rates, we have focused on actions to lower costs for the current environment by reducing headcount and lowering capital spending. Additionally, in August, we extended our existing credit facility to August 2027, and raised an incremental $1.0 billion with the additional proceeds used to retire euro notes originally due in 2023. The balance sheet remains strong with no significant maturities until September 2024."</w:t>
      </w:r>
    </w:p>
    <w:p>
      <w:pPr>
        <w:spacing w:after="0" w:line="2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Interest expense was $76 million in the third quarter of 2022 compared to $66 million in 2021 reflecting higher interest rates. The Company recorded a charge of $11 in the third quarter of 2022 for the write-off of deferred financing fees and premium payments in connection with the early repayment of notes and the refinancing of the credit facility and term loans.</w:t>
      </w:r>
    </w:p>
    <w:p>
      <w:pPr>
        <w:spacing w:after="0" w:line="21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Net income attributable to Crown Holdings in the third quarter was $127 million compared to $102 million in the third quarter of 2021. Reported diluted earnings per share were $1.06 in the third quarter of 2022 compared to $0.79 in 2021. Adjusted diluted earnings per share was $1.46 compared to $2.03 in 2021.</w:t>
      </w:r>
    </w:p>
    <w:p>
      <w:pPr>
        <w:sectPr>
          <w:pgSz w:w="11900" w:h="16838" w:orient="portrait"/>
          <w:cols w:equalWidth="0" w:num="1">
            <w:col w:w="11240"/>
          </w:cols>
          <w:pgMar w:left="320" w:top="493"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1 of 12</w:t>
      </w:r>
    </w:p>
    <w:p>
      <w:pPr>
        <w:sectPr>
          <w:pgSz w:w="11900" w:h="16838" w:orient="portrait"/>
          <w:cols w:equalWidth="0" w:num="1">
            <w:col w:w="11240"/>
          </w:cols>
          <w:pgMar w:left="320" w:top="493" w:right="339" w:bottom="144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Nine Month Results</w:t>
      </w:r>
    </w:p>
    <w:p>
      <w:pPr>
        <w:spacing w:after="0" w:line="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Net sales for the first nine months of 2022 were $9,931 million compared to $8,340 million in the first nine months of 2021, primarily due to increased sales unit volumes and the pass through of higher raw material costs, which more than offset unfavorable foreign currency translation of $280 million.</w:t>
      </w:r>
    </w:p>
    <w:p>
      <w:pPr>
        <w:spacing w:after="0" w:line="2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Income from operations was $1,107 million in the first nine months of 2022 compared to $1,060 million in the first nine months of 2021. Segment income in the first nine months of 2022 was $1,151 million versus $1,143 million in the prior year period, primarily due to improved profitability in the North American tinplate and can-making equipment businesses and higher global beverage can sales unit volumes, offsetting higher energy prices and unfavorable foreign currency translation of $27 million.</w:t>
      </w:r>
    </w:p>
    <w:p>
      <w:pPr>
        <w:spacing w:after="0" w:line="20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Interest expense was $194 million for the first nine months of 2022 compared to $203 million in 2021 primarily due to lower outstanding debt balances partially offset by higher interest rates.</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Net income attributable to Crown Holdings in the first nine months of 2022 was $638 million compared to $441 million in the first nine months of 2021. Reported diluted earnings per share were $5.23 compared to $3.32 in 2021 and adjusted diluted earnings per share were $5.58 compared to $5.99 in 2021.</w:t>
      </w:r>
    </w:p>
    <w:p>
      <w:pPr>
        <w:spacing w:after="0" w:line="19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9"/>
          <w:szCs w:val="19"/>
          <w:color w:val="auto"/>
        </w:rPr>
        <w:t>The Company has repurchased $722 million, or 6.4 million shares of its common stock to date in 2022, including 1.2 million shares during the third quarter. The Company has remaining Board authorization to repurchase an additional $2.3 billion through December 2024. Since reinitiating the share repurchase program in 2021, we have now repurchased 15.3 million or 11% of our then shares outstanding.</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following supplemental information is provided below: a reconciliation from net income and diluted earnings per share to adjusted net income and adjusted diluted earnings per share and the impact of foreign currency translation.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The Company currently expects fourth quarter adjusted earnings to be in the range of $1.00 to $1.10 per share, and full year adjusted earnings in the range of $6.60 to $6.70 per share. Compared to our initial guidance of $8.00 to $8.20 per share, our current guidance assumes approximately a $1.00 headwind due to the stronger U.S. dollar, higher energy cost in Europe, and increased interest expense.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2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Segment income, adjusted free cash flow, adjusted net leverage ratio, adjusted net income, the adjusted effective tax rate, adjusted diluted earnings per share, adjusted EBITDA and impacts of foreign currency translation are not defined terms under U.S. generally accepted accounting principles (non-GAAP measures). Non-GAAP measures should not be considered in isolation or as a substitute for income from operations, net income, diluted earnings per share, effective tax rates, cash flow or leverage ratio data prepared in accordance with U.S. GAAP and may not be comparable to calculations of similarly titled measures by other companies.</w:t>
      </w:r>
    </w:p>
    <w:p>
      <w:pPr>
        <w:spacing w:after="0" w:line="21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Company views segment income as the principal measure of the performance of its operations and adjusted free cash flow and adjusted net leverage 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Reconciliations of estimated adjusted diluted earnings per share for the fourth quarter and full year of 2022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w:t>
      </w:r>
    </w:p>
    <w:p>
      <w:pPr>
        <w:sectPr>
          <w:pgSz w:w="11900" w:h="16838" w:orient="portrait"/>
          <w:cols w:equalWidth="0" w:num="1">
            <w:col w:w="11240"/>
          </w:cols>
          <w:pgMar w:left="320" w:top="60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2 of 12</w:t>
      </w:r>
    </w:p>
    <w:p>
      <w:pPr>
        <w:sectPr>
          <w:pgSz w:w="11900" w:h="16838" w:orient="portrait"/>
          <w:cols w:equalWidth="0" w:num="1">
            <w:col w:w="11240"/>
          </w:cols>
          <w:pgMar w:left="320" w:top="601" w:right="339" w:bottom="1440" w:gutter="0" w:footer="0" w:header="0"/>
          <w:type w:val="continuous"/>
        </w:sectPr>
      </w:pPr>
    </w:p>
    <w:bookmarkStart w:id="6" w:name="page7"/>
    <w:bookmarkEnd w:id="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items above, and the impact of tax law changes or other tax matters. The Company believes that adjusted net income, the adjusted effective tax rate, adjusted diluted earnings per share and the impact of foreign currency translation are useful in evaluating the Company’s operations as these measures are adjusted for items that affect comparability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dividends. Segment income, adjusted free cash flow, adjusted net leverage ratio, the adjusted effective tax rate, adjusted net income, adjusted diluted earnings per share and adjusted EBITDA are derived from the Company’s Consolidated Statements of Operations and Cash Flows and Consolidated Balance Sheets, as applicable, and reconciliations to segment income, adjusted free cash flow, net leverage ratio, the adjusted effective tax rate, adjusted net income, adjusted diluted earnings per share and adjusted EBITDA can be found within this release.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 xml:space="preserve">The Company will hold a conference call tomorrow, October 25, 2022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Times New Roman" w:cs="Times New Roman" w:eastAsia="Times New Roman" w:hAnsi="Times New Roman"/>
          <w:sz w:val="20"/>
          <w:szCs w:val="20"/>
          <w:color w:val="0000FF"/>
        </w:rPr>
        <w:t>www.crowncork.com</w:t>
      </w:r>
      <w:r>
        <w:rPr>
          <w:rFonts w:ascii="Times New Roman" w:cs="Times New Roman" w:eastAsia="Times New Roman" w:hAnsi="Times New Roman"/>
          <w:sz w:val="20"/>
          <w:szCs w:val="20"/>
          <w:color w:val="auto"/>
        </w:rPr>
        <w:t>. A replay of the conference call will be available for a one-week period ending at midnight on November 1. The telephone numbers for the replay are 203-369-3827 or toll free 800-814-6746.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Except for historical information, all other information in this press release consists of forward-looking statements. These forward-looking statements involve a number of risks, uncertainties and other factors, including the future impact of the coronavirus pandemic on the Company’s operations, including the Company’s ability to continue to operate its plants, distribute its products, and maintain its supply chain; the impact of the coronavirus pandemic on demand for the Company’s products; the future impact of currency translation; the continuation of performance and market trends in 2022, including consumer preference for beverage cans and increasing global beverage can demand; the future impact of inflation, including the potential for higher interest rates and energy prices; future demand for food cans; and the Company’s ability to successfully complete its previously announced capacity expansion projects and begin production within expected timelines, including any delays related to the pandemic,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2021 and in subsequent filings made prior to or after the date hereof. The Company does not intend to review or revise any particular forward-looking statement in light of future events.</w:t>
      </w:r>
    </w:p>
    <w:p>
      <w:pPr>
        <w:spacing w:after="0" w:line="22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Crown Holdings, Inc., through its subsidiaries, is a worldwide leader in the design, manufacture and sale of packaging products for consumer goods and industrial products. World headquarters are located in Yardley, Pennsylvania.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contact:</w:t>
      </w:r>
    </w:p>
    <w:p>
      <w:pPr>
        <w:spacing w:after="0" w:line="8" w:lineRule="exact"/>
        <w:rPr>
          <w:sz w:val="20"/>
          <w:szCs w:val="20"/>
          <w:color w:val="auto"/>
        </w:rPr>
      </w:pPr>
    </w:p>
    <w:p>
      <w:pPr>
        <w:ind w:right="3860"/>
        <w:spacing w:after="0" w:line="271" w:lineRule="auto"/>
        <w:rPr>
          <w:sz w:val="20"/>
          <w:szCs w:val="20"/>
          <w:color w:val="auto"/>
        </w:rPr>
      </w:pPr>
      <w:r>
        <w:rPr>
          <w:rFonts w:ascii="Times New Roman" w:cs="Times New Roman" w:eastAsia="Times New Roman" w:hAnsi="Times New Roman"/>
          <w:sz w:val="19"/>
          <w:szCs w:val="19"/>
          <w:color w:val="auto"/>
        </w:rPr>
        <w:t>Kevin C. Clothier, Senior Vice President and Chief Financial Officer, (215) 698-5281 Thomas T. Fischer, Vice President, Investor Relations and Corporate Affairs, (215) 552-3720</w:t>
      </w:r>
    </w:p>
    <w:p>
      <w:pPr>
        <w:spacing w:after="0" w:line="200" w:lineRule="exact"/>
        <w:rPr>
          <w:sz w:val="20"/>
          <w:szCs w:val="20"/>
          <w:color w:val="auto"/>
        </w:rPr>
      </w:pPr>
    </w:p>
    <w:p>
      <w:pPr>
        <w:spacing w:after="0" w:line="212" w:lineRule="exact"/>
        <w:rPr>
          <w:sz w:val="20"/>
          <w:szCs w:val="20"/>
          <w:color w:val="auto"/>
        </w:rPr>
      </w:pPr>
    </w:p>
    <w:p>
      <w:pPr>
        <w:ind w:right="1080"/>
        <w:spacing w:after="0" w:line="259" w:lineRule="auto"/>
        <w:rPr>
          <w:sz w:val="20"/>
          <w:szCs w:val="20"/>
          <w:color w:val="auto"/>
        </w:rPr>
      </w:pPr>
      <w:r>
        <w:rPr>
          <w:rFonts w:ascii="Times New Roman" w:cs="Times New Roman" w:eastAsia="Times New Roman" w:hAnsi="Times New Roman"/>
          <w:sz w:val="20"/>
          <w:szCs w:val="20"/>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12</w:t>
      </w:r>
    </w:p>
    <w:p>
      <w:pPr>
        <w:sectPr>
          <w:pgSz w:w="11900" w:h="16838" w:orient="portrait"/>
          <w:cols w:equalWidth="0" w:num="1">
            <w:col w:w="11240"/>
          </w:cols>
          <w:pgMar w:left="320" w:top="601"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5530215</wp:posOffset>
            </wp:positionH>
            <wp:positionV relativeFrom="paragraph">
              <wp:posOffset>-132080</wp:posOffset>
            </wp:positionV>
            <wp:extent cx="15513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ind w:left="60"/>
        <w:spacing w:after="0" w:line="221" w:lineRule="auto"/>
        <w:rPr>
          <w:sz w:val="20"/>
          <w:szCs w:val="20"/>
          <w:color w:val="auto"/>
        </w:rPr>
      </w:pPr>
      <w:r>
        <w:rPr>
          <w:rFonts w:ascii="Arial" w:cs="Arial" w:eastAsia="Arial" w:hAnsi="Arial"/>
          <w:sz w:val="14"/>
          <w:szCs w:val="14"/>
          <w:color w:val="auto"/>
        </w:rPr>
        <w:t>770 Township Line Road</w:t>
      </w:r>
    </w:p>
    <w:p>
      <w:pPr>
        <w:ind w:left="6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Operations (Unaudited)</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308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4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6"/>
        </w:trPr>
        <w:tc>
          <w:tcPr>
            <w:tcW w:w="53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4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$3,259</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$2,920</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$9,931</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$8,340</w:t>
            </w:r>
          </w:p>
        </w:tc>
      </w:tr>
      <w:tr>
        <w:trPr>
          <w:trHeight w:val="367"/>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products sold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2,726</w:t>
            </w:r>
          </w:p>
        </w:tc>
        <w:tc>
          <w:tcPr>
            <w:tcW w:w="2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2,322</w:t>
            </w:r>
          </w:p>
        </w:tc>
        <w:tc>
          <w:tcPr>
            <w:tcW w:w="2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8,134</w:t>
            </w:r>
          </w:p>
        </w:tc>
        <w:tc>
          <w:tcPr>
            <w:tcW w:w="2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6,548</w:t>
            </w:r>
          </w:p>
        </w:tc>
      </w:tr>
      <w:tr>
        <w:trPr>
          <w:trHeight w:val="229"/>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113</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346</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336</w:t>
            </w:r>
          </w:p>
        </w:tc>
      </w:tr>
      <w:tr>
        <w:trPr>
          <w:trHeight w:val="229"/>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148</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419</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438</w:t>
            </w: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and other</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8"/>
        </w:trPr>
        <w:tc>
          <w:tcPr>
            <w:tcW w:w="5300" w:type="dxa"/>
            <w:vAlign w:val="bottom"/>
          </w:tcPr>
          <w:p>
            <w:pPr>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23"/>
                <w:szCs w:val="23"/>
                <w:b w:val="1"/>
                <w:bCs w:val="1"/>
                <w:color w:val="auto"/>
                <w:vertAlign w:val="superscript"/>
              </w:rPr>
              <w:t>(1)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297</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348</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1,107</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1,060</w:t>
            </w:r>
          </w:p>
        </w:tc>
      </w:tr>
      <w:tr>
        <w:trPr>
          <w:trHeight w:val="230"/>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exchange</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4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276</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349</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1,097</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1,065</w:t>
            </w:r>
          </w:p>
        </w:tc>
      </w:tr>
      <w:tr>
        <w:trPr>
          <w:trHeight w:val="230"/>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194</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203</w:t>
            </w: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203</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285</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912</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867</w:t>
            </w:r>
          </w:p>
        </w:tc>
      </w:tr>
      <w:tr>
        <w:trPr>
          <w:trHeight w:val="230"/>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218</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285</w:t>
            </w: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earnings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158</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216</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733</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592</w:t>
            </w:r>
          </w:p>
        </w:tc>
      </w:tr>
      <w:tr>
        <w:trPr>
          <w:trHeight w:val="218"/>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156</w:t>
            </w: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disposal</w:t>
            </w:r>
          </w:p>
        </w:tc>
        <w:tc>
          <w:tcPr>
            <w:tcW w:w="1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(123)</w:t>
            </w:r>
          </w:p>
        </w:tc>
        <w:tc>
          <w:tcPr>
            <w:tcW w:w="24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(199)</w:t>
            </w: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operations</w:t>
            </w:r>
          </w:p>
        </w:tc>
        <w:tc>
          <w:tcPr>
            <w:tcW w:w="1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(85)</w:t>
            </w:r>
          </w:p>
        </w:tc>
        <w:tc>
          <w:tcPr>
            <w:tcW w:w="24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(43)</w:t>
            </w:r>
          </w:p>
        </w:tc>
      </w:tr>
      <w:tr>
        <w:trPr>
          <w:trHeight w:val="21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158</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131</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733</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549</w:t>
            </w:r>
          </w:p>
        </w:tc>
      </w:tr>
      <w:tr>
        <w:trPr>
          <w:trHeight w:val="180"/>
        </w:trPr>
        <w:tc>
          <w:tcPr>
            <w:tcW w:w="530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Net income from continuing operations attributable to noncontrolling</w:t>
            </w: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38"/>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2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2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2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r>
      <w:tr>
        <w:trPr>
          <w:trHeight w:val="180"/>
        </w:trPr>
        <w:tc>
          <w:tcPr>
            <w:tcW w:w="530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Net income from discontinued operations attributable to</w:t>
            </w: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$127</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$102</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$638</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$441</w:t>
            </w:r>
          </w:p>
        </w:tc>
      </w:tr>
      <w:tr>
        <w:trPr>
          <w:trHeight w:val="21"/>
        </w:trPr>
        <w:tc>
          <w:tcPr>
            <w:tcW w:w="5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160" w:right="5160" w:hanging="4929"/>
        <w:spacing w:after="0" w:line="971" w:lineRule="auto"/>
        <w:tabs>
          <w:tab w:leader="none" w:pos="42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Reconciliation from income from operations to segment income follows. Page 4 of 12</w:t>
      </w:r>
    </w:p>
    <w:p>
      <w:pPr>
        <w:sectPr>
          <w:pgSz w:w="11900" w:h="16838" w:orient="portrait"/>
          <w:cols w:equalWidth="0" w:num="1">
            <w:col w:w="11220"/>
          </w:cols>
          <w:pgMar w:left="340" w:top="601"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-132080</wp:posOffset>
            </wp:positionV>
            <wp:extent cx="15513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770 Township Line Road</w:t>
      </w:r>
    </w:p>
    <w:p>
      <w:pPr>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Earnings Per Share (Unaudited)</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6"/>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05"/>
        </w:trPr>
        <w:tc>
          <w:tcPr>
            <w:tcW w:w="55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$187</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$638</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$485</w:t>
            </w:r>
          </w:p>
        </w:tc>
        <w:tc>
          <w:tcPr>
            <w:tcW w:w="0" w:type="dxa"/>
            <w:vAlign w:val="bottom"/>
          </w:tcPr>
          <w:p>
            <w:pPr>
              <w:spacing w:after="0"/>
              <w:rPr>
                <w:sz w:val="1"/>
                <w:szCs w:val="1"/>
                <w:color w:val="auto"/>
              </w:rPr>
            </w:pPr>
          </w:p>
        </w:tc>
      </w:tr>
      <w:tr>
        <w:trPr>
          <w:trHeight w:val="238"/>
        </w:trPr>
        <w:tc>
          <w:tcPr>
            <w:tcW w:w="5580" w:type="dxa"/>
            <w:vAlign w:val="bottom"/>
          </w:tcPr>
          <w:p>
            <w:pPr>
              <w:ind w:left="160"/>
              <w:spacing w:after="0" w:line="237" w:lineRule="exact"/>
              <w:rPr>
                <w:sz w:val="20"/>
                <w:szCs w:val="20"/>
                <w:color w:val="auto"/>
              </w:rPr>
            </w:pPr>
            <w:r>
              <w:rPr>
                <w:rFonts w:ascii="Times New Roman" w:cs="Times New Roman" w:eastAsia="Times New Roman" w:hAnsi="Times New Roman"/>
                <w:sz w:val="18"/>
                <w:szCs w:val="18"/>
                <w:color w:val="auto"/>
              </w:rPr>
              <w:t xml:space="preserve">From discontinued operations </w:t>
            </w:r>
            <w:r>
              <w:rPr>
                <w:rFonts w:ascii="Times New Roman" w:cs="Times New Roman" w:eastAsia="Times New Roman" w:hAnsi="Times New Roman"/>
                <w:sz w:val="23"/>
                <w:szCs w:val="23"/>
                <w:color w:val="auto"/>
                <w:vertAlign w:val="superscript"/>
              </w:rPr>
              <w:t>(1)</w:t>
            </w:r>
          </w:p>
        </w:tc>
        <w:tc>
          <w:tcPr>
            <w:tcW w:w="1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1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2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$127</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$102</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$638</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$441</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Crown Holdings:</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58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earnings per share from continuing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$1.45</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$5.26</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4"/>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earnings per share from discontinued operations</w:t>
            </w:r>
          </w:p>
        </w:tc>
        <w:tc>
          <w:tcPr>
            <w:tcW w:w="1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(0.66)</w:t>
            </w:r>
          </w:p>
        </w:tc>
        <w:tc>
          <w:tcPr>
            <w:tcW w:w="1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(0.34)</w:t>
            </w:r>
          </w:p>
        </w:tc>
        <w:tc>
          <w:tcPr>
            <w:tcW w:w="0" w:type="dxa"/>
            <w:vAlign w:val="bottom"/>
          </w:tcPr>
          <w:p>
            <w:pPr>
              <w:spacing w:after="0"/>
              <w:rPr>
                <w:sz w:val="1"/>
                <w:szCs w:val="1"/>
                <w:color w:val="auto"/>
              </w:rPr>
            </w:pPr>
          </w:p>
        </w:tc>
      </w:tr>
      <w:tr>
        <w:trPr>
          <w:trHeight w:val="22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$1.06</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$0.79</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$5.26</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$3.34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 earnings per common share from continuing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$1.44</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$5.23</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4"/>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 earnings per common share from discontinued operations</w:t>
            </w:r>
          </w:p>
        </w:tc>
        <w:tc>
          <w:tcPr>
            <w:tcW w:w="1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1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(0.33)</w:t>
            </w:r>
          </w:p>
        </w:tc>
        <w:tc>
          <w:tcPr>
            <w:tcW w:w="0" w:type="dxa"/>
            <w:vAlign w:val="bottom"/>
          </w:tcPr>
          <w:p>
            <w:pPr>
              <w:spacing w:after="0"/>
              <w:rPr>
                <w:sz w:val="1"/>
                <w:szCs w:val="1"/>
                <w:color w:val="auto"/>
              </w:rPr>
            </w:pPr>
          </w:p>
        </w:tc>
      </w:tr>
      <w:tr>
        <w:trPr>
          <w:trHeight w:val="22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$1.06</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$0.79</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$5.23</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$3.32</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29"/>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119,698,219</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128,725,626</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121,426,827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131,854,039</w:t>
            </w:r>
          </w:p>
        </w:tc>
      </w:tr>
      <w:tr>
        <w:trPr>
          <w:trHeight w:val="230"/>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120,198,847</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129,707,246</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122,053,031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132,861,714</w:t>
            </w:r>
          </w:p>
        </w:tc>
      </w:tr>
      <w:tr>
        <w:trPr>
          <w:trHeight w:val="234"/>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Actual common shares outstanding at quarter end</w:t>
            </w:r>
          </w:p>
        </w:tc>
        <w:tc>
          <w:tcPr>
            <w:tcW w:w="2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119,946,169</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128,009,299</w:t>
            </w: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119,946,169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128,009,299</w:t>
            </w:r>
          </w:p>
        </w:tc>
      </w:tr>
    </w:tbl>
    <w:p>
      <w:pPr>
        <w:spacing w:after="0" w:line="200" w:lineRule="exact"/>
        <w:rPr>
          <w:sz w:val="20"/>
          <w:szCs w:val="20"/>
          <w:color w:val="auto"/>
        </w:rPr>
      </w:pPr>
    </w:p>
    <w:p>
      <w:pPr>
        <w:spacing w:after="0" w:line="317" w:lineRule="exact"/>
        <w:rPr>
          <w:sz w:val="20"/>
          <w:szCs w:val="20"/>
          <w:color w:val="auto"/>
        </w:rPr>
      </w:pPr>
    </w:p>
    <w:p>
      <w:pPr>
        <w:ind w:left="1240" w:hanging="178"/>
        <w:spacing w:after="0"/>
        <w:tabs>
          <w:tab w:leader="none" w:pos="124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Discontinued operations does not include any allocation of interest expense or indirect costs.</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61" w:lineRule="exact"/>
        <w:rPr>
          <w:rFonts w:ascii="Times New Roman" w:cs="Times New Roman" w:eastAsia="Times New Roman" w:hAnsi="Times New Roman"/>
          <w:sz w:val="22"/>
          <w:szCs w:val="22"/>
          <w:color w:val="auto"/>
          <w:vertAlign w:val="superscript"/>
        </w:rPr>
      </w:pPr>
    </w:p>
    <w:p>
      <w:pPr>
        <w:ind w:left="510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Page 5 of 12</w:t>
      </w:r>
    </w:p>
    <w:p>
      <w:pPr>
        <w:sectPr>
          <w:pgSz w:w="11900" w:h="16838" w:orient="portrait"/>
          <w:cols w:equalWidth="0" w:num="1">
            <w:col w:w="11040"/>
          </w:cols>
          <w:pgMar w:left="400" w:top="601" w:right="459" w:bottom="1440" w:gutter="0" w:footer="0" w:header="0"/>
        </w:sectPr>
      </w:pPr>
    </w:p>
    <w:bookmarkStart w:id="9" w:name="page10"/>
    <w:bookmarkEnd w:id="9"/>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3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Financial Data (Unaudited)</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Income from Operations to Segment Income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spacing w:after="0" w:line="69"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2760" w:type="dxa"/>
            <w:vAlign w:val="bottom"/>
          </w:tcPr>
          <w:p>
            <w:pPr>
              <w:spacing w:after="0"/>
              <w:rPr>
                <w:sz w:val="20"/>
                <w:szCs w:val="20"/>
                <w:color w:val="auto"/>
              </w:rPr>
            </w:pPr>
          </w:p>
        </w:tc>
        <w:tc>
          <w:tcPr>
            <w:tcW w:w="21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37"/>
        </w:trPr>
        <w:tc>
          <w:tcPr>
            <w:tcW w:w="27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297</w:t>
            </w:r>
          </w:p>
        </w:tc>
        <w:tc>
          <w:tcPr>
            <w:tcW w:w="220" w:type="dxa"/>
            <w:vAlign w:val="bottom"/>
          </w:tcPr>
          <w:p>
            <w:pPr>
              <w:spacing w:after="0"/>
              <w:rPr>
                <w:sz w:val="20"/>
                <w:szCs w:val="20"/>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5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5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1,060</w:t>
            </w:r>
          </w:p>
        </w:tc>
      </w:tr>
      <w:tr>
        <w:trPr>
          <w:trHeight w:val="25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amortization</w:t>
            </w:r>
          </w:p>
        </w:tc>
        <w:tc>
          <w:tcPr>
            <w:tcW w:w="76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r>
      <w:tr>
        <w:trPr>
          <w:trHeight w:val="25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w:t>
            </w:r>
          </w:p>
        </w:tc>
        <w:tc>
          <w:tcPr>
            <w:tcW w:w="7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336</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379</w:t>
            </w:r>
          </w:p>
        </w:tc>
        <w:tc>
          <w:tcPr>
            <w:tcW w:w="5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1,143</w:t>
            </w:r>
          </w:p>
        </w:tc>
      </w:tr>
      <w:tr>
        <w:trPr>
          <w:trHeight w:val="20"/>
        </w:trPr>
        <w:tc>
          <w:tcPr>
            <w:tcW w:w="2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Segment Information</w:t>
      </w:r>
    </w:p>
    <w:p>
      <w:pPr>
        <w:spacing w:after="0" w:line="121"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2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 w:type="dxa"/>
            <w:vAlign w:val="bottom"/>
          </w:tcPr>
          <w:p>
            <w:pPr>
              <w:spacing w:after="0"/>
              <w:rPr>
                <w:sz w:val="18"/>
                <w:szCs w:val="18"/>
                <w:color w:val="auto"/>
              </w:rPr>
            </w:pPr>
          </w:p>
        </w:tc>
        <w:tc>
          <w:tcPr>
            <w:tcW w:w="3260" w:type="dxa"/>
            <w:vAlign w:val="bottom"/>
            <w:gridSpan w:val="8"/>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6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198"/>
        </w:trPr>
        <w:tc>
          <w:tcPr>
            <w:tcW w:w="27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8"/>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Americas Beverage</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w:t>
            </w:r>
          </w:p>
        </w:tc>
        <w:tc>
          <w:tcPr>
            <w:tcW w:w="5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European Beverage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Transit Packaging</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644</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34"/>
        </w:trPr>
        <w:tc>
          <w:tcPr>
            <w:tcW w:w="2740" w:type="dxa"/>
            <w:vAlign w:val="bottom"/>
            <w:gridSpan w:val="3"/>
          </w:tcPr>
          <w:p>
            <w:pPr>
              <w:spacing w:after="0" w:line="234"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23"/>
        </w:trPr>
        <w:tc>
          <w:tcPr>
            <w:tcW w:w="27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2,920</w:t>
            </w:r>
          </w:p>
        </w:tc>
        <w:tc>
          <w:tcPr>
            <w:tcW w:w="5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8,340</w:t>
            </w:r>
          </w:p>
        </w:tc>
        <w:tc>
          <w:tcPr>
            <w:tcW w:w="0" w:type="dxa"/>
            <w:vAlign w:val="bottom"/>
          </w:tcPr>
          <w:p>
            <w:pPr>
              <w:spacing w:after="0"/>
              <w:rPr>
                <w:sz w:val="1"/>
                <w:szCs w:val="1"/>
                <w:color w:val="auto"/>
              </w:rPr>
            </w:pPr>
          </w:p>
        </w:tc>
      </w:tr>
      <w:tr>
        <w:trPr>
          <w:trHeight w:val="21"/>
        </w:trPr>
        <w:tc>
          <w:tcPr>
            <w:tcW w:w="2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7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Americas Beverage</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5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58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5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European Beverage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Transit Packaging</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3"/>
        </w:trPr>
        <w:tc>
          <w:tcPr>
            <w:tcW w:w="2740" w:type="dxa"/>
            <w:vAlign w:val="bottom"/>
            <w:gridSpan w:val="3"/>
          </w:tcPr>
          <w:p>
            <w:pPr>
              <w:spacing w:after="0" w:line="23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Corporate and other unallocated</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items</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27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20" w:type="dxa"/>
            <w:vAlign w:val="bottom"/>
            <w:tcBorders>
              <w:bottom w:val="single" w:sz="8" w:color="auto"/>
            </w:tcBorders>
          </w:tcPr>
          <w:p>
            <w:pPr>
              <w:spacing w:after="0"/>
              <w:rPr>
                <w:sz w:val="19"/>
                <w:szCs w:val="19"/>
                <w:color w:val="auto"/>
              </w:rPr>
            </w:pPr>
          </w:p>
        </w:tc>
        <w:tc>
          <w:tcPr>
            <w:tcW w:w="240" w:type="dxa"/>
            <w:vAlign w:val="bottom"/>
            <w:gridSpan w:val="2"/>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379</w:t>
            </w:r>
          </w:p>
        </w:tc>
        <w:tc>
          <w:tcPr>
            <w:tcW w:w="5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00" w:right="60" w:hanging="492"/>
        <w:spacing w:after="0" w:line="215" w:lineRule="auto"/>
        <w:tabs>
          <w:tab w:leader="none" w:pos="195"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Company’s food can, aerosol can and closures businesses in North America, and beverage tooling and equipment operations in the U.S. and United Kingdom.</w:t>
      </w:r>
    </w:p>
    <w:p>
      <w:pPr>
        <w:sectPr>
          <w:pgSz w:w="11900" w:h="16838" w:orient="portrait"/>
          <w:cols w:equalWidth="0" w:num="1">
            <w:col w:w="11240"/>
          </w:cols>
          <w:pgMar w:left="320" w:top="601" w:right="339" w:bottom="5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6 of 12</w:t>
      </w:r>
    </w:p>
    <w:p>
      <w:pPr>
        <w:sectPr>
          <w:pgSz w:w="11900" w:h="16838" w:orient="portrait"/>
          <w:cols w:equalWidth="0" w:num="1">
            <w:col w:w="11240"/>
          </w:cols>
          <w:pgMar w:left="320" w:top="601" w:right="339" w:bottom="567" w:gutter="0" w:footer="0" w:header="0"/>
          <w:type w:val="continuous"/>
        </w:sectPr>
      </w:pPr>
    </w:p>
    <w:bookmarkStart w:id="10" w:name="page11"/>
    <w:bookmarkEnd w:id="10"/>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Data (Unaudited)</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and Diluted Earnings Per Share to Adjusted Net Income and Adjusted Diluted Earnings Per Share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reported net income and diluted earnings per share attributable to the Company to adjusted net income and adjusted diluted</w:t>
      </w:r>
    </w:p>
    <w:p>
      <w:pPr>
        <w:spacing w:after="0" w:line="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per share, as used elsewhere in this release. Some or all of each reconciling item is reported within discontinued operations in the Consolidated Statement of Operations.</w:t>
      </w:r>
    </w:p>
    <w:p>
      <w:pPr>
        <w:spacing w:after="0" w:line="200" w:lineRule="exact"/>
        <w:rPr>
          <w:sz w:val="20"/>
          <w:szCs w:val="20"/>
          <w:color w:val="auto"/>
        </w:rPr>
      </w:pPr>
    </w:p>
    <w:p>
      <w:pPr>
        <w:spacing w:after="0" w:line="211" w:lineRule="exact"/>
        <w:rPr>
          <w:sz w:val="20"/>
          <w:szCs w:val="20"/>
          <w:color w:val="auto"/>
        </w:rPr>
      </w:pPr>
    </w:p>
    <w:tbl>
      <w:tblPr>
        <w:tblLayout w:type="fixed"/>
        <w:tblInd w:w="960" w:type="dxa"/>
        <w:tblCellMar>
          <w:top w:w="0" w:type="dxa"/>
          <w:left w:w="0" w:type="dxa"/>
          <w:bottom w:w="0" w:type="dxa"/>
          <w:right w:w="0" w:type="dxa"/>
        </w:tblCellMar>
      </w:tblPr>
      <w:tr>
        <w:trPr>
          <w:trHeight w:val="242"/>
        </w:trPr>
        <w:tc>
          <w:tcPr>
            <w:tcW w:w="3260" w:type="dxa"/>
            <w:vAlign w:val="bottom"/>
          </w:tcPr>
          <w:p>
            <w:pPr>
              <w:spacing w:after="0"/>
              <w:rPr>
                <w:sz w:val="21"/>
                <w:szCs w:val="21"/>
                <w:color w:val="auto"/>
              </w:rPr>
            </w:pPr>
          </w:p>
        </w:tc>
        <w:tc>
          <w:tcPr>
            <w:tcW w:w="3120" w:type="dxa"/>
            <w:vAlign w:val="bottom"/>
            <w:gridSpan w:val="9"/>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980" w:type="dxa"/>
            <w:vAlign w:val="bottom"/>
            <w:gridSpan w:val="9"/>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income/diluted earnings per share</w:t>
            </w:r>
          </w:p>
        </w:tc>
        <w:tc>
          <w:tcPr>
            <w:tcW w:w="1400" w:type="dxa"/>
            <w:vAlign w:val="bottom"/>
            <w:tcBorders>
              <w:top w:val="single" w:sz="8" w:color="auto"/>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3"/>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0" w:type="dxa"/>
            <w:vAlign w:val="bottom"/>
          </w:tcPr>
          <w:p>
            <w:pPr>
              <w:spacing w:after="0"/>
              <w:rPr>
                <w:sz w:val="1"/>
                <w:szCs w:val="1"/>
                <w:color w:val="auto"/>
              </w:rPr>
            </w:pPr>
          </w:p>
        </w:tc>
      </w:tr>
      <w:tr>
        <w:trPr>
          <w:trHeight w:val="160"/>
        </w:trPr>
        <w:tc>
          <w:tcPr>
            <w:tcW w:w="326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6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attributable to Crown Holdings, as</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$127</w:t>
            </w:r>
          </w:p>
        </w:tc>
        <w:tc>
          <w:tcPr>
            <w:tcW w:w="1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$1.06</w:t>
            </w:r>
          </w:p>
        </w:tc>
        <w:tc>
          <w:tcPr>
            <w:tcW w:w="160" w:type="dxa"/>
            <w:vAlign w:val="bottom"/>
          </w:tcPr>
          <w:p>
            <w:pPr>
              <w:spacing w:after="0"/>
              <w:rPr>
                <w:sz w:val="16"/>
                <w:szCs w:val="16"/>
                <w:color w:val="auto"/>
              </w:rPr>
            </w:pPr>
          </w:p>
        </w:tc>
        <w:tc>
          <w:tcPr>
            <w:tcW w:w="50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$102</w:t>
            </w:r>
          </w:p>
        </w:tc>
        <w:tc>
          <w:tcPr>
            <w:tcW w:w="900" w:type="dxa"/>
            <w:vAlign w:val="bottom"/>
            <w:gridSpan w:val="3"/>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$0.79</w:t>
            </w:r>
          </w:p>
        </w:tc>
        <w:tc>
          <w:tcPr>
            <w:tcW w:w="16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$638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$5.23</w:t>
            </w:r>
          </w:p>
        </w:tc>
        <w:tc>
          <w:tcPr>
            <w:tcW w:w="1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$441</w:t>
            </w:r>
          </w:p>
        </w:tc>
        <w:tc>
          <w:tcPr>
            <w:tcW w:w="880" w:type="dxa"/>
            <w:vAlign w:val="bottom"/>
            <w:gridSpan w:val="3"/>
            <w:vMerge w:val="restart"/>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$3.32</w:t>
            </w: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6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8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Intangibles amortization </w:t>
            </w:r>
            <w:r>
              <w:rPr>
                <w:rFonts w:ascii="Times New Roman" w:cs="Times New Roman" w:eastAsia="Times New Roman" w:hAnsi="Times New Roman"/>
                <w:sz w:val="23"/>
                <w:szCs w:val="23"/>
                <w:color w:val="auto"/>
                <w:vertAlign w:val="superscript"/>
              </w:rPr>
              <w:t>(1)</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tcPr>
          <w:p>
            <w:pPr>
              <w:spacing w:after="0"/>
              <w:rPr>
                <w:sz w:val="24"/>
                <w:szCs w:val="24"/>
                <w:color w:val="auto"/>
              </w:rPr>
            </w:pPr>
          </w:p>
        </w:tc>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42</w:t>
            </w:r>
          </w:p>
        </w:tc>
        <w:tc>
          <w:tcPr>
            <w:tcW w:w="9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0.97</w:t>
            </w: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130</w:t>
            </w:r>
          </w:p>
        </w:tc>
        <w:tc>
          <w:tcPr>
            <w:tcW w:w="880" w:type="dxa"/>
            <w:vAlign w:val="bottom"/>
            <w:gridSpan w:val="3"/>
          </w:tcPr>
          <w:p>
            <w:pPr>
              <w:jc w:val="center"/>
              <w:ind w:left="134"/>
              <w:spacing w:after="0"/>
              <w:rPr>
                <w:sz w:val="20"/>
                <w:szCs w:val="20"/>
                <w:color w:val="auto"/>
              </w:rPr>
            </w:pPr>
            <w:r>
              <w:rPr>
                <w:rFonts w:ascii="Times New Roman" w:cs="Times New Roman" w:eastAsia="Times New Roman" w:hAnsi="Times New Roman"/>
                <w:sz w:val="17"/>
                <w:szCs w:val="17"/>
                <w:color w:val="auto"/>
              </w:rPr>
              <w:t>0.98</w:t>
            </w:r>
          </w:p>
        </w:tc>
        <w:tc>
          <w:tcPr>
            <w:tcW w:w="0" w:type="dxa"/>
            <w:vAlign w:val="bottom"/>
          </w:tcPr>
          <w:p>
            <w:pPr>
              <w:spacing w:after="0"/>
              <w:rPr>
                <w:sz w:val="1"/>
                <w:szCs w:val="1"/>
                <w:color w:val="auto"/>
              </w:rPr>
            </w:pPr>
          </w:p>
        </w:tc>
      </w:tr>
      <w:tr>
        <w:trPr>
          <w:trHeight w:val="27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Restructuring and other </w:t>
            </w:r>
            <w:r>
              <w:rPr>
                <w:rFonts w:ascii="Times New Roman" w:cs="Times New Roman" w:eastAsia="Times New Roman" w:hAnsi="Times New Roman"/>
                <w:sz w:val="23"/>
                <w:szCs w:val="23"/>
                <w:color w:val="auto"/>
                <w:vertAlign w:val="superscript"/>
              </w:rPr>
              <w:t>(2)</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23"/>
                <w:szCs w:val="23"/>
                <w:color w:val="auto"/>
              </w:rPr>
            </w:pPr>
          </w:p>
        </w:tc>
        <w:tc>
          <w:tcPr>
            <w:tcW w:w="5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(9)</w:t>
            </w:r>
          </w:p>
        </w:tc>
        <w:tc>
          <w:tcPr>
            <w:tcW w:w="9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(0.61)</w:t>
            </w:r>
          </w:p>
        </w:tc>
        <w:tc>
          <w:tcPr>
            <w:tcW w:w="140" w:type="dxa"/>
            <w:vAlign w:val="bottom"/>
          </w:tcPr>
          <w:p>
            <w:pPr>
              <w:spacing w:after="0"/>
              <w:rPr>
                <w:sz w:val="23"/>
                <w:szCs w:val="23"/>
                <w:color w:val="auto"/>
              </w:rPr>
            </w:pPr>
          </w:p>
        </w:tc>
        <w:tc>
          <w:tcPr>
            <w:tcW w:w="5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8"/>
              </w:rPr>
              <w:t>(40)</w:t>
            </w:r>
          </w:p>
        </w:tc>
        <w:tc>
          <w:tcPr>
            <w:tcW w:w="880" w:type="dxa"/>
            <w:vAlign w:val="bottom"/>
            <w:gridSpan w:val="3"/>
          </w:tcPr>
          <w:p>
            <w:pPr>
              <w:jc w:val="center"/>
              <w:ind w:left="154"/>
              <w:spacing w:after="0"/>
              <w:rPr>
                <w:sz w:val="20"/>
                <w:szCs w:val="20"/>
                <w:color w:val="auto"/>
              </w:rPr>
            </w:pPr>
            <w:r>
              <w:rPr>
                <w:rFonts w:ascii="Times New Roman" w:cs="Times New Roman" w:eastAsia="Times New Roman" w:hAnsi="Times New Roman"/>
                <w:sz w:val="17"/>
                <w:szCs w:val="17"/>
                <w:color w:val="auto"/>
                <w:w w:val="97"/>
              </w:rPr>
              <w:t>(0.30)</w:t>
            </w:r>
          </w:p>
        </w:tc>
        <w:tc>
          <w:tcPr>
            <w:tcW w:w="0" w:type="dxa"/>
            <w:vAlign w:val="bottom"/>
          </w:tcPr>
          <w:p>
            <w:pPr>
              <w:spacing w:after="0"/>
              <w:rPr>
                <w:sz w:val="1"/>
                <w:szCs w:val="1"/>
                <w:color w:val="auto"/>
              </w:rPr>
            </w:pPr>
          </w:p>
        </w:tc>
      </w:tr>
      <w:tr>
        <w:trPr>
          <w:trHeight w:val="27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Loss on debt extinguishment </w:t>
            </w:r>
            <w:r>
              <w:rPr>
                <w:rFonts w:ascii="Times New Roman" w:cs="Times New Roman" w:eastAsia="Times New Roman" w:hAnsi="Times New Roman"/>
                <w:sz w:val="23"/>
                <w:szCs w:val="23"/>
                <w:color w:val="auto"/>
                <w:vertAlign w:val="superscript"/>
              </w:rPr>
              <w:t>(3)</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0.09</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settlements/curtailments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0.01</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Loss from discontinued operations </w:t>
            </w:r>
            <w:r>
              <w:rPr>
                <w:rFonts w:ascii="Times New Roman" w:cs="Times New Roman" w:eastAsia="Times New Roman" w:hAnsi="Times New Roman"/>
                <w:sz w:val="23"/>
                <w:szCs w:val="23"/>
                <w:color w:val="auto"/>
                <w:vertAlign w:val="superscript"/>
              </w:rPr>
              <w:t>(4)</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123</w:t>
            </w:r>
          </w:p>
        </w:tc>
        <w:tc>
          <w:tcPr>
            <w:tcW w:w="9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0.95</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199</w:t>
            </w:r>
          </w:p>
        </w:tc>
        <w:tc>
          <w:tcPr>
            <w:tcW w:w="880" w:type="dxa"/>
            <w:vAlign w:val="bottom"/>
            <w:gridSpan w:val="3"/>
          </w:tcPr>
          <w:p>
            <w:pPr>
              <w:jc w:val="center"/>
              <w:ind w:left="134"/>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57"/>
        </w:trPr>
        <w:tc>
          <w:tcPr>
            <w:tcW w:w="326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23"/>
                <w:szCs w:val="23"/>
                <w:color w:val="auto"/>
                <w:vertAlign w:val="superscript"/>
              </w:rPr>
              <w:t>(5)</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22"/>
                <w:szCs w:val="22"/>
                <w:color w:val="auto"/>
              </w:rPr>
            </w:pPr>
          </w:p>
        </w:tc>
        <w:tc>
          <w:tcPr>
            <w:tcW w:w="5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9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(0.16)</w:t>
            </w:r>
          </w:p>
        </w:tc>
        <w:tc>
          <w:tcPr>
            <w:tcW w:w="14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880" w:type="dxa"/>
            <w:vAlign w:val="bottom"/>
            <w:gridSpan w:val="3"/>
          </w:tcPr>
          <w:p>
            <w:pPr>
              <w:jc w:val="center"/>
              <w:ind w:left="134"/>
              <w:spacing w:after="0"/>
              <w:rPr>
                <w:sz w:val="20"/>
                <w:szCs w:val="20"/>
                <w:color w:val="auto"/>
              </w:rPr>
            </w:pPr>
            <w:r>
              <w:rPr>
                <w:rFonts w:ascii="Times New Roman" w:cs="Times New Roman" w:eastAsia="Times New Roman" w:hAnsi="Times New Roman"/>
                <w:sz w:val="17"/>
                <w:szCs w:val="17"/>
                <w:color w:val="auto"/>
              </w:rPr>
              <w:t>0.42</w:t>
            </w:r>
          </w:p>
        </w:tc>
        <w:tc>
          <w:tcPr>
            <w:tcW w:w="0" w:type="dxa"/>
            <w:vAlign w:val="bottom"/>
          </w:tcPr>
          <w:p>
            <w:pPr>
              <w:spacing w:after="0"/>
              <w:rPr>
                <w:sz w:val="1"/>
                <w:szCs w:val="1"/>
                <w:color w:val="auto"/>
              </w:rPr>
            </w:pPr>
          </w:p>
        </w:tc>
      </w:tr>
      <w:tr>
        <w:trPr>
          <w:trHeight w:val="256"/>
        </w:trPr>
        <w:tc>
          <w:tcPr>
            <w:tcW w:w="326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Equity earnings </w:t>
            </w:r>
            <w:r>
              <w:rPr>
                <w:rFonts w:ascii="Times New Roman" w:cs="Times New Roman" w:eastAsia="Times New Roman" w:hAnsi="Times New Roman"/>
                <w:sz w:val="23"/>
                <w:szCs w:val="23"/>
                <w:color w:val="auto"/>
                <w:vertAlign w:val="superscript"/>
              </w:rPr>
              <w:t>(6)</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0.05</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260" w:type="dxa"/>
            <w:vAlign w:val="bottom"/>
          </w:tcPr>
          <w:p>
            <w:pPr>
              <w:ind w:left="220"/>
              <w:spacing w:after="0" w:line="237" w:lineRule="exact"/>
              <w:rPr>
                <w:sz w:val="20"/>
                <w:szCs w:val="20"/>
                <w:color w:val="auto"/>
              </w:rPr>
            </w:pPr>
            <w:r>
              <w:rPr>
                <w:rFonts w:ascii="Times New Roman" w:cs="Times New Roman" w:eastAsia="Times New Roman" w:hAnsi="Times New Roman"/>
                <w:sz w:val="18"/>
                <w:szCs w:val="18"/>
                <w:color w:val="auto"/>
              </w:rPr>
              <w:t xml:space="preserve">Noncontrolling interests </w:t>
            </w:r>
            <w:r>
              <w:rPr>
                <w:rFonts w:ascii="Times New Roman" w:cs="Times New Roman" w:eastAsia="Times New Roman" w:hAnsi="Times New Roman"/>
                <w:sz w:val="23"/>
                <w:szCs w:val="23"/>
                <w:color w:val="auto"/>
                <w:vertAlign w:val="superscript"/>
              </w:rPr>
              <w:t>(7)</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0.08</w:t>
            </w:r>
          </w:p>
        </w:tc>
        <w:tc>
          <w:tcPr>
            <w:tcW w:w="0" w:type="dxa"/>
            <w:vAlign w:val="bottom"/>
          </w:tcPr>
          <w:p>
            <w:pPr>
              <w:spacing w:after="0"/>
              <w:rPr>
                <w:sz w:val="1"/>
                <w:szCs w:val="1"/>
                <w:color w:val="auto"/>
              </w:rPr>
            </w:pPr>
          </w:p>
        </w:tc>
      </w:tr>
      <w:tr>
        <w:trPr>
          <w:trHeight w:val="169"/>
        </w:trPr>
        <w:tc>
          <w:tcPr>
            <w:tcW w:w="32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Adjusted net income/diluted earnings per</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$175</w:t>
            </w: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$1.46</w:t>
            </w:r>
          </w:p>
        </w:tc>
        <w:tc>
          <w:tcPr>
            <w:tcW w:w="160" w:type="dxa"/>
            <w:vAlign w:val="bottom"/>
          </w:tcPr>
          <w:p>
            <w:pPr>
              <w:spacing w:after="0"/>
              <w:rPr>
                <w:sz w:val="14"/>
                <w:szCs w:val="14"/>
                <w:color w:val="auto"/>
              </w:rPr>
            </w:pPr>
          </w:p>
        </w:tc>
        <w:tc>
          <w:tcPr>
            <w:tcW w:w="50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$263</w:t>
            </w:r>
          </w:p>
        </w:tc>
        <w:tc>
          <w:tcPr>
            <w:tcW w:w="900" w:type="dxa"/>
            <w:vAlign w:val="bottom"/>
            <w:gridSpan w:val="3"/>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$2.03</w:t>
            </w:r>
          </w:p>
        </w:tc>
        <w:tc>
          <w:tcPr>
            <w:tcW w:w="16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restart"/>
          </w:tcPr>
          <w:p>
            <w:pPr>
              <w:jc w:val="center"/>
              <w:ind w:right="34"/>
              <w:spacing w:after="0"/>
              <w:rPr>
                <w:sz w:val="20"/>
                <w:szCs w:val="20"/>
                <w:color w:val="auto"/>
              </w:rPr>
            </w:pPr>
            <w:r>
              <w:rPr>
                <w:rFonts w:ascii="Times New Roman" w:cs="Times New Roman" w:eastAsia="Times New Roman" w:hAnsi="Times New Roman"/>
                <w:sz w:val="18"/>
                <w:szCs w:val="18"/>
                <w:b w:val="1"/>
                <w:bCs w:val="1"/>
                <w:color w:val="auto"/>
              </w:rPr>
              <w:t>$5.58</w:t>
            </w:r>
          </w:p>
        </w:tc>
        <w:tc>
          <w:tcPr>
            <w:tcW w:w="140" w:type="dxa"/>
            <w:vAlign w:val="bottom"/>
          </w:tcPr>
          <w:p>
            <w:pPr>
              <w:spacing w:after="0"/>
              <w:rPr>
                <w:sz w:val="14"/>
                <w:szCs w:val="14"/>
                <w:color w:val="auto"/>
              </w:rPr>
            </w:pPr>
          </w:p>
        </w:tc>
        <w:tc>
          <w:tcPr>
            <w:tcW w:w="540" w:type="dxa"/>
            <w:vAlign w:val="bottom"/>
            <w:vMerge w:val="restart"/>
          </w:tcPr>
          <w:p>
            <w:pPr>
              <w:jc w:val="center"/>
              <w:ind w:left="14"/>
              <w:spacing w:after="0"/>
              <w:rPr>
                <w:sz w:val="20"/>
                <w:szCs w:val="20"/>
                <w:color w:val="auto"/>
              </w:rPr>
            </w:pPr>
            <w:r>
              <w:rPr>
                <w:rFonts w:ascii="Times New Roman" w:cs="Times New Roman" w:eastAsia="Times New Roman" w:hAnsi="Times New Roman"/>
                <w:sz w:val="18"/>
                <w:szCs w:val="18"/>
                <w:b w:val="1"/>
                <w:bCs w:val="1"/>
                <w:color w:val="auto"/>
                <w:w w:val="99"/>
              </w:rPr>
              <w:t>$796</w:t>
            </w:r>
          </w:p>
        </w:tc>
        <w:tc>
          <w:tcPr>
            <w:tcW w:w="880" w:type="dxa"/>
            <w:vAlign w:val="bottom"/>
            <w:gridSpan w:val="3"/>
            <w:vMerge w:val="restart"/>
          </w:tcPr>
          <w:p>
            <w:pPr>
              <w:jc w:val="center"/>
              <w:ind w:left="154"/>
              <w:spacing w:after="0"/>
              <w:rPr>
                <w:sz w:val="20"/>
                <w:szCs w:val="20"/>
                <w:color w:val="auto"/>
              </w:rPr>
            </w:pPr>
            <w:r>
              <w:rPr>
                <w:rFonts w:ascii="Times New Roman" w:cs="Times New Roman" w:eastAsia="Times New Roman" w:hAnsi="Times New Roman"/>
                <w:sz w:val="18"/>
                <w:szCs w:val="18"/>
                <w:b w:val="1"/>
                <w:bCs w:val="1"/>
                <w:color w:val="auto"/>
                <w:w w:val="98"/>
              </w:rPr>
              <w:t>$5.99</w:t>
            </w:r>
          </w:p>
        </w:tc>
        <w:tc>
          <w:tcPr>
            <w:tcW w:w="0" w:type="dxa"/>
            <w:vAlign w:val="bottom"/>
          </w:tcPr>
          <w:p>
            <w:pPr>
              <w:spacing w:after="0"/>
              <w:rPr>
                <w:sz w:val="1"/>
                <w:szCs w:val="1"/>
                <w:color w:val="auto"/>
              </w:rPr>
            </w:pPr>
          </w:p>
        </w:tc>
      </w:tr>
      <w:tr>
        <w:trPr>
          <w:trHeight w:val="203"/>
        </w:trPr>
        <w:tc>
          <w:tcPr>
            <w:tcW w:w="32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2"/>
                <w:szCs w:val="22"/>
                <w:color w:val="auto"/>
                <w:vertAlign w:val="superscript"/>
              </w:rPr>
              <w:t>(8)</w:t>
            </w: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Effective tax rate as reported </w:t>
            </w:r>
            <w:r>
              <w:rPr>
                <w:rFonts w:ascii="Times New Roman" w:cs="Times New Roman" w:eastAsia="Times New Roman" w:hAnsi="Times New Roman"/>
                <w:sz w:val="23"/>
                <w:szCs w:val="23"/>
                <w:color w:val="auto"/>
                <w:vertAlign w:val="superscript"/>
              </w:rPr>
              <w:t>(9)</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56.8%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42.9%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effective tax rate </w:t>
            </w:r>
            <w:r>
              <w:rPr>
                <w:rFonts w:ascii="Times New Roman" w:cs="Times New Roman" w:eastAsia="Times New Roman" w:hAnsi="Times New Roman"/>
                <w:sz w:val="23"/>
                <w:szCs w:val="23"/>
                <w:color w:val="auto"/>
                <w:vertAlign w:val="superscript"/>
              </w:rPr>
              <w:t>(9)</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23.6%</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200" w:lineRule="exact"/>
        <w:rPr>
          <w:sz w:val="20"/>
          <w:szCs w:val="20"/>
          <w:color w:val="auto"/>
        </w:rPr>
      </w:pPr>
    </w:p>
    <w:p>
      <w:pPr>
        <w:spacing w:after="0" w:line="251" w:lineRule="exact"/>
        <w:rPr>
          <w:sz w:val="20"/>
          <w:szCs w:val="20"/>
          <w:color w:val="auto"/>
        </w:rPr>
      </w:pPr>
    </w:p>
    <w:p>
      <w:pPr>
        <w:jc w:val="both"/>
        <w:ind w:left="420" w:right="560" w:hanging="331"/>
        <w:spacing w:after="0"/>
        <w:tabs>
          <w:tab w:leader="none" w:pos="4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third quarter and first nine months of 2022, the Company recorded charges of $40 million ($31 million net of tax) and $119 million ($92 million net of tax) for intangibles amortization arising from prior acquisitions. In the third quarter and first nine months of 2021, the Company recorded charges of $42 million ($33 million net of tax) and $130 million ($99 million net of tax) for intangibles amortization.</w:t>
      </w:r>
    </w:p>
    <w:p>
      <w:pPr>
        <w:spacing w:after="0" w:line="212" w:lineRule="exact"/>
        <w:rPr>
          <w:rFonts w:ascii="Times New Roman" w:cs="Times New Roman" w:eastAsia="Times New Roman" w:hAnsi="Times New Roman"/>
          <w:sz w:val="23"/>
          <w:szCs w:val="23"/>
          <w:color w:val="auto"/>
          <w:vertAlign w:val="superscript"/>
        </w:rPr>
      </w:pPr>
    </w:p>
    <w:p>
      <w:pPr>
        <w:ind w:left="420" w:right="40" w:hanging="331"/>
        <w:spacing w:after="0" w:line="232" w:lineRule="auto"/>
        <w:tabs>
          <w:tab w:leader="none" w:pos="4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third quarter and first nine months of 2022, the Company recorded net restructuring and other gains of $1 million ($1 million net of tax) and $75 million ($73 million net of tax), including a gain of $113 million for the sale of the Transit Packaging segment's Kiwiplan business and a charge of $29 million for a Transit Packaging overhead cost reduction program, both in the second quarter. In the third quarter and first nine months of 2021, the Company recorded net restructuring and other gains of $9 million ($6 million net of tax) and $40 million ($27 million net of tax).</w:t>
      </w:r>
    </w:p>
    <w:p>
      <w:pPr>
        <w:spacing w:after="0" w:line="1" w:lineRule="exact"/>
        <w:rPr>
          <w:rFonts w:ascii="Times New Roman" w:cs="Times New Roman" w:eastAsia="Times New Roman" w:hAnsi="Times New Roman"/>
          <w:sz w:val="23"/>
          <w:szCs w:val="23"/>
          <w:color w:val="auto"/>
          <w:vertAlign w:val="superscript"/>
        </w:rPr>
      </w:pPr>
    </w:p>
    <w:p>
      <w:pPr>
        <w:ind w:left="420" w:right="80" w:hanging="331"/>
        <w:spacing w:after="0" w:line="212" w:lineRule="auto"/>
        <w:tabs>
          <w:tab w:leader="none" w:pos="4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third quarter and first nine months of 2022, the Company recorded loss on debt extinguishment of $11 ($10 net of tax) for the early redemption of senior notes due 2023 and the refinancing of its revolving credit facility and term loans.</w:t>
      </w:r>
    </w:p>
    <w:p>
      <w:pPr>
        <w:sectPr>
          <w:pgSz w:w="11900" w:h="16838" w:orient="portrait"/>
          <w:cols w:equalWidth="0" w:num="1">
            <w:col w:w="11240"/>
          </w:cols>
          <w:pgMar w:left="320" w:top="6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7 of 12</w:t>
      </w:r>
    </w:p>
    <w:p>
      <w:pPr>
        <w:sectPr>
          <w:pgSz w:w="11900" w:h="16838" w:orient="portrait"/>
          <w:cols w:equalWidth="0" w:num="1">
            <w:col w:w="11240"/>
          </w:cols>
          <w:pgMar w:left="320" w:top="60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-132080</wp:posOffset>
            </wp:positionV>
            <wp:extent cx="155130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770 Township Line Road</w:t>
      </w:r>
    </w:p>
    <w:p>
      <w:pPr>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318" w:lineRule="exact"/>
        <w:rPr>
          <w:sz w:val="20"/>
          <w:szCs w:val="20"/>
          <w:color w:val="auto"/>
        </w:rPr>
      </w:pPr>
    </w:p>
    <w:p>
      <w:pPr>
        <w:ind w:left="340" w:right="620" w:hanging="331"/>
        <w:spacing w:after="0" w:line="222"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third quarter and first nine months of 2021, the Company recorded after-tax charges of $123 million and $199 million (primarily due to cumulative translation adjustments and tax charges) in connection with the sale of its European Tinplate operations.</w:t>
      </w:r>
    </w:p>
    <w:p>
      <w:pPr>
        <w:spacing w:after="0" w:line="211" w:lineRule="exact"/>
        <w:rPr>
          <w:rFonts w:ascii="Times New Roman" w:cs="Times New Roman" w:eastAsia="Times New Roman" w:hAnsi="Times New Roman"/>
          <w:sz w:val="23"/>
          <w:szCs w:val="23"/>
          <w:color w:val="auto"/>
          <w:vertAlign w:val="superscript"/>
        </w:rPr>
      </w:pPr>
    </w:p>
    <w:p>
      <w:pPr>
        <w:ind w:left="340" w:hanging="331"/>
        <w:spacing w:after="0" w:line="226"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recorded income tax benefits of $5 million and $20 million in the third quarter and first nine months of 2022 and income tax charges of $5 million and $56 million in the third quarter and first nine months of 2021 related to tax matters including tax law changes, tax settlements, valuation allowance adjustments and the items described above.</w:t>
      </w:r>
    </w:p>
    <w:p>
      <w:pPr>
        <w:spacing w:after="0" w:line="211" w:lineRule="exact"/>
        <w:rPr>
          <w:rFonts w:ascii="Times New Roman" w:cs="Times New Roman" w:eastAsia="Times New Roman" w:hAnsi="Times New Roman"/>
          <w:sz w:val="23"/>
          <w:szCs w:val="23"/>
          <w:color w:val="auto"/>
          <w:vertAlign w:val="superscript"/>
        </w:rPr>
      </w:pPr>
    </w:p>
    <w:p>
      <w:pPr>
        <w:ind w:left="340" w:right="460" w:hanging="331"/>
        <w:spacing w:after="0" w:line="233" w:lineRule="auto"/>
        <w:tabs>
          <w:tab w:leader="none" w:pos="328"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the third quarter and first nine months of 2022, the Company recorded its proportional share of intangible amortization and inventory step-up charges recorded by its equity method affiliate, Eviosys. These charges were recorded net of tax by the Company in the line Equity earnings.</w:t>
      </w:r>
    </w:p>
    <w:p>
      <w:pPr>
        <w:spacing w:after="0" w:line="168" w:lineRule="exact"/>
        <w:rPr>
          <w:rFonts w:ascii="Times New Roman" w:cs="Times New Roman" w:eastAsia="Times New Roman" w:hAnsi="Times New Roman"/>
          <w:sz w:val="22"/>
          <w:szCs w:val="22"/>
          <w:color w:val="auto"/>
          <w:vertAlign w:val="superscript"/>
        </w:rPr>
      </w:pPr>
    </w:p>
    <w:p>
      <w:pPr>
        <w:ind w:left="320" w:hanging="311"/>
        <w:spacing w:after="0"/>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second quarter of 2021, the Company recorded noncontrolling interest charges of $10 million related to the items described above.</w:t>
      </w:r>
    </w:p>
    <w:p>
      <w:pPr>
        <w:spacing w:after="0" w:line="211" w:lineRule="exact"/>
        <w:rPr>
          <w:rFonts w:ascii="Times New Roman" w:cs="Times New Roman" w:eastAsia="Times New Roman" w:hAnsi="Times New Roman"/>
          <w:sz w:val="23"/>
          <w:szCs w:val="23"/>
          <w:color w:val="auto"/>
          <w:vertAlign w:val="superscript"/>
        </w:rPr>
      </w:pPr>
    </w:p>
    <w:p>
      <w:pPr>
        <w:ind w:left="340" w:right="60" w:hanging="331"/>
        <w:spacing w:after="0" w:line="222"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third quarter and first nine months of 2021 includes $40 million and $161 million of adjusted net income and $0.31 and $1.21 of diluted earnings per share for the European Tinplate business that was sold in August 2021.</w:t>
      </w:r>
    </w:p>
    <w:p>
      <w:pPr>
        <w:spacing w:after="0" w:line="211" w:lineRule="exact"/>
        <w:rPr>
          <w:rFonts w:ascii="Times New Roman" w:cs="Times New Roman" w:eastAsia="Times New Roman" w:hAnsi="Times New Roman"/>
          <w:sz w:val="23"/>
          <w:szCs w:val="23"/>
          <w:color w:val="auto"/>
          <w:vertAlign w:val="superscript"/>
        </w:rPr>
      </w:pPr>
    </w:p>
    <w:p>
      <w:pPr>
        <w:ind w:left="340" w:right="40" w:hanging="331"/>
        <w:spacing w:after="0" w:line="222"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reported and adjusted effective tax rates include income from discontinued operations, which is reported net of tax in the statement of operations. Income tax effects on adjusted net income were calculated using the applicable tax rates of the underlying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Page 8 of 12</w:t>
      </w:r>
    </w:p>
    <w:p>
      <w:pPr>
        <w:sectPr>
          <w:pgSz w:w="11900" w:h="16838" w:orient="portrait"/>
          <w:cols w:equalWidth="0" w:num="1">
            <w:col w:w="11140"/>
          </w:cols>
          <w:pgMar w:left="400" w:top="601" w:right="359" w:bottom="1440" w:gutter="0" w:footer="0" w:header="0"/>
        </w:sectPr>
      </w:pPr>
    </w:p>
    <w:bookmarkStart w:id="12" w:name="page13"/>
    <w:bookmarkEnd w:id="12"/>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6900" w:type="dxa"/>
            <w:vAlign w:val="bottom"/>
            <w:gridSpan w:val="7"/>
          </w:tcPr>
          <w:p>
            <w:pPr>
              <w:ind w:left="2000"/>
              <w:spacing w:after="0"/>
              <w:rPr>
                <w:sz w:val="20"/>
                <w:szCs w:val="20"/>
                <w:color w:val="auto"/>
              </w:rPr>
            </w:pPr>
            <w:r>
              <w:rPr>
                <w:rFonts w:ascii="Times New Roman" w:cs="Times New Roman" w:eastAsia="Times New Roman" w:hAnsi="Times New Roman"/>
                <w:sz w:val="18"/>
                <w:szCs w:val="18"/>
                <w:b w:val="1"/>
                <w:bCs w:val="1"/>
                <w:color w:val="auto"/>
              </w:rPr>
              <w:t>Consolidated Balance Sheets (Condensed &amp; Unaudited)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(in millions)</w:t>
            </w: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2,261</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1,840</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1,670</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6,105</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3,838</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14,224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16,006</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500" w:type="dxa"/>
            <w:vAlign w:val="bottom"/>
          </w:tcPr>
          <w:p>
            <w:pPr>
              <w:spacing w:after="0"/>
              <w:rPr>
                <w:sz w:val="24"/>
                <w:szCs w:val="24"/>
                <w:color w:val="auto"/>
              </w:rPr>
            </w:pPr>
          </w:p>
        </w:tc>
        <w:tc>
          <w:tcPr>
            <w:tcW w:w="34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3,594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5,535</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6,034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1,550</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2,887</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14,224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16,006</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15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12</w:t>
      </w:r>
    </w:p>
    <w:p>
      <w:pPr>
        <w:sectPr>
          <w:pgSz w:w="11900" w:h="16838" w:orient="portrait"/>
          <w:cols w:equalWidth="0" w:num="1">
            <w:col w:w="11240"/>
          </w:cols>
          <w:pgMar w:left="320" w:top="601" w:right="339" w:bottom="1440" w:gutter="0" w:footer="0" w:header="0"/>
        </w:sectPr>
      </w:pPr>
    </w:p>
    <w:bookmarkStart w:id="13" w:name="page14"/>
    <w:bookmarkEnd w:id="13"/>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 (Condensed &amp;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920" w:type="dxa"/>
            <w:vAlign w:val="bottom"/>
          </w:tcPr>
          <w:p>
            <w:pPr>
              <w:spacing w:after="0"/>
              <w:rPr>
                <w:sz w:val="20"/>
                <w:szCs w:val="20"/>
                <w:color w:val="auto"/>
              </w:rPr>
            </w:pPr>
          </w:p>
        </w:tc>
      </w:tr>
      <w:tr>
        <w:trPr>
          <w:trHeight w:val="313"/>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4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920" w:type="dxa"/>
            <w:vAlign w:val="bottom"/>
          </w:tcPr>
          <w:p>
            <w:pPr>
              <w:spacing w:after="0"/>
              <w:rPr>
                <w:sz w:val="19"/>
                <w:szCs w:val="19"/>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920" w:type="dxa"/>
            <w:vAlign w:val="bottom"/>
          </w:tcPr>
          <w:p>
            <w:pPr>
              <w:spacing w:after="0"/>
              <w:rPr>
                <w:sz w:val="19"/>
                <w:szCs w:val="19"/>
                <w:color w:val="auto"/>
              </w:rPr>
            </w:pPr>
          </w:p>
        </w:tc>
      </w:tr>
      <w:tr>
        <w:trPr>
          <w:trHeight w:val="234"/>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920" w:type="dxa"/>
            <w:vAlign w:val="bottom"/>
          </w:tcPr>
          <w:p>
            <w:pPr>
              <w:spacing w:after="0"/>
              <w:rPr>
                <w:sz w:val="20"/>
                <w:szCs w:val="20"/>
                <w:color w:val="auto"/>
              </w:rPr>
            </w:pPr>
          </w:p>
        </w:tc>
      </w:tr>
      <w:tr>
        <w:trPr>
          <w:trHeight w:val="252"/>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Loss from disposal of discontinued operations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920" w:type="dxa"/>
            <w:vAlign w:val="bottom"/>
          </w:tcPr>
          <w:p>
            <w:pPr>
              <w:spacing w:after="0"/>
              <w:rPr>
                <w:sz w:val="21"/>
                <w:szCs w:val="21"/>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Pension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920" w:type="dxa"/>
            <w:vAlign w:val="bottom"/>
          </w:tcPr>
          <w:p>
            <w:pPr>
              <w:spacing w:after="0"/>
              <w:rPr>
                <w:sz w:val="19"/>
                <w:szCs w:val="19"/>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Pension contributions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92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920" w:type="dxa"/>
            <w:vAlign w:val="bottom"/>
          </w:tcPr>
          <w:p>
            <w:pPr>
              <w:spacing w:after="0"/>
              <w:rPr>
                <w:sz w:val="19"/>
                <w:szCs w:val="19"/>
                <w:color w:val="auto"/>
              </w:rPr>
            </w:pPr>
          </w:p>
        </w:tc>
      </w:tr>
      <w:tr>
        <w:trPr>
          <w:trHeight w:val="234"/>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Working capital changes and 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920" w:type="dxa"/>
            <w:vAlign w:val="bottom"/>
          </w:tcPr>
          <w:p>
            <w:pPr>
              <w:spacing w:after="0"/>
              <w:rPr>
                <w:sz w:val="20"/>
                <w:szCs w:val="20"/>
                <w:color w:val="auto"/>
              </w:rPr>
            </w:pPr>
          </w:p>
        </w:tc>
      </w:tr>
      <w:tr>
        <w:trPr>
          <w:trHeight w:val="237"/>
        </w:trPr>
        <w:tc>
          <w:tcPr>
            <w:tcW w:w="6560" w:type="dxa"/>
            <w:vAlign w:val="bottom"/>
          </w:tcPr>
          <w:p>
            <w:pPr>
              <w:ind w:left="240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23"/>
                <w:szCs w:val="23"/>
                <w:b w:val="1"/>
                <w:bCs w:val="1"/>
                <w:color w:val="auto"/>
                <w:vertAlign w:val="superscript"/>
              </w:rPr>
              <w:t>(1)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920" w:type="dxa"/>
            <w:vAlign w:val="bottom"/>
          </w:tcPr>
          <w:p>
            <w:pPr>
              <w:spacing w:after="0"/>
              <w:rPr>
                <w:sz w:val="20"/>
                <w:szCs w:val="20"/>
                <w:color w:val="auto"/>
              </w:rPr>
            </w:pPr>
          </w:p>
        </w:tc>
      </w:tr>
      <w:tr>
        <w:trPr>
          <w:trHeight w:val="205"/>
        </w:trPr>
        <w:tc>
          <w:tcPr>
            <w:tcW w:w="6560" w:type="dxa"/>
            <w:vAlign w:val="bottom"/>
          </w:tcPr>
          <w:p>
            <w:pPr>
              <w:ind w:left="194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920" w:type="dxa"/>
            <w:vAlign w:val="bottom"/>
          </w:tcPr>
          <w:p>
            <w:pPr>
              <w:spacing w:after="0"/>
              <w:rPr>
                <w:sz w:val="19"/>
                <w:szCs w:val="19"/>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920" w:type="dxa"/>
            <w:vAlign w:val="bottom"/>
          </w:tcPr>
          <w:p>
            <w:pPr>
              <w:spacing w:after="0"/>
              <w:rPr>
                <w:sz w:val="19"/>
                <w:szCs w:val="19"/>
                <w:color w:val="auto"/>
              </w:rPr>
            </w:pPr>
          </w:p>
        </w:tc>
      </w:tr>
      <w:tr>
        <w:trPr>
          <w:trHeight w:val="234"/>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920" w:type="dxa"/>
            <w:vAlign w:val="bottom"/>
          </w:tcPr>
          <w:p>
            <w:pPr>
              <w:spacing w:after="0"/>
              <w:rPr>
                <w:sz w:val="20"/>
                <w:szCs w:val="20"/>
                <w:color w:val="auto"/>
              </w:rPr>
            </w:pPr>
          </w:p>
        </w:tc>
      </w:tr>
      <w:tr>
        <w:trPr>
          <w:trHeight w:val="237"/>
        </w:trPr>
        <w:tc>
          <w:tcPr>
            <w:tcW w:w="656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Net cash (used for) \ provided by investing activities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1,791</w:t>
            </w:r>
          </w:p>
        </w:tc>
        <w:tc>
          <w:tcPr>
            <w:tcW w:w="1920" w:type="dxa"/>
            <w:vAlign w:val="bottom"/>
          </w:tcPr>
          <w:p>
            <w:pPr>
              <w:spacing w:after="0"/>
              <w:rPr>
                <w:sz w:val="20"/>
                <w:szCs w:val="20"/>
                <w:color w:val="auto"/>
              </w:rPr>
            </w:pPr>
          </w:p>
        </w:tc>
      </w:tr>
      <w:tr>
        <w:trPr>
          <w:trHeight w:val="232"/>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Net change in debt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92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Debt issue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92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92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920" w:type="dxa"/>
            <w:vAlign w:val="bottom"/>
          </w:tcPr>
          <w:p>
            <w:pPr>
              <w:spacing w:after="0"/>
              <w:rPr>
                <w:sz w:val="19"/>
                <w:szCs w:val="19"/>
                <w:color w:val="auto"/>
              </w:rPr>
            </w:pPr>
          </w:p>
        </w:tc>
      </w:tr>
      <w:tr>
        <w:trPr>
          <w:trHeight w:val="234"/>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920" w:type="dxa"/>
            <w:vAlign w:val="bottom"/>
          </w:tcPr>
          <w:p>
            <w:pPr>
              <w:spacing w:after="0"/>
              <w:rPr>
                <w:sz w:val="20"/>
                <w:szCs w:val="20"/>
                <w:color w:val="auto"/>
              </w:rPr>
            </w:pPr>
          </w:p>
        </w:tc>
      </w:tr>
      <w:tr>
        <w:trPr>
          <w:trHeight w:val="237"/>
        </w:trPr>
        <w:tc>
          <w:tcPr>
            <w:tcW w:w="656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Net cash provided by \ (used for) financing activities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(913)</w:t>
            </w:r>
          </w:p>
        </w:tc>
        <w:tc>
          <w:tcPr>
            <w:tcW w:w="1920" w:type="dxa"/>
            <w:vAlign w:val="bottom"/>
          </w:tcPr>
          <w:p>
            <w:pPr>
              <w:spacing w:after="0"/>
              <w:rPr>
                <w:sz w:val="20"/>
                <w:szCs w:val="20"/>
                <w:color w:val="auto"/>
              </w:rPr>
            </w:pPr>
          </w:p>
        </w:tc>
      </w:tr>
      <w:tr>
        <w:trPr>
          <w:trHeight w:val="345"/>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920" w:type="dxa"/>
            <w:vAlign w:val="bottom"/>
          </w:tcPr>
          <w:p>
            <w:pPr>
              <w:spacing w:after="0"/>
              <w:rPr>
                <w:sz w:val="24"/>
                <w:szCs w:val="24"/>
                <w:color w:val="auto"/>
              </w:rPr>
            </w:pPr>
          </w:p>
        </w:tc>
      </w:tr>
      <w:tr>
        <w:trPr>
          <w:trHeight w:val="345"/>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920" w:type="dxa"/>
            <w:vAlign w:val="bottom"/>
          </w:tcPr>
          <w:p>
            <w:pPr>
              <w:spacing w:after="0"/>
              <w:rPr>
                <w:sz w:val="24"/>
                <w:szCs w:val="24"/>
                <w:color w:val="auto"/>
              </w:rPr>
            </w:pPr>
          </w:p>
        </w:tc>
      </w:tr>
      <w:tr>
        <w:trPr>
          <w:trHeight w:val="256"/>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920" w:type="dxa"/>
            <w:vAlign w:val="bottom"/>
          </w:tcPr>
          <w:p>
            <w:pPr>
              <w:spacing w:after="0"/>
              <w:rPr>
                <w:sz w:val="22"/>
                <w:szCs w:val="22"/>
                <w:color w:val="auto"/>
              </w:rPr>
            </w:pPr>
          </w:p>
        </w:tc>
      </w:tr>
      <w:tr>
        <w:trPr>
          <w:trHeight w:val="318"/>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at September 30 </w:t>
            </w:r>
            <w:r>
              <w:rPr>
                <w:rFonts w:ascii="Times New Roman" w:cs="Times New Roman" w:eastAsia="Times New Roman" w:hAnsi="Times New Roman"/>
                <w:sz w:val="23"/>
                <w:szCs w:val="23"/>
                <w:b w:val="1"/>
                <w:bCs w:val="1"/>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w:t>
            </w:r>
          </w:p>
        </w:tc>
        <w:tc>
          <w:tcPr>
            <w:tcW w:w="4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2,327</w:t>
            </w:r>
          </w:p>
        </w:tc>
        <w:tc>
          <w:tcPr>
            <w:tcW w:w="1920" w:type="dxa"/>
            <w:vAlign w:val="bottom"/>
          </w:tcPr>
          <w:p>
            <w:pPr>
              <w:spacing w:after="0"/>
              <w:rPr>
                <w:sz w:val="24"/>
                <w:szCs w:val="24"/>
                <w:color w:val="auto"/>
              </w:rPr>
            </w:pPr>
          </w:p>
        </w:tc>
      </w:tr>
      <w:tr>
        <w:trPr>
          <w:trHeight w:val="20"/>
        </w:trPr>
        <w:tc>
          <w:tcPr>
            <w:tcW w:w="6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0"/>
        </w:trPr>
        <w:tc>
          <w:tcPr>
            <w:tcW w:w="6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r>
    </w:tbl>
    <w:p>
      <w:pPr>
        <w:spacing w:after="0" w:line="103" w:lineRule="exact"/>
        <w:rPr>
          <w:sz w:val="20"/>
          <w:szCs w:val="20"/>
          <w:color w:val="auto"/>
        </w:rPr>
      </w:pPr>
    </w:p>
    <w:p>
      <w:pPr>
        <w:ind w:left="420" w:right="480" w:hanging="331"/>
        <w:spacing w:after="0" w:line="226" w:lineRule="auto"/>
        <w:tabs>
          <w:tab w:leader="none" w:pos="40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free cash flow is defined by the Company as net cash from operating activities less capital expenditures and certain other items. A reconciliation of net cash from operating activities to adjusted free cash flow for the three and nine months ended September 30, 2022 and 2021 follows.</w:t>
      </w:r>
    </w:p>
    <w:p>
      <w:pPr>
        <w:spacing w:after="0" w:line="181" w:lineRule="exact"/>
        <w:rPr>
          <w:rFonts w:ascii="Times New Roman" w:cs="Times New Roman" w:eastAsia="Times New Roman" w:hAnsi="Times New Roman"/>
          <w:sz w:val="23"/>
          <w:szCs w:val="23"/>
          <w:color w:val="auto"/>
          <w:vertAlign w:val="superscript"/>
        </w:rPr>
      </w:pPr>
    </w:p>
    <w:p>
      <w:pPr>
        <w:ind w:left="400" w:hanging="311"/>
        <w:spacing w:after="0"/>
        <w:tabs>
          <w:tab w:leader="none" w:pos="40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and cash equivalents include $84 and $66 of restricted cash at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12</w:t>
      </w:r>
    </w:p>
    <w:p>
      <w:pPr>
        <w:sectPr>
          <w:pgSz w:w="11900" w:h="16838" w:orient="portrait"/>
          <w:cols w:equalWidth="0" w:num="1">
            <w:col w:w="11240"/>
          </w:cols>
          <w:pgMar w:left="320" w:top="601"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-132080</wp:posOffset>
            </wp:positionV>
            <wp:extent cx="1551305"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770 Township Line Road</w:t>
      </w:r>
    </w:p>
    <w:p>
      <w:pPr>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64"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7"/>
                <w:szCs w:val="17"/>
                <w:color w:val="auto"/>
              </w:rPr>
            </w:pPr>
          </w:p>
        </w:tc>
        <w:tc>
          <w:tcPr>
            <w:tcW w:w="18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18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52"/>
        </w:trPr>
        <w:tc>
          <w:tcPr>
            <w:tcW w:w="37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from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3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3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r>
      <w:tr>
        <w:trPr>
          <w:trHeight w:val="28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U.K. pension settlement </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7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included in investing activities </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8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Transaction fees </w:t>
            </w:r>
            <w:r>
              <w:rPr>
                <w:rFonts w:ascii="Times New Roman" w:cs="Times New Roman" w:eastAsia="Times New Roman" w:hAnsi="Times New Roman"/>
                <w:sz w:val="23"/>
                <w:szCs w:val="23"/>
                <w:color w:val="auto"/>
                <w:vertAlign w:val="superscript"/>
              </w:rPr>
              <w:t>(5)</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8"/>
        </w:trPr>
        <w:tc>
          <w:tcPr>
            <w:tcW w:w="372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 xml:space="preserve">Insurance receivable </w:t>
            </w:r>
            <w:r>
              <w:rPr>
                <w:rFonts w:ascii="Times New Roman" w:cs="Times New Roman" w:eastAsia="Times New Roman" w:hAnsi="Times New Roman"/>
                <w:sz w:val="23"/>
                <w:szCs w:val="23"/>
                <w:color w:val="auto"/>
                <w:vertAlign w:val="superscript"/>
              </w:rPr>
              <w:t>(6)</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r>
      <w:tr>
        <w:trPr>
          <w:trHeight w:val="21"/>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1"/>
        <w:spacing w:after="0" w:line="224" w:lineRule="auto"/>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September 2021, the Company made a contribution of €196 ($271 million as of September 30, 2021) million to its U.K. defined pension plan in advance of a full settlement of the plan’s obligations in November 2021. The Company expects €127 ($141 million as of September 30, 2022) of the contribution to be repaid as the plan sells its remaining illiquid assets, of which €93 ($104 million as of September 30, 2022) has been received to date.</w:t>
      </w:r>
    </w:p>
    <w:p>
      <w:pPr>
        <w:spacing w:after="0" w:line="125" w:lineRule="exact"/>
        <w:rPr>
          <w:rFonts w:ascii="Times New Roman" w:cs="Times New Roman" w:eastAsia="Times New Roman" w:hAnsi="Times New Roman"/>
          <w:sz w:val="23"/>
          <w:szCs w:val="23"/>
          <w:color w:val="auto"/>
          <w:vertAlign w:val="superscript"/>
        </w:rPr>
      </w:pPr>
    </w:p>
    <w:p>
      <w:pPr>
        <w:ind w:left="320" w:hanging="311"/>
        <w:spacing w:after="0"/>
        <w:tabs>
          <w:tab w:leader="none" w:pos="320" w:val="left"/>
        </w:tabs>
        <w:numPr>
          <w:ilvl w:val="0"/>
          <w:numId w:val="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Interest benefit of cross currency swaps included in investing activities.</w:t>
      </w:r>
    </w:p>
    <w:p>
      <w:pPr>
        <w:spacing w:after="0" w:line="123" w:lineRule="exact"/>
        <w:rPr>
          <w:rFonts w:ascii="Times New Roman" w:cs="Times New Roman" w:eastAsia="Times New Roman" w:hAnsi="Times New Roman"/>
          <w:sz w:val="28"/>
          <w:szCs w:val="28"/>
          <w:color w:val="auto"/>
          <w:vertAlign w:val="superscript"/>
        </w:rPr>
      </w:pPr>
    </w:p>
    <w:p>
      <w:pPr>
        <w:ind w:left="320" w:hanging="311"/>
        <w:spacing w:after="0"/>
        <w:tabs>
          <w:tab w:leader="none" w:pos="320" w:val="left"/>
        </w:tabs>
        <w:numPr>
          <w:ilvl w:val="0"/>
          <w:numId w:val="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Transaction fees and costs related to the sale of the Company's European Tinplate business.</w:t>
      </w:r>
    </w:p>
    <w:p>
      <w:pPr>
        <w:spacing w:after="0" w:line="211" w:lineRule="exact"/>
        <w:rPr>
          <w:rFonts w:ascii="Times New Roman" w:cs="Times New Roman" w:eastAsia="Times New Roman" w:hAnsi="Times New Roman"/>
          <w:sz w:val="28"/>
          <w:szCs w:val="28"/>
          <w:color w:val="auto"/>
          <w:vertAlign w:val="superscript"/>
        </w:rPr>
      </w:pPr>
    </w:p>
    <w:p>
      <w:pPr>
        <w:ind w:left="340" w:right="280" w:hanging="331"/>
        <w:spacing w:after="0" w:line="198" w:lineRule="auto"/>
        <w:tabs>
          <w:tab w:leader="none" w:pos="328" w:val="left"/>
        </w:tabs>
        <w:numPr>
          <w:ilvl w:val="0"/>
          <w:numId w:val="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As of September 30, 2022, the Company has recorded an insurance receivable of $40 million for incremental expenses incurred as a result of the December 2021 tornado at its Bowling Green plant that the Company expects to be reimbursed under the terms of its insurance policy.</w:t>
      </w:r>
    </w:p>
    <w:p>
      <w:pPr>
        <w:sectPr>
          <w:pgSz w:w="11900" w:h="16838" w:orient="portrait"/>
          <w:cols w:equalWidth="0" w:num="1">
            <w:col w:w="11020"/>
          </w:cols>
          <w:pgMar w:left="400" w:top="601" w:right="479" w:bottom="6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Page 11 of 12</w:t>
      </w:r>
    </w:p>
    <w:p>
      <w:pPr>
        <w:sectPr>
          <w:pgSz w:w="11900" w:h="16838" w:orient="portrait"/>
          <w:cols w:equalWidth="0" w:num="1">
            <w:col w:w="11020"/>
          </w:cols>
          <w:pgMar w:left="400" w:top="601" w:right="479" w:bottom="634" w:gutter="0" w:footer="0" w:header="0"/>
          <w:type w:val="continuous"/>
        </w:sectPr>
      </w:pPr>
    </w:p>
    <w:bookmarkStart w:id="15" w:name="page16"/>
    <w:bookmarkEnd w:id="1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Data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65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 xml:space="preserve">Impact of Foreign Currency Translation by Segment – Favorable/(Unfavorable) </w:t>
            </w:r>
            <w:r>
              <w:rPr>
                <w:rFonts w:ascii="Times New Roman" w:cs="Times New Roman" w:eastAsia="Times New Roman" w:hAnsi="Times New Roman"/>
                <w:sz w:val="23"/>
                <w:szCs w:val="23"/>
                <w:b w:val="1"/>
                <w:bCs w:val="1"/>
                <w:color w:val="auto"/>
                <w:vertAlign w:val="superscript"/>
              </w:rPr>
              <w:t>(1)</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3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6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4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Segment</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5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Segment</w:t>
            </w:r>
          </w:p>
        </w:tc>
        <w:tc>
          <w:tcPr>
            <w:tcW w:w="0" w:type="dxa"/>
            <w:vAlign w:val="bottom"/>
          </w:tcPr>
          <w:p>
            <w:pPr>
              <w:spacing w:after="0"/>
              <w:rPr>
                <w:sz w:val="1"/>
                <w:szCs w:val="1"/>
                <w:color w:val="auto"/>
              </w:rPr>
            </w:pPr>
          </w:p>
        </w:tc>
      </w:tr>
      <w:tr>
        <w:trPr>
          <w:trHeight w:val="238"/>
        </w:trPr>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Pr>
          <w:p>
            <w:pPr>
              <w:spacing w:after="0"/>
              <w:rPr>
                <w:sz w:val="20"/>
                <w:szCs w:val="20"/>
                <w:color w:val="auto"/>
              </w:rPr>
            </w:pPr>
          </w:p>
        </w:tc>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0" w:type="dxa"/>
            <w:vAlign w:val="bottom"/>
          </w:tcPr>
          <w:p>
            <w:pPr>
              <w:spacing w:after="0"/>
              <w:rPr>
                <w:sz w:val="1"/>
                <w:szCs w:val="1"/>
                <w:color w:val="auto"/>
              </w:rPr>
            </w:pPr>
          </w:p>
        </w:tc>
      </w:tr>
      <w:tr>
        <w:trPr>
          <w:trHeight w:val="27"/>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460" w:type="dxa"/>
            <w:vAlign w:val="bottom"/>
            <w:vMerge w:val="continue"/>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(2)</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(6)</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3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w w:val="95"/>
              </w:rPr>
              <w:t>(8)</w:t>
            </w:r>
          </w:p>
        </w:tc>
        <w:tc>
          <w:tcPr>
            <w:tcW w:w="20" w:type="dxa"/>
            <w:vAlign w:val="bottom"/>
            <w:tcBorders>
              <w:top w:val="single" w:sz="8" w:color="auto"/>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36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line="228"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dividing the current U.S. dollar results by current year average foreign exchange rates and then multiplying those amounts by the applicable prior year average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Reconciliation of Adjusted EBITDA and Net Leverage Ratio</w:t>
            </w:r>
          </w:p>
        </w:tc>
        <w:tc>
          <w:tcPr>
            <w:tcW w:w="3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6"/>
        </w:trPr>
        <w:tc>
          <w:tcPr>
            <w:tcW w:w="3500" w:type="dxa"/>
            <w:vAlign w:val="bottom"/>
          </w:tcPr>
          <w:p>
            <w:pPr>
              <w:spacing w:after="0"/>
              <w:rPr>
                <w:sz w:val="24"/>
                <w:szCs w:val="24"/>
                <w:color w:val="auto"/>
              </w:rPr>
            </w:pP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YTD</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YTD</w:t>
            </w:r>
          </w:p>
        </w:tc>
        <w:tc>
          <w:tcPr>
            <w:tcW w:w="1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Full Year 2021</w:t>
            </w:r>
          </w:p>
        </w:tc>
        <w:tc>
          <w:tcPr>
            <w:tcW w:w="220" w:type="dxa"/>
            <w:vAlign w:val="bottom"/>
          </w:tcPr>
          <w:p>
            <w:pPr>
              <w:spacing w:after="0"/>
              <w:rPr>
                <w:sz w:val="24"/>
                <w:szCs w:val="24"/>
                <w:color w:val="auto"/>
              </w:rPr>
            </w:pPr>
          </w:p>
        </w:tc>
        <w:tc>
          <w:tcPr>
            <w:tcW w:w="21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1"/>
                <w:szCs w:val="21"/>
                <w:color w:val="auto"/>
              </w:rPr>
            </w:pPr>
          </w:p>
        </w:tc>
        <w:tc>
          <w:tcPr>
            <w:tcW w:w="150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0" w:type="dxa"/>
            <w:vAlign w:val="bottom"/>
          </w:tcPr>
          <w:p>
            <w:pPr>
              <w:spacing w:after="0"/>
              <w:rPr>
                <w:sz w:val="1"/>
                <w:szCs w:val="1"/>
                <w:color w:val="auto"/>
              </w:rPr>
            </w:pPr>
          </w:p>
        </w:tc>
      </w:tr>
      <w:tr>
        <w:trPr>
          <w:trHeight w:val="21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1,107</w:t>
            </w:r>
          </w:p>
        </w:tc>
        <w:tc>
          <w:tcPr>
            <w:tcW w:w="200" w:type="dxa"/>
            <w:vAlign w:val="bottom"/>
          </w:tcPr>
          <w:p>
            <w:pPr>
              <w:spacing w:after="0"/>
              <w:rPr>
                <w:sz w:val="18"/>
                <w:szCs w:val="18"/>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1,060</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1,410</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amortization</w:t>
            </w: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4"/>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1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1,378</w:t>
            </w:r>
          </w:p>
        </w:tc>
        <w:tc>
          <w:tcPr>
            <w:tcW w:w="2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1,354</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6,518</w:t>
            </w:r>
          </w:p>
        </w:tc>
        <w:tc>
          <w:tcPr>
            <w:tcW w:w="0" w:type="dxa"/>
            <w:vAlign w:val="bottom"/>
          </w:tcPr>
          <w:p>
            <w:pPr>
              <w:spacing w:after="0"/>
              <w:rPr>
                <w:sz w:val="1"/>
                <w:szCs w:val="1"/>
                <w:color w:val="auto"/>
              </w:rPr>
            </w:pPr>
          </w:p>
        </w:tc>
      </w:tr>
      <w:tr>
        <w:trPr>
          <w:trHeight w:val="42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leverage ratio</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3.2x</w:t>
            </w:r>
          </w:p>
        </w:tc>
        <w:tc>
          <w:tcPr>
            <w:tcW w:w="220" w:type="dxa"/>
            <w:vAlign w:val="bottom"/>
          </w:tcPr>
          <w:p>
            <w:pPr>
              <w:spacing w:after="0"/>
              <w:rPr>
                <w:sz w:val="24"/>
                <w:szCs w:val="24"/>
                <w:color w:val="auto"/>
              </w:rPr>
            </w:pPr>
          </w:p>
        </w:tc>
        <w:tc>
          <w:tcPr>
            <w:tcW w:w="216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3.6x</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320" w:top="601" w:right="6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Page 12 of 12</w:t>
      </w:r>
    </w:p>
    <w:sectPr>
      <w:pgSz w:w="11900" w:h="16838" w:orient="portrait"/>
      <w:cols w:equalWidth="0" w:num="1">
        <w:col w:w="10940"/>
      </w:cols>
      <w:pgMar w:left="320" w:top="60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99"/>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4"/>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3"/>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2022-10-24T16:25:59Z</dcterms:created>
  <dcterms:modified xsi:type="dcterms:W3CDTF">2022-10-24T16:25:59Z</dcterms:modified>
</cp:coreProperties>
</file>