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CLOTHIER KEVIN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Vice President &amp; CFO</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14,912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28,434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653</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83.27</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27,781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line="213" w:lineRule="exact"/>
              <w:rPr>
                <w:sz w:val="20"/>
                <w:szCs w:val="20"/>
                <w:color w:val="auto"/>
              </w:rPr>
            </w:pPr>
            <w:r>
              <w:rPr>
                <w:rFonts w:ascii="Times New Roman" w:cs="Times New Roman" w:eastAsia="Times New Roman" w:hAnsi="Times New Roman"/>
                <w:sz w:val="17"/>
                <w:szCs w:val="17"/>
                <w:color w:val="0000FF"/>
                <w:w w:val="89"/>
              </w:rPr>
              <w:t>342</w:t>
            </w:r>
            <w:r>
              <w:rPr>
                <w:rFonts w:ascii="Times New Roman" w:cs="Times New Roman" w:eastAsia="Times New Roman" w:hAnsi="Times New Roman"/>
                <w:sz w:val="22"/>
                <w:szCs w:val="22"/>
                <w:color w:val="008000"/>
                <w:w w:val="89"/>
                <w:vertAlign w:val="superscript"/>
              </w:rPr>
              <w:t>(3)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14,912 shares of Restricted Common Stock under the 2022 Stock-Based Compensation Plan. 5,183 time-vested restricted shares vest over a three year period as follows: 1,728 time-vested restricted shares on January 4, 2024 and January 6, 2025, respectively and 1,727 time-vested restricted shares on January 5, 2026. 4,501 performance-based restricted shares are targeted to vest on January 5, 2026 based on the Company's Total Shareholder Return versus a defined peer group of companies, with the final number of performance-based vested shares varying from 0 to 200% of 4,501. 5,228 performance-based restricted shares are targeted to vest on January 5, 2026 based on the Return on Invested Capital achieved by the Company compared to the ROIC target, with the final number of performance-based vested shares varying from 0 to 5,228.</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2022, the Reporting Person owned 342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8886"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2023-01-06T14:50:41Z</dcterms:created>
  <dcterms:modified xsi:type="dcterms:W3CDTF">2023-01-06T14:50:41Z</dcterms:modified>
</cp:coreProperties>
</file>