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GOH HOCK HUAT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9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CROWN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CCK</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05"/>
        <w:spacing w:after="0"/>
        <w:rPr>
          <w:sz w:val="20"/>
          <w:szCs w:val="20"/>
          <w:color w:val="auto"/>
        </w:rPr>
      </w:pPr>
      <w:r>
        <w:rPr>
          <w:rFonts w:ascii="Arial" w:cs="Arial" w:eastAsia="Arial" w:hAnsi="Arial"/>
          <w:sz w:val="17"/>
          <w:szCs w:val="17"/>
          <w:color w:val="0000FF"/>
        </w:rPr>
        <w:t>President - Asia Pacific Div.</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YARDLEY</w:t>
            </w:r>
          </w:p>
        </w:tc>
        <w:tc>
          <w:tcPr>
            <w:tcW w:w="1020" w:type="dxa"/>
            <w:vAlign w:val="bottom"/>
          </w:tcPr>
          <w:p>
            <w:pPr>
              <w:ind w:left="200"/>
              <w:spacing w:after="0"/>
              <w:rPr>
                <w:sz w:val="20"/>
                <w:szCs w:val="20"/>
                <w:color w:val="auto"/>
              </w:rPr>
            </w:pPr>
            <w:r>
              <w:rPr>
                <w:rFonts w:ascii="Arial" w:cs="Arial" w:eastAsia="Arial" w:hAnsi="Arial"/>
                <w:sz w:val="17"/>
                <w:szCs w:val="17"/>
                <w:color w:val="0000FF"/>
              </w:rPr>
              <w:t>PA</w:t>
            </w:r>
          </w:p>
        </w:tc>
        <w:tc>
          <w:tcPr>
            <w:tcW w:w="1600" w:type="dxa"/>
            <w:vAlign w:val="bottom"/>
          </w:tcPr>
          <w:p>
            <w:pPr>
              <w:ind w:left="400"/>
              <w:spacing w:after="0"/>
              <w:rPr>
                <w:sz w:val="20"/>
                <w:szCs w:val="20"/>
                <w:color w:val="auto"/>
              </w:rPr>
            </w:pPr>
            <w:r>
              <w:rPr>
                <w:rFonts w:ascii="Arial" w:cs="Arial" w:eastAsia="Arial" w:hAnsi="Arial"/>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01/05/2022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6,312</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51,048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6,312 shares of Restricted Common Stock under the 2013 Stock-Based Compensation Plan. 2,154 time-vested restricted shares vest over a three year period as follows: 718 time-vested restricted shares on January 5, 2023 and 2024, respectively, and 718 time-vested restricted shares on January 6, 2025. 2,004 performance-based restricted shares are targeted to vest on January 6, 2025 based on the Company's Total Shareholder Return versus a defined peer group of companies, with the final number of performance-based vested shares varying from 0 to 200% of 2,004. 2,154 performance-based restricted shares are targeted to vest on January 6, 2025 based on the Return on Invested Capital achieved by the Company compared to the ROIC target, with the final number of performance-based vested shares varying from 0 to 2,154.</w:t>
      </w:r>
    </w:p>
    <w:p>
      <w:pPr>
        <w:spacing w:after="0" w:line="43"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01/07/2022</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8351"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2022-01-07T12:09:05Z</dcterms:created>
  <dcterms:modified xsi:type="dcterms:W3CDTF">2022-01-07T12:09:05Z</dcterms:modified>
</cp:coreProperties>
</file>