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Gifford Gerard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COO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YARDLEY</w:t>
            </w:r>
          </w:p>
        </w:tc>
        <w:tc>
          <w:tcPr>
            <w:tcW w:w="1060" w:type="dxa"/>
            <w:vAlign w:val="bottom"/>
          </w:tcPr>
          <w:p>
            <w:pPr>
              <w:ind w:left="220"/>
              <w:spacing w:after="0"/>
              <w:rPr>
                <w:sz w:val="20"/>
                <w:szCs w:val="20"/>
                <w:color w:val="auto"/>
              </w:rPr>
            </w:pPr>
            <w:r>
              <w:rPr>
                <w:rFonts w:ascii="Arial" w:cs="Arial" w:eastAsia="Arial" w:hAnsi="Arial"/>
                <w:sz w:val="18"/>
                <w:szCs w:val="18"/>
                <w:color w:val="0000FF"/>
              </w:rPr>
              <w:t>PA</w:t>
            </w:r>
          </w:p>
        </w:tc>
        <w:tc>
          <w:tcPr>
            <w:tcW w:w="1680" w:type="dxa"/>
            <w:vAlign w:val="bottom"/>
          </w:tcPr>
          <w:p>
            <w:pPr>
              <w:ind w:left="420"/>
              <w:spacing w:after="0"/>
              <w:rPr>
                <w:sz w:val="20"/>
                <w:szCs w:val="20"/>
                <w:color w:val="auto"/>
              </w:rPr>
            </w:pPr>
            <w:r>
              <w:rPr>
                <w:rFonts w:ascii="Arial" w:cs="Arial" w:eastAsia="Arial" w:hAnsi="Arial"/>
                <w:sz w:val="18"/>
                <w:szCs w:val="18"/>
                <w:color w:val="0000FF"/>
              </w:rPr>
              <w:t>19067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7"/>
              <w:spacing w:after="0"/>
              <w:rPr>
                <w:sz w:val="20"/>
                <w:szCs w:val="20"/>
                <w:color w:val="auto"/>
              </w:rPr>
            </w:pPr>
            <w:r>
              <w:rPr>
                <w:rFonts w:ascii="Arial" w:cs="Arial" w:eastAsia="Arial" w:hAnsi="Arial"/>
                <w:sz w:val="18"/>
                <w:szCs w:val="18"/>
                <w:color w:val="0000FF"/>
                <w:w w:val="88"/>
              </w:rPr>
              <w:t>5,565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01/09/2020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25,350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right"/>
              <w:ind w:right="317"/>
              <w:spacing w:after="0"/>
              <w:rPr>
                <w:sz w:val="20"/>
                <w:szCs w:val="20"/>
                <w:color w:val="auto"/>
              </w:rPr>
            </w:pPr>
            <w:r>
              <w:rPr>
                <w:rFonts w:ascii="Arial" w:cs="Arial" w:eastAsia="Arial" w:hAnsi="Arial"/>
                <w:sz w:val="18"/>
                <w:szCs w:val="18"/>
                <w:color w:val="0000FF"/>
              </w:rPr>
              <w:t>165,291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25,350 shares of Restricted Common Stock under the 2013 Stock-Based Compensation Plan. 8,655 time-vested restricted shares vest over a three year period as follows: 2,885 time-vested restricted shares on January 11, 2021, January 10, 2022 and January 9, 2023, respectively. 8,040 performance-based restricted shares are targeted to vest on January 9, 2023 based on the Company's Total Shareholder Return versus a defined peer group of companies, with the final number of performance-based vested shares varying from 0 to 200% of 8,040. 8,655 performance-based restricted shares are targeted to vest on January 9, 2023 based on the Return on Invested Capital achieved by the Company compared to the ROIC target, with the final number of performance-based vested shares varying from 0 to 200% of 8,655.</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01/13/2020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991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2020-01-13T08:51:26Z</dcterms:created>
  <dcterms:modified xsi:type="dcterms:W3CDTF">2020-01-13T08:51:26Z</dcterms:modified>
</cp:coreProperties>
</file>