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____________________________________</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____________________________________</w:t>
      </w:r>
    </w:p>
    <w:p>
      <w:pPr>
        <w:spacing w:after="0" w:line="344"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2018</w:t>
      </w:r>
    </w:p>
    <w:p>
      <w:pPr>
        <w:spacing w:after="0" w:line="341" w:lineRule="exact"/>
        <w:rPr>
          <w:sz w:val="24"/>
          <w:szCs w:val="24"/>
          <w:color w:val="auto"/>
        </w:rPr>
      </w:pPr>
    </w:p>
    <w:p>
      <w:pPr>
        <w:ind w:left="500" w:right="420" w:hanging="465"/>
        <w:spacing w:after="0" w:line="249"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0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000-50189</w:t>
      </w:r>
    </w:p>
    <w:p>
      <w:pPr>
        <w:spacing w:after="0" w:line="27"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____________________________________________________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____________________________________________________</w:t>
      </w:r>
    </w:p>
    <w:p>
      <w:pPr>
        <w:spacing w:after="0" w:line="147"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5080" w:type="dxa"/>
            <w:vAlign w:val="bottom"/>
          </w:tcPr>
          <w:p>
            <w:pPr>
              <w:jc w:val="center"/>
              <w:ind w:left="3860"/>
              <w:spacing w:after="0"/>
              <w:rPr>
                <w:sz w:val="20"/>
                <w:szCs w:val="20"/>
                <w:color w:val="auto"/>
              </w:rPr>
            </w:pPr>
            <w:r>
              <w:rPr>
                <w:rFonts w:ascii="Arial" w:cs="Arial" w:eastAsia="Arial" w:hAnsi="Arial"/>
                <w:sz w:val="18"/>
                <w:szCs w:val="18"/>
                <w:b w:val="1"/>
                <w:bCs w:val="1"/>
                <w:color w:val="auto"/>
                <w:w w:val="89"/>
              </w:rPr>
              <w:t>75-3099507</w:t>
            </w:r>
          </w:p>
        </w:tc>
      </w:tr>
      <w:tr>
        <w:trPr>
          <w:trHeight w:val="180"/>
        </w:trPr>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One Crown Way, Philadelphia, PA</w:t>
            </w:r>
          </w:p>
        </w:tc>
        <w:tc>
          <w:tcPr>
            <w:tcW w:w="5080" w:type="dxa"/>
            <w:vAlign w:val="bottom"/>
          </w:tcPr>
          <w:p>
            <w:pPr>
              <w:jc w:val="center"/>
              <w:ind w:left="3860"/>
              <w:spacing w:after="0"/>
              <w:rPr>
                <w:sz w:val="20"/>
                <w:szCs w:val="20"/>
                <w:color w:val="auto"/>
              </w:rPr>
            </w:pPr>
            <w:r>
              <w:rPr>
                <w:rFonts w:ascii="Arial" w:cs="Arial" w:eastAsia="Arial" w:hAnsi="Arial"/>
                <w:sz w:val="18"/>
                <w:szCs w:val="18"/>
                <w:b w:val="1"/>
                <w:bCs w:val="1"/>
                <w:color w:val="auto"/>
                <w:w w:val="89"/>
              </w:rPr>
              <w:t>19154-4599</w:t>
            </w:r>
          </w:p>
        </w:tc>
      </w:tr>
      <w:tr>
        <w:trPr>
          <w:trHeight w:val="218"/>
        </w:trPr>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680" w:type="dxa"/>
            <w:vAlign w:val="bottom"/>
          </w:tcPr>
          <w:p>
            <w:pPr>
              <w:spacing w:after="0"/>
              <w:rPr>
                <w:sz w:val="24"/>
                <w:szCs w:val="24"/>
                <w:color w:val="auto"/>
              </w:rPr>
            </w:pPr>
          </w:p>
        </w:tc>
        <w:tc>
          <w:tcPr>
            <w:tcW w:w="5080" w:type="dxa"/>
            <w:vAlign w:val="bottom"/>
          </w:tcPr>
          <w:p>
            <w:pPr>
              <w:jc w:val="right"/>
              <w:ind w:right="2860"/>
              <w:spacing w:after="0"/>
              <w:rPr>
                <w:sz w:val="20"/>
                <w:szCs w:val="20"/>
                <w:color w:val="auto"/>
              </w:rPr>
            </w:pPr>
            <w:r>
              <w:rPr>
                <w:rFonts w:ascii="Arial" w:cs="Arial" w:eastAsia="Arial" w:hAnsi="Arial"/>
                <w:sz w:val="18"/>
                <w:szCs w:val="18"/>
                <w:b w:val="1"/>
                <w:bCs w:val="1"/>
                <w:color w:val="auto"/>
              </w:rPr>
              <w:t>215-698-5100</w:t>
            </w:r>
          </w:p>
        </w:tc>
      </w:tr>
      <w:tr>
        <w:trPr>
          <w:trHeight w:val="186"/>
        </w:trPr>
        <w:tc>
          <w:tcPr>
            <w:tcW w:w="268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2900"/>
        <w:spacing w:after="0"/>
        <w:rPr>
          <w:sz w:val="20"/>
          <w:szCs w:val="20"/>
          <w:color w:val="auto"/>
        </w:rPr>
      </w:pPr>
      <w:r>
        <w:rPr>
          <w:rFonts w:ascii="Arial" w:cs="Arial" w:eastAsia="Arial" w:hAnsi="Arial"/>
          <w:sz w:val="22"/>
          <w:szCs w:val="22"/>
          <w:b w:val="1"/>
          <w:bCs w:val="1"/>
          <w:color w:val="auto"/>
        </w:rPr>
        <w:t>____________________________________________________</w:t>
      </w:r>
    </w:p>
    <w:p>
      <w:pPr>
        <w:spacing w:after="0" w:line="7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such shorter period that the registrant was required to submit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15"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4">
            <w:col w:w="1480" w:space="700"/>
            <w:col w:w="4820" w:space="720"/>
            <w:col w:w="2540" w:space="720"/>
            <w:col w:w="440"/>
          </w:cols>
          <w:pgMar w:left="240" w:top="215"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ectPr>
          <w:pgSz w:w="11900" w:h="16838" w:orient="portrait"/>
          <w:cols w:equalWidth="0" w:num="4">
            <w:col w:w="1460" w:space="720"/>
            <w:col w:w="4820" w:space="720"/>
            <w:col w:w="2540" w:space="720"/>
            <w:col w:w="440"/>
          </w:cols>
          <w:pgMar w:left="240" w:top="215"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There were 135,186,345 shares of Common Stock outstanding as of July 31, 2018.</w:t>
      </w:r>
    </w:p>
    <w:p>
      <w:pPr>
        <w:sectPr>
          <w:pgSz w:w="11900" w:h="16838" w:orient="portrait"/>
          <w:cols w:equalWidth="0" w:num="1">
            <w:col w:w="11420"/>
          </w:cols>
          <w:pgMar w:left="240" w:top="215"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0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4,062</w:t>
            </w:r>
          </w:p>
        </w:tc>
      </w:tr>
      <w:tr>
        <w:trPr>
          <w:trHeight w:val="237"/>
        </w:trPr>
        <w:tc>
          <w:tcPr>
            <w:tcW w:w="622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1,732</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4,274</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3,263</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181</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Equity earnings in affiliates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67"/>
        </w:trPr>
        <w:tc>
          <w:tcPr>
            <w:tcW w:w="6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56"/>
        </w:trPr>
        <w:tc>
          <w:tcPr>
            <w:tcW w:w="6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400" w:top="12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other comprehensive (loss) income</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12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Crown Holdings, Inc.</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19"/>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6"/>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2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Receivables, net</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1,041</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w w:val="93"/>
              </w:rPr>
              <w:t>Prepaid expenses and other current assets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r>
      <w:tr>
        <w:trPr>
          <w:trHeight w:val="318"/>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4,443</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2,298</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472</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42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15,360</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42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Current maturities of long-term debt</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2,452</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318"/>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9,236</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03"/>
        </w:trPr>
        <w:tc>
          <w:tcPr>
            <w:tcW w:w="3600" w:type="dxa"/>
            <w:vAlign w:val="bottom"/>
            <w:gridSpan w:val="3"/>
          </w:tcPr>
          <w:p>
            <w:pPr>
              <w:ind w:left="40"/>
              <w:spacing w:after="0" w:line="202" w:lineRule="exact"/>
              <w:rPr>
                <w:rFonts w:ascii="Arial" w:cs="Arial" w:eastAsia="Arial" w:hAnsi="Arial"/>
                <w:sz w:val="18"/>
                <w:szCs w:val="18"/>
                <w:color w:val="auto"/>
                <w:w w:val="92"/>
              </w:rPr>
            </w:pPr>
            <w:r>
              <w:rPr>
                <w:rFonts w:ascii="Arial" w:cs="Arial" w:eastAsia="Arial" w:hAnsi="Arial"/>
                <w:sz w:val="18"/>
                <w:szCs w:val="18"/>
                <w:color w:val="auto"/>
                <w:w w:val="92"/>
              </w:rPr>
              <w:t xml:space="preserve">Commitments and contingent liabilities </w:t>
            </w:r>
            <w:r>
              <w:rPr>
                <w:rFonts w:ascii="Arial" w:cs="Arial" w:eastAsia="Arial" w:hAnsi="Arial"/>
                <w:sz w:val="18"/>
                <w:szCs w:val="18"/>
                <w:i w:val="1"/>
                <w:iCs w:val="1"/>
                <w:color w:val="auto"/>
                <w:w w:val="92"/>
              </w:rPr>
              <w:t>(</w:t>
            </w:r>
            <w:r>
              <w:rPr>
                <w:rFonts w:ascii="Arial" w:cs="Arial" w:eastAsia="Arial" w:hAnsi="Arial"/>
                <w:sz w:val="18"/>
                <w:szCs w:val="18"/>
                <w:color w:val="auto"/>
                <w:w w:val="92"/>
              </w:rPr>
              <w:t xml:space="preserve"> </w:t>
            </w:r>
            <w:hyperlink w:anchor="page17">
              <w:r>
                <w:rPr>
                  <w:rFonts w:ascii="Arial" w:cs="Arial" w:eastAsia="Arial" w:hAnsi="Arial"/>
                  <w:sz w:val="18"/>
                  <w:szCs w:val="18"/>
                  <w:i w:val="1"/>
                  <w:iCs w:val="1"/>
                  <w:color w:val="0000EE"/>
                  <w:w w:val="92"/>
                </w:rPr>
                <w:t>Note J</w:t>
              </w:r>
            </w:hyperlink>
            <w:r>
              <w:rPr>
                <w:rFonts w:ascii="Arial" w:cs="Arial" w:eastAsia="Arial" w:hAnsi="Arial"/>
                <w:sz w:val="18"/>
                <w:szCs w:val="18"/>
                <w:i w:val="1"/>
                <w:iCs w:val="1"/>
                <w:color w:val="auto"/>
                <w:w w:val="92"/>
              </w:rPr>
              <w:t>)</w:t>
            </w:r>
          </w:p>
        </w:tc>
        <w:tc>
          <w:tcPr>
            <w:tcW w:w="3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302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Crown Holdings shareholders’ equity</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3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37"/>
        </w:trPr>
        <w:tc>
          <w:tcPr>
            <w:tcW w:w="36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w:t>
            </w:r>
          </w:p>
        </w:tc>
        <w:tc>
          <w:tcPr>
            <w:tcW w:w="38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15,360</w:t>
            </w: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10,663</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121"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Crown Holdings, Inc.</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19"/>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Pension contributions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(3,907)</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Beneficial interests in transferred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exchange derivatives related to acquisitions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b w:val="1"/>
                <w:bCs w:val="1"/>
                <w:color w:val="auto"/>
              </w:rPr>
              <w:t>Net cash (used for) provided by investing activities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long-term debt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4,082</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change in revolving credit facility and short-term debt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issue costs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Common stock issued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Common stock repurchased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Dividends paid to noncontrolling interests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exchange derivatives related to debt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4,162</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January 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June 30</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4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121"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3636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principles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1,137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29"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2018 and the results of its operations for the three and six months ended June 30, 2018 and 2017 and of its cash flows for the six months ended June 30, 2018 and 2017.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w:t>
      </w:r>
    </w:p>
    <w:p>
      <w:pPr>
        <w:spacing w:after="0" w:line="177"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2017.</w:t>
      </w:r>
    </w:p>
    <w:p>
      <w:pPr>
        <w:spacing w:after="0" w:line="383" w:lineRule="exact"/>
        <w:rPr>
          <w:rFonts w:ascii="Arial" w:cs="Arial" w:eastAsia="Arial" w:hAnsi="Arial"/>
          <w:sz w:val="18"/>
          <w:szCs w:val="18"/>
          <w:b w:val="1"/>
          <w:bCs w:val="1"/>
          <w:color w:val="auto"/>
        </w:rPr>
      </w:pPr>
    </w:p>
    <w:p>
      <w:pPr>
        <w:ind w:left="660" w:right="7600" w:hanging="652"/>
        <w:spacing w:after="0" w:line="553"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 Statement of Cash Flows</w:t>
      </w:r>
    </w:p>
    <w:p>
      <w:pPr>
        <w:spacing w:after="0" w:line="1" w:lineRule="exact"/>
        <w:rPr>
          <w:rFonts w:ascii="Arial" w:cs="Arial" w:eastAsia="Arial" w:hAnsi="Arial"/>
          <w:sz w:val="16"/>
          <w:szCs w:val="16"/>
          <w:b w:val="1"/>
          <w:bCs w:val="1"/>
          <w:color w:val="auto"/>
        </w:rPr>
      </w:pPr>
    </w:p>
    <w:p>
      <w:pPr>
        <w:jc w:val="both"/>
        <w:ind w:left="6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In August 2016, the FASB issued new guidance related to the classification of certain cash receipts and payments on the statement of cash flows. Under the new guidance, cash payments resulting from debt prepayment or extinguishment are classified as cash outflows from financing activities. In addition, beneficial interests obtained in a securitization of financial assets are disclosed as a noncash activity and cash receipts from the beneficial interests are classified as cash inflows from investing activities. Under previous guidance, the Company classified cash receipts from beneficial interests in securitized receivables and cash payments resulting from debt prepayment or extinguishment as cash flows from operating activities. The Company adopted this guidance on January 1, 2018 and recast prior period amounts to conform to the current year presentation. For the period ended June 30, 2017, the Company reclassified $507 from net cash used for operating activities to net cash provided by investing activities. Additionally, for the six months ended June 30, 2018 and 2017, beneficial interests obtained in securitized receivables were $407 and $538.</w:t>
      </w:r>
    </w:p>
    <w:p>
      <w:pPr>
        <w:spacing w:after="0" w:line="166"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November 2016, new accounting guidance was issued that requires the statement of cash flows to explain the change in the total of cash, cash equivalents and restricted cash. In addition, restricted cash is included in a cash reconciliation of beginning-of-period and end-of-period total amounts shown on the statements of cash flows. The Company adopted this guidance on January 1, 2018 and recast prior period amounts to conform to the current year presentation.</w:t>
      </w:r>
    </w:p>
    <w:p>
      <w:pPr>
        <w:spacing w:after="0" w:line="18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Cash, cash equivalents and restricted cash included in the Company's Consolidated Balance Sheets were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June 30, 2018</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bottom w:val="single" w:sz="8" w:color="CCEEFF"/>
            </w:tcBorders>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298</w:t>
            </w: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w w:val="88"/>
              </w:rPr>
              <w:t>Restricted cash included in prepaid expenses and other current assets</w:t>
            </w: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7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7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307</w:t>
            </w:r>
          </w:p>
        </w:tc>
        <w:tc>
          <w:tcPr>
            <w:tcW w:w="5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20" w:type="dxa"/>
            <w:vAlign w:val="bottom"/>
            <w:vMerge w:val="restart"/>
          </w:tcPr>
          <w:p>
            <w:pPr>
              <w:jc w:val="right"/>
              <w:ind w:right="530"/>
              <w:spacing w:after="0"/>
              <w:rPr>
                <w:sz w:val="20"/>
                <w:szCs w:val="20"/>
                <w:color w:val="auto"/>
              </w:rPr>
            </w:pPr>
            <w:r>
              <w:rPr>
                <w:rFonts w:ascii="Arial" w:cs="Arial" w:eastAsia="Arial" w:hAnsi="Arial"/>
                <w:sz w:val="18"/>
                <w:szCs w:val="18"/>
                <w:color w:val="auto"/>
                <w:w w:val="79"/>
              </w:rPr>
              <w:t>7</w:t>
            </w: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0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14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Crown Holdings, Inc.</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837"/>
        </w:trPr>
        <w:tc>
          <w:tcPr>
            <w:tcW w:w="3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2016</w:t>
            </w:r>
          </w:p>
        </w:tc>
      </w:tr>
      <w:tr>
        <w:trPr>
          <w:trHeight w:val="27"/>
        </w:trPr>
        <w:tc>
          <w:tcPr>
            <w:tcW w:w="39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140" w:type="dxa"/>
            <w:vAlign w:val="bottom"/>
            <w:tcBorders>
              <w:bottom w:val="single" w:sz="8" w:color="CCEEFF"/>
            </w:tcBorders>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301</w:t>
            </w: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Restricted cash included in other non-current assets</w:t>
            </w:r>
          </w:p>
        </w:tc>
        <w:tc>
          <w:tcPr>
            <w:tcW w:w="17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74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313</w:t>
            </w:r>
          </w:p>
        </w:tc>
        <w:tc>
          <w:tcPr>
            <w:tcW w:w="5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set aside by certain of the Company's receivables securitization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other postretirement benefit costs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2017, the FASB issued new guidance on the presentation of pension and other postretirement benefit costs. Under the new guidance, only the service cost component of pension and other postretirement benefit costs is presented with other employee compensation costs within income from operations or capitalized in assets. The other components are reported separately outside of income from operations and are not eligible for capitalization. The Company adopted this guidance on January 1, 2018 and recast prior period amounts to conform to the current year presentation. Net benefits of $13 and $25 were reclassified from cost of products sold, excluding depreciation and amortization, to other pension and postretirement on the Company's Consolidated Statement of Operations for the three and six months ended June 30, 2017. Additionally, net charges of $1 were reclassified from selling and administrative expense to other pension and postretirement on the Company's Consolidated Statement of Operations for the three and six months ended June 30,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new guidance which outlined a single comprehensive model to use in accounting for revenue arising from contracts with customers and supersedes most current revenue recognition guidance. Under previous guidance, the Company generally recognized revenue upon shipment or delivery. Under the new guidance, revenue is recognized when a customer obtains control of promised goods or services which is either at a point in time or over time. In addition to accelerating the timing of revenue recognition, an unbilled receivable is recognized with an offsetting decrease to inventory. The new guidance is not expected to have a material impact on the Company's annual income from operations but could impact income from operations in certain quarters as the Company may recognize revenue from certain products as it builds inventory in anticipation of seasonal demands.</w:t>
      </w:r>
    </w:p>
    <w:p>
      <w:pPr>
        <w:spacing w:after="0" w:line="18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January 1, 2018, the Company adopted the new revenue standard using the modified retrospective method applied to those contracts which were outstanding as of January 1, 2018. The Company recognized the cumulative effect of initially applying the standard as an adjustment to the opening balance of retained earnings. Results for reporting periods beginning after January 1, 2018 are presented under the new revenue standard, while prior period amounts are not adjusted and continue to be reported in accordance with accounting standards in effect for those periods.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2018 for the adoption of the new revenue standard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0"/>
          </w:cols>
          <w:pgMar w:left="900" w:top="121" w:right="239" w:bottom="1440" w:gutter="0" w:footer="0" w:header="0"/>
        </w:sectPr>
      </w:pPr>
    </w:p>
    <w:bookmarkStart w:id="8" w:name="page9"/>
    <w:bookmarkEnd w:id="8"/>
    <w:tbl>
      <w:tblPr>
        <w:tblLayout w:type="fixed"/>
        <w:tblInd w:w="38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Crown Holdings, Inc.</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837"/>
        </w:trPr>
        <w:tc>
          <w:tcPr>
            <w:tcW w:w="3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90"/>
              </w:rPr>
              <w:t>As reported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jc w:val="center"/>
              <w:ind w:right="390"/>
              <w:spacing w:after="0"/>
              <w:rPr>
                <w:sz w:val="20"/>
                <w:szCs w:val="20"/>
                <w:color w:val="auto"/>
              </w:rPr>
            </w:pPr>
            <w:r>
              <w:rPr>
                <w:rFonts w:ascii="Arial" w:cs="Arial" w:eastAsia="Arial" w:hAnsi="Arial"/>
                <w:sz w:val="18"/>
                <w:szCs w:val="18"/>
                <w:color w:val="auto"/>
                <w:w w:val="90"/>
              </w:rPr>
              <w:t>As revised</w:t>
            </w:r>
          </w:p>
        </w:tc>
      </w:tr>
      <w:tr>
        <w:trPr>
          <w:trHeight w:val="270"/>
        </w:trPr>
        <w:tc>
          <w:tcPr>
            <w:tcW w:w="3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0" w:type="dxa"/>
            <w:vAlign w:val="bottom"/>
          </w:tcPr>
          <w:p>
            <w:pPr>
              <w:jc w:val="center"/>
              <w:ind w:right="410"/>
              <w:spacing w:after="0"/>
              <w:rPr>
                <w:sz w:val="20"/>
                <w:szCs w:val="20"/>
                <w:color w:val="auto"/>
              </w:rPr>
            </w:pPr>
            <w:r>
              <w:rPr>
                <w:rFonts w:ascii="Arial" w:cs="Arial" w:eastAsia="Arial" w:hAnsi="Arial"/>
                <w:sz w:val="18"/>
                <w:szCs w:val="18"/>
                <w:color w:val="auto"/>
                <w:w w:val="87"/>
              </w:rPr>
              <w:t>January 1,</w:t>
            </w:r>
          </w:p>
        </w:tc>
      </w:tr>
      <w:tr>
        <w:trPr>
          <w:trHeight w:val="270"/>
        </w:trPr>
        <w:tc>
          <w:tcPr>
            <w:tcW w:w="3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Adjustment</w:t>
            </w:r>
          </w:p>
        </w:tc>
        <w:tc>
          <w:tcPr>
            <w:tcW w:w="500" w:type="dxa"/>
            <w:vAlign w:val="bottom"/>
          </w:tcPr>
          <w:p>
            <w:pPr>
              <w:spacing w:after="0"/>
              <w:rPr>
                <w:sz w:val="23"/>
                <w:szCs w:val="23"/>
                <w:color w:val="auto"/>
              </w:rPr>
            </w:pPr>
          </w:p>
        </w:tc>
        <w:tc>
          <w:tcPr>
            <w:tcW w:w="2000" w:type="dxa"/>
            <w:vAlign w:val="bottom"/>
          </w:tcPr>
          <w:p>
            <w:pPr>
              <w:jc w:val="center"/>
              <w:ind w:right="390"/>
              <w:spacing w:after="0"/>
              <w:rPr>
                <w:sz w:val="20"/>
                <w:szCs w:val="20"/>
                <w:color w:val="auto"/>
              </w:rPr>
            </w:pPr>
            <w:r>
              <w:rPr>
                <w:rFonts w:ascii="Arial" w:cs="Arial" w:eastAsia="Arial" w:hAnsi="Arial"/>
                <w:sz w:val="18"/>
                <w:szCs w:val="18"/>
                <w:color w:val="auto"/>
                <w:w w:val="89"/>
              </w:rPr>
              <w:t>2018</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3,074</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10,663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10,700</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earnings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Crown Holdings shareholders' equity</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10,663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10,700</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on the Company’s Consolidated Balance Sheet and Statements of Operations was as follows:</w:t>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As reported</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jc w:val="center"/>
              <w:ind w:right="270"/>
              <w:spacing w:after="0"/>
              <w:rPr>
                <w:sz w:val="20"/>
                <w:szCs w:val="20"/>
                <w:color w:val="auto"/>
              </w:rPr>
            </w:pPr>
            <w:r>
              <w:rPr>
                <w:rFonts w:ascii="Arial" w:cs="Arial" w:eastAsia="Arial" w:hAnsi="Arial"/>
                <w:sz w:val="18"/>
                <w:szCs w:val="18"/>
                <w:color w:val="auto"/>
                <w:w w:val="86"/>
              </w:rPr>
              <w:t>Balances</w:t>
            </w:r>
          </w:p>
        </w:tc>
      </w:tr>
      <w:tr>
        <w:trPr>
          <w:trHeight w:val="270"/>
        </w:trPr>
        <w:tc>
          <w:tcPr>
            <w:tcW w:w="3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7"/>
              </w:rPr>
              <w:t>June 30</w:t>
            </w:r>
          </w:p>
        </w:tc>
        <w:tc>
          <w:tcPr>
            <w:tcW w:w="300" w:type="dxa"/>
            <w:vAlign w:val="bottom"/>
          </w:tcPr>
          <w:p>
            <w:pPr>
              <w:spacing w:after="0"/>
              <w:rPr>
                <w:sz w:val="23"/>
                <w:szCs w:val="23"/>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Effects of</w:t>
            </w:r>
          </w:p>
        </w:tc>
        <w:tc>
          <w:tcPr>
            <w:tcW w:w="380" w:type="dxa"/>
            <w:vAlign w:val="bottom"/>
          </w:tcPr>
          <w:p>
            <w:pPr>
              <w:spacing w:after="0"/>
              <w:rPr>
                <w:sz w:val="23"/>
                <w:szCs w:val="23"/>
                <w:color w:val="auto"/>
              </w:rPr>
            </w:pPr>
          </w:p>
        </w:tc>
        <w:tc>
          <w:tcPr>
            <w:tcW w:w="2120" w:type="dxa"/>
            <w:vAlign w:val="bottom"/>
          </w:tcPr>
          <w:p>
            <w:pPr>
              <w:jc w:val="center"/>
              <w:ind w:right="270"/>
              <w:spacing w:after="0"/>
              <w:rPr>
                <w:sz w:val="20"/>
                <w:szCs w:val="20"/>
                <w:color w:val="auto"/>
              </w:rPr>
            </w:pPr>
            <w:r>
              <w:rPr>
                <w:rFonts w:ascii="Arial" w:cs="Arial" w:eastAsia="Arial" w:hAnsi="Arial"/>
                <w:sz w:val="18"/>
                <w:szCs w:val="18"/>
                <w:color w:val="auto"/>
                <w:w w:val="94"/>
              </w:rPr>
              <w:t>without adoption</w:t>
            </w: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1000" w:type="dxa"/>
            <w:vAlign w:val="bottom"/>
          </w:tcPr>
          <w:p>
            <w:pPr>
              <w:spacing w:after="0"/>
              <w:rPr>
                <w:sz w:val="23"/>
                <w:szCs w:val="23"/>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30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3"/>
                <w:szCs w:val="23"/>
                <w:color w:val="auto"/>
              </w:rPr>
            </w:pPr>
          </w:p>
        </w:tc>
        <w:tc>
          <w:tcPr>
            <w:tcW w:w="2120" w:type="dxa"/>
            <w:vAlign w:val="bottom"/>
          </w:tcPr>
          <w:p>
            <w:pPr>
              <w:jc w:val="center"/>
              <w:ind w:right="270"/>
              <w:spacing w:after="0"/>
              <w:rPr>
                <w:sz w:val="20"/>
                <w:szCs w:val="20"/>
                <w:color w:val="auto"/>
              </w:rPr>
            </w:pPr>
            <w:r>
              <w:rPr>
                <w:rFonts w:ascii="Arial" w:cs="Arial" w:eastAsia="Arial" w:hAnsi="Arial"/>
                <w:sz w:val="18"/>
                <w:szCs w:val="18"/>
                <w:color w:val="auto"/>
                <w:w w:val="90"/>
              </w:rPr>
              <w:t>of new standard</w:t>
            </w:r>
          </w:p>
        </w:tc>
      </w:tr>
      <w:tr>
        <w:trPr>
          <w:trHeight w:val="27"/>
        </w:trPr>
        <w:tc>
          <w:tcPr>
            <w:tcW w:w="3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1,737</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7"/>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4,155</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4,104</w:t>
            </w:r>
          </w:p>
        </w:tc>
      </w:tr>
      <w:tr>
        <w:trPr>
          <w:trHeight w:val="27"/>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15,360</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15,311</w:t>
            </w:r>
          </w:p>
        </w:tc>
      </w:tr>
      <w:tr>
        <w:trPr>
          <w:trHeight w:val="27"/>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3,529</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7"/>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earnings</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Crown Holdings shareholders' equity</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0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0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15,360</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15,311</w:t>
            </w:r>
          </w:p>
        </w:tc>
      </w:tr>
      <w:tr>
        <w:trPr>
          <w:trHeight w:val="662"/>
        </w:trPr>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360"/>
          </w:cols>
          <w:pgMar w:left="900" w:top="121" w:right="639" w:bottom="1440" w:gutter="0" w:footer="0" w:header="0"/>
        </w:sectPr>
      </w:pPr>
    </w:p>
    <w:bookmarkStart w:id="9" w:name="page10"/>
    <w:bookmarkEnd w:id="9"/>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8"/>
              </w:rPr>
              <w:t>Crown Holdings, Inc.</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877"/>
        </w:trPr>
        <w:tc>
          <w:tcPr>
            <w:tcW w:w="3720" w:type="dxa"/>
            <w:vAlign w:val="bottom"/>
          </w:tcPr>
          <w:p>
            <w:pPr>
              <w:spacing w:after="0"/>
              <w:rPr>
                <w:sz w:val="24"/>
                <w:szCs w:val="24"/>
                <w:color w:val="auto"/>
              </w:rPr>
            </w:pPr>
          </w:p>
        </w:tc>
        <w:tc>
          <w:tcPr>
            <w:tcW w:w="2240" w:type="dxa"/>
            <w:vAlign w:val="bottom"/>
            <w:gridSpan w:val="2"/>
          </w:tcPr>
          <w:p>
            <w:pPr>
              <w:jc w:val="center"/>
              <w:ind w:left="670"/>
              <w:spacing w:after="0"/>
              <w:rPr>
                <w:sz w:val="20"/>
                <w:szCs w:val="20"/>
                <w:color w:val="auto"/>
              </w:rPr>
            </w:pPr>
            <w:r>
              <w:rPr>
                <w:rFonts w:ascii="Arial" w:cs="Arial" w:eastAsia="Arial" w:hAnsi="Arial"/>
                <w:sz w:val="18"/>
                <w:szCs w:val="18"/>
                <w:color w:val="auto"/>
                <w:w w:val="90"/>
              </w:rPr>
              <w:t>As reported For the</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p>
        </w:tc>
        <w:tc>
          <w:tcPr>
            <w:tcW w:w="2240" w:type="dxa"/>
            <w:vAlign w:val="bottom"/>
            <w:gridSpan w:val="2"/>
          </w:tcPr>
          <w:p>
            <w:pPr>
              <w:jc w:val="center"/>
              <w:ind w:left="670"/>
              <w:spacing w:after="0"/>
              <w:rPr>
                <w:sz w:val="20"/>
                <w:szCs w:val="20"/>
                <w:color w:val="auto"/>
              </w:rPr>
            </w:pPr>
            <w:r>
              <w:rPr>
                <w:rFonts w:ascii="Arial" w:cs="Arial" w:eastAsia="Arial" w:hAnsi="Arial"/>
                <w:sz w:val="18"/>
                <w:szCs w:val="18"/>
                <w:color w:val="auto"/>
                <w:w w:val="87"/>
              </w:rPr>
              <w:t>three months ended</w:t>
            </w:r>
          </w:p>
        </w:tc>
        <w:tc>
          <w:tcPr>
            <w:tcW w:w="28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Effects of</w:t>
            </w:r>
          </w:p>
        </w:tc>
        <w:tc>
          <w:tcPr>
            <w:tcW w:w="220" w:type="dxa"/>
            <w:vAlign w:val="bottom"/>
          </w:tcPr>
          <w:p>
            <w:pPr>
              <w:spacing w:after="0"/>
              <w:rPr>
                <w:sz w:val="20"/>
                <w:szCs w:val="20"/>
                <w:color w:val="auto"/>
              </w:rPr>
            </w:pPr>
          </w:p>
        </w:tc>
        <w:tc>
          <w:tcPr>
            <w:tcW w:w="2280" w:type="dxa"/>
            <w:vAlign w:val="bottom"/>
          </w:tcPr>
          <w:p>
            <w:pPr>
              <w:jc w:val="right"/>
              <w:ind w:right="190"/>
              <w:spacing w:after="0"/>
              <w:rPr>
                <w:sz w:val="20"/>
                <w:szCs w:val="20"/>
                <w:color w:val="auto"/>
              </w:rPr>
            </w:pPr>
            <w:r>
              <w:rPr>
                <w:rFonts w:ascii="Arial" w:cs="Arial" w:eastAsia="Arial" w:hAnsi="Arial"/>
                <w:sz w:val="18"/>
                <w:szCs w:val="18"/>
                <w:color w:val="auto"/>
                <w:w w:val="94"/>
              </w:rPr>
              <w:t>Balances without adoption</w:t>
            </w: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940" w:type="dxa"/>
            <w:vAlign w:val="bottom"/>
          </w:tcPr>
          <w:p>
            <w:pPr>
              <w:spacing w:after="0"/>
              <w:rPr>
                <w:sz w:val="23"/>
                <w:szCs w:val="23"/>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7"/>
              </w:rPr>
              <w:t>June 30, 2018</w:t>
            </w:r>
          </w:p>
        </w:tc>
        <w:tc>
          <w:tcPr>
            <w:tcW w:w="28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3"/>
                <w:szCs w:val="23"/>
                <w:color w:val="auto"/>
              </w:rPr>
            </w:pPr>
          </w:p>
        </w:tc>
        <w:tc>
          <w:tcPr>
            <w:tcW w:w="2280" w:type="dxa"/>
            <w:vAlign w:val="bottom"/>
          </w:tcPr>
          <w:p>
            <w:pPr>
              <w:jc w:val="right"/>
              <w:ind w:right="570"/>
              <w:spacing w:after="0"/>
              <w:rPr>
                <w:sz w:val="20"/>
                <w:szCs w:val="20"/>
                <w:color w:val="auto"/>
              </w:rPr>
            </w:pPr>
            <w:r>
              <w:rPr>
                <w:rFonts w:ascii="Arial" w:cs="Arial" w:eastAsia="Arial" w:hAnsi="Arial"/>
                <w:sz w:val="18"/>
                <w:szCs w:val="18"/>
                <w:color w:val="auto"/>
              </w:rPr>
              <w:t>of new standard</w:t>
            </w:r>
          </w:p>
        </w:tc>
      </w:tr>
      <w:tr>
        <w:trPr>
          <w:trHeight w:val="27"/>
        </w:trPr>
        <w:tc>
          <w:tcPr>
            <w:tcW w:w="3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3,046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7"/>
        </w:trPr>
        <w:tc>
          <w:tcPr>
            <w:tcW w:w="3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9"/>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Cost of products sold, excluding depreciation and</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3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3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Net income attributable to Crown Holdings</w:t>
            </w: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17145</wp:posOffset>
            </wp:positionV>
            <wp:extent cx="633730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per common share attributable to Crown Holdings:</w:t>
      </w:r>
    </w:p>
    <w:p>
      <w:pPr>
        <w:spacing w:after="0" w:line="6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0.99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593"/>
        </w:trPr>
        <w:tc>
          <w:tcPr>
            <w:tcW w:w="4060" w:type="dxa"/>
            <w:vAlign w:val="bottom"/>
          </w:tcPr>
          <w:p>
            <w:pPr>
              <w:spacing w:after="0"/>
              <w:rPr>
                <w:sz w:val="24"/>
                <w:szCs w:val="24"/>
                <w:color w:val="auto"/>
              </w:rPr>
            </w:pPr>
          </w:p>
        </w:tc>
        <w:tc>
          <w:tcPr>
            <w:tcW w:w="19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As reported For the</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six months ended</w:t>
            </w:r>
          </w:p>
        </w:tc>
        <w:tc>
          <w:tcPr>
            <w:tcW w:w="28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Effects of</w:t>
            </w:r>
          </w:p>
        </w:tc>
        <w:tc>
          <w:tcPr>
            <w:tcW w:w="220" w:type="dxa"/>
            <w:vAlign w:val="bottom"/>
          </w:tcPr>
          <w:p>
            <w:pPr>
              <w:spacing w:after="0"/>
              <w:rPr>
                <w:sz w:val="20"/>
                <w:szCs w:val="20"/>
                <w:color w:val="auto"/>
              </w:rPr>
            </w:pPr>
          </w:p>
        </w:tc>
        <w:tc>
          <w:tcPr>
            <w:tcW w:w="2280" w:type="dxa"/>
            <w:vAlign w:val="bottom"/>
          </w:tcPr>
          <w:p>
            <w:pPr>
              <w:jc w:val="right"/>
              <w:ind w:right="190"/>
              <w:spacing w:after="0"/>
              <w:rPr>
                <w:sz w:val="20"/>
                <w:szCs w:val="20"/>
                <w:color w:val="auto"/>
              </w:rPr>
            </w:pPr>
            <w:r>
              <w:rPr>
                <w:rFonts w:ascii="Arial" w:cs="Arial" w:eastAsia="Arial" w:hAnsi="Arial"/>
                <w:sz w:val="18"/>
                <w:szCs w:val="18"/>
                <w:color w:val="auto"/>
                <w:w w:val="94"/>
              </w:rPr>
              <w:t>Balances without adoption</w:t>
            </w:r>
          </w:p>
        </w:tc>
      </w:tr>
      <w:tr>
        <w:trPr>
          <w:trHeight w:val="270"/>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520" w:type="dxa"/>
            <w:vAlign w:val="bottom"/>
          </w:tcPr>
          <w:p>
            <w:pPr>
              <w:spacing w:after="0"/>
              <w:rPr>
                <w:sz w:val="23"/>
                <w:szCs w:val="23"/>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7"/>
              </w:rPr>
              <w:t>June 30, 2018</w:t>
            </w:r>
          </w:p>
        </w:tc>
        <w:tc>
          <w:tcPr>
            <w:tcW w:w="28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3"/>
                <w:szCs w:val="23"/>
                <w:color w:val="auto"/>
              </w:rPr>
            </w:pPr>
          </w:p>
        </w:tc>
        <w:tc>
          <w:tcPr>
            <w:tcW w:w="2280" w:type="dxa"/>
            <w:vAlign w:val="bottom"/>
          </w:tcPr>
          <w:p>
            <w:pPr>
              <w:jc w:val="right"/>
              <w:ind w:right="570"/>
              <w:spacing w:after="0"/>
              <w:rPr>
                <w:sz w:val="20"/>
                <w:szCs w:val="20"/>
                <w:color w:val="auto"/>
              </w:rPr>
            </w:pPr>
            <w:r>
              <w:rPr>
                <w:rFonts w:ascii="Arial" w:cs="Arial" w:eastAsia="Arial" w:hAnsi="Arial"/>
                <w:sz w:val="18"/>
                <w:szCs w:val="18"/>
                <w:color w:val="auto"/>
              </w:rPr>
              <w:t>of new standard</w:t>
            </w:r>
          </w:p>
        </w:tc>
      </w:tr>
      <w:tr>
        <w:trPr>
          <w:trHeight w:val="27"/>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5,243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5,166</w:t>
            </w:r>
          </w:p>
        </w:tc>
      </w:tr>
      <w:tr>
        <w:trPr>
          <w:trHeight w:val="27"/>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9"/>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sold, excluding depreciation and</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7"/>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Crown Holdings</w:t>
            </w:r>
          </w:p>
        </w:tc>
        <w:tc>
          <w:tcPr>
            <w:tcW w:w="5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4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per common share attributable to Crown Holdings:</w:t>
      </w: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Diluted</w:t>
            </w:r>
          </w:p>
        </w:tc>
        <w:tc>
          <w:tcPr>
            <w:tcW w:w="2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Hedge Accounting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2017, the FASB issued new guidance on hedge accounting. The new guidance allows contractually-specified price components of a commodity purchase or sale to be eligible for hedge accounting. Additionally, the new standard permits qualitative effectiveness assessments for certain hedges after the initial hedge qualification analysis. The Company adopted this guidance on January 1, 2018 using the modified retrospective approach for hedges of contractually-specified price components of commodity purchases and sales that existed on the adoption date. Upon adoption, the Company reclassified a net charge of $3 for the cumulative ineffectiveness of these contracts from retained earnings to accumulated other comprehensive income as a cumulative-effect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Intercompany transfers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2016, the FASB issued new guidance related to intercompany transfers of assets other than inventory. Under previous guidance, income tax expense associated with intercompany profits in an intercompany sale or transfer of assets was deferred until the assets left the consolidated group. Similarly, deferred tax assets were not recognized for any increase in tax bases due to the intercompany sale or transfer. The new guidance allows for the recognition of income tax expense and deferred tax benefits on increases in tax bases when an intercompany sale or transfer occurs. Income tax effects of intercompany inventory transactions continue to be deferred until the assets leave the consolidated group. The guidance</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90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was effective for the Company on January 1, 2018 and did not have a material impact on the Company's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February 2016, the FASB issued new guidance on lease accounting. Under the new guidance, lease classification criteria and income statement recognition are similar to current guidance; however, all leases with a term longer than one year will be recorded on the balance sheet through a right-of-use asset and a corresponding lease liability. The Company will adopt the guidance on a modified retrospective basis on January 1, 2019. The guidance is not expected to have a material impact on the Company's consolidated statement of operations but is expected to have a material impact on its financial position.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Signode</w:t>
      </w:r>
    </w:p>
    <w:p>
      <w:pPr>
        <w:spacing w:after="0" w:line="229"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On April 3, 2018, the Company completed its acquisition of Signode Industrial Group Holdings (Bermuda) Ltd. (“Signode”), a leading global provider of transit packaging systems and solutions, thereby broadening and diversifying its customer base. The Company paid a purchase price of $3.9 billion. The acquisition was undertaken by a subsidiary of Crown European Holdings S.A. See </w:t>
      </w:r>
      <w:hyperlink w:anchor="page24">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about the acquisition financing.</w:t>
      </w:r>
    </w:p>
    <w:p>
      <w:pPr>
        <w:spacing w:after="0" w:line="18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Additionally, the Company entered into forward contracts to partially mitigate its currency exchange rate risk associated with the dollar denominated cash portion of the purchase price. On March 29, 2018, the Company settled these contracts for a loss of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table summarizes the consideration transferred to acquire Signode and the preliminary valuation of identifiable assets acquired and liabilities assumed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66040</wp:posOffset>
            </wp:positionV>
            <wp:extent cx="508571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5715" cy="171450"/>
                    </a:xfrm>
                    <a:prstGeom prst="rect">
                      <a:avLst/>
                    </a:prstGeom>
                    <a:noFill/>
                  </pic:spPr>
                </pic:pic>
              </a:graphicData>
            </a:graphic>
          </wp:anchor>
        </w:drawing>
      </w:r>
    </w:p>
    <w:p>
      <w:pPr>
        <w:spacing w:after="0" w:line="9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67"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3,907</w:t>
            </w:r>
          </w:p>
        </w:tc>
      </w:tr>
      <w:tr>
        <w:trPr>
          <w:trHeight w:val="27"/>
        </w:trPr>
        <w:tc>
          <w:tcPr>
            <w:tcW w:w="6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91"/>
        </w:trPr>
        <w:tc>
          <w:tcPr>
            <w:tcW w:w="6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1,935</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6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r>
      <w:tr>
        <w:trPr>
          <w:trHeight w:val="291"/>
        </w:trPr>
        <w:tc>
          <w:tcPr>
            <w:tcW w:w="68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5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r>
      <w:tr>
        <w:trPr>
          <w:trHeight w:val="20"/>
        </w:trPr>
        <w:tc>
          <w:tcPr>
            <w:tcW w:w="6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Signode will be reported as the Company's Transit Packaging segment. The acquired goodwill was assigned to this segment and is not expected to be deductible for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acquired property, plant and equipment will be depreciated over the estimated remaining useful lives on a straight-line basis.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acquired intangible assets will be amortized over the estimated remaining useful lives of the intangible assets, primarily on a straight-line basis.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acquired and the weighted average remaining useful lives were as follows:</w:t>
      </w: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Preliminary</w:t>
            </w:r>
          </w:p>
        </w:tc>
        <w:tc>
          <w:tcPr>
            <w:tcW w:w="3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 Indefinite lived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Trade names - Definite lived</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has not yet finalized the determination of the fair value of assets acquired and liabilities assumed, including income taxes and contingencies. The Company expects to finalize these amounts within one year of the acquisition date</w:t>
      </w:r>
      <w:r>
        <w:rPr>
          <w:rFonts w:ascii="Arial" w:cs="Arial" w:eastAsia="Arial" w:hAnsi="Arial"/>
          <w:sz w:val="18"/>
          <w:szCs w:val="18"/>
          <w:color w:val="FF0000"/>
        </w:rPr>
        <w: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Signode's results of operations have been included in the Company's financial statements for the period subsequent to the completion of the acquisition on April 3, 2018. Signode contributed sales of $620 and net income attributable to Crown Holdings of $3 for the three and six months ended June 30, 2018.</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unaudited supplemental pro forma data presents consolidated information as if the acquisition had been completed on January 1, 2017. These amounts were calculated after adjusting Signode's results to reflect interest expense incurred on the debt to finance the acquisition, additional depreciation and amortization that would have been charged assuming the fair value of property, plant and equipment and intangible assets had been applied from January 1, 2017 and related transaction costs. These adjustments also include an additional charge of $32 in the six months ended June 30, 2017 for the fair value adjustment related to the sale of inventory acquired. Signode's results include foreign exchange losses related to pre-acquisition intercompany debt arrangements of $15 for the six months ended June 30, 2018 and $21 and $24 for the three and six months ended June 30, 2017.</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c>
          <w:tcPr>
            <w:tcW w:w="4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 forma net income attributable to Crown Holdings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attributable to Crown Holdings: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4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unaudited supplemental pro forma financial information is based on the Company's preliminary assignment of purchase price and therefore subject to adjustment upon finalizing the purchase price assignment. The pro forma data should not be considered indicative of the results that would have occurred if the acquisition and related financing had been consummated on the assumed completion dates, nor are they indicative of future results.</w:t>
      </w:r>
    </w:p>
    <w:p>
      <w:pPr>
        <w:spacing w:after="0" w:line="183"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majority of the Company’s revenues from metal packaging products are derived from multi-year requirement contracts with 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the Company's transit packaging segment are generally derived from individual purchase orders which may include multiple goods and services which are separate performance obligations because they are distinct and separately identifiable.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Revenues are recognized when control of the promised products is transferred to customers. 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and, therefore, the customer obtains value as each unit is produced.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 Revenue that is recognized over time 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46"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For the three and six months ended June 30, 2018, the Company recognized revenue of $1,507 and $2,935 over time and $1,539 and $2,308 at a point in time. See </w:t>
      </w:r>
      <w:hyperlink w:anchor="page28">
        <w:r>
          <w:rPr>
            <w:rFonts w:ascii="Arial" w:cs="Arial" w:eastAsia="Arial" w:hAnsi="Arial"/>
            <w:sz w:val="18"/>
            <w:szCs w:val="18"/>
            <w:u w:val="single" w:color="auto"/>
            <w:color w:val="0000EE"/>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 for the three and six months ended June 30, 2018. The Company has applied the practical expedient to exclude disclosure of remaining performance obligations as its binding orders typically have a term of one year or less.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Unbilled Receivables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reflected in receivables in the Consolidated Balance Sheet with an offsetting decrease to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 These equipment contracts, including payment terms, are typically less than one year in duration.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reported in a net position on a contract-by-contract basis.</w:t>
      </w:r>
    </w:p>
    <w:p>
      <w:pPr>
        <w:spacing w:after="0" w:line="200" w:lineRule="exact"/>
        <w:rPr>
          <w:sz w:val="20"/>
          <w:szCs w:val="20"/>
          <w:color w:val="auto"/>
        </w:rPr>
      </w:pPr>
    </w:p>
    <w:p>
      <w:pPr>
        <w:spacing w:after="0" w:line="22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5460" w:type="dxa"/>
            <w:vAlign w:val="bottom"/>
            <w:gridSpan w:val="3"/>
          </w:tcPr>
          <w:p>
            <w:pPr>
              <w:ind w:left="240"/>
              <w:spacing w:after="0"/>
              <w:rPr>
                <w:sz w:val="20"/>
                <w:szCs w:val="20"/>
                <w:color w:val="auto"/>
              </w:rPr>
            </w:pPr>
            <w:r>
              <w:rPr>
                <w:rFonts w:ascii="Arial" w:cs="Arial" w:eastAsia="Arial" w:hAnsi="Arial"/>
                <w:sz w:val="18"/>
                <w:szCs w:val="18"/>
                <w:color w:val="auto"/>
              </w:rPr>
              <w:t>Net contract assets were as follows: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January 1, 2018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included in 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Net contract asset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E.</w:t>
            </w:r>
          </w:p>
        </w:tc>
        <w:tc>
          <w:tcPr>
            <w:tcW w:w="546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Receivables</w:t>
            </w: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20" w:type="dxa"/>
            <w:vAlign w:val="bottom"/>
            <w:vMerge w:val="continue"/>
          </w:tcPr>
          <w:p>
            <w:pPr>
              <w:spacing w:after="0"/>
              <w:rPr>
                <w:sz w:val="24"/>
                <w:szCs w:val="24"/>
                <w:color w:val="auto"/>
              </w:rPr>
            </w:pPr>
          </w:p>
        </w:tc>
        <w:tc>
          <w:tcPr>
            <w:tcW w:w="54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December 31, 2017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1,790</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with cost for U.S. inventories principally determined under the first-in, first-out (“FIFO”) method. Non-U.S. inventories are principally determined under the FIFO or average cost method.</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2"/>
          </w:tcPr>
          <w:p>
            <w:pPr>
              <w:ind w:left="160"/>
              <w:spacing w:after="0"/>
              <w:rPr>
                <w:sz w:val="20"/>
                <w:szCs w:val="20"/>
                <w:color w:val="auto"/>
              </w:rPr>
            </w:pPr>
            <w:r>
              <w:rPr>
                <w:rFonts w:ascii="Arial" w:cs="Arial" w:eastAsia="Arial" w:hAnsi="Arial"/>
                <w:sz w:val="18"/>
                <w:szCs w:val="18"/>
                <w:color w:val="auto"/>
              </w:rPr>
              <w:t>June 30, 2018</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2017</w:t>
            </w:r>
          </w:p>
        </w:tc>
      </w:tr>
      <w:tr>
        <w:trPr>
          <w:trHeight w:val="27"/>
        </w:trPr>
        <w:tc>
          <w:tcPr>
            <w:tcW w:w="5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54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1,737</w:t>
            </w:r>
          </w:p>
        </w:tc>
        <w:tc>
          <w:tcPr>
            <w:tcW w:w="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5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June 30, 2018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supply contracts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table above excludes indefinite-lived trade names acquired with Signode of $520 at June 30, 2018 and other finite-lived intangible assets with net balances of $3 at both June 30, 2018 and December 31, 2017. See </w:t>
      </w:r>
      <w:hyperlink w:anchor="page11">
        <w:r>
          <w:rPr>
            <w:rFonts w:ascii="Arial" w:cs="Arial" w:eastAsia="Arial" w:hAnsi="Arial"/>
            <w:sz w:val="18"/>
            <w:szCs w:val="18"/>
            <w:u w:val="single" w:color="auto"/>
            <w:color w:val="0000EE"/>
          </w:rPr>
          <w:t>Note 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about the intangible assets acquired with Signode.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amortization expense of intangible assets was $41 and $52 and $10 and $20 for the three and six months ended June 30, 2018 and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recorded restructuring and other charges / (benefits)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0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70"/>
        </w:trPr>
        <w:tc>
          <w:tcPr>
            <w:tcW w:w="4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gridSpan w:val="3"/>
          </w:tcPr>
          <w:p>
            <w:pPr>
              <w:jc w:val="right"/>
              <w:ind w:right="49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r>
      <w:tr>
        <w:trPr>
          <w:trHeight w:val="27"/>
        </w:trPr>
        <w:tc>
          <w:tcPr>
            <w:tcW w:w="48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costs</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2018, transaction costs relate to the Signode acquisition.</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three and six months ended June 30, 2017, other costs included a charge of $16 due to a litigation matter related to Mivisa that arose prior to acquisition by the Company in 2014. The Company recorded a benefit due to favorable settlement of this matter during the three and six months ended June 30, 2018.</w:t>
      </w:r>
    </w:p>
    <w:p>
      <w:pPr>
        <w:spacing w:after="0" w:line="18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six months ended June 30, 2017, asset impairments and sales included a benefit of $5 due to the expiration of an environmental indemnification related to the sale of certain operations in the Company's European Specialty Packaging business in 2015.</w:t>
      </w:r>
    </w:p>
    <w:p>
      <w:pPr>
        <w:spacing w:after="0" w:line="14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June 30, 2018, the Company had restructuring accruals of $17 primarily related to the closure of a promotional packaging facility in Europe which was announced in 2017 and prior actions to reduce manufacturing capacity and headcount in its European businesses. The Company expects to pay the majority of this liability over the next twelve months. The Company continues to review its supply and demand profile and long-term plans in its businesses, and it is possible that the Company may record additional charges in the future.</w:t>
      </w:r>
    </w:p>
    <w:p>
      <w:pPr>
        <w:spacing w:after="0" w:line="39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8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78"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the Company paid $4 to settle outstanding claims and had claims activity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55,500</w:t>
            </w:r>
          </w:p>
        </w:tc>
      </w:tr>
      <w:tr>
        <w:trPr>
          <w:trHeight w:val="27"/>
        </w:trPr>
        <w:tc>
          <w:tcPr>
            <w:tcW w:w="8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2017, the Company's outstanding claims were: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spacing w:after="0"/>
              <w:rPr>
                <w:sz w:val="20"/>
                <w:szCs w:val="20"/>
                <w:color w:val="auto"/>
              </w:rPr>
            </w:pPr>
            <w:r>
              <w:rPr>
                <w:rFonts w:ascii="Arial" w:cs="Arial" w:eastAsia="Arial" w:hAnsi="Arial"/>
                <w:sz w:val="18"/>
                <w:szCs w:val="18"/>
                <w:color w:val="auto"/>
              </w:rPr>
              <w:t>18,500</w:t>
            </w:r>
          </w:p>
        </w:tc>
      </w:tr>
      <w:tr>
        <w:trPr>
          <w:trHeight w:val="27"/>
        </w:trPr>
        <w:tc>
          <w:tcPr>
            <w:tcW w:w="8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90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2015</w:t>
            </w:r>
          </w:p>
        </w:tc>
      </w:tr>
      <w:tr>
        <w:trPr>
          <w:trHeight w:val="27"/>
        </w:trPr>
        <w:tc>
          <w:tcPr>
            <w:tcW w:w="54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2018.</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2018, the Company’s accrual for pending and future asbestos-related claims and related legal costs was $309, including $259 for unasserted claims. The Company determines its accrual without limitation to a specific time period.</w:t>
      </w:r>
    </w:p>
    <w:p>
      <w:pPr>
        <w:spacing w:after="0" w:line="170"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2017),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w:t>
      </w:r>
    </w:p>
    <w:p>
      <w:pPr>
        <w:spacing w:after="0" w:line="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78" w:lineRule="exact"/>
        <w:rPr>
          <w:rFonts w:ascii="Arial" w:cs="Arial" w:eastAsia="Arial" w:hAnsi="Arial"/>
          <w:sz w:val="18"/>
          <w:szCs w:val="18"/>
          <w:b w:val="1"/>
          <w:bCs w:val="1"/>
          <w:color w:val="auto"/>
        </w:rPr>
      </w:pPr>
    </w:p>
    <w:p>
      <w:pPr>
        <w:ind w:left="6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has also recorded aggregate accruals of $9 for remediation activities at various worldwide locations that are owned by the Company and for which the Company is not a member of a PRP group. Although the Company believes</w:t>
      </w:r>
    </w:p>
    <w:p>
      <w:pPr>
        <w:spacing w:after="0" w:line="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90"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and assessed a penalty of $8.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June 30, 2018,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177" w:lineRule="exact"/>
        <w:rPr>
          <w:sz w:val="20"/>
          <w:szCs w:val="20"/>
          <w:color w:val="auto"/>
        </w:rPr>
      </w:pPr>
    </w:p>
    <w:p>
      <w:pPr>
        <w:ind w:left="660" w:right="7380" w:hanging="652"/>
        <w:spacing w:after="0" w:line="50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and Other Financial Instruments </w:t>
      </w:r>
      <w:r>
        <w:rPr>
          <w:rFonts w:ascii="Arial" w:cs="Arial" w:eastAsia="Arial" w:hAnsi="Arial"/>
          <w:sz w:val="18"/>
          <w:szCs w:val="18"/>
          <w:u w:val="single" w:color="auto"/>
          <w:color w:val="auto"/>
        </w:rPr>
        <w:t>Fair Value Measurements</w:t>
      </w: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72"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1"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24">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other comprehensive income until earnings are impacted by the hedged transaction. Classification of the gain or loss in the Consolidated Statements of Operations upon reclassification from comprehensive income is the same as that of the underlying exposure. Contracts outstanding at June 30, 2018 mature between one and twenty-eight months.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forward contracts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0"/>
          </w:cols>
          <w:pgMar w:left="900" w:top="12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6"/>
          </w:tcPr>
          <w:p>
            <w:pPr>
              <w:ind w:left="740"/>
              <w:spacing w:after="0"/>
              <w:rPr>
                <w:sz w:val="20"/>
                <w:szCs w:val="20"/>
                <w:color w:val="auto"/>
              </w:rPr>
            </w:pPr>
            <w:r>
              <w:rPr>
                <w:rFonts w:ascii="Arial" w:cs="Arial" w:eastAsia="Arial" w:hAnsi="Arial"/>
                <w:sz w:val="18"/>
                <w:szCs w:val="18"/>
                <w:b w:val="1"/>
                <w:bCs w:val="1"/>
                <w:color w:val="auto"/>
                <w:w w:val="92"/>
              </w:rPr>
              <w:t>Crown Holdings, Inc.</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Amount of gain/(loss)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Amount of gain/(loss)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recognized in OCI</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1"/>
              </w:rPr>
              <w:t>recognized in OCI</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Six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hedges</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2018</w:t>
            </w: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9"/>
              </w:rPr>
              <w:t>June 30, 2017</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2018</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2017</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Amount of gain/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5"/>
              </w:rPr>
              <w:t>Amount of gain/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(loss) reclassified from</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(loss) reclassified from</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AOCI into income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AOCI into income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Six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vMerge w:val="restart"/>
          </w:tcPr>
          <w:p>
            <w:pPr>
              <w:ind w:left="56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6"/>
        </w:trPr>
        <w:tc>
          <w:tcPr>
            <w:tcW w:w="2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hedges</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2018</w:t>
            </w: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9"/>
              </w:rPr>
              <w:t>June 30, 2017</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2018</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2017</w:t>
            </w:r>
          </w:p>
        </w:tc>
        <w:tc>
          <w:tcPr>
            <w:tcW w:w="2900" w:type="dxa"/>
            <w:vAlign w:val="bottom"/>
          </w:tcPr>
          <w:p>
            <w:pPr>
              <w:ind w:left="60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9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  Cost of products sold</w:t>
            </w: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and six months ended June 30, 2017, the Company recognized a gain of $1 ( less than $1, net of tax) and a loss of $1 ($1, net of tax) in earnings related to hedge ineffectiveness caused by volatility in the metal premium component of aluminum prices. There is no ineffectiveness in the current year as the Company has hedged variability in cash flows for contractually specified components of its aluminum purchases.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twelve month period ending June 30, 2019, a net gain of $6 ($5, net of tax) is expected to be reclassified to earnings. No amounts were reclassified during the six months ended June 30, 2018 and 2017 in connection with anticipated transactions that were no longer considered 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in hedge relationships;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currencies other than the entity's functional currency.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and six months ended June 30, 2018, the Company recorded losses of less than $1 from foreign exchange contracts designated as fair value hedges. For the three and six months ended June 30, 2017, the Company recorded losses of less than $1 from foreign exchange contracts designated as fair value hedges. These adjustments were reported within foreign exchange in the Consolidated Statement of Operations.</w:t>
      </w:r>
    </w:p>
    <w:p>
      <w:pPr>
        <w:sectPr>
          <w:pgSz w:w="11900" w:h="16838" w:orient="portrait"/>
          <w:cols w:equalWidth="0" w:num="1">
            <w:col w:w="10760"/>
          </w:cols>
          <w:pgMar w:left="90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760"/>
          </w:cols>
          <w:pgMar w:left="900" w:top="121" w:right="239" w:bottom="1440" w:gutter="0" w:footer="0" w:header="0"/>
          <w:type w:val="continuous"/>
        </w:sectPr>
      </w:pPr>
    </w:p>
    <w:bookmarkStart w:id="20" w:name="page21"/>
    <w:bookmarkEnd w:id="20"/>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Pre-tax amount of gain/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Pre-tax amount of gain/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(loss) recognized in income</w:t>
            </w:r>
          </w:p>
        </w:tc>
        <w:tc>
          <w:tcPr>
            <w:tcW w:w="140" w:type="dxa"/>
            <w:vAlign w:val="bottom"/>
          </w:tcPr>
          <w:p>
            <w:pPr>
              <w:spacing w:after="0"/>
              <w:rPr>
                <w:sz w:val="23"/>
                <w:szCs w:val="23"/>
                <w:color w:val="auto"/>
              </w:rPr>
            </w:pPr>
          </w:p>
        </w:tc>
        <w:tc>
          <w:tcPr>
            <w:tcW w:w="2260" w:type="dxa"/>
            <w:vAlign w:val="bottom"/>
            <w:gridSpan w:val="4"/>
          </w:tcPr>
          <w:p>
            <w:pPr>
              <w:jc w:val="center"/>
              <w:ind w:right="10"/>
              <w:spacing w:after="0"/>
              <w:rPr>
                <w:sz w:val="20"/>
                <w:szCs w:val="20"/>
                <w:color w:val="auto"/>
              </w:rPr>
            </w:pPr>
            <w:r>
              <w:rPr>
                <w:rFonts w:ascii="Arial" w:cs="Arial" w:eastAsia="Arial" w:hAnsi="Arial"/>
                <w:sz w:val="18"/>
                <w:szCs w:val="18"/>
                <w:color w:val="auto"/>
                <w:w w:val="91"/>
              </w:rPr>
              <w:t>(loss) recognized in income</w:t>
            </w:r>
          </w:p>
        </w:tc>
        <w:tc>
          <w:tcPr>
            <w:tcW w:w="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on derivative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8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on derivative</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Three Months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w:t>
            </w: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Six Months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Six Months</w:t>
            </w: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8"/>
              </w:rPr>
              <w:t>Ended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4"/>
              </w:rPr>
              <w:t>Affected line item in the</w:t>
            </w:r>
          </w:p>
        </w:tc>
        <w:tc>
          <w:tcPr>
            <w:tcW w:w="0" w:type="dxa"/>
            <w:vAlign w:val="bottom"/>
          </w:tcPr>
          <w:p>
            <w:pPr>
              <w:spacing w:after="0"/>
              <w:rPr>
                <w:sz w:val="1"/>
                <w:szCs w:val="1"/>
                <w:color w:val="auto"/>
              </w:rPr>
            </w:pPr>
          </w:p>
        </w:tc>
      </w:tr>
      <w:tr>
        <w:trPr>
          <w:trHeight w:val="263"/>
        </w:trPr>
        <w:tc>
          <w:tcPr>
            <w:tcW w:w="20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designated as hedges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2018</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2017</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2018</w:t>
            </w:r>
          </w:p>
        </w:tc>
        <w:tc>
          <w:tcPr>
            <w:tcW w:w="126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June 30, 2017</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statement of operations</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4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1"/>
                <w:szCs w:val="21"/>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  Cost of products sold</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2017, certain commodity hedges did not meet the criteria for hedge accounting and therefore the changes in their fair value were recognized in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2018, the Company recorded a gain of $48 ($48, net of tax) and a gain of $13 ($17, net of tax) in other comprehensive income for certain debt instruments that are designated as hedges of its net investment in a euro-based subsidiary. For the three and six months ended June 30, 2017, the Company recorded losses of $81 ($65, net of tax) and $96 ($77, net of tax) in other comprehensive income for these net investment hedges. As of June 30, 2018 and December 31, 2017, cumulative losses of $93 and $106 ($71 and $88, net of tax) were recognized in accumulated other comprehensive income related to these net investment hedges. As of June 30, 2018 the carrying amount of the hedged net investment was approximately €1,124 ($1,311 at June 30, 2018).</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2018, the Company entered into a series of cross-currency swaps with an aggregate notional of $875 (€718). The swaps are designated as a hedge of net investment for financial reporting purposes. Under the cross-currency interest rate contracts, the Company will receive semi-annual fixed U.S. dollar payments at a rate of 4.75% of the U.S. notional value and pay 2.50% on the euro notional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financial information about the impact on OCI from changes in the fair value of derivative instruments.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Amount of gain/(loss)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3"/>
          </w:tcPr>
          <w:p>
            <w:pPr>
              <w:jc w:val="center"/>
              <w:ind w:left="90"/>
              <w:spacing w:after="0"/>
              <w:rPr>
                <w:sz w:val="20"/>
                <w:szCs w:val="20"/>
                <w:color w:val="auto"/>
              </w:rPr>
            </w:pPr>
            <w:r>
              <w:rPr>
                <w:rFonts w:ascii="Arial" w:cs="Arial" w:eastAsia="Arial" w:hAnsi="Arial"/>
                <w:sz w:val="18"/>
                <w:szCs w:val="18"/>
                <w:color w:val="auto"/>
                <w:w w:val="92"/>
              </w:rPr>
              <w:t>Amount of gain/(loss)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recognized in OCI</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3"/>
          </w:tcPr>
          <w:p>
            <w:pPr>
              <w:jc w:val="center"/>
              <w:ind w:left="90"/>
              <w:spacing w:after="0"/>
              <w:rPr>
                <w:sz w:val="20"/>
                <w:szCs w:val="20"/>
                <w:color w:val="auto"/>
              </w:rPr>
            </w:pPr>
            <w:r>
              <w:rPr>
                <w:rFonts w:ascii="Arial" w:cs="Arial" w:eastAsia="Arial" w:hAnsi="Arial"/>
                <w:sz w:val="18"/>
                <w:szCs w:val="18"/>
                <w:color w:val="auto"/>
                <w:w w:val="92"/>
              </w:rPr>
              <w:t>recognized in OCI</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Three Months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w:t>
            </w: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Six Months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4"/>
              </w:rPr>
              <w:t>Six Months</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8"/>
              </w:rPr>
              <w:t>Ended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designated as net</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25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investment hedges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2018</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2017</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30, 2018</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0"/>
          </w:cols>
          <w:pgMar w:left="90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June 30, 2018 and December 31, 2017, respectively. The fair values of these financial instruments were reported under Level 2 of the fair value hierarchy.</w:t>
      </w:r>
    </w:p>
    <w:p>
      <w:pPr>
        <w:spacing w:after="0" w:line="286"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gridSpan w:val="4"/>
          </w:tcPr>
          <w:p>
            <w:pPr>
              <w:ind w:left="400"/>
              <w:spacing w:after="0"/>
              <w:rPr>
                <w:sz w:val="20"/>
                <w:szCs w:val="20"/>
                <w:color w:val="auto"/>
              </w:rPr>
            </w:pPr>
            <w:r>
              <w:rPr>
                <w:rFonts w:ascii="Arial" w:cs="Arial" w:eastAsia="Arial" w:hAnsi="Arial"/>
                <w:sz w:val="18"/>
                <w:szCs w:val="18"/>
                <w:color w:val="auto"/>
              </w:rPr>
              <w:t>Balance Sheet</w:t>
            </w:r>
          </w:p>
        </w:tc>
        <w:tc>
          <w:tcPr>
            <w:tcW w:w="16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8"/>
              </w:rPr>
              <w:t>December 31,</w:t>
            </w:r>
          </w:p>
        </w:tc>
        <w:tc>
          <w:tcPr>
            <w:tcW w:w="1800" w:type="dxa"/>
            <w:vAlign w:val="bottom"/>
          </w:tcPr>
          <w:p>
            <w:pPr>
              <w:ind w:left="380"/>
              <w:spacing w:after="0"/>
              <w:rPr>
                <w:sz w:val="20"/>
                <w:szCs w:val="20"/>
                <w:color w:val="auto"/>
              </w:rPr>
            </w:pPr>
            <w:r>
              <w:rPr>
                <w:rFonts w:ascii="Arial" w:cs="Arial" w:eastAsia="Arial" w:hAnsi="Arial"/>
                <w:sz w:val="18"/>
                <w:szCs w:val="18"/>
                <w:color w:val="auto"/>
              </w:rPr>
              <w:t>Balance Sheet</w:t>
            </w:r>
          </w:p>
        </w:tc>
        <w:tc>
          <w:tcPr>
            <w:tcW w:w="16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4"/>
          </w:tcPr>
          <w:p>
            <w:pPr>
              <w:ind w:left="44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800" w:type="dxa"/>
            <w:vAlign w:val="bottom"/>
          </w:tcPr>
          <w:p>
            <w:pPr>
              <w:ind w:left="42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9"/>
              </w:rPr>
              <w:t>contracts cash flow</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contracts cash flow</w:t>
            </w:r>
          </w:p>
        </w:tc>
        <w:tc>
          <w:tcPr>
            <w:tcW w:w="18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Other non-current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hedge</w:t>
            </w:r>
          </w:p>
        </w:tc>
        <w:tc>
          <w:tcPr>
            <w:tcW w:w="18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auto"/>
              </w:rPr>
              <w:t>Total derivatives designated as hedging</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4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color w:val="auto"/>
              </w:rPr>
              <w:t>Derivatives not designated as hedging</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9"/>
              </w:rPr>
              <w:t>contracts cash flow</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fair value</w:t>
            </w:r>
          </w:p>
        </w:tc>
        <w:tc>
          <w:tcPr>
            <w:tcW w:w="18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Commodities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9"/>
              </w:rPr>
              <w:t>contracts cash flow</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8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5"/>
              </w:rPr>
              <w:t>Total derivatives not designated as hedging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8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Hedge Carrying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4"/>
          </w:tcPr>
          <w:p>
            <w:pPr>
              <w:jc w:val="right"/>
              <w:ind w:right="630"/>
              <w:spacing w:after="0"/>
              <w:rPr>
                <w:sz w:val="20"/>
                <w:szCs w:val="20"/>
                <w:color w:val="auto"/>
              </w:rPr>
            </w:pPr>
            <w:r>
              <w:rPr>
                <w:rFonts w:ascii="Arial" w:cs="Arial" w:eastAsia="Arial" w:hAnsi="Arial"/>
                <w:sz w:val="18"/>
                <w:szCs w:val="18"/>
                <w:color w:val="auto"/>
              </w:rPr>
              <w:t>Carrying amount of the hedged</w:t>
            </w:r>
          </w:p>
        </w:tc>
        <w:tc>
          <w:tcPr>
            <w:tcW w:w="0" w:type="dxa"/>
            <w:vAlign w:val="bottom"/>
          </w:tcPr>
          <w:p>
            <w:pPr>
              <w:spacing w:after="0"/>
              <w:rPr>
                <w:sz w:val="1"/>
                <w:szCs w:val="1"/>
                <w:color w:val="auto"/>
              </w:rPr>
            </w:pPr>
          </w:p>
        </w:tc>
      </w:tr>
      <w:tr>
        <w:trPr>
          <w:trHeight w:val="270"/>
        </w:trPr>
        <w:tc>
          <w:tcPr>
            <w:tcW w:w="2620" w:type="dxa"/>
            <w:vAlign w:val="bottom"/>
          </w:tcPr>
          <w:p>
            <w:pPr>
              <w:jc w:val="center"/>
              <w:spacing w:after="0"/>
              <w:rPr>
                <w:sz w:val="20"/>
                <w:szCs w:val="20"/>
                <w:color w:val="auto"/>
              </w:rPr>
            </w:pPr>
            <w:r>
              <w:rPr>
                <w:rFonts w:ascii="Arial" w:cs="Arial" w:eastAsia="Arial" w:hAnsi="Arial"/>
                <w:sz w:val="18"/>
                <w:szCs w:val="18"/>
                <w:color w:val="auto"/>
                <w:w w:val="91"/>
              </w:rPr>
              <w:t>Line item in the statement of</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360" w:type="dxa"/>
            <w:vAlign w:val="bottom"/>
            <w:gridSpan w:val="4"/>
          </w:tcPr>
          <w:p>
            <w:pPr>
              <w:jc w:val="right"/>
              <w:ind w:right="1130"/>
              <w:spacing w:after="0"/>
              <w:rPr>
                <w:sz w:val="20"/>
                <w:szCs w:val="20"/>
                <w:color w:val="auto"/>
              </w:rPr>
            </w:pPr>
            <w:r>
              <w:rPr>
                <w:rFonts w:ascii="Arial" w:cs="Arial" w:eastAsia="Arial" w:hAnsi="Arial"/>
                <w:sz w:val="18"/>
                <w:szCs w:val="18"/>
                <w:color w:val="auto"/>
              </w:rPr>
              <w:t>assets/(liabilities)</w:t>
            </w:r>
          </w:p>
        </w:tc>
        <w:tc>
          <w:tcPr>
            <w:tcW w:w="0" w:type="dxa"/>
            <w:vAlign w:val="bottom"/>
          </w:tcPr>
          <w:p>
            <w:pPr>
              <w:spacing w:after="0"/>
              <w:rPr>
                <w:sz w:val="1"/>
                <w:szCs w:val="1"/>
                <w:color w:val="auto"/>
              </w:rPr>
            </w:pPr>
          </w:p>
        </w:tc>
      </w:tr>
      <w:tr>
        <w:trPr>
          <w:trHeight w:val="27"/>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3"/>
              </w:rPr>
              <w:t>financial position in which the</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24"/>
                <w:szCs w:val="24"/>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90"/>
              </w:rPr>
              <w:t>hedge item is included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As of June 30, 2018 and December 31, 2017, the cumulative amounts of fair value hedging adjustment included in the carrying amount of the hedge assets and liabilities were less than $1.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Gross amounts recognized in</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89"/>
              </w:rPr>
              <w:t>Gross amounts not offset in the</w:t>
            </w: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8"/>
              </w:rPr>
              <w:t>the Balance Sheet</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7"/>
              </w:rPr>
              <w:t>Balance Sheet</w:t>
            </w:r>
          </w:p>
        </w:tc>
        <w:tc>
          <w:tcPr>
            <w:tcW w:w="1380" w:type="dxa"/>
            <w:vAlign w:val="bottom"/>
          </w:tcPr>
          <w:p>
            <w:pPr>
              <w:ind w:left="20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20" w:type="dxa"/>
            <w:vAlign w:val="bottom"/>
            <w:gridSpan w:val="3"/>
          </w:tcPr>
          <w:p>
            <w:pPr>
              <w:spacing w:after="0" w:line="196" w:lineRule="exact"/>
              <w:rPr>
                <w:sz w:val="20"/>
                <w:szCs w:val="20"/>
                <w:color w:val="auto"/>
              </w:rPr>
            </w:pPr>
            <w:r>
              <w:rPr>
                <w:rFonts w:ascii="Arial" w:cs="Arial" w:eastAsia="Arial" w:hAnsi="Arial"/>
                <w:sz w:val="18"/>
                <w:szCs w:val="18"/>
                <w:color w:val="auto"/>
              </w:rPr>
              <w:t>Balance at June 30, 2018</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6"/>
              </w:rPr>
              <w:t>$44</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$8</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6"/>
              </w:rPr>
              <w:t>$36</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25</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79"/>
              </w:rPr>
              <w:t>8</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17</w:t>
            </w: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63</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17</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46</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23</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9"/>
              </w:rPr>
              <w:t>17</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aggregate U.S. dollar-equivalent notional values of outstanding derivative instruments in the Consolidated Balance Sheets at June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2017</w:t>
            </w:r>
          </w:p>
        </w:tc>
      </w:tr>
      <w:tr>
        <w:trPr>
          <w:trHeight w:val="27"/>
        </w:trPr>
        <w:tc>
          <w:tcPr>
            <w:tcW w:w="38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cash flow hedges: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694</w:t>
            </w:r>
          </w:p>
        </w:tc>
        <w:tc>
          <w:tcPr>
            <w:tcW w:w="8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Derivatives in fair value hedges: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Commodities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702"/>
        </w:trPr>
        <w:tc>
          <w:tcPr>
            <w:tcW w:w="38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760"/>
          </w:cols>
          <w:pgMar w:left="900" w:top="121" w:right="2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The Company's outstanding debt was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740"/>
              <w:spacing w:after="0"/>
              <w:rPr>
                <w:sz w:val="20"/>
                <w:szCs w:val="20"/>
                <w:color w:val="auto"/>
              </w:rPr>
            </w:pPr>
            <w:r>
              <w:rPr>
                <w:rFonts w:ascii="Arial" w:cs="Arial" w:eastAsia="Arial" w:hAnsi="Arial"/>
                <w:sz w:val="18"/>
                <w:szCs w:val="18"/>
                <w:color w:val="auto"/>
              </w:rPr>
              <w:t>June 30, 2018</w:t>
            </w:r>
          </w:p>
        </w:tc>
        <w:tc>
          <w:tcPr>
            <w:tcW w:w="16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 2017</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20"/>
                <w:szCs w:val="20"/>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Carrying</w:t>
            </w: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60" w:type="dxa"/>
            <w:vAlign w:val="bottom"/>
          </w:tcPr>
          <w:p>
            <w:pPr>
              <w:spacing w:after="0"/>
              <w:rPr>
                <w:sz w:val="23"/>
                <w:szCs w:val="23"/>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62</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Term loan facilities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dollar at LIBOR + 1.75%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rPr>
              <w:t>U.S. dollar at LIBOR + 2.00% due 2027</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1,126</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3"/>
            <w:shd w:val="clear" w:color="auto" w:fill="CCEEFF"/>
          </w:tcPr>
          <w:p>
            <w:pPr>
              <w:ind w:left="680"/>
              <w:spacing w:after="0" w:line="270" w:lineRule="exact"/>
              <w:rPr>
                <w:sz w:val="20"/>
                <w:szCs w:val="20"/>
                <w:color w:val="auto"/>
              </w:rPr>
            </w:pPr>
            <w:r>
              <w:rPr>
                <w:rFonts w:ascii="Arial" w:cs="Arial" w:eastAsia="Arial" w:hAnsi="Arial"/>
                <w:sz w:val="18"/>
                <w:szCs w:val="18"/>
                <w:color w:val="auto"/>
              </w:rPr>
              <w:t>Euro at EURIBOR + 1.75% due 2022</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70"/>
        </w:trPr>
        <w:tc>
          <w:tcPr>
            <w:tcW w:w="20" w:type="dxa"/>
            <w:vAlign w:val="bottom"/>
          </w:tcPr>
          <w:p>
            <w:pPr>
              <w:spacing w:after="0"/>
              <w:rPr>
                <w:sz w:val="23"/>
                <w:szCs w:val="23"/>
                <w:color w:val="auto"/>
              </w:rPr>
            </w:pPr>
          </w:p>
        </w:tc>
        <w:tc>
          <w:tcPr>
            <w:tcW w:w="4160" w:type="dxa"/>
            <w:vAlign w:val="bottom"/>
            <w:gridSpan w:val="3"/>
          </w:tcPr>
          <w:p>
            <w:pPr>
              <w:ind w:left="680"/>
              <w:spacing w:after="0" w:line="270" w:lineRule="exact"/>
              <w:rPr>
                <w:sz w:val="20"/>
                <w:szCs w:val="20"/>
                <w:color w:val="auto"/>
              </w:rPr>
            </w:pPr>
            <w:r>
              <w:rPr>
                <w:rFonts w:ascii="Arial" w:cs="Arial" w:eastAsia="Arial" w:hAnsi="Arial"/>
                <w:sz w:val="18"/>
                <w:szCs w:val="18"/>
                <w:color w:val="auto"/>
              </w:rPr>
              <w:t>Euro at EURIBOR + 2.375% due 2025</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€650 at 4.0% due 2022</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774</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€335 at 2.250% due 2023</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€600 at 3.375%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U.S. dollar at 4.75%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7.375%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€500 at 2.875%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20" w:type="dxa"/>
            <w:vAlign w:val="bottom"/>
          </w:tcPr>
          <w:p>
            <w:pPr>
              <w:spacing w:after="0"/>
              <w:rPr>
                <w:sz w:val="20"/>
                <w:szCs w:val="20"/>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9,421</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9,320</w:t>
            </w: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20" w:type="dxa"/>
            <w:vAlign w:val="bottom"/>
          </w:tcPr>
          <w:p>
            <w:pPr>
              <w:spacing w:after="0"/>
              <w:rPr>
                <w:sz w:val="20"/>
                <w:szCs w:val="20"/>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w w:val="99"/>
              </w:rPr>
              <w:t>Total long-term debt, less current maturities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9,337</w:t>
            </w:r>
          </w:p>
        </w:tc>
        <w:tc>
          <w:tcPr>
            <w:tcW w:w="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9,236</w:t>
            </w:r>
          </w:p>
        </w:tc>
        <w:tc>
          <w:tcPr>
            <w:tcW w:w="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4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5,217</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12" w:hanging="264"/>
        <w:spacing w:after="0"/>
        <w:tabs>
          <w:tab w:leader="none" w:pos="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€266 and €270 at June 30, 2018 and December 31, 2017</w:t>
      </w:r>
    </w:p>
    <w:p>
      <w:pPr>
        <w:spacing w:after="0" w:line="23" w:lineRule="exact"/>
        <w:rPr>
          <w:rFonts w:ascii="Arial" w:cs="Arial" w:eastAsia="Arial" w:hAnsi="Arial"/>
          <w:sz w:val="18"/>
          <w:szCs w:val="18"/>
          <w:color w:val="auto"/>
        </w:rPr>
      </w:pPr>
    </w:p>
    <w:p>
      <w:pPr>
        <w:ind w:left="912" w:hanging="264"/>
        <w:spacing w:after="0"/>
        <w:tabs>
          <w:tab w:leader="none" w:pos="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€750 at June 30, 2018</w:t>
      </w:r>
    </w:p>
    <w:p>
      <w:pPr>
        <w:spacing w:after="0" w:line="200" w:lineRule="exact"/>
        <w:rPr>
          <w:sz w:val="20"/>
          <w:szCs w:val="20"/>
          <w:color w:val="auto"/>
        </w:rPr>
      </w:pPr>
    </w:p>
    <w:p>
      <w:pPr>
        <w:spacing w:after="0" w:line="227"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$9,368 at June 30, 2018 and $5,562 at December 31, 2017.</w:t>
      </w:r>
    </w:p>
    <w:p>
      <w:pPr>
        <w:spacing w:after="0" w:line="170"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In January 2018, the Company amended its revolving credit agreements, effective as of April 2018, to provide capacity of $1,650 under the revolving credit facility upon completion of the Signode acquisition, increase total leverage ratios and extend the timetable for compliance with total leverage ratios.</w:t>
      </w:r>
    </w:p>
    <w:p>
      <w:pPr>
        <w:spacing w:after="0" w:line="181" w:lineRule="exact"/>
        <w:rPr>
          <w:sz w:val="20"/>
          <w:szCs w:val="20"/>
          <w:color w:val="auto"/>
        </w:rPr>
      </w:pPr>
    </w:p>
    <w:p>
      <w:pPr>
        <w:jc w:val="both"/>
        <w:ind w:left="652" w:right="20"/>
        <w:spacing w:after="0" w:line="308" w:lineRule="auto"/>
        <w:rPr>
          <w:sz w:val="20"/>
          <w:szCs w:val="20"/>
          <w:color w:val="auto"/>
        </w:rPr>
      </w:pPr>
      <w:r>
        <w:rPr>
          <w:rFonts w:ascii="Arial" w:cs="Arial" w:eastAsia="Arial" w:hAnsi="Arial"/>
          <w:sz w:val="17"/>
          <w:szCs w:val="17"/>
          <w:color w:val="auto"/>
        </w:rPr>
        <w:t>In January 2018, the Company issued $875 principal amount of 4.750% senior unsecured notes due 2026. The notes were issued at par by Crown Americas LLC, a subsidiary of the Company, and are unconditionally guaranteed by the Company and certain of its subsidiaries.</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121" w:right="239" w:bottom="1440" w:gutter="0" w:footer="0" w:header="0"/>
        </w:sectPr>
      </w:pPr>
    </w:p>
    <w:bookmarkStart w:id="24" w:name="page25"/>
    <w:bookmarkEnd w:id="24"/>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52"/>
        <w:spacing w:after="0" w:line="286" w:lineRule="auto"/>
        <w:rPr>
          <w:sz w:val="20"/>
          <w:szCs w:val="20"/>
          <w:color w:val="auto"/>
        </w:rPr>
      </w:pPr>
      <w:r>
        <w:rPr>
          <w:rFonts w:ascii="Arial" w:cs="Arial" w:eastAsia="Arial" w:hAnsi="Arial"/>
          <w:sz w:val="17"/>
          <w:szCs w:val="17"/>
          <w:color w:val="auto"/>
        </w:rPr>
        <w:t>In January 2018, the Company also issued €500 ($583 at June 30, 2018) principal amount of 2.875% senior unsecured notes due 2026 and €335 ($391 at June 30, 2018) principal amount of 2.25% senior unsecured notes due 2023. The notes were issued at par by Crown European Holdings S.A., a subsidiary of the Company and are unconditionally guaranteed by the Company and certain of its subsidiaries.</w:t>
      </w:r>
    </w:p>
    <w:p>
      <w:pPr>
        <w:spacing w:after="0" w:line="166"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In April 2018, the Company borrowed $100 Term A loans and $1,150 Term B loans under its U.S. dollar term loan facility and €750 ($875 at June 30, 2018) additional Term B loans under its European term loan facility. The Term B loans mature on April 3, 2025 and interest rates are based on LIBOR or EURIBOR plus a margin of 1.00% up to 2.375%.</w:t>
      </w:r>
    </w:p>
    <w:p>
      <w:pPr>
        <w:spacing w:after="0" w:line="177"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29"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and other postretirement benefits costs for the three and six months ended June 30, 2018 and 2017 were as follows:</w:t>
      </w:r>
    </w:p>
    <w:p>
      <w:pPr>
        <w:spacing w:after="0" w:line="19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ectPr>
          <w:pgSz w:w="11900" w:h="16838" w:orient="portrait"/>
          <w:cols w:equalWidth="0" w:num="1">
            <w:col w:w="11412"/>
          </w:cols>
          <w:pgMar w:left="248"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12"/>
          </w:cols>
          <w:pgMar w:left="248"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20"/>
                <w:szCs w:val="20"/>
                <w:color w:val="auto"/>
              </w:rPr>
            </w:pPr>
          </w:p>
        </w:tc>
        <w:tc>
          <w:tcPr>
            <w:tcW w:w="1460" w:type="dxa"/>
            <w:vAlign w:val="bottom"/>
            <w:gridSpan w:val="4"/>
          </w:tcPr>
          <w:p>
            <w:pPr>
              <w:jc w:val="right"/>
              <w:ind w:right="30"/>
              <w:spacing w:after="0"/>
              <w:rPr>
                <w:sz w:val="20"/>
                <w:szCs w:val="20"/>
                <w:color w:val="auto"/>
              </w:rPr>
            </w:pPr>
            <w:r>
              <w:rPr>
                <w:rFonts w:ascii="Arial" w:cs="Arial" w:eastAsia="Arial" w:hAnsi="Arial"/>
                <w:sz w:val="18"/>
                <w:szCs w:val="18"/>
                <w:color w:val="auto"/>
                <w:w w:val="90"/>
              </w:rPr>
              <w:t>Six Months Ended</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Details about accumulated other</w:t>
            </w:r>
          </w:p>
        </w:tc>
        <w:tc>
          <w:tcPr>
            <w:tcW w:w="120" w:type="dxa"/>
            <w:vAlign w:val="bottom"/>
          </w:tcPr>
          <w:p>
            <w:pPr>
              <w:spacing w:after="0"/>
              <w:rPr>
                <w:sz w:val="23"/>
                <w:szCs w:val="23"/>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8"/>
                <w:szCs w:val="18"/>
                <w:color w:val="auto"/>
                <w:w w:val="84"/>
              </w:rPr>
              <w:t>June 30</w:t>
            </w:r>
          </w:p>
        </w:tc>
        <w:tc>
          <w:tcPr>
            <w:tcW w:w="140" w:type="dxa"/>
            <w:vAlign w:val="bottom"/>
          </w:tcPr>
          <w:p>
            <w:pPr>
              <w:spacing w:after="0"/>
              <w:rPr>
                <w:sz w:val="23"/>
                <w:szCs w:val="23"/>
                <w:color w:val="auto"/>
              </w:rPr>
            </w:pPr>
          </w:p>
        </w:tc>
        <w:tc>
          <w:tcPr>
            <w:tcW w:w="1460" w:type="dxa"/>
            <w:vAlign w:val="bottom"/>
            <w:gridSpan w:val="4"/>
          </w:tcPr>
          <w:p>
            <w:pPr>
              <w:jc w:val="right"/>
              <w:ind w:right="41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3"/>
                <w:szCs w:val="23"/>
                <w:color w:val="auto"/>
              </w:rPr>
            </w:pPr>
          </w:p>
        </w:tc>
        <w:tc>
          <w:tcPr>
            <w:tcW w:w="3700" w:type="dxa"/>
            <w:vAlign w:val="bottom"/>
          </w:tcPr>
          <w:p>
            <w:pPr>
              <w:ind w:left="98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6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comprehensive income components</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vMerge w:val="restart"/>
          </w:tcPr>
          <w:p>
            <w:pPr>
              <w:ind w:left="10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gridSpan w:val="2"/>
          </w:tcPr>
          <w:p>
            <w:pPr>
              <w:ind w:left="200"/>
              <w:spacing w:after="0"/>
              <w:rPr>
                <w:sz w:val="20"/>
                <w:szCs w:val="20"/>
                <w:color w:val="auto"/>
              </w:rPr>
            </w:pPr>
            <w:r>
              <w:rPr>
                <w:rFonts w:ascii="Arial" w:cs="Arial" w:eastAsia="Arial" w:hAnsi="Arial"/>
                <w:sz w:val="18"/>
                <w:szCs w:val="18"/>
                <w:color w:val="auto"/>
              </w:rPr>
              <w:t>Actuarial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Prior service credit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Company's accounting for the Tax Cuts and Jobs Act (H.R. 1), (the "Tax Act") is provisional. As of December 31, 2017, the Company recorded a gross provisional obligation of $113 for the one-time tax imposed on the unremitted earnings of non-U.S. subsidiaries. The Company expects to be able to use foreign tax credit carryforwards to satisfy this obligation. The Company has not completed its assessment of the impact of the Tax Act on state taxable income and any related state tax loss carryforwards but does not expect the Tax Act to have a material impact on related valuation allowances. The Company has not made any additional measurement-period adjustments related to these items during the six months ended June 30, 2018. The Company continues to review the technical interpretations of the Tax Act and other applicable laws, monitor legislative changes, review U.S. state guidance as issued and obtain the information necessary to complete the calculation of the obligation and expects to complete its analysis during the fourth quarter of 2018.</w:t>
      </w:r>
    </w:p>
    <w:p>
      <w:pPr>
        <w:spacing w:after="0" w:line="17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4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currency</w:t>
            </w: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losses on cash</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plans</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flow hedges</w:t>
            </w:r>
          </w:p>
        </w:tc>
        <w:tc>
          <w:tcPr>
            <w:tcW w:w="200" w:type="dxa"/>
            <w:vAlign w:val="bottom"/>
          </w:tcPr>
          <w:p>
            <w:pPr>
              <w:spacing w:after="0"/>
              <w:rPr>
                <w:sz w:val="20"/>
                <w:szCs w:val="20"/>
                <w:color w:val="auto"/>
              </w:rPr>
            </w:pPr>
          </w:p>
        </w:tc>
        <w:tc>
          <w:tcPr>
            <w:tcW w:w="700" w:type="dxa"/>
            <w:vAlign w:val="bottom"/>
          </w:tcPr>
          <w:p>
            <w:pPr>
              <w:jc w:val="right"/>
              <w:ind w:right="169"/>
              <w:spacing w:after="0"/>
              <w:rPr>
                <w:sz w:val="20"/>
                <w:szCs w:val="20"/>
                <w:color w:val="auto"/>
              </w:rPr>
            </w:pPr>
            <w:r>
              <w:rPr>
                <w:rFonts w:ascii="Arial" w:cs="Arial" w:eastAsia="Arial" w:hAnsi="Arial"/>
                <w:sz w:val="18"/>
                <w:szCs w:val="18"/>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Arial" w:cs="Arial" w:eastAsia="Arial" w:hAnsi="Arial"/>
                <w:sz w:val="18"/>
                <w:szCs w:val="18"/>
                <w:color w:val="auto"/>
              </w:rPr>
              <w:t>225</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7</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232</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61"/>
        </w:trPr>
        <w:tc>
          <w:tcPr>
            <w:tcW w:w="5500" w:type="dxa"/>
            <w:vAlign w:val="bottom"/>
          </w:tcPr>
          <w:p>
            <w:pPr>
              <w:ind w:left="2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20"/>
                <w:szCs w:val="20"/>
                <w:color w:val="auto"/>
              </w:rPr>
              <w:t>3</w:t>
            </w:r>
          </w:p>
        </w:tc>
      </w:tr>
      <w:tr>
        <w:trPr>
          <w:trHeight w:val="23"/>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Arial" w:cs="Arial" w:eastAsia="Arial" w:hAnsi="Arial"/>
                <w:sz w:val="18"/>
                <w:szCs w:val="18"/>
                <w:color w:val="auto"/>
              </w:rPr>
              <w:t>10</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8">
        <w:r>
          <w:rPr>
            <w:rFonts w:ascii="Arial" w:cs="Arial" w:eastAsia="Arial" w:hAnsi="Arial"/>
            <w:sz w:val="18"/>
            <w:szCs w:val="18"/>
            <w:u w:val="single" w:color="auto"/>
            <w:color w:val="0000EE"/>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5">
        <w:r>
          <w:rPr>
            <w:rFonts w:ascii="Arial" w:cs="Arial" w:eastAsia="Arial" w:hAnsi="Arial"/>
            <w:sz w:val="18"/>
            <w:szCs w:val="18"/>
            <w:u w:val="single" w:color="auto"/>
            <w:color w:val="0000EE"/>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stock transactions during the six months ended June 30, 2018 is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1,053,842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Awarded:</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1,493,093</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142,154</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(353,555)</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(159,738)</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June 30,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2,168,496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weighted average grant-date fair values of awards issued during the six months ended June 30, 2018 were $44.51 for the time-vesting stock awards and $58.77 for the performance-based stock awards.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performance-based shares subject to a market condition awarded in 2018 was calculated using a Monte Carlo valuation model, including a weighted average stock price volatility of 19.9%, an expected term of three years, and a weighted average risk-free interest rate of 2.01%.</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June 30, 2018, unrecognized compensation cost related to outstanding non-vested stock awards was $75. The weighted average period over which the expense is expected to be recognized is 3.9 years. The aggregate market value of the shares released on the vesting dates was $16 for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ind w:left="3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60" w:type="dxa"/>
            <w:vAlign w:val="bottom"/>
            <w:gridSpan w:val="4"/>
          </w:tcPr>
          <w:p>
            <w:pPr>
              <w:jc w:val="right"/>
              <w:ind w:right="4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June 30</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0.99</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and six months ended June 30, 2018, 0.3 million and 0.5 million contingently issuable common shares were excluded from the computation of diluted earnings per share because the effect would be anti-dilutive. For the three and six months ended June 30, 2017, less than 0.1 million contingently issuable common shares were excluded from the computation of diluted earnings per share because the effect would be anti-dilutive.</w:t>
      </w:r>
    </w:p>
    <w:p>
      <w:pPr>
        <w:spacing w:after="0" w:line="39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Company evaluates performance and allocates resources based on segment income, which is not a defined term under GAAP. Previously, the Company defined segment income as income from operations adjusted to exclude provisions for asbestos and restructuring and other, the impact of fair value adjustments related to the sale of inventory acquired in an acquisition and the timing impact of hedge ineffectiveness. During the first quarter of 2018, the Company revised its definition of segment income to also exclude intangibles amortization charges. Prior period segment income amounts below have been recast to conform to current year presentation of intangible amortization charges and the new guidance related to presentation of pension and other postretirement benefit costs discussed in </w:t>
      </w:r>
      <w:hyperlink w:anchor="page7">
        <w:r>
          <w:rPr>
            <w:rFonts w:ascii="Arial" w:cs="Arial" w:eastAsia="Arial" w:hAnsi="Arial"/>
            <w:sz w:val="17"/>
            <w:szCs w:val="17"/>
            <w:u w:val="single" w:color="auto"/>
            <w:color w:val="0000EE"/>
          </w:rPr>
          <w:t>Note B</w:t>
        </w:r>
      </w:hyperlink>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Segment income should not be considered in isolation or as a substitute for net income data prepared in accordance with GAAP and may not be comparable to calculations of similarly titled measures by other companies.</w:t>
      </w:r>
    </w:p>
    <w:p>
      <w:pPr>
        <w:spacing w:after="0" w:line="17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tables below present information about the Company's operating segments.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External Sales</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2,719</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1,877</w:t>
            </w:r>
          </w:p>
        </w:tc>
        <w:tc>
          <w:tcPr>
            <w:tcW w:w="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3,046</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primary sources of revenue included in non-reportable segments are the Company's aerosol can businesses in North America and Europe, its food can business in North America, its promotional packaging business in Europe and its tooling and equipment operations in the U.S. and U.K.</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940" w:type="dxa"/>
            <w:vAlign w:val="bottom"/>
            <w:gridSpan w:val="4"/>
          </w:tcPr>
          <w:p>
            <w:pPr>
              <w:ind w:left="1180"/>
              <w:spacing w:after="0"/>
              <w:rPr>
                <w:sz w:val="20"/>
                <w:szCs w:val="20"/>
                <w:color w:val="auto"/>
              </w:rPr>
            </w:pPr>
            <w:r>
              <w:rPr>
                <w:rFonts w:ascii="Arial" w:cs="Arial" w:eastAsia="Arial" w:hAnsi="Arial"/>
                <w:sz w:val="18"/>
                <w:szCs w:val="18"/>
                <w:b w:val="1"/>
                <w:bCs w:val="1"/>
                <w:color w:val="auto"/>
                <w:w w:val="97"/>
              </w:rPr>
              <w:t>Crown Holdings, Inc.</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37"/>
        </w:trPr>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7"/>
              </w:rPr>
              <w:t>Intersegment Sales</w:t>
            </w:r>
          </w:p>
        </w:tc>
        <w:tc>
          <w:tcPr>
            <w:tcW w:w="240" w:type="dxa"/>
            <w:vAlign w:val="bottom"/>
          </w:tcPr>
          <w:p>
            <w:pPr>
              <w:spacing w:after="0"/>
              <w:rPr>
                <w:sz w:val="24"/>
                <w:szCs w:val="24"/>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3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9"/>
              </w:rPr>
              <w:t>Segment Income</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Segment Income</w:t>
            </w:r>
          </w:p>
        </w:tc>
      </w:tr>
      <w:tr>
        <w:trPr>
          <w:trHeight w:val="27"/>
        </w:trPr>
        <w:tc>
          <w:tcPr>
            <w:tcW w:w="4720" w:type="dxa"/>
            <w:vAlign w:val="bottom"/>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2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70"/>
              <w:spacing w:after="0"/>
              <w:rPr>
                <w:sz w:val="20"/>
                <w:szCs w:val="20"/>
                <w:color w:val="auto"/>
              </w:rPr>
            </w:pPr>
            <w:r>
              <w:rPr>
                <w:rFonts w:ascii="Arial" w:cs="Arial" w:eastAsia="Arial" w:hAnsi="Arial"/>
                <w:sz w:val="18"/>
                <w:szCs w:val="18"/>
                <w:color w:val="auto"/>
                <w:w w:val="87"/>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113</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109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398</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296</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Fair value adjustment to inventory</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hedge ineffectiveness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2018, intercompany profits of $3 and $4 were eliminated within segment income of non-reportable segments.</w:t>
      </w:r>
    </w:p>
    <w:p>
      <w:pPr>
        <w:sectPr>
          <w:pgSz w:w="11900" w:h="16838" w:orient="portrait"/>
          <w:cols w:equalWidth="0" w:num="1">
            <w:col w:w="10760"/>
          </w:cols>
          <w:pgMar w:left="900" w:top="121" w:right="239" w:bottom="1440" w:gutter="0" w:footer="0" w:header="0"/>
        </w:sectPr>
      </w:pP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760"/>
          </w:cols>
          <w:pgMar w:left="900" w:top="121" w:right="239" w:bottom="1440" w:gutter="0" w:footer="0" w:header="0"/>
          <w:type w:val="continuous"/>
        </w:sectPr>
      </w:pPr>
    </w:p>
    <w:bookmarkStart w:id="29" w:name="page30"/>
    <w:bookmarkEnd w:id="29"/>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2017, intercompany profits of $1 and $4 were eliminated within segment income of non-reportable segments.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fair value adjustments for the sale of inventory acquired in an acquisition and the timing impact of hedge ineffectiveness.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90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571"/>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Combining Financial Information</w:t>
      </w:r>
    </w:p>
    <w:p>
      <w:pPr>
        <w:spacing w:after="0" w:line="31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(Issuer), a 100% owned subsidiary of the Company, has $350 principal amount of 7.375% senior notes due 2026 and $40 principal amount of 7.5% senior notes due 2096 outstanding that are fully and unconditionally guaranteed by Crown Holdings, Inc. (Parent). No other subsidiary guarantees the debt and the guarantees are made on a joint and several basis.</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1">
        <w:r>
          <w:rPr>
            <w:rFonts w:ascii="Arial" w:cs="Arial" w:eastAsia="Arial" w:hAnsi="Arial"/>
            <w:sz w:val="18"/>
            <w:szCs w:val="18"/>
            <w:u w:val="single" w:color="auto"/>
            <w:color w:val="0000EE"/>
          </w:rPr>
          <w:t>Note C</w:t>
        </w:r>
      </w:hyperlink>
      <w:r>
        <w:rPr>
          <w:rFonts w:ascii="Arial" w:cs="Arial" w:eastAsia="Arial" w:hAnsi="Arial"/>
          <w:sz w:val="18"/>
          <w:szCs w:val="18"/>
          <w:color w:val="auto"/>
        </w:rPr>
        <w:t>, the Company completed its acquisition of Signode on April 3, 2018. Signode is not a guarantor of the debt described above and is included in the Non-Guarantors column of the following financial statements.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condensed combining financial statements:</w:t>
      </w:r>
    </w:p>
    <w:p>
      <w:pPr>
        <w:spacing w:after="0" w:line="36" w:lineRule="exact"/>
        <w:rPr>
          <w:rFonts w:ascii="Arial" w:cs="Arial" w:eastAsia="Arial" w:hAnsi="Arial"/>
          <w:sz w:val="18"/>
          <w:szCs w:val="18"/>
          <w:color w:val="auto"/>
        </w:rPr>
      </w:pPr>
    </w:p>
    <w:p>
      <w:pPr>
        <w:ind w:left="1360" w:hanging="704"/>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statements of comprehensive income for the three and six months ended June 30, 2018 and 2017,</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balance sheets as of June 30, 2018 and December 31, 2017,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2018 and 2017</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of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311"/>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Acquisition of businesses,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Cash, cash equivalents and restricted cash at June</w:t>
            </w:r>
          </w:p>
        </w:tc>
        <w:tc>
          <w:tcPr>
            <w:tcW w:w="980" w:type="dxa"/>
            <w:vAlign w:val="bottom"/>
            <w:tcBorders>
              <w:top w:val="single" w:sz="8" w:color="auto"/>
            </w:tcBorders>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20" w:type="dxa"/>
            <w:vAlign w:val="bottom"/>
            <w:tcBorders>
              <w:top w:val="single" w:sz="8" w:color="auto"/>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activities</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issue costs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activities</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60"/>
              <w:spacing w:after="0"/>
              <w:rPr>
                <w:sz w:val="20"/>
                <w:szCs w:val="20"/>
                <w:color w:val="auto"/>
              </w:rPr>
            </w:pPr>
            <w:r>
              <w:rPr>
                <w:rFonts w:ascii="Arial" w:cs="Arial" w:eastAsia="Arial" w:hAnsi="Arial"/>
                <w:sz w:val="18"/>
                <w:szCs w:val="18"/>
                <w:color w:val="auto"/>
              </w:rPr>
              <w:t>equivalents and restricted cash</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Cash, cash equivalents and restricted cash at June</w:t>
            </w:r>
          </w:p>
        </w:tc>
        <w:tc>
          <w:tcPr>
            <w:tcW w:w="920" w:type="dxa"/>
            <w:vAlign w:val="bottom"/>
            <w:vMerge w:val="restart"/>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30</w:t>
            </w:r>
          </w:p>
        </w:tc>
        <w:tc>
          <w:tcPr>
            <w:tcW w:w="920" w:type="dxa"/>
            <w:vAlign w:val="bottom"/>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Crown Americas, LLC, Crown Americas Capital Corp. IV, Crown Americas Capital Corp. V and Crown Americas Capital Corp. VI (collectively, the Issuer), 100% owned subsidiaries of the Company, have outstanding $1,000 principal amount of 4.5% senior notes due 2023, $400 principal amount of 4.25% senior notes due 2026, and $875 principal amount of 4.75% senior notes due 2026, which are fully and unconditionally guaranteed by Crown Holdings, Inc. (Parent) and substantially all of its subsidiaries in the United States. The guarantors are 100% owned by the Company and the guarantees are made on a joint and several basis.</w:t>
      </w:r>
    </w:p>
    <w:p>
      <w:pPr>
        <w:spacing w:after="0" w:line="188"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1">
        <w:r>
          <w:rPr>
            <w:rFonts w:ascii="Arial" w:cs="Arial" w:eastAsia="Arial" w:hAnsi="Arial"/>
            <w:sz w:val="18"/>
            <w:szCs w:val="18"/>
            <w:u w:val="single" w:color="auto"/>
            <w:color w:val="0000EE"/>
          </w:rPr>
          <w:t>Note C</w:t>
        </w:r>
      </w:hyperlink>
      <w:r>
        <w:rPr>
          <w:rFonts w:ascii="Arial" w:cs="Arial" w:eastAsia="Arial" w:hAnsi="Arial"/>
          <w:sz w:val="18"/>
          <w:szCs w:val="18"/>
          <w:color w:val="auto"/>
        </w:rPr>
        <w:t>, the Company completed its acquisition of Signode on April 3, 2018. Signode's operating subsidiaries in the United States are guarantors of the debt described above and are included in the Guarantors column of the following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combining financial statements: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of comprehensive income for the three and six months ended June 30, 2018 and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balance sheets as of June 30, 2018 and December 31, 2017,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2018 and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31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311"/>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Comprehensive income attributable to Crown Holdings </w:t>
            </w:r>
            <w:r>
              <w:rPr>
                <w:rFonts w:ascii="Arial" w:cs="Arial" w:eastAsia="Arial" w:hAnsi="Arial"/>
                <w:sz w:val="18"/>
                <w:szCs w:val="18"/>
                <w:color w:val="auto"/>
                <w:w w:val="92"/>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 xml:space="preserve">Comprehensive income attributable to Crown Holdings </w:t>
            </w:r>
            <w:r>
              <w:rPr>
                <w:rFonts w:ascii="Arial" w:cs="Arial" w:eastAsia="Arial" w:hAnsi="Arial"/>
                <w:sz w:val="18"/>
                <w:szCs w:val="18"/>
                <w:color w:val="auto"/>
                <w:w w:val="92"/>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Acquisition of businesses, net of cash acquired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issue costs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Capital contribution</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Cash, cash equivalents and restricted cash at June</w:t>
            </w:r>
          </w:p>
        </w:tc>
        <w:tc>
          <w:tcPr>
            <w:tcW w:w="80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8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Cash, cash equivalents and restricted cash at June</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60" w:right="38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six months ended June 30, 2018 compared to 2017 and changes in financial condition and liquidity from December 31, 2017. This discussion should be read in conjunction with the consolidated financial statements and notes thereto included in the Company's Annual Report on Form 10-K for the year ended December 31, 2017, along with the consolidated financial statements and related notes included in and referred to within this report.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 April 2018, the Company completed its acquisition of Signode Industrial Group, a leading global provider of transit packaging systems and solutions, for consideration of $3.9 billion. With the acquisition, the Company adds a portfolio of premier transit and protective packaging franchises to its existing metal packaging businesses, thereby broadening and diversifying its customer base and significantly increasing cash flow.</w:t>
      </w:r>
    </w:p>
    <w:p>
      <w:pPr>
        <w:spacing w:after="0" w:line="14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Company's global beverage can business continues to be the major strategic focus for organic growth. For several years, global industry demand for beverage cans has been growing and this is expected to continue in the coming years. Emerging markets such as Southeast Asia and Mexico have experienced higher growth rates due to rising per capita incomes and accompanying increases in beverage consumption. While the economies in Europe and North America are more mature, there are still growth opportunities propelled by beverages such as energy drinks, teas, juices, sparkling waters and craft beer, and an increased preference for cans over certain other forms of beverage packaging. Global food and aerosol can sales unit volumes have been stable to declining in recent years primarily due to lower consumer spending.</w:t>
      </w:r>
    </w:p>
    <w:p>
      <w:pPr>
        <w:spacing w:after="0" w:line="16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continues to review its supply and demand profile and long-term plans in its businesses, and it is possible that the Company may record additional charges in the future.</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Aluminum and steel prices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Through 2020, the Company's primary capital allocation focus will be to reduce leverage while still investing in its business, as was successfully accomplished following the Mivisa and Empaque acquisitions.</w:t>
      </w: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 assessing performance, the key performance measure used by the Company is segment income, a non-GAAP measure. Previously, the Company defined segment income as income from operations adjusted to exclude provisions for asbestos and restructuring and other, the impact of fair value adjustments related to the sale of inventory acquired in an acquisition and the timing impact of hedge ineffectiveness. During the first quarter of 2018, the Company revised its definition of segment income to also exclude intangibles amortization charges. Prior period segment income amounts below have been recast to conform to the current year presentation of intangible amortization charges and the new guidance related to the presentation of pension and other postretirement benefit costs discussed in </w:t>
      </w:r>
      <w:hyperlink w:anchor="page7">
        <w:r>
          <w:rPr>
            <w:rFonts w:ascii="Arial" w:cs="Arial" w:eastAsia="Arial" w:hAnsi="Arial"/>
            <w:sz w:val="17"/>
            <w:szCs w:val="17"/>
            <w:u w:val="single" w:color="auto"/>
            <w:color w:val="0000EE"/>
          </w:rPr>
          <w:t>Note B</w:t>
        </w:r>
      </w:hyperlink>
      <w:r>
        <w:rPr>
          <w:rFonts w:ascii="Arial" w:cs="Arial" w:eastAsia="Arial" w:hAnsi="Arial"/>
          <w:sz w:val="17"/>
          <w:szCs w:val="17"/>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below were primarily due to changes in the euro and pound sterling in the Company's European businesses, the Canadian dollar and Mexican peso in the Company's Americas segments and the Chinese renminbi and Thai baht in the Company's Asia Pacific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foreign exchange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39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6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490"/>
              <w:spacing w:after="0"/>
              <w:rPr>
                <w:sz w:val="20"/>
                <w:szCs w:val="20"/>
                <w:color w:val="auto"/>
              </w:rPr>
            </w:pPr>
            <w:r>
              <w:rPr>
                <w:rFonts w:ascii="Arial" w:cs="Arial" w:eastAsia="Arial" w:hAnsi="Arial"/>
                <w:sz w:val="18"/>
                <w:szCs w:val="18"/>
                <w:color w:val="auto"/>
                <w:w w:val="84"/>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5,243</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4,062</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2018 compared to 2017</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impact of the Signode acquisition, 4% higher beverage can sales unit volumes, the pass-through of higher material costs and $77 from the impact of foreign currency translation.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2018 compared to 2017</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Net sales increased primarily due to the impact of the Signode acquisition, higher beverage can sales unit volumes, including $77 from the impact of new accounting guidance adopted as of January 1, 2018, which accelerated the timing of revenue recognition on certain products, the pass-through of higher material costs and $198 from the impact of foreign currency translation.</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new accounting guidance is not expected to materially impact the amount of revenue recognized for the full year but is expected to impact amounts recognized on a quarterly basis.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have experienced stable volumes in recent years. In Brazil, Mexico and Colombia, the Company's sales unit volumes have increased in recent years primarily due to market growth driven by increased per capita incomes and consumption, combined with an increased preference for cans over certain other forms of beverage packaging.</w:t>
      </w:r>
    </w:p>
    <w:p>
      <w:pPr>
        <w:spacing w:after="0" w:line="18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the first half of 2017, the Company began commercial shipments from its new beverage can plant in Nichols, New York. In addition to enhancing the Company's presence in specialty beverage can sizes, the plant provides an attractive cost platform from which to serve customers in the northeastern region of the U.S. and eastern region of Canada. In June 2017, the Company completed a capacity expansion project in Colombia. In January 2018, the Company commenced operations in a new glass bottle facility in Chihuahua, Mexico, to serve the expanding beer market in the northern part of the country. Additionally, in January 2018, the Company closed a U.S. beverage can facility in an effort to reduce costs by consolidating manufacturing processes.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848</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729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113</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109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702"/>
        </w:trPr>
        <w:tc>
          <w:tcPr>
            <w:tcW w:w="47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2018 compared to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increased primarily due to the pass-through of higher aluminum costs and 6% higher sales unit volumes.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increased primarily due higher sales unit volumes partially offset by higher freight costs in North America. The Company anticipates that elevated freight costs will continue for the remainder of the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2018 compared to 2017</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6% higher sales unit volumes and $16 from the impact of foreign currency translation.</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Segment income decreased primarily due to higher operating costs including freight, utilities and start-up costs in the new glass bottle facility, partially offset by higher sales unit volumes.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whereas sales unit volumes in the Middle East beverage can markets have been declining.</w:t>
      </w:r>
    </w:p>
    <w:p>
      <w:pPr>
        <w:spacing w:after="0" w:line="18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completed the conversion of its plant in Custines, France, from steel to aluminum with the start-up of the second high-speed line in April 2017. The Company is in the process of constructing a new plant in the Valencia region of Spain which will facilitate the conversion from steel to aluminum beverage cans in that region. Production is expected to commence during the fourth quarter of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405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402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2018 compared to 2017</w:t>
      </w:r>
    </w:p>
    <w:p>
      <w:pPr>
        <w:spacing w:after="0" w:line="225"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Net sales increased primarily due to the impact of the pass-through of higher material costs and $20 from the impact of foreign currency translation, partially offset by 6% lower sales unit volumes, including the impact of new accounting guidance which accelerated the timing of a portion of revenue into the three months ended March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lower sales unit volumes in the Middle East.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2018 compared to 2017</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primarily due the pass-through of higher raw material costs, $46 from the impact of foreign currency translation, and the impact of new accounting guidance referenced above, partially offset by lower sales unit volumes in the Middle East.</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Segment income decreased primarily due to lower sales unit volumes in the Middle East partially offset by improved cost performance and the impact of new accounting guidance.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European Food segment manufactures steel and aluminum food cans, ends and metal vacuum closures, and supplies a variety of customers from its operations throughout Europe and Africa. The European food can market is a mature market which has experienced stable to slightly declining volumes in recent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514</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459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2018 compared to 2017</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pass-through of higher tinplate costs and $39 from the impact of foreign currency translation, partially offset by 3% lower sales unit volumes.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due to improved cost performance and $7 from the impact of foreign currency translation.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2018 compared to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increased primarily due to the pass-through of higher tinplate costs and $92 from the impact of foreign currency translation.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due to improved cost performance and $14 from the impact of foreign currency translation.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Company's Asia Pacific segment primarily consists of beverage can operations in Cambodia, China, Indonesia, Malaysia, Singapore, Thailand and Vietnam and also includes the Company's non-beverage can operations, primarily food cans and specialty packaging in China, Singapore, Thailand and Vietnam. In recent years, the beverage can market in Asia has been growing. The Company's new beverage can facility in Jakarta, Indonesia, and a second line at its beverage can plant in Danang, Vietnam, began operations in June and October 2017. In addition, production began at a new beverage can plant in Yangon, Myanmar in July 2018. A third beverage can line at the Phnom Penh, Cambodia plant is scheduled to start production in the fourth quarter of 2018. The Company also announced the closure of its Beijing beverage can facility in 2017 in an effort to reduce costs by consolidating manufacturing processes in China.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332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287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84</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2018 compared to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increased primarily due to 5% higher sales unit volumes and $12 from the impact of foreign currency translation.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the impact of higher sales unit volumes.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2018 compared to 2017</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due to 6% higher sales unit volumes, $26 from the impact of foreign currency translation and the pass-through of higher material costs.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increased primarily due to higher sales unit volumes and improved cost performance, primarily related to the closure of the Beijing beverage can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3, 2018, the Company completed its acquisition of Signode which will be reported as the Company's Transit Packaging segment. The integration of Signode is progressing as planned. Transit Packaging contributed net sales of $620 and segment income of $94 for the three months ended June 30,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non-reportable segments include its food can and closures and aerosol can businesses in North America, aerosol can and promotional packaging businesses in Europe, and tooling and equipment operations in the U.S. and U.K. In recent years, the Company's food can and closures, aerosol can and promotional packaging businesses have experienced slightly declining volumes.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50"/>
              <w:spacing w:after="0"/>
              <w:rPr>
                <w:sz w:val="20"/>
                <w:szCs w:val="20"/>
                <w:color w:val="auto"/>
              </w:rPr>
            </w:pPr>
            <w:r>
              <w:rPr>
                <w:rFonts w:ascii="Arial" w:cs="Arial" w:eastAsia="Arial" w:hAnsi="Arial"/>
                <w:sz w:val="18"/>
                <w:szCs w:val="18"/>
                <w:color w:val="auto"/>
                <w:w w:val="84"/>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327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284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2018 compared to 2017</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sales increased primarily due to higher sales unit volumes in the Company's equipment operations and North America food can business, higher material costs and $6 from the impact of foreign currency translation.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the impact of higher freight costs in the Company's North America food can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2018 compared to 2017</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sales increased primarily due to higher sales unit volumes in the Company's equipment operations and North America food can business, higher material costs and $18 from the impact of foreign currency translation.</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Segment income was comparable as improved cost performance in the Company's North America food can business was partially offset by higher freight.</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99"/>
        </w:trPr>
        <w:tc>
          <w:tcPr>
            <w:tcW w:w="27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7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center"/>
              <w:ind w:left="510"/>
              <w:spacing w:after="0"/>
              <w:rPr>
                <w:sz w:val="20"/>
                <w:szCs w:val="20"/>
                <w:color w:val="auto"/>
              </w:rPr>
            </w:pPr>
            <w:r>
              <w:rPr>
                <w:rFonts w:ascii="Arial" w:cs="Arial" w:eastAsia="Arial" w:hAnsi="Arial"/>
                <w:sz w:val="18"/>
                <w:szCs w:val="18"/>
                <w:color w:val="auto"/>
                <w:w w:val="84"/>
              </w:rPr>
              <w:t>June 30</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2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27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7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for the six months ended June 30, 2018 and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Cost of Products Sold (Excluding Depreciation and Amortization)</w:t>
      </w:r>
    </w:p>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For the three and six months ended June 30, 2018 compared to 2017, cost of products sold (excluding depreciation and amortization) increased from $1,732 to $2,466 and from $3,263 to $4,274 primarily due to the impact of the acquisition of Signode, higher raw material costs, higher North America freight costs and $62 and $162 from the impact of foreign</w:t>
      </w:r>
    </w:p>
    <w:p>
      <w:pPr>
        <w:jc w:val="both"/>
        <w:ind w:left="660" w:right="20"/>
        <w:spacing w:after="0" w:line="261" w:lineRule="auto"/>
        <w:rPr>
          <w:sz w:val="20"/>
          <w:szCs w:val="20"/>
          <w:color w:val="auto"/>
        </w:rPr>
      </w:pPr>
      <w:r>
        <w:rPr>
          <w:rFonts w:ascii="Arial" w:cs="Arial" w:eastAsia="Arial" w:hAnsi="Arial"/>
          <w:sz w:val="18"/>
          <w:szCs w:val="18"/>
          <w:color w:val="auto"/>
        </w:rPr>
        <w:t>currency translation. For the three and six months ended June 30, 2018 cost of products sold (excluding depreciation and amortization) also included a charge of $40 for the fair value adjustment related to the sale of inventory acquired with Signode.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Depreciation and Amortization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three and six months ended June 30, 2018 compared to 2017, depreciation and amortization expense increased from $61 to $113 and from $120 to $178 primarily due to depreciation and amortization of fixed assets and intangible assets recorded in connection with the Company's acquisition of Signode.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Selling and Administrative Expense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Selling and administrative expense increased from $91 to $159 and from $181 to $249 for the three and six months ended June 30, 2018 compared to 2017 primarily due to the impact of the acquisition of Signode.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2018 compared to 2017, interest expense increased from $61 to $103 and $123 to $177 due to higher outstanding debt from borrowings incurred to finance the Signode acquisition.</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Taxes on Income</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53"/>
        </w:trPr>
        <w:tc>
          <w:tcPr>
            <w:tcW w:w="4460" w:type="dxa"/>
            <w:vAlign w:val="bottom"/>
            <w:gridSpan w:val="2"/>
          </w:tcPr>
          <w:p>
            <w:pPr>
              <w:spacing w:after="0"/>
              <w:rPr>
                <w:sz w:val="20"/>
                <w:szCs w:val="20"/>
                <w:color w:val="auto"/>
              </w:rPr>
            </w:pPr>
            <w:r>
              <w:rPr>
                <w:rFonts w:ascii="Arial" w:cs="Arial" w:eastAsia="Arial" w:hAnsi="Arial"/>
                <w:sz w:val="18"/>
                <w:szCs w:val="18"/>
                <w:color w:val="auto"/>
                <w:w w:val="98"/>
              </w:rPr>
              <w:t>The Company's effective income tax rate was as follows: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1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June 30</w:t>
            </w:r>
          </w:p>
        </w:tc>
        <w:tc>
          <w:tcPr>
            <w:tcW w:w="86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380</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99</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12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rate was comparable for the three and six months ended June 30, 2018 compared to 2017.</w:t>
      </w:r>
    </w:p>
    <w:p>
      <w:pPr>
        <w:spacing w:after="0" w:line="225" w:lineRule="exact"/>
        <w:rPr>
          <w:sz w:val="20"/>
          <w:szCs w:val="20"/>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regarding income taxes, including discussion of the impact of the Tax Act, see </w:t>
      </w:r>
      <w:hyperlink w:anchor="page26">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For the three and six months ended June 30, 2018 compared to 2017, net income attributable to noncontrolling interests decreased from $20 to $15 and from $46 to $38 primarily due to lower earnings in the Company's beverage can operations in the Middle East and Brazil.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Cash used for operating activities increased from $475 for the six months ended June 30, 2017 to $492 for the six months ended June 30, 2018 primarily due to changes in working capital, primarily due to higher material costs, offset by lower pension contributions.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8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recognized under the new revenue guidance, increased from 33 days at June 30, 2017 to 39 days at June 30, 2018, primarily due to the impact of the Signode acquisition.</w:t>
      </w:r>
    </w:p>
    <w:p>
      <w:pPr>
        <w:spacing w:after="0" w:line="1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Inventory turnover was 74 days at June 30, 2017 compared to 63 days at June 30, 2018 primarily due to the derecognition of inventory under the new revenue guidance. Inventory turnover at June 30, 2018 decreased compared to 67 days at December 31, 2017 due to the impact of the new revenue guidance partially offset by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 outstanding for trade payables was 104 days at June 31, 2017 compared to 101 days at June 30,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Investing activities provided cash of $312 for the six months ended June 30, 2017 and used cash of $3,792 for the six months ended 2018. In 2018, the Company paid $3,907 to acquire Signode and $25 for the settlement of a foreign exchange contract related to the acquisition. For the six months ended June 30, 2018, the Company also had lower cash collections on beneficial interest in transferred receivables as compared to 2017. The Company currently expects capital expenditures for 2018 to be approximately $460.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Financing activities used cash of $111 for the six months ended June 30, 2017 and provided cash of $4,162 for the six months ended 2018. In 2018, financing activities primarily included borrowings to finance the Signode acquisition. In 2017, financing activities included borrowings under the Company's revolving credit facilities which were partially used to repurchase shares of the Company's common stock. For the six months ended June 30, 2018, the Company also paid lower dividends to noncontrolling interests as compared to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As of June 30, 2018, $253 of the Company's $298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$185 was held by subsidiaries for which earnings are considered indefinitely reinvested. While based on current operating plans the Company does not foresee a need to repatriate these funds, the Company is still evaluating the impact of the Tax Act. If such earnings were repatriated, the Company may be required to record incremental foreign taxes on the repatriated funds.</w:t>
      </w:r>
    </w:p>
    <w:p>
      <w:pPr>
        <w:spacing w:after="0" w:line="17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Effective April 2018, the Company amended its revolving credit agreements to provide capacity of $1,650 under the revolving credit facility upon completion of the Signode acquisition, increase total leverage ratios and extend the timetable for compliance with total leverage ratios.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June 30, 2018, the Company had $1,252 of borrowing capacity available under its revolving credit facility, equal to the total facility of $1,650 less borrowings of $344 and $54 of outstanding standby letters of credit. The Company could have borrowed this amount at June 30, 2018 and still been in compliance with its leverage ratio covenants.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2018, the Company had approximately $134 of capital commitments primarily related to its European Beverage segment. The Company expects to fund these commitments primarily through cash flows generated from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During the six months of 2018, there were no material changes to the Company's contractual obligations provided within Part II, Item 7, “Management's Discussion and Analysis of Financial Condition and Results of Operations” of the Company's Annual Report on Form 10-K for the year ended December 31, 2017, which information is incorporated herein by reference, except for the January and April 2018 debt issuances related to the Signode acquisition which are described in </w:t>
      </w:r>
      <w:hyperlink w:anchor="page24">
        <w:r>
          <w:rPr>
            <w:rFonts w:ascii="Arial" w:cs="Arial" w:eastAsia="Arial" w:hAnsi="Arial"/>
            <w:sz w:val="16"/>
            <w:szCs w:val="16"/>
            <w:u w:val="single" w:color="auto"/>
            <w:color w:val="0000EE"/>
          </w:rPr>
          <w:t>Note L</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Quarterly Report on Form 10-Q.</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sz w:val="20"/>
          <w:szCs w:val="20"/>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7">
        <w:r>
          <w:rPr>
            <w:rFonts w:ascii="Arial" w:cs="Arial" w:eastAsia="Arial" w:hAnsi="Arial"/>
            <w:sz w:val="18"/>
            <w:szCs w:val="18"/>
            <w:u w:val="single" w:color="auto"/>
            <w:color w:val="0000EE"/>
          </w:rPr>
          <w:t>Note J</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1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w:t>
      </w: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10-K for the year ended December 31, 2017 describe the significant accounting estimates and policies used in the preparation of the consolidated financial statements. Updates to the Company's accounting policies related to new accounting pronouncements are included in </w:t>
      </w:r>
      <w:hyperlink w:anchor="page7">
        <w:r>
          <w:rPr>
            <w:rFonts w:ascii="Arial" w:cs="Arial" w:eastAsia="Arial" w:hAnsi="Arial"/>
            <w:sz w:val="18"/>
            <w:szCs w:val="18"/>
            <w:u w:val="single" w:color="auto"/>
            <w:color w:val="0000EE"/>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1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discussion below supplements the discussion from the Company's Annual Report on Form 10-K for the year ended December 31, 2017 with respect to goodwill.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October 1, 2017, the estimated fair value of the North America Food reporting unit was 63% higher than its carrying value. This reporting unit operates in a low-growth environment with multiple competitors, which could result in lower selling prices. In addition, shifts in consumer demand could result in lower volumes. While the Company believes current Adjusted EBITDA projections are reasonable, the reporting unit's ability to maintain or grow Adjusted EBITDA could be negatively impacted by the above factors. If Adjusted EBITDA of the North America Food reporting unit declined by 38%, the fair value of this reporting unit would approximate carrying value. To the extent future operating results were to decline, causing the estimated fair value to fall below the carrying value, it is possible that an impairment charge of up to $115 for the North America Food reporting unit could be recorded.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Statements included herein in “Management's Discussion and Analysis of Financial Condition and Results of Operations,” including, but not limited to, in the discussions of asbestos in </w:t>
      </w:r>
      <w:hyperlink w:anchor="page15">
        <w:r>
          <w:rPr>
            <w:rFonts w:ascii="Arial" w:cs="Arial" w:eastAsia="Arial" w:hAnsi="Arial"/>
            <w:sz w:val="17"/>
            <w:szCs w:val="17"/>
            <w:u w:val="single" w:color="auto"/>
            <w:color w:val="0000EE"/>
          </w:rPr>
          <w:t>Note 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commitments and contingencies in </w:t>
      </w:r>
      <w:hyperlink w:anchor="page17">
        <w:r>
          <w:rPr>
            <w:rFonts w:ascii="Arial" w:cs="Arial" w:eastAsia="Arial" w:hAnsi="Arial"/>
            <w:sz w:val="17"/>
            <w:szCs w:val="17"/>
            <w:u w:val="single" w:color="auto"/>
            <w:color w:val="0000EE"/>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2017, which are not historical facts (including any statements concerning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looking statements are not guarantees and that actual results could differ materially from those expressed or implied in the forward-looking statements.</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7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2017 within Part II, Item 7: “Management's Discussion and Analysis of Financial Condition and Results of Operations”</w:t>
      </w:r>
    </w:p>
    <w:p>
      <w:pPr>
        <w:jc w:val="both"/>
        <w:ind w:left="660"/>
        <w:spacing w:after="0" w:line="255" w:lineRule="auto"/>
        <w:rPr>
          <w:sz w:val="20"/>
          <w:szCs w:val="20"/>
          <w:color w:val="auto"/>
        </w:rPr>
      </w:pPr>
      <w:r>
        <w:rPr>
          <w:rFonts w:ascii="Arial" w:cs="Arial" w:eastAsia="Arial" w:hAnsi="Arial"/>
          <w:sz w:val="18"/>
          <w:szCs w:val="18"/>
          <w:color w:val="auto"/>
        </w:rPr>
        <w:t>under the caption “Forward Looking Statements” and is incorporated herein by reference. Some of the factors are also discussed elsewhere in this Form 10-Q and in prior Company filings with the SEC. In addition, other factors have been or may be discussed from time to time in the Company's SEC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2018, see </w:t>
      </w:r>
      <w:hyperlink w:anchor="page18">
        <w:r>
          <w:rPr>
            <w:rFonts w:ascii="Arial" w:cs="Arial" w:eastAsia="Arial" w:hAnsi="Arial"/>
            <w:sz w:val="17"/>
            <w:szCs w:val="17"/>
            <w:u w:val="single" w:color="auto"/>
            <w:color w:val="0000EE"/>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18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2018, the Company had $3.5 billion principal floating interest rate debt. A change of 0.25% in these floating interest rates would change annual interest expense by approximately $9 million before tax.</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7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There has been no change in internal controls over financial reporting that occurred during the period covered by this report that has materially affected, or is reasonably likely to materially affect, the Company's internal control over financial reporting, except as noted below.</w:t>
      </w:r>
    </w:p>
    <w:p>
      <w:pPr>
        <w:spacing w:after="0" w:line="147" w:lineRule="exact"/>
        <w:rPr>
          <w:sz w:val="20"/>
          <w:szCs w:val="20"/>
          <w:color w:val="auto"/>
        </w:rPr>
      </w:pPr>
    </w:p>
    <w:p>
      <w:pPr>
        <w:jc w:val="both"/>
        <w:ind w:left="6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On April 3, 2018, the Company completed the acquisition of Signode. See </w:t>
      </w:r>
      <w:hyperlink w:anchor="page11">
        <w:r>
          <w:rPr>
            <w:rFonts w:ascii="Arial" w:cs="Arial" w:eastAsia="Arial" w:hAnsi="Arial"/>
            <w:sz w:val="17"/>
            <w:szCs w:val="17"/>
            <w:u w:val="single" w:color="auto"/>
            <w:color w:val="0000EE"/>
          </w:rPr>
          <w:t>Note C</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In connection with the integration of Signode, management is in the process of analyzing and evaluating the internal controls over financial reporting. This process may result in additions or changes to the Company's internal control over financial reporting.</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scope of management's assessment of effectiveness of internal control over financial reporting for the year ending December 31, 2018 will exclude the operations of Signode.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340" w:firstLine="64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5">
        <w:r>
          <w:rPr>
            <w:rFonts w:ascii="Arial" w:cs="Arial" w:eastAsia="Arial" w:hAnsi="Arial"/>
            <w:sz w:val="18"/>
            <w:szCs w:val="18"/>
            <w:u w:val="single" w:color="auto"/>
            <w:color w:val="0000EE"/>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7">
        <w:r>
          <w:rPr>
            <w:rFonts w:ascii="Arial" w:cs="Arial" w:eastAsia="Arial" w:hAnsi="Arial"/>
            <w:sz w:val="18"/>
            <w:szCs w:val="18"/>
            <w:u w:val="single" w:color="auto"/>
            <w:color w:val="0000EE"/>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2017 and Item 1A to Part II in the Company's Quarterly Report on Form 10-Q for the quarter ended June 30, 2018. The risks described in the Company's Quarterly Report on Form 10-Q and the Company's Annual Report on Form 10-K are not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the Company's equity securities during the six months ended June 30, 2018.</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the Company's Board of Directors authorized the repurchase of an aggregate amount of $1 billion of the Company's common stock through the end of 2019. Share repurchases under the Company's programs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June 30, 2018, $669 million of the Company’s outstanding common stock may be repurchased under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73,158 shares surrendered to cover taxes on the vesting of restricted stock during the three months ended June 30, 2018.</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events required to be reported under Item 3 for the six months ended June 30, 2018.</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ind w:left="78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59">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ind w:left="780" w:right="2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60">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jc w:val="both"/>
        <w:ind w:left="780" w:hanging="757"/>
        <w:spacing w:after="0" w:line="264" w:lineRule="auto"/>
        <w:tabs>
          <w:tab w:leader="none" w:pos="780" w:val="left"/>
        </w:tabs>
        <w:numPr>
          <w:ilvl w:val="0"/>
          <w:numId w:val="21"/>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Chief Financial Officer of Crown Holdings, Inc.</w:t>
        </w:r>
      </w:hyperlink>
    </w:p>
    <w:p>
      <w:pPr>
        <w:spacing w:after="0" w:line="289" w:lineRule="exact"/>
        <w:rPr>
          <w:rFonts w:ascii="Arial" w:cs="Arial" w:eastAsia="Arial" w:hAnsi="Arial"/>
          <w:sz w:val="18"/>
          <w:szCs w:val="18"/>
          <w:u w:val="single" w:color="auto"/>
          <w:color w:val="0000FF"/>
        </w:rPr>
      </w:pPr>
    </w:p>
    <w:p>
      <w:pPr>
        <w:jc w:val="both"/>
        <w:ind w:left="780" w:hanging="757"/>
        <w:spacing w:after="0" w:line="255"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2018 formatted in XBRL (eXtensible Business Reporting Language): (i) Consolidated Statements of Operations for the three and six months ended June 30, 2018 and 2017, (ii) Consolidated Statements of Comprehensive Income for the three and six months ended June 30, 2018 and 2017, (iii) Consolidated Balance Sheets as of June 30, 2018 and December 31, 2017, (iv) Consolidated Statements of Cash Flows for the six months ended June 30, 2018 and 2017, (v) Consolidated Statements of Changes in Equity for the six months ended June 30, 2018 and 2017 and (vi) Notes to Consolidated Financial Statements.</w:t>
      </w:r>
    </w:p>
    <w:p>
      <w:pPr>
        <w:spacing w:after="0" w:line="247" w:lineRule="exact"/>
        <w:rPr>
          <w:rFonts w:ascii="Arial" w:cs="Arial" w:eastAsia="Arial" w:hAnsi="Arial"/>
          <w:sz w:val="18"/>
          <w:szCs w:val="18"/>
          <w:u w:val="single" w:color="auto"/>
          <w:color w:val="0000FF"/>
        </w:rPr>
      </w:pPr>
    </w:p>
    <w:p>
      <w:pPr>
        <w:ind w:left="49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40"/>
          </w:cols>
          <w:pgMar w:left="900" w:top="121" w:right="259" w:bottom="1440" w:gutter="0" w:footer="0" w:header="0"/>
        </w:sectPr>
      </w:pPr>
    </w:p>
    <w:bookmarkStart w:id="57" w:name="page58"/>
    <w:bookmarkEnd w:id="57"/>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SIGNATURE</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00"/>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9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31750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60"/>
          </w:cols>
          <w:pgMar w:left="90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2900" w:right="2680" w:hanging="5185"/>
        <w:spacing w:after="0" w:line="251" w:lineRule="auto"/>
        <w:tabs>
          <w:tab w:leader="none" w:pos="288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8"/>
          <w:szCs w:val="18"/>
          <w:u w:val="single" w:color="auto"/>
          <w:color w:val="auto"/>
        </w:rPr>
        <w:t xml:space="preserve">/s/ Timothy J. Donahue </w:t>
      </w:r>
      <w:r>
        <w:rPr>
          <w:rFonts w:ascii="Arial" w:cs="Arial" w:eastAsia="Arial" w:hAnsi="Arial"/>
          <w:sz w:val="18"/>
          <w:szCs w:val="18"/>
          <w:color w:val="auto"/>
        </w:rPr>
        <w:t>Timothy J. Donahue</w:t>
      </w:r>
      <w:r>
        <w:rPr>
          <w:rFonts w:ascii="Arial" w:cs="Arial" w:eastAsia="Arial" w:hAnsi="Arial"/>
          <w:sz w:val="18"/>
          <w:szCs w:val="18"/>
          <w:u w:val="single" w:color="auto"/>
          <w:color w:val="auto"/>
        </w:rPr>
        <w:t xml:space="preserve"> </w:t>
      </w:r>
      <w:r>
        <w:rPr>
          <w:rFonts w:ascii="Arial" w:cs="Arial" w:eastAsia="Arial" w:hAnsi="Arial"/>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2018 (the “Report”), each of the undersigned officers certify, pursuant to 18 U.S.C. § 1350, as adopted pursuant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 906 of the Sarbanes-Oxley Act of 2002, that:</w:t>
      </w:r>
    </w:p>
    <w:p>
      <w:pPr>
        <w:spacing w:after="0" w:line="260"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260" w:lineRule="exact"/>
        <w:rPr>
          <w:rFonts w:ascii="Arial" w:cs="Arial" w:eastAsia="Arial" w:hAnsi="Arial"/>
          <w:sz w:val="21"/>
          <w:szCs w:val="21"/>
          <w:color w:val="auto"/>
        </w:rPr>
      </w:pPr>
    </w:p>
    <w:p>
      <w:pPr>
        <w:ind w:firstLine="8"/>
        <w:spacing w:after="0" w:line="249"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0"/>
                <w:szCs w:val="20"/>
                <w:color w:val="auto"/>
              </w:rPr>
            </w:pPr>
            <w:r>
              <w:rPr>
                <w:rFonts w:ascii="Arial" w:cs="Arial" w:eastAsia="Arial" w:hAnsi="Arial"/>
                <w:sz w:val="22"/>
                <w:szCs w:val="22"/>
                <w:color w:val="auto"/>
              </w:rPr>
              <w:t>Date: August 2, 2018</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2680" w:type="dxa"/>
            <w:vAlign w:val="bottom"/>
          </w:tcPr>
          <w:p>
            <w:pPr>
              <w:spacing w:after="0"/>
              <w:rPr>
                <w:sz w:val="21"/>
                <w:szCs w:val="21"/>
                <w:color w:val="auto"/>
              </w:rPr>
            </w:pPr>
          </w:p>
        </w:tc>
      </w:tr>
      <w:tr>
        <w:trPr>
          <w:trHeight w:val="284"/>
        </w:trPr>
        <w:tc>
          <w:tcPr>
            <w:tcW w:w="3240" w:type="dxa"/>
            <w:vAlign w:val="bottom"/>
          </w:tcPr>
          <w:p>
            <w:pPr>
              <w:spacing w:after="0"/>
              <w:rPr>
                <w:sz w:val="24"/>
                <w:szCs w:val="24"/>
                <w:color w:val="auto"/>
              </w:rPr>
            </w:pPr>
          </w:p>
        </w:tc>
        <w:tc>
          <w:tcPr>
            <w:tcW w:w="4900" w:type="dxa"/>
            <w:vAlign w:val="bottom"/>
            <w:gridSpan w:val="3"/>
          </w:tcPr>
          <w:p>
            <w:pPr>
              <w:ind w:left="1300"/>
              <w:spacing w:after="0"/>
              <w:rPr>
                <w:sz w:val="20"/>
                <w:szCs w:val="20"/>
                <w:color w:val="auto"/>
              </w:rPr>
            </w:pPr>
            <w:r>
              <w:rPr>
                <w:rFonts w:ascii="Arial" w:cs="Arial" w:eastAsia="Arial" w:hAnsi="Arial"/>
                <w:sz w:val="22"/>
                <w:szCs w:val="22"/>
                <w:color w:val="auto"/>
              </w:rPr>
              <w:t>Timothy J. Donahue</w:t>
            </w:r>
          </w:p>
        </w:tc>
      </w:tr>
      <w:tr>
        <w:trPr>
          <w:trHeight w:val="260"/>
        </w:trPr>
        <w:tc>
          <w:tcPr>
            <w:tcW w:w="3240" w:type="dxa"/>
            <w:vAlign w:val="bottom"/>
          </w:tcPr>
          <w:p>
            <w:pPr>
              <w:spacing w:after="0"/>
              <w:rPr>
                <w:sz w:val="22"/>
                <w:szCs w:val="22"/>
                <w:color w:val="auto"/>
              </w:rPr>
            </w:pPr>
          </w:p>
        </w:tc>
        <w:tc>
          <w:tcPr>
            <w:tcW w:w="4900" w:type="dxa"/>
            <w:vAlign w:val="bottom"/>
            <w:gridSpan w:val="3"/>
          </w:tcPr>
          <w:p>
            <w:pPr>
              <w:ind w:left="1300"/>
              <w:spacing w:after="0"/>
              <w:rPr>
                <w:sz w:val="20"/>
                <w:szCs w:val="20"/>
                <w:color w:val="auto"/>
              </w:rPr>
            </w:pPr>
            <w:r>
              <w:rPr>
                <w:rFonts w:ascii="Arial" w:cs="Arial" w:eastAsia="Arial" w:hAnsi="Arial"/>
                <w:sz w:val="22"/>
                <w:szCs w:val="22"/>
                <w:color w:val="auto"/>
                <w:w w:val="97"/>
              </w:rPr>
              <w:t>President and Chief Executive Officer</w:t>
            </w:r>
          </w:p>
        </w:tc>
      </w:tr>
      <w:tr>
        <w:trPr>
          <w:trHeight w:val="463"/>
        </w:trPr>
        <w:tc>
          <w:tcPr>
            <w:tcW w:w="3240" w:type="dxa"/>
            <w:vAlign w:val="bottom"/>
          </w:tcPr>
          <w:p>
            <w:pPr>
              <w:spacing w:after="0"/>
              <w:rPr>
                <w:sz w:val="20"/>
                <w:szCs w:val="20"/>
                <w:color w:val="auto"/>
              </w:rPr>
            </w:pPr>
            <w:r>
              <w:rPr>
                <w:rFonts w:ascii="Arial" w:cs="Arial" w:eastAsia="Arial" w:hAnsi="Arial"/>
                <w:sz w:val="22"/>
                <w:szCs w:val="22"/>
                <w:color w:val="auto"/>
              </w:rPr>
              <w:t>Date: August 2, 2018</w:t>
            </w:r>
          </w:p>
        </w:tc>
        <w:tc>
          <w:tcPr>
            <w:tcW w:w="4900" w:type="dxa"/>
            <w:vAlign w:val="bottom"/>
            <w:gridSpan w:val="3"/>
          </w:tcPr>
          <w:p>
            <w:pPr>
              <w:spacing w:after="0"/>
              <w:rPr>
                <w:sz w:val="20"/>
                <w:szCs w:val="20"/>
                <w:color w:val="auto"/>
              </w:rPr>
            </w:pPr>
            <w:r>
              <w:rPr>
                <w:rFonts w:ascii="Arial" w:cs="Arial" w:eastAsia="Arial" w:hAnsi="Arial"/>
                <w:sz w:val="22"/>
                <w:szCs w:val="22"/>
                <w:color w:val="auto"/>
              </w:rPr>
              <w:t>/s/ Thomas A. Kelly</w:t>
            </w:r>
          </w:p>
        </w:tc>
      </w:tr>
      <w:tr>
        <w:trPr>
          <w:trHeight w:val="20"/>
        </w:trPr>
        <w:tc>
          <w:tcPr>
            <w:tcW w:w="32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84"/>
        </w:trPr>
        <w:tc>
          <w:tcPr>
            <w:tcW w:w="3240" w:type="dxa"/>
            <w:vAlign w:val="bottom"/>
          </w:tcPr>
          <w:p>
            <w:pPr>
              <w:spacing w:after="0"/>
              <w:rPr>
                <w:sz w:val="24"/>
                <w:szCs w:val="24"/>
                <w:color w:val="auto"/>
              </w:rPr>
            </w:pPr>
          </w:p>
        </w:tc>
        <w:tc>
          <w:tcPr>
            <w:tcW w:w="4900" w:type="dxa"/>
            <w:vAlign w:val="bottom"/>
            <w:gridSpan w:val="3"/>
          </w:tcPr>
          <w:p>
            <w:pPr>
              <w:ind w:left="1300"/>
              <w:spacing w:after="0"/>
              <w:rPr>
                <w:sz w:val="20"/>
                <w:szCs w:val="20"/>
                <w:color w:val="auto"/>
              </w:rPr>
            </w:pPr>
            <w:r>
              <w:rPr>
                <w:rFonts w:ascii="Arial" w:cs="Arial" w:eastAsia="Arial" w:hAnsi="Arial"/>
                <w:sz w:val="22"/>
                <w:szCs w:val="22"/>
                <w:color w:val="auto"/>
              </w:rPr>
              <w:t>Thomas A. Kelly</w:t>
            </w:r>
          </w:p>
        </w:tc>
      </w:tr>
      <w:tr>
        <w:trPr>
          <w:trHeight w:val="257"/>
        </w:trPr>
        <w:tc>
          <w:tcPr>
            <w:tcW w:w="3240" w:type="dxa"/>
            <w:vAlign w:val="bottom"/>
          </w:tcPr>
          <w:p>
            <w:pPr>
              <w:spacing w:after="0"/>
              <w:rPr>
                <w:sz w:val="22"/>
                <w:szCs w:val="22"/>
                <w:color w:val="auto"/>
              </w:rPr>
            </w:pPr>
          </w:p>
        </w:tc>
        <w:tc>
          <w:tcPr>
            <w:tcW w:w="4900" w:type="dxa"/>
            <w:vAlign w:val="bottom"/>
            <w:gridSpan w:val="3"/>
          </w:tcPr>
          <w:p>
            <w:pPr>
              <w:ind w:left="1300"/>
              <w:spacing w:after="0"/>
              <w:rPr>
                <w:sz w:val="20"/>
                <w:szCs w:val="20"/>
                <w:color w:val="auto"/>
              </w:rPr>
            </w:pPr>
            <w:r>
              <w:rPr>
                <w:rFonts w:ascii="Arial" w:cs="Arial" w:eastAsia="Arial" w:hAnsi="Arial"/>
                <w:sz w:val="22"/>
                <w:szCs w:val="22"/>
                <w:color w:val="auto"/>
              </w:rPr>
              <w:t>Senior Vice President</w:t>
            </w:r>
          </w:p>
        </w:tc>
      </w:tr>
      <w:tr>
        <w:trPr>
          <w:trHeight w:val="260"/>
        </w:trPr>
        <w:tc>
          <w:tcPr>
            <w:tcW w:w="3240" w:type="dxa"/>
            <w:vAlign w:val="bottom"/>
          </w:tcPr>
          <w:p>
            <w:pPr>
              <w:spacing w:after="0"/>
              <w:rPr>
                <w:sz w:val="22"/>
                <w:szCs w:val="22"/>
                <w:color w:val="auto"/>
              </w:rPr>
            </w:pPr>
          </w:p>
        </w:tc>
        <w:tc>
          <w:tcPr>
            <w:tcW w:w="4900" w:type="dxa"/>
            <w:vAlign w:val="bottom"/>
            <w:gridSpan w:val="3"/>
          </w:tcPr>
          <w:p>
            <w:pPr>
              <w:ind w:left="130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8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3"/>
    </w:lvl>
  </w:abstractNum>
  <w:abstractNum w:abstractNumId="4">
    <w:nsid w:val="1BEFD79F"/>
    <w:multiLevelType w:val="hybridMultilevel"/>
    <w:lvl w:ilvl="0">
      <w:lvlJc w:val="left"/>
      <w:lvlText w:val="%1."/>
      <w:numFmt w:val="upperLetter"/>
      <w:start w:val="4"/>
    </w:lvl>
  </w:abstractNum>
  <w:abstractNum w:abstractNumId="5">
    <w:nsid w:val="41A7C4C9"/>
    <w:multiLevelType w:val="hybridMultilevel"/>
    <w:lvl w:ilvl="0">
      <w:lvlJc w:val="left"/>
      <w:lvlText w:val="%1."/>
      <w:numFmt w:val="upperLetter"/>
      <w:start w:val="6"/>
    </w:lvl>
  </w:abstractNum>
  <w:abstractNum w:abstractNumId="6">
    <w:nsid w:val="6B68079A"/>
    <w:multiLevelType w:val="hybridMultilevel"/>
    <w:lvl w:ilvl="0">
      <w:lvlJc w:val="left"/>
      <w:lvlText w:val="%1."/>
      <w:numFmt w:val="upperLetter"/>
      <w:start w:val="7"/>
    </w:lvl>
  </w:abstractNum>
  <w:abstractNum w:abstractNumId="7">
    <w:nsid w:val="4E6AFB66"/>
    <w:multiLevelType w:val="hybridMultilevel"/>
    <w:lvl w:ilvl="0">
      <w:lvlJc w:val="left"/>
      <w:lvlText w:val="%1."/>
      <w:numFmt w:val="upperLetter"/>
      <w:start w:val="8"/>
    </w:lvl>
  </w:abstractNum>
  <w:abstractNum w:abstractNumId="8">
    <w:nsid w:val="25E45D32"/>
    <w:multiLevelType w:val="hybridMultilevel"/>
    <w:lvl w:ilvl="0">
      <w:lvlJc w:val="left"/>
      <w:lvlText w:val="%1."/>
      <w:numFmt w:val="upperLetter"/>
      <w:start w:val="9"/>
    </w:lvl>
  </w:abstractNum>
  <w:abstractNum w:abstractNumId="9">
    <w:nsid w:val="519B500D"/>
    <w:multiLevelType w:val="hybridMultilevel"/>
    <w:lvl w:ilvl="0">
      <w:lvlJc w:val="left"/>
      <w:lvlText w:val="%1."/>
      <w:numFmt w:val="upperLetter"/>
      <w:start w:val="10"/>
    </w:lvl>
  </w:abstractNum>
  <w:abstractNum w:abstractNumId="10">
    <w:nsid w:val="431BD7B7"/>
    <w:multiLevelType w:val="hybridMultilevel"/>
    <w:lvl w:ilvl="0">
      <w:lvlJc w:val="left"/>
      <w:lvlText w:val="%1."/>
      <w:numFmt w:val="upperLetter"/>
      <w:start w:val="11"/>
    </w:lvl>
  </w:abstractNum>
  <w:abstractNum w:abstractNumId="11">
    <w:nsid w:val="3F2DBA31"/>
    <w:multiLevelType w:val="hybridMultilevel"/>
    <w:lvl w:ilvl="0">
      <w:lvlJc w:val="left"/>
      <w:lvlText w:val="%1."/>
      <w:numFmt w:val="upperLetter"/>
      <w:start w:val="12"/>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upperLetter"/>
      <w:start w:val="13"/>
    </w:lvl>
  </w:abstractNum>
  <w:abstractNum w:abstractNumId="14">
    <w:nsid w:val="62BBD95A"/>
    <w:multiLevelType w:val="hybridMultilevel"/>
    <w:lvl w:ilvl="0">
      <w:lvlJc w:val="left"/>
      <w:lvlText w:val="%1."/>
      <w:numFmt w:val="upperLetter"/>
      <w:start w:val="14"/>
    </w:lvl>
  </w:abstractNum>
  <w:abstractNum w:abstractNumId="15">
    <w:nsid w:val="436C6125"/>
    <w:multiLevelType w:val="hybridMultilevel"/>
    <w:lvl w:ilvl="0">
      <w:lvlJc w:val="left"/>
      <w:lvlText w:val="%1."/>
      <w:numFmt w:val="upperLetter"/>
      <w:start w:val="16"/>
    </w:lvl>
  </w:abstractNum>
  <w:abstractNum w:abstractNumId="16">
    <w:nsid w:val="628C895D"/>
    <w:multiLevelType w:val="hybridMultilevel"/>
    <w:lvl w:ilvl="0">
      <w:lvlJc w:val="left"/>
      <w:lvlText w:val="%1."/>
      <w:numFmt w:val="upperLetter"/>
      <w:start w:val="17"/>
    </w:lvl>
  </w:abstractNum>
  <w:abstractNum w:abstractNumId="17">
    <w:nsid w:val="333AB105"/>
    <w:multiLevelType w:val="hybridMultilevel"/>
    <w:lvl w:ilvl="0">
      <w:lvlJc w:val="left"/>
      <w:lvlText w:val="%1."/>
      <w:numFmt w:val="upperLetter"/>
      <w:start w:val="18"/>
    </w:lvl>
  </w:abstractNum>
  <w:abstractNum w:abstractNumId="18">
    <w:nsid w:val="721DA317"/>
    <w:multiLevelType w:val="hybridMultilevel"/>
    <w:lvl w:ilvl="0">
      <w:lvlJc w:val="left"/>
      <w:lvlText w:val="%1."/>
      <w:numFmt w:val="upperLetter"/>
      <w:start w:val="19"/>
    </w:lvl>
    <w:lvl w:ilvl="1">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32"/>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2019-12-28T20:23:00Z</dcterms:created>
  <dcterms:modified xsi:type="dcterms:W3CDTF">2019-12-28T20:23:00Z</dcterms:modified>
</cp:coreProperties>
</file>