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KELLY THOMAS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2,974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133,493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8,995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124,498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At February 28, 2020, the Reporting Person owned 1,050 shares of CCK Common Stock under the CCK 401(k)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27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difference between 16,960 performance-based shares of Restricted Common Stock that vested on February 28, 2020 and 13,986 performance-based shares of Restricted Common Stock whose grant was originally reported on a Form 4 filed with the U.S. Securities and Exchange Commission on March 2, 2017 (the "Original Form 4"). As reported on the Original Form 4, such performance-based shares were originally granted to the Reporting Person based on the Company's Total Shareholder Return versus a defined group of companies with the final number of performance-based vested shares varying from 0 to 200% of 7,182 and on the Return on Invested Capital achieved by the Company compared to the ROIC target varying from 0 to 200% of 6,804.</w:t>
      </w:r>
    </w:p>
    <w:p>
      <w:pPr>
        <w:spacing w:after="0" w:line="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transferred to the Company for tax withholding in connection with vesting of both time-based and performance-based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69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2020-03-03T14:50:10Z</dcterms:created>
  <dcterms:modified xsi:type="dcterms:W3CDTF">2020-03-03T14:50:10Z</dcterms:modified>
</cp:coreProperties>
</file>