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36"/>
        </w:rPr>
      </w:pPr>
      <w:bookmarkStart w:id="0" w:name="d451758d8k.htm"/>
      <w:bookmarkStart w:id="1" w:name="ksd451758d8k"/>
      <w:bookmarkEnd w:id="0"/>
      <w:bookmarkEnd w:id="1"/>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240" w:after="0"/>
        <w:jc w:val="center"/>
        <w:rPr>
          <w:rFonts w:ascii="Times New Roman" w:hAnsi="Times New Roman"/>
          <w:b/>
          <w:sz w:val="36"/>
        </w:rPr>
      </w:pPr>
      <w:r>
        <w:rPr>
          <w:rFonts w:ascii="Times New Roman" w:hAnsi="Times New Roman"/>
          <w:b/>
          <w:sz w:val="36"/>
        </w:rPr>
        <w:t>FORM 8-K</w:t>
      </w:r>
    </w:p>
    <w:p>
      <w:pPr>
        <w:pStyle w:val="TextBody"/>
        <w:spacing w:before="24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May 9, 2023</w:t>
      </w:r>
    </w:p>
    <w:p>
      <w:pPr>
        <w:pStyle w:val="TextBody"/>
        <w:spacing w:before="240" w:after="0"/>
        <w:jc w:val="center"/>
        <w:rPr>
          <w:rFonts w:ascii="Times New Roman" w:hAnsi="Times New Roman"/>
          <w:b/>
          <w:sz w:val="48"/>
        </w:rPr>
      </w:pPr>
      <w:r>
        <w:rPr>
          <w:rFonts w:ascii="Times New Roman" w:hAnsi="Times New Roman"/>
          <w:b/>
          <w:sz w:val="48"/>
        </w:rPr>
        <w:t xml:space="preserve">CROWN HOLDINGS,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tbl>
      <w:tblPr>
        <w:tblW w:w="4815" w:type="dxa"/>
        <w:jc w:val="left"/>
        <w:tblInd w:w="0" w:type="dxa"/>
        <w:tblCellMar>
          <w:top w:w="0" w:type="dxa"/>
          <w:left w:w="0" w:type="dxa"/>
          <w:bottom w:w="0" w:type="dxa"/>
          <w:right w:w="0" w:type="dxa"/>
        </w:tblCellMar>
      </w:tblPr>
      <w:tblGrid>
        <w:gridCol w:w="2345"/>
        <w:gridCol w:w="60"/>
        <w:gridCol w:w="980"/>
        <w:gridCol w:w="60"/>
        <w:gridCol w:w="1370"/>
      </w:tblGrid>
      <w:tr>
        <w:trPr/>
        <w:tc>
          <w:tcPr>
            <w:tcW w:w="2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345" w:type="dxa"/>
            <w:tcBorders/>
            <w:shd w:fill="auto" w:val="clear"/>
            <w:vAlign w:val="center"/>
          </w:tcPr>
          <w:p>
            <w:pPr>
              <w:pStyle w:val="TableContents"/>
              <w:spacing w:before="0" w:after="283"/>
              <w:jc w:val="center"/>
              <w:rPr>
                <w:b/>
              </w:rPr>
            </w:pPr>
            <w:r>
              <w:rPr>
                <w:b/>
              </w:rPr>
              <w:t>Pennsylvania</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center"/>
              <w:rPr>
                <w:b/>
              </w:rPr>
            </w:pPr>
            <w:r>
              <w:rPr>
                <w:b/>
              </w:rPr>
              <w:t>0-50189</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75-3099507</w:t>
            </w:r>
          </w:p>
        </w:tc>
      </w:tr>
      <w:tr>
        <w:trPr/>
        <w:tc>
          <w:tcPr>
            <w:tcW w:w="234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0"/>
              <w:jc w:val="center"/>
              <w:rPr>
                <w:rFonts w:ascii="Times New Roman" w:hAnsi="Times New Roman"/>
                <w:b/>
                <w:sz w:val="20"/>
              </w:rPr>
            </w:pPr>
            <w:r>
              <w:rPr>
                <w:rFonts w:ascii="Times New Roman" w:hAnsi="Times New Roman"/>
                <w:b/>
                <w:sz w:val="20"/>
              </w:rPr>
              <w:t>14025 Riveredge Drive, Suite 300,</w:t>
            </w:r>
          </w:p>
          <w:p>
            <w:pPr>
              <w:pStyle w:val="TableContents"/>
              <w:spacing w:before="0" w:after="0"/>
              <w:jc w:val="center"/>
              <w:rPr>
                <w:rFonts w:ascii="Times New Roman" w:hAnsi="Times New Roman"/>
                <w:b/>
                <w:sz w:val="20"/>
              </w:rPr>
            </w:pPr>
            <w:r>
              <w:rPr>
                <w:rFonts w:ascii="Times New Roman" w:hAnsi="Times New Roman"/>
                <w:b/>
                <w:sz w:val="20"/>
              </w:rPr>
              <w:t>Tampa, Florida</w:t>
            </w:r>
            <w:r>
              <w:rPr>
                <w:rFonts w:ascii="Times New Roman" w:hAnsi="Times New Roman"/>
                <w:b/>
                <w:color w:val="FFFFFF"/>
                <w:sz w:val="2"/>
              </w:rPr>
              <w:t>,</w:t>
            </w:r>
            <w:r>
              <w:rPr>
                <w:rFonts w:ascii="Times New Roman" w:hAnsi="Times New Roman"/>
                <w:b/>
                <w:sz w:val="20"/>
              </w:rPr>
              <w:t xml:space="preserve"> 33637</w:t>
            </w:r>
          </w:p>
          <w:p>
            <w:pPr>
              <w:pStyle w:val="TableContents"/>
              <w:spacing w:before="0" w:after="20"/>
              <w:jc w:val="center"/>
              <w:rPr>
                <w:rFonts w:ascii="Times New Roman" w:hAnsi="Times New Roman"/>
                <w:b/>
                <w:sz w:val="20"/>
              </w:rPr>
            </w:pPr>
            <w:r>
              <w:rPr>
                <w:rFonts w:ascii="Times New Roman" w:hAnsi="Times New Roman"/>
                <w:b/>
                <w:sz w:val="20"/>
              </w:rPr>
              <w:t>(215) 698-5100</w:t>
            </w:r>
          </w:p>
        </w:tc>
      </w:tr>
      <w:tr>
        <w:trPr/>
        <w:tc>
          <w:tcPr>
            <w:tcW w:w="10205" w:type="dxa"/>
            <w:tcBorders/>
            <w:shd w:fill="auto" w:val="clear"/>
            <w:vAlign w:val="center"/>
          </w:tcPr>
          <w:p>
            <w:pPr>
              <w:pStyle w:val="TableContents"/>
              <w:spacing w:before="0" w:after="283"/>
              <w:jc w:val="center"/>
              <w:rPr>
                <w:b/>
              </w:rPr>
            </w:pPr>
            <w:r>
              <w:rPr>
                <w:b/>
              </w:rPr>
              <w:t>(Address, Including Zip Code, and Telephone Number, Including Area Code, of Registrant’s Principal Executive Offices)</w:t>
            </w:r>
          </w:p>
        </w:tc>
      </w:tr>
    </w:tbl>
    <w:p>
      <w:pPr>
        <w:pStyle w:val="TextBody"/>
        <w:spacing w:before="240" w:after="0"/>
        <w:jc w:val="center"/>
        <w:rPr>
          <w:rFonts w:ascii="Times New Roman" w:hAnsi="Times New Roman"/>
          <w:b/>
          <w:sz w:val="20"/>
        </w:rPr>
      </w:pPr>
      <w:r>
        <w:rPr>
          <w:rFonts w:ascii="Times New Roman" w:hAnsi="Times New Roman"/>
          <w:b/>
          <w:sz w:val="20"/>
        </w:rPr>
        <w:t>Not Applicable</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spacing w:before="0" w:after="0"/>
        <w:jc w:val="left"/>
        <w:rPr/>
      </w:pPr>
      <w:r>
        <w:rPr/>
        <w:t> </w:t>
      </w:r>
    </w:p>
    <w:tbl>
      <w:tblPr>
        <w:tblW w:w="7020" w:type="dxa"/>
        <w:jc w:val="left"/>
        <w:tblInd w:w="0" w:type="dxa"/>
        <w:tblCellMar>
          <w:top w:w="0" w:type="dxa"/>
          <w:left w:w="0" w:type="dxa"/>
          <w:bottom w:w="0" w:type="dxa"/>
          <w:right w:w="0" w:type="dxa"/>
        </w:tblCellMar>
      </w:tblPr>
      <w:tblGrid>
        <w:gridCol w:w="3305"/>
        <w:gridCol w:w="60"/>
        <w:gridCol w:w="800"/>
        <w:gridCol w:w="60"/>
        <w:gridCol w:w="2795"/>
      </w:tblGrid>
      <w:tr>
        <w:trPr/>
        <w:tc>
          <w:tcPr>
            <w:tcW w:w="33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330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80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279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3305" w:type="dxa"/>
            <w:tcBorders/>
            <w:shd w:fill="auto" w:val="clear"/>
            <w:vAlign w:val="center"/>
          </w:tcPr>
          <w:p>
            <w:pPr>
              <w:pStyle w:val="TableContents"/>
              <w:spacing w:before="0" w:after="283"/>
              <w:jc w:val="center"/>
              <w:rPr>
                <w:b/>
              </w:rPr>
            </w:pPr>
            <w:r>
              <w:rPr>
                <w:b/>
              </w:rPr>
              <w:t>Common Stock $5.00 Par Value</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CCK</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b/>
              </w:rPr>
            </w:pPr>
            <w:r>
              <w:rPr>
                <w:b/>
              </w:rPr>
              <w:t>New York Stock Exchange</w:t>
            </w:r>
          </w:p>
        </w:tc>
      </w:tr>
      <w:tr>
        <w:trPr/>
        <w:tc>
          <w:tcPr>
            <w:tcW w:w="3305" w:type="dxa"/>
            <w:tcBorders/>
            <w:shd w:fill="auto" w:val="clear"/>
            <w:vAlign w:val="center"/>
          </w:tcPr>
          <w:p>
            <w:pPr>
              <w:pStyle w:val="TableContents"/>
              <w:spacing w:before="0" w:after="283"/>
              <w:jc w:val="center"/>
              <w:rPr>
                <w:b/>
              </w:rPr>
            </w:pPr>
            <w:r>
              <w:rPr>
                <w:b/>
              </w:rPr>
              <w:t>7 3/8% Debentures Due 2026</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CCK26</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b/>
              </w:rPr>
            </w:pPr>
            <w:r>
              <w:rPr>
                <w:b/>
              </w:rPr>
              <w:t>New York Stock Exchange</w:t>
            </w:r>
          </w:p>
        </w:tc>
      </w:tr>
      <w:tr>
        <w:trPr/>
        <w:tc>
          <w:tcPr>
            <w:tcW w:w="3305" w:type="dxa"/>
            <w:tcBorders/>
            <w:shd w:fill="auto" w:val="clear"/>
            <w:vAlign w:val="center"/>
          </w:tcPr>
          <w:p>
            <w:pPr>
              <w:pStyle w:val="TableContents"/>
              <w:spacing w:before="0" w:after="283"/>
              <w:jc w:val="center"/>
              <w:rPr>
                <w:b/>
              </w:rPr>
            </w:pPr>
            <w:r>
              <w:rPr>
                <w:b/>
              </w:rPr>
              <w:t>7 1/2% Debentures Due 2096</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center"/>
              <w:rPr>
                <w:b/>
              </w:rPr>
            </w:pPr>
            <w:r>
              <w:rPr>
                <w:b/>
              </w:rPr>
              <w:t>CCK96</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b/>
              </w:rPr>
            </w:pPr>
            <w:r>
              <w:rPr>
                <w:b/>
              </w:rPr>
              <w:t>New York Stock Exchange</w:t>
            </w:r>
          </w:p>
        </w:tc>
      </w:tr>
    </w:tbl>
    <w:p>
      <w:pPr>
        <w:pStyle w:val="TextBody"/>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tbl>
      <w:tblPr>
        <w:tblW w:w="7525" w:type="dxa"/>
        <w:jc w:val="left"/>
        <w:tblInd w:w="0" w:type="dxa"/>
        <w:tblCellMar>
          <w:top w:w="0" w:type="dxa"/>
          <w:left w:w="0" w:type="dxa"/>
          <w:bottom w:w="0" w:type="dxa"/>
          <w:right w:w="0" w:type="dxa"/>
        </w:tblCellMar>
      </w:tblPr>
      <w:tblGrid>
        <w:gridCol w:w="245"/>
        <w:gridCol w:w="7280"/>
      </w:tblGrid>
      <w:tr>
        <w:trPr/>
        <w:tc>
          <w:tcPr>
            <w:tcW w:w="245" w:type="dxa"/>
            <w:tcBorders/>
            <w:shd w:fill="auto" w:val="clear"/>
            <w:vAlign w:val="center"/>
          </w:tcPr>
          <w:p>
            <w:pPr>
              <w:pStyle w:val="TableContents"/>
              <w:spacing w:before="0" w:after="283"/>
              <w:rPr/>
            </w:pPr>
            <w:r>
              <w:rPr/>
              <w:t>☐</w:t>
            </w:r>
          </w:p>
        </w:tc>
        <w:tc>
          <w:tcPr>
            <w:tcW w:w="728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(17CFR 240.14a-12)</w:t>
            </w:r>
          </w:p>
        </w:tc>
      </w:tr>
    </w:tbl>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120" w:after="0"/>
        <w:jc w:val="left"/>
        <w:rPr>
          <w:rFonts w:ascii="Times New Roman" w:hAnsi="Times New Roman"/>
          <w:sz w:val="20"/>
        </w:rPr>
      </w:pPr>
      <w:r>
        <w:rPr>
          <w:rFonts w:ascii="Times New Roman" w:hAnsi="Times New Roman"/>
          <w:sz w:val="20"/>
        </w:rPr>
        <w:t>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r>
        <w:br w:type="page"/>
      </w:r>
    </w:p>
    <w:p>
      <w:pPr>
        <w:pStyle w:val="HorizontalLine"/>
        <w:rPr/>
      </w:pPr>
      <w:r>
        <w:rPr/>
      </w:r>
    </w:p>
    <w:p>
      <w:pPr>
        <w:pStyle w:val="TextBody"/>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spacing w:before="120" w:after="0"/>
        <w:jc w:val="left"/>
        <w:rPr>
          <w:rFonts w:ascii="Times New Roman" w:hAnsi="Times New Roman"/>
          <w:sz w:val="20"/>
        </w:rPr>
      </w:pPr>
      <w:r>
        <w:rPr>
          <w:rFonts w:ascii="Times New Roman" w:hAnsi="Times New Roman"/>
          <w:sz w:val="20"/>
        </w:rPr>
        <w:t>Crown Holdings, Inc. (the “</w:t>
      </w:r>
      <w:r>
        <w:rPr>
          <w:rFonts w:ascii="Times New Roman" w:hAnsi="Times New Roman"/>
          <w:sz w:val="20"/>
          <w:u w:val="single"/>
        </w:rPr>
        <w:t>Company</w:t>
      </w:r>
      <w:r>
        <w:rPr>
          <w:rFonts w:ascii="Times New Roman" w:hAnsi="Times New Roman"/>
          <w:sz w:val="20"/>
        </w:rPr>
        <w:t>”) intends to offer €400 million in aggregate principal amount of senior unsecured notes due 2028, issued by Crown European Holdings S.A., a subsidiary of the Company (the “</w:t>
      </w:r>
      <w:r>
        <w:rPr>
          <w:rFonts w:ascii="Times New Roman" w:hAnsi="Times New Roman"/>
          <w:sz w:val="20"/>
          <w:u w:val="single"/>
        </w:rPr>
        <w:t>Offering</w:t>
      </w:r>
      <w:r>
        <w:rPr>
          <w:rFonts w:ascii="Times New Roman" w:hAnsi="Times New Roman"/>
          <w:sz w:val="20"/>
        </w:rPr>
        <w:t xml:space="preserve">”). The notes will be unconditionally guaranteed by the Company and certain of its subsidiaries. </w:t>
      </w:r>
    </w:p>
    <w:p>
      <w:pPr>
        <w:pStyle w:val="TextBody"/>
        <w:spacing w:before="240" w:after="0"/>
        <w:jc w:val="left"/>
        <w:rPr>
          <w:rFonts w:ascii="Times New Roman" w:hAnsi="Times New Roman"/>
          <w:sz w:val="20"/>
        </w:rPr>
      </w:pPr>
      <w:r>
        <w:rPr>
          <w:rFonts w:ascii="Times New Roman" w:hAnsi="Times New Roman"/>
          <w:sz w:val="20"/>
        </w:rPr>
        <w:t xml:space="preserve">The Company intends to use the proceeds of the Offering for the temporary repayment of indebtedness under the Company’s senior secured revolving credit facility. </w:t>
      </w:r>
    </w:p>
    <w:p>
      <w:pPr>
        <w:pStyle w:val="TextBody"/>
        <w:spacing w:before="240" w:after="0"/>
        <w:jc w:val="left"/>
        <w:rPr>
          <w:rFonts w:ascii="Times New Roman" w:hAnsi="Times New Roman"/>
          <w:sz w:val="20"/>
        </w:rPr>
      </w:pPr>
      <w:r>
        <w:rPr>
          <w:rFonts w:ascii="Times New Roman" w:hAnsi="Times New Roman"/>
          <w:sz w:val="20"/>
        </w:rPr>
        <w:t>The notes will be issued through a private placement and resold by initial purchasers to qualified institutional buyers under Rule 144A of the Securities Act of 1933, as amended (the “</w:t>
      </w:r>
      <w:r>
        <w:rPr>
          <w:rFonts w:ascii="Times New Roman" w:hAnsi="Times New Roman"/>
          <w:sz w:val="20"/>
          <w:u w:val="single"/>
        </w:rPr>
        <w:t>Securities Act</w:t>
      </w:r>
      <w:r>
        <w:rPr>
          <w:rFonts w:ascii="Times New Roman" w:hAnsi="Times New Roman"/>
          <w:sz w:val="20"/>
        </w:rPr>
        <w:t xml:space="preserve">”), and to non-U.S. persons outside the United States under Regulation S. The notes will not be registered under the Securities Act and cannot be offered or sold in the United States absent registration or an applicable exemption from the registration requirements. This does not constitute an offer to sell or the solicitation of an offer to buy any security in any jurisdiction in which such offer or sale would be unlawful. </w:t>
      </w:r>
    </w:p>
    <w:p>
      <w:pPr>
        <w:pStyle w:val="TextBody"/>
        <w:spacing w:before="240" w:after="0"/>
        <w:jc w:val="left"/>
        <w:rPr>
          <w:rFonts w:ascii="Times New Roman" w:hAnsi="Times New Roman"/>
          <w:sz w:val="20"/>
        </w:rPr>
      </w:pPr>
      <w:r>
        <w:rPr>
          <w:rFonts w:ascii="Times New Roman" w:hAnsi="Times New Roman"/>
          <w:sz w:val="20"/>
        </w:rPr>
        <w:t>The information in this Item 7.01 shall not be deemed to be “filed” for purposes of Section 18 of the Securities Exchange Act of 1934, as amended (the “</w:t>
      </w:r>
      <w:r>
        <w:rPr>
          <w:rFonts w:ascii="Times New Roman" w:hAnsi="Times New Roman"/>
          <w:sz w:val="20"/>
          <w:u w:val="single"/>
        </w:rPr>
        <w:t>Exchange Act</w:t>
      </w:r>
      <w:r>
        <w:rPr>
          <w:rFonts w:ascii="Times New Roman" w:hAnsi="Times New Roman"/>
          <w:sz w:val="20"/>
        </w:rPr>
        <w:t xml:space="preserve">”), or otherwise subject to the liability of that section, and shall not be deemed incorporated by reference in any filing under the Securities Act or the Exchange Act, except as shall be expressly set forth by specific reference in such filing. </w:t>
      </w:r>
    </w:p>
    <w:p>
      <w:pPr>
        <w:pStyle w:val="TextBody"/>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spacing w:before="120" w:after="0"/>
        <w:jc w:val="left"/>
        <w:rPr>
          <w:rFonts w:ascii="Times New Roman" w:hAnsi="Times New Roman"/>
          <w:sz w:val="20"/>
        </w:rPr>
      </w:pPr>
      <w:r>
        <w:rPr>
          <w:rFonts w:ascii="Times New Roman" w:hAnsi="Times New Roman"/>
          <w:sz w:val="20"/>
        </w:rPr>
        <w:t xml:space="preserve">Except for historical information, all other information in this Form 8-K consists of forward-looking statements. These forward-looking statements involve a number of risks, uncertainties and other factors, including regarding the contemplated size of the Offering, possible completion of the Offering, the prospective impact of the Offering and plans to temporarily repay certain indebtedness with the proceeds from the Offering, any of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is subject to market conditions and a number of other conditions and approvals and the final terms may vary substantially as a result of market and other conditions. There can be no assurance that the Offering will be completed as described herein or at all. Other important factors are discussed under the caption “Forward-Looking Statements” in the Company’s Form 10-K Annual Report for the year ended December 31, 2022 and in subsequent filings made prior to or after the date hereof. The Company does not intend to review or revise any particular forward-looking statement in light of future events. </w:t>
      </w:r>
    </w:p>
    <w:p>
      <w:pPr>
        <w:pStyle w:val="TextBody"/>
        <w:spacing w:before="24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spacing w:before="120" w:after="0"/>
        <w:jc w:val="left"/>
        <w:rPr>
          <w:rFonts w:ascii="Times New Roman" w:hAnsi="Times New Roman"/>
          <w:b/>
          <w:sz w:val="20"/>
        </w:rPr>
      </w:pPr>
      <w:r>
        <w:rPr>
          <w:rFonts w:ascii="Times New Roman" w:hAnsi="Times New Roman"/>
          <w:b/>
          <w:sz w:val="20"/>
        </w:rPr>
        <w:t xml:space="preserve">(d) Exhibits: </w:t>
      </w:r>
    </w:p>
    <w:p>
      <w:pPr>
        <w:pStyle w:val="TextBody"/>
        <w:spacing w:before="0" w:after="0"/>
        <w:jc w:val="left"/>
        <w:rPr/>
      </w:pPr>
      <w:r>
        <w:rPr/>
        <w:t> </w:t>
      </w:r>
    </w:p>
    <w:tbl>
      <w:tblPr>
        <w:tblW w:w="8890" w:type="dxa"/>
        <w:jc w:val="left"/>
        <w:tblInd w:w="0" w:type="dxa"/>
        <w:tblCellMar>
          <w:top w:w="0" w:type="dxa"/>
          <w:left w:w="0" w:type="dxa"/>
          <w:bottom w:w="0" w:type="dxa"/>
          <w:right w:w="0" w:type="dxa"/>
        </w:tblCellMar>
      </w:tblPr>
      <w:tblGrid>
        <w:gridCol w:w="1145"/>
        <w:gridCol w:w="120"/>
        <w:gridCol w:w="7625"/>
      </w:tblGrid>
      <w:tr>
        <w:trPr/>
        <w:tc>
          <w:tcPr>
            <w:tcW w:w="11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25" w:type="dxa"/>
            <w:tcBorders/>
            <w:shd w:fill="auto" w:val="clear"/>
            <w:vAlign w:val="center"/>
          </w:tcPr>
          <w:p>
            <w:pPr>
              <w:pStyle w:val="TableContents"/>
              <w:spacing w:before="0" w:after="283"/>
              <w:rPr>
                <w:sz w:val="4"/>
                <w:szCs w:val="4"/>
              </w:rPr>
            </w:pPr>
            <w:r>
              <w:rPr>
                <w:sz w:val="4"/>
                <w:szCs w:val="4"/>
              </w:rPr>
            </w:r>
          </w:p>
        </w:tc>
      </w:tr>
      <w:tr>
        <w:trPr/>
        <w:tc>
          <w:tcPr>
            <w:tcW w:w="1145" w:type="dxa"/>
            <w:tcBorders/>
            <w:shd w:fill="auto" w:val="clear"/>
            <w:vAlign w:val="center"/>
          </w:tcPr>
          <w:p>
            <w:pPr>
              <w:pStyle w:val="TableContents"/>
              <w:spacing w:before="0" w:after="283"/>
              <w:rPr/>
            </w:pPr>
            <w:r>
              <w:rPr/>
              <w:t>Exhibit 104</w:t>
            </w:r>
          </w:p>
        </w:tc>
        <w:tc>
          <w:tcPr>
            <w:tcW w:w="120" w:type="dxa"/>
            <w:tcBorders/>
            <w:shd w:fill="auto" w:val="clear"/>
            <w:vAlign w:val="center"/>
          </w:tcPr>
          <w:p>
            <w:pPr>
              <w:pStyle w:val="TableContents"/>
              <w:spacing w:before="0" w:after="283"/>
              <w:rPr/>
            </w:pPr>
            <w:r>
              <w:rPr/>
              <w:t>  </w:t>
            </w:r>
          </w:p>
        </w:tc>
        <w:tc>
          <w:tcPr>
            <w:tcW w:w="7625" w:type="dxa"/>
            <w:tcBorders/>
            <w:shd w:fill="auto" w:val="clear"/>
            <w:vAlign w:val="center"/>
          </w:tcPr>
          <w:p>
            <w:pPr>
              <w:pStyle w:val="TableContents"/>
              <w:spacing w:before="0" w:after="283"/>
              <w:rPr/>
            </w:pPr>
            <w:r>
              <w:rPr/>
              <w:t>Cover Page Interactive Data File (embedded within the Inline XBRL document)</w:t>
            </w:r>
          </w:p>
        </w:tc>
      </w:tr>
    </w:tbl>
    <w:p>
      <w:pPr>
        <w:pStyle w:val="TextBody"/>
        <w:spacing w:before="240" w:after="0"/>
        <w:jc w:val="left"/>
        <w:rPr>
          <w:rFonts w:ascii="Times New Roman" w:hAnsi="Times New Roman"/>
          <w:sz w:val="20"/>
        </w:rPr>
      </w:pPr>
      <w:r>
        <w:rPr>
          <w:rFonts w:ascii="Times New Roman" w:hAnsi="Times New Roman"/>
          <w:sz w:val="20"/>
        </w:rPr>
        <w:t xml:space="preserve">The information in this Item 9.01 shall not be deemed to be “filed” for purposes of Section 18 of the Exchange Act or otherwise subject to the liability of that section, and shall not be deemed incorporated by reference in any filing under the Securities Act or the Exchange Act, except as shall be expressly set forth by specific reference in such filing. </w:t>
      </w:r>
      <w:r>
        <w:br w:type="page"/>
      </w:r>
    </w:p>
    <w:p>
      <w:pPr>
        <w:pStyle w:val="HorizontalLine"/>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240" w:after="0"/>
        <w:jc w:val="left"/>
        <w:rPr>
          <w:rFonts w:ascii="Times New Roman" w:hAnsi="Times New Roman"/>
          <w:sz w:val="20"/>
        </w:rPr>
      </w:pPr>
      <w:r>
        <w:rPr>
          <w:rFonts w:ascii="Times New Roman" w:hAnsi="Times New Roman"/>
          <w:sz w:val="20"/>
        </w:rPr>
        <w:t xml:space="preserve">Dated: May 9, 2023 </w:t>
      </w:r>
    </w:p>
    <w:p>
      <w:pPr>
        <w:pStyle w:val="TextBody"/>
        <w:spacing w:before="0" w:after="0"/>
        <w:jc w:val="left"/>
        <w:rPr/>
      </w:pPr>
      <w:r>
        <w:rPr/>
        <w:t> </w:t>
      </w:r>
    </w:p>
    <w:tbl>
      <w:tblPr>
        <w:tblW w:w="4570" w:type="dxa"/>
        <w:jc w:val="left"/>
        <w:tblInd w:w="0" w:type="dxa"/>
        <w:tblCellMar>
          <w:top w:w="0" w:type="dxa"/>
          <w:left w:w="0" w:type="dxa"/>
          <w:bottom w:w="0" w:type="dxa"/>
          <w:right w:w="0" w:type="dxa"/>
        </w:tblCellMar>
      </w:tblPr>
      <w:tblGrid>
        <w:gridCol w:w="665"/>
        <w:gridCol w:w="60"/>
        <w:gridCol w:w="3845"/>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845" w:type="dxa"/>
            <w:tcBorders/>
            <w:shd w:fill="auto" w:val="clear"/>
            <w:vAlign w:val="center"/>
          </w:tcPr>
          <w:p>
            <w:pPr>
              <w:pStyle w:val="TableContents"/>
              <w:spacing w:before="0" w:after="283"/>
              <w:rPr>
                <w:sz w:val="4"/>
                <w:szCs w:val="4"/>
              </w:rPr>
            </w:pPr>
            <w:r>
              <w:rPr>
                <w:sz w:val="4"/>
                <w:szCs w:val="4"/>
              </w:rPr>
            </w:r>
          </w:p>
        </w:tc>
      </w:tr>
      <w:tr>
        <w:trPr/>
        <w:tc>
          <w:tcPr>
            <w:tcW w:w="4570" w:type="dxa"/>
            <w:gridSpan w:val="3"/>
            <w:tcBorders/>
            <w:shd w:fill="auto" w:val="clear"/>
            <w:vAlign w:val="center"/>
          </w:tcPr>
          <w:p>
            <w:pPr>
              <w:pStyle w:val="TableContents"/>
              <w:spacing w:before="0" w:after="283"/>
              <w:rPr/>
            </w:pPr>
            <w:r>
              <w:rPr/>
              <w:t>CROWN HOLDINGS, INC.</w:t>
            </w:r>
          </w:p>
        </w:tc>
      </w:tr>
      <w:tr>
        <w:trPr/>
        <w:tc>
          <w:tcPr>
            <w:tcW w:w="665" w:type="dxa"/>
            <w:tcBorders/>
            <w:shd w:fill="auto" w:val="clear"/>
            <w:vAlign w:val="center"/>
          </w:tcPr>
          <w:p>
            <w:pPr>
              <w:pStyle w:val="TableContents"/>
              <w:spacing w:before="0" w:after="283"/>
              <w:rPr>
                <w:sz w:val="4"/>
                <w:szCs w:val="4"/>
              </w:rPr>
            </w:pPr>
            <w:r>
              <w:rPr>
                <w:sz w:val="4"/>
                <w:szCs w:val="4"/>
              </w:rPr>
            </w:r>
          </w:p>
        </w:tc>
        <w:tc>
          <w:tcPr>
            <w:tcW w:w="3905"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384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Christy L. Kalaus</w:t>
            </w:r>
          </w:p>
        </w:tc>
      </w:tr>
      <w:tr>
        <w:trPr/>
        <w:tc>
          <w:tcPr>
            <w:tcW w:w="665"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3845" w:type="dxa"/>
            <w:tcBorders/>
            <w:shd w:fill="auto" w:val="clear"/>
            <w:vAlign w:val="center"/>
          </w:tcPr>
          <w:p>
            <w:pPr>
              <w:pStyle w:val="TableContents"/>
              <w:spacing w:before="0" w:after="283"/>
              <w:rPr/>
            </w:pPr>
            <w:r>
              <w:rPr/>
              <w:t>Christy L. Kalaus</w:t>
            </w:r>
          </w:p>
        </w:tc>
      </w:tr>
      <w:tr>
        <w:trPr/>
        <w:tc>
          <w:tcPr>
            <w:tcW w:w="665" w:type="dxa"/>
            <w:tcBorders/>
            <w:shd w:fill="auto" w:val="clear"/>
            <w:vAlign w:val="center"/>
          </w:tcPr>
          <w:p>
            <w:pPr>
              <w:pStyle w:val="TableContents"/>
              <w:spacing w:before="0" w:after="283"/>
              <w:rPr/>
            </w:pPr>
            <w:r>
              <w:rPr/>
              <w:t>Title:</w:t>
            </w:r>
          </w:p>
        </w:tc>
        <w:tc>
          <w:tcPr>
            <w:tcW w:w="60" w:type="dxa"/>
            <w:tcBorders/>
            <w:shd w:fill="auto" w:val="clear"/>
            <w:vAlign w:val="center"/>
          </w:tcPr>
          <w:p>
            <w:pPr>
              <w:pStyle w:val="TableContents"/>
              <w:spacing w:before="0" w:after="283"/>
              <w:rPr/>
            </w:pPr>
            <w:r>
              <w:rPr/>
              <w:t> </w:t>
            </w:r>
          </w:p>
        </w:tc>
        <w:tc>
          <w:tcPr>
            <w:tcW w:w="3845" w:type="dxa"/>
            <w:tcBorders/>
            <w:shd w:fill="auto" w:val="clear"/>
            <w:vAlign w:val="center"/>
          </w:tcPr>
          <w:p>
            <w:pPr>
              <w:pStyle w:val="TableContents"/>
              <w:spacing w:before="0" w:after="283"/>
              <w:rPr/>
            </w:pPr>
            <w:r>
              <w:rPr/>
              <w:t>Vice President and Corporate Controller</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930</Words>
  <CharactersWithSpaces>5897</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