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GOH HOCK HUAT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770 TOWNSHIP LINE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17"/>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CROWN HOLDINGS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CCK</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01/09/2020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3"/>
        <w:spacing w:after="0"/>
        <w:rPr>
          <w:sz w:val="20"/>
          <w:szCs w:val="20"/>
          <w:color w:val="auto"/>
        </w:rPr>
      </w:pPr>
      <w:r>
        <w:rPr>
          <w:rFonts w:ascii="Arial" w:cs="Arial" w:eastAsia="Arial" w:hAnsi="Arial"/>
          <w:sz w:val="18"/>
          <w:szCs w:val="18"/>
          <w:color w:val="0000FF"/>
        </w:rPr>
        <w:t>President - Asia Pacific Div.</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YARDLEY</w:t>
            </w:r>
          </w:p>
        </w:tc>
        <w:tc>
          <w:tcPr>
            <w:tcW w:w="1060" w:type="dxa"/>
            <w:vAlign w:val="bottom"/>
          </w:tcPr>
          <w:p>
            <w:pPr>
              <w:ind w:left="220"/>
              <w:spacing w:after="0"/>
              <w:rPr>
                <w:sz w:val="20"/>
                <w:szCs w:val="20"/>
                <w:color w:val="auto"/>
              </w:rPr>
            </w:pPr>
            <w:r>
              <w:rPr>
                <w:rFonts w:ascii="Arial" w:cs="Arial" w:eastAsia="Arial" w:hAnsi="Arial"/>
                <w:sz w:val="18"/>
                <w:szCs w:val="18"/>
                <w:color w:val="0000FF"/>
              </w:rPr>
              <w:t>PA</w:t>
            </w:r>
          </w:p>
        </w:tc>
        <w:tc>
          <w:tcPr>
            <w:tcW w:w="1680" w:type="dxa"/>
            <w:vAlign w:val="bottom"/>
          </w:tcPr>
          <w:p>
            <w:pPr>
              <w:ind w:left="420"/>
              <w:spacing w:after="0"/>
              <w:rPr>
                <w:sz w:val="20"/>
                <w:szCs w:val="20"/>
                <w:color w:val="auto"/>
              </w:rPr>
            </w:pPr>
            <w:r>
              <w:rPr>
                <w:rFonts w:ascii="Arial" w:cs="Arial" w:eastAsia="Arial" w:hAnsi="Arial"/>
                <w:sz w:val="18"/>
                <w:szCs w:val="18"/>
                <w:color w:val="0000FF"/>
              </w:rPr>
              <w:t>19067</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5"/>
              </w:rPr>
              <w:t>Common</w:t>
            </w: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01/09/2020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8,895</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48,193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73"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was granted 8,895 shares of Restricted Common Stock under the 2013 Stock-Based Compensation Plan. 3,037 time-vested restricted shares vest over a three year period as follows: 1,013 time-vested restricted shares on January 11, 2021 and 1,012 time-vested restricted shares on January 10, 2022 and January 9, 2023, respectively. 2,821 performance-based restricted shares are targeted to vest on January 9, 2023 based on the Company's Total Shareholder Return versus a defined peer group of companies, with the final number of performance-based vested shares varying from 0 to 200% of 2,821. 3,037 performance-based restricted shares are targeted to vest on January 9, 2023 based on the Return on Invested Capital achieved by the Company compared to the ROIC target, with the final number of performance-based vested shares varying from 0 to 200% of 3,037.</w:t>
      </w:r>
    </w:p>
    <w:p>
      <w:pPr>
        <w:spacing w:after="0" w:line="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Rosemary M. Haselroth, by</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01/13/2020</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48351"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2020-01-13T08:50:24Z</dcterms:created>
  <dcterms:modified xsi:type="dcterms:W3CDTF">2020-01-13T08:50:24Z</dcterms:modified>
</cp:coreProperties>
</file>