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$5.00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255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5552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13-2624428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6,285,309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7,459,671</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7,462,106</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CROWN HOLDINGS,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770 Township Line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Yardley, Pa 19067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270 Park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10017</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5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$5.00 Par Value</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228368106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7,462,106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6,285,309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1,575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7,459,671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2,435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right="360" w:firstLine="648"/>
        <w:spacing w:after="0" w:line="251" w:lineRule="auto"/>
        <w:rPr>
          <w:sz w:val="20"/>
          <w:szCs w:val="20"/>
          <w:color w:val="auto"/>
        </w:rPr>
      </w:pPr>
      <w:r>
        <w:rPr>
          <w:rFonts w:ascii="Arial" w:cs="Arial" w:eastAsia="Arial" w:hAnsi="Arial"/>
          <w:sz w:val="22"/>
          <w:szCs w:val="22"/>
          <w:color w:val="auto"/>
        </w:rPr>
        <w:t>J.P. Morgan Investment Management Inc.; JPMorgan Chase Bank, National Association; JPMorgan Asset Management (UK) Limited; J.P. Morgan Trust Company of Delaware; J.P. Morgan Securities LLC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January 09,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2019-12-21T05:16:53Z</dcterms:created>
  <dcterms:modified xsi:type="dcterms:W3CDTF">2019-12-21T05:16:53Z</dcterms:modified>
</cp:coreProperties>
</file>