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222250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8" w:lineRule="exact"/>
        <w:rPr>
          <w:sz w:val="24"/>
          <w:szCs w:val="24"/>
          <w:color w:val="auto"/>
        </w:rPr>
      </w:pPr>
    </w:p>
    <w:p>
      <w:pPr>
        <w:jc w:val="center"/>
        <w:ind w:left="3240" w:right="2180" w:hanging="3205"/>
        <w:spacing w:after="0" w:line="564" w:lineRule="auto"/>
        <w:tabs>
          <w:tab w:leader="none" w:pos="445"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81" w:lineRule="exact"/>
        <w:rPr>
          <w:sz w:val="24"/>
          <w:szCs w:val="24"/>
          <w:color w:val="auto"/>
        </w:rPr>
      </w:pPr>
    </w:p>
    <w:p>
      <w:pPr>
        <w:ind w:left="480" w:right="1780" w:hanging="445"/>
        <w:spacing w:after="0" w:line="282"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000-50189</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jc w:val="center"/>
              <w:ind w:left="1243"/>
              <w:spacing w:after="0"/>
              <w:rPr>
                <w:sz w:val="20"/>
                <w:szCs w:val="20"/>
                <w:color w:val="auto"/>
              </w:rPr>
            </w:pPr>
            <w:r>
              <w:rPr>
                <w:rFonts w:ascii="Arial" w:cs="Arial" w:eastAsia="Arial" w:hAnsi="Arial"/>
                <w:sz w:val="14"/>
                <w:szCs w:val="14"/>
                <w:color w:val="auto"/>
                <w:w w:val="91"/>
              </w:rPr>
              <w:t>Pennsylvania</w:t>
            </w:r>
          </w:p>
        </w:tc>
        <w:tc>
          <w:tcPr>
            <w:tcW w:w="2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0" w:type="dxa"/>
            <w:vAlign w:val="bottom"/>
          </w:tcPr>
          <w:p>
            <w:pPr>
              <w:jc w:val="center"/>
              <w:ind w:right="344"/>
              <w:spacing w:after="0"/>
              <w:rPr>
                <w:sz w:val="20"/>
                <w:szCs w:val="20"/>
                <w:color w:val="auto"/>
              </w:rPr>
            </w:pPr>
            <w:r>
              <w:rPr>
                <w:rFonts w:ascii="Arial" w:cs="Arial" w:eastAsia="Arial" w:hAnsi="Arial"/>
                <w:sz w:val="14"/>
                <w:szCs w:val="14"/>
                <w:color w:val="auto"/>
                <w:w w:val="93"/>
              </w:rPr>
              <w:t>75-3099507</w:t>
            </w:r>
          </w:p>
        </w:tc>
      </w:tr>
      <w:tr>
        <w:trPr>
          <w:trHeight w:val="236"/>
        </w:trPr>
        <w:tc>
          <w:tcPr>
            <w:tcW w:w="3720" w:type="dxa"/>
            <w:vAlign w:val="bottom"/>
          </w:tcPr>
          <w:p>
            <w:pPr>
              <w:jc w:val="center"/>
              <w:ind w:left="1243"/>
              <w:spacing w:after="0"/>
              <w:rPr>
                <w:sz w:val="20"/>
                <w:szCs w:val="20"/>
                <w:color w:val="auto"/>
              </w:rPr>
            </w:pPr>
            <w:r>
              <w:rPr>
                <w:rFonts w:ascii="Arial" w:cs="Arial" w:eastAsia="Arial" w:hAnsi="Arial"/>
                <w:sz w:val="14"/>
                <w:szCs w:val="14"/>
                <w:color w:val="auto"/>
                <w:w w:val="95"/>
              </w:rPr>
              <w:t>(State or other jurisdiction of</w:t>
            </w:r>
          </w:p>
        </w:tc>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0" w:type="dxa"/>
            <w:vAlign w:val="bottom"/>
          </w:tcPr>
          <w:p>
            <w:pPr>
              <w:jc w:val="center"/>
              <w:ind w:right="344"/>
              <w:spacing w:after="0"/>
              <w:rPr>
                <w:sz w:val="20"/>
                <w:szCs w:val="20"/>
                <w:color w:val="auto"/>
              </w:rPr>
            </w:pPr>
            <w:r>
              <w:rPr>
                <w:rFonts w:ascii="Arial" w:cs="Arial" w:eastAsia="Arial" w:hAnsi="Arial"/>
                <w:sz w:val="14"/>
                <w:szCs w:val="14"/>
                <w:color w:val="auto"/>
                <w:w w:val="95"/>
              </w:rPr>
              <w:t>(I.R.S. Employer</w:t>
            </w:r>
          </w:p>
        </w:tc>
      </w:tr>
      <w:tr>
        <w:trPr>
          <w:trHeight w:val="182"/>
        </w:trPr>
        <w:tc>
          <w:tcPr>
            <w:tcW w:w="3720" w:type="dxa"/>
            <w:vAlign w:val="bottom"/>
          </w:tcPr>
          <w:p>
            <w:pPr>
              <w:jc w:val="center"/>
              <w:ind w:left="1243"/>
              <w:spacing w:after="0"/>
              <w:rPr>
                <w:sz w:val="20"/>
                <w:szCs w:val="20"/>
                <w:color w:val="auto"/>
              </w:rPr>
            </w:pPr>
            <w:r>
              <w:rPr>
                <w:rFonts w:ascii="Arial" w:cs="Arial" w:eastAsia="Arial" w:hAnsi="Arial"/>
                <w:sz w:val="14"/>
                <w:szCs w:val="14"/>
                <w:color w:val="auto"/>
                <w:w w:val="94"/>
              </w:rPr>
              <w:t>incorporation or organization)</w:t>
            </w:r>
          </w:p>
        </w:tc>
        <w:tc>
          <w:tcPr>
            <w:tcW w:w="2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0" w:type="dxa"/>
            <w:vAlign w:val="bottom"/>
          </w:tcPr>
          <w:p>
            <w:pPr>
              <w:jc w:val="center"/>
              <w:ind w:right="324"/>
              <w:spacing w:after="0"/>
              <w:rPr>
                <w:sz w:val="20"/>
                <w:szCs w:val="20"/>
                <w:color w:val="auto"/>
              </w:rPr>
            </w:pPr>
            <w:r>
              <w:rPr>
                <w:rFonts w:ascii="Arial" w:cs="Arial" w:eastAsia="Arial" w:hAnsi="Arial"/>
                <w:sz w:val="14"/>
                <w:szCs w:val="14"/>
                <w:color w:val="auto"/>
                <w:w w:val="99"/>
              </w:rPr>
              <w:t>Identification No.)</w:t>
            </w:r>
          </w:p>
        </w:tc>
      </w:tr>
      <w:tr>
        <w:trPr>
          <w:trHeight w:val="432"/>
        </w:trPr>
        <w:tc>
          <w:tcPr>
            <w:tcW w:w="3720" w:type="dxa"/>
            <w:vAlign w:val="bottom"/>
          </w:tcPr>
          <w:p>
            <w:pPr>
              <w:jc w:val="center"/>
              <w:ind w:left="1243"/>
              <w:spacing w:after="0"/>
              <w:rPr>
                <w:sz w:val="20"/>
                <w:szCs w:val="20"/>
                <w:color w:val="auto"/>
              </w:rPr>
            </w:pPr>
            <w:r>
              <w:rPr>
                <w:rFonts w:ascii="Arial" w:cs="Arial" w:eastAsia="Arial" w:hAnsi="Arial"/>
                <w:sz w:val="14"/>
                <w:szCs w:val="14"/>
                <w:color w:val="auto"/>
                <w:w w:val="92"/>
              </w:rPr>
              <w:t>770 Township Line Road</w:t>
            </w:r>
          </w:p>
        </w:tc>
        <w:tc>
          <w:tcPr>
            <w:tcW w:w="2100" w:type="dxa"/>
            <w:vAlign w:val="bottom"/>
          </w:tcPr>
          <w:p>
            <w:pPr>
              <w:ind w:left="1440"/>
              <w:spacing w:after="0"/>
              <w:rPr>
                <w:sz w:val="20"/>
                <w:szCs w:val="20"/>
                <w:color w:val="auto"/>
              </w:rPr>
            </w:pPr>
            <w:r>
              <w:rPr>
                <w:rFonts w:ascii="Arial" w:cs="Arial" w:eastAsia="Arial" w:hAnsi="Arial"/>
                <w:sz w:val="14"/>
                <w:szCs w:val="14"/>
                <w:color w:val="auto"/>
              </w:rPr>
              <w:t>Yardley</w:t>
            </w:r>
          </w:p>
        </w:tc>
        <w:tc>
          <w:tcPr>
            <w:tcW w:w="1000" w:type="dxa"/>
            <w:vAlign w:val="bottom"/>
          </w:tcPr>
          <w:p>
            <w:pPr>
              <w:ind w:left="160"/>
              <w:spacing w:after="0"/>
              <w:rPr>
                <w:sz w:val="20"/>
                <w:szCs w:val="20"/>
                <w:color w:val="auto"/>
              </w:rPr>
            </w:pPr>
            <w:r>
              <w:rPr>
                <w:rFonts w:ascii="Arial" w:cs="Arial" w:eastAsia="Arial" w:hAnsi="Arial"/>
                <w:sz w:val="14"/>
                <w:szCs w:val="14"/>
                <w:color w:val="auto"/>
              </w:rPr>
              <w:t>PA</w:t>
            </w:r>
          </w:p>
        </w:tc>
        <w:tc>
          <w:tcPr>
            <w:tcW w:w="4600" w:type="dxa"/>
            <w:vAlign w:val="bottom"/>
          </w:tcPr>
          <w:p>
            <w:pPr>
              <w:jc w:val="center"/>
              <w:ind w:right="344"/>
              <w:spacing w:after="0"/>
              <w:rPr>
                <w:sz w:val="20"/>
                <w:szCs w:val="20"/>
                <w:color w:val="auto"/>
              </w:rPr>
            </w:pPr>
            <w:r>
              <w:rPr>
                <w:rFonts w:ascii="Arial" w:cs="Arial" w:eastAsia="Arial" w:hAnsi="Arial"/>
                <w:sz w:val="14"/>
                <w:szCs w:val="14"/>
                <w:color w:val="auto"/>
                <w:w w:val="93"/>
              </w:rPr>
              <w:t>19067-4232</w:t>
            </w:r>
          </w:p>
        </w:tc>
      </w:tr>
      <w:tr>
        <w:trPr>
          <w:trHeight w:val="203"/>
        </w:trPr>
        <w:tc>
          <w:tcPr>
            <w:tcW w:w="3720" w:type="dxa"/>
            <w:vAlign w:val="bottom"/>
          </w:tcPr>
          <w:p>
            <w:pPr>
              <w:jc w:val="center"/>
              <w:ind w:left="1243"/>
              <w:spacing w:after="0"/>
              <w:rPr>
                <w:sz w:val="20"/>
                <w:szCs w:val="20"/>
                <w:color w:val="auto"/>
              </w:rPr>
            </w:pPr>
            <w:r>
              <w:rPr>
                <w:rFonts w:ascii="Arial" w:cs="Arial" w:eastAsia="Arial" w:hAnsi="Arial"/>
                <w:sz w:val="14"/>
                <w:szCs w:val="14"/>
                <w:color w:val="auto"/>
                <w:w w:val="95"/>
              </w:rPr>
              <w:t>(Address of principal executive offices)</w:t>
            </w:r>
          </w:p>
        </w:tc>
        <w:tc>
          <w:tcPr>
            <w:tcW w:w="2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0" w:type="dxa"/>
            <w:vAlign w:val="bottom"/>
          </w:tcPr>
          <w:p>
            <w:pPr>
              <w:jc w:val="center"/>
              <w:ind w:right="324"/>
              <w:spacing w:after="0"/>
              <w:rPr>
                <w:sz w:val="20"/>
                <w:szCs w:val="20"/>
                <w:color w:val="auto"/>
              </w:rPr>
            </w:pPr>
            <w:r>
              <w:rPr>
                <w:rFonts w:ascii="Arial" w:cs="Arial" w:eastAsia="Arial" w:hAnsi="Arial"/>
                <w:sz w:val="14"/>
                <w:szCs w:val="14"/>
                <w:color w:val="auto"/>
                <w:w w:val="96"/>
              </w:rPr>
              <w:t>(Zip Code)</w:t>
            </w:r>
          </w:p>
        </w:tc>
      </w:tr>
      <w:tr>
        <w:trPr>
          <w:trHeight w:val="223"/>
        </w:trPr>
        <w:tc>
          <w:tcPr>
            <w:tcW w:w="3720" w:type="dxa"/>
            <w:vAlign w:val="bottom"/>
          </w:tcPr>
          <w:p>
            <w:pPr>
              <w:spacing w:after="0"/>
              <w:rPr>
                <w:sz w:val="19"/>
                <w:szCs w:val="19"/>
                <w:color w:val="auto"/>
              </w:rPr>
            </w:pPr>
          </w:p>
        </w:tc>
        <w:tc>
          <w:tcPr>
            <w:tcW w:w="7700" w:type="dxa"/>
            <w:vAlign w:val="bottom"/>
            <w:gridSpan w:val="3"/>
          </w:tcPr>
          <w:p>
            <w:pPr>
              <w:jc w:val="center"/>
              <w:ind w:right="3624"/>
              <w:spacing w:after="0"/>
              <w:rPr>
                <w:sz w:val="20"/>
                <w:szCs w:val="20"/>
                <w:color w:val="auto"/>
              </w:rPr>
            </w:pPr>
            <w:r>
              <w:rPr>
                <w:rFonts w:ascii="Arial" w:cs="Arial" w:eastAsia="Arial" w:hAnsi="Arial"/>
                <w:sz w:val="14"/>
                <w:szCs w:val="14"/>
                <w:color w:val="auto"/>
                <w:w w:val="92"/>
              </w:rPr>
              <w:t>Registrant’s telephone number, including area code: 215-698-5100</w:t>
            </w:r>
          </w:p>
        </w:tc>
      </w:tr>
      <w:tr>
        <w:trPr>
          <w:trHeight w:val="182"/>
        </w:trPr>
        <w:tc>
          <w:tcPr>
            <w:tcW w:w="3720" w:type="dxa"/>
            <w:vAlign w:val="bottom"/>
          </w:tcPr>
          <w:p>
            <w:pPr>
              <w:spacing w:after="0"/>
              <w:rPr>
                <w:sz w:val="15"/>
                <w:szCs w:val="15"/>
                <w:color w:val="auto"/>
              </w:rPr>
            </w:pPr>
          </w:p>
        </w:tc>
        <w:tc>
          <w:tcPr>
            <w:tcW w:w="3100" w:type="dxa"/>
            <w:vAlign w:val="bottom"/>
            <w:gridSpan w:val="2"/>
          </w:tcPr>
          <w:p>
            <w:pPr>
              <w:jc w:val="center"/>
              <w:ind w:left="826"/>
              <w:spacing w:after="0"/>
              <w:rPr>
                <w:sz w:val="20"/>
                <w:szCs w:val="20"/>
                <w:color w:val="auto"/>
              </w:rPr>
            </w:pPr>
            <w:r>
              <w:rPr>
                <w:rFonts w:ascii="Arial" w:cs="Arial" w:eastAsia="Arial" w:hAnsi="Arial"/>
                <w:sz w:val="14"/>
                <w:szCs w:val="14"/>
                <w:color w:val="auto"/>
                <w:w w:val="92"/>
              </w:rPr>
              <w:t>____________________</w:t>
            </w:r>
          </w:p>
        </w:tc>
        <w:tc>
          <w:tcPr>
            <w:tcW w:w="4600" w:type="dxa"/>
            <w:vAlign w:val="bottom"/>
          </w:tcPr>
          <w:p>
            <w:pPr>
              <w:spacing w:after="0"/>
              <w:rPr>
                <w:sz w:val="15"/>
                <w:szCs w:val="15"/>
                <w:color w:val="auto"/>
              </w:rPr>
            </w:pPr>
          </w:p>
        </w:tc>
      </w:tr>
      <w:tr>
        <w:trPr>
          <w:trHeight w:val="276"/>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0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51"/>
        </w:trPr>
        <w:tc>
          <w:tcPr>
            <w:tcW w:w="372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3100" w:type="dxa"/>
            <w:vAlign w:val="bottom"/>
            <w:gridSpan w:val="2"/>
          </w:tcPr>
          <w:p>
            <w:pPr>
              <w:jc w:val="center"/>
              <w:ind w:left="866"/>
              <w:spacing w:after="0"/>
              <w:rPr>
                <w:sz w:val="20"/>
                <w:szCs w:val="20"/>
                <w:color w:val="auto"/>
              </w:rPr>
            </w:pPr>
            <w:r>
              <w:rPr>
                <w:rFonts w:ascii="Arial" w:cs="Arial" w:eastAsia="Arial" w:hAnsi="Arial"/>
                <w:sz w:val="16"/>
                <w:szCs w:val="16"/>
                <w:color w:val="auto"/>
                <w:w w:val="93"/>
              </w:rPr>
              <w:t>Trading Symbols</w:t>
            </w:r>
          </w:p>
        </w:tc>
        <w:tc>
          <w:tcPr>
            <w:tcW w:w="4600" w:type="dxa"/>
            <w:vAlign w:val="bottom"/>
          </w:tcPr>
          <w:p>
            <w:pPr>
              <w:ind w:left="6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3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2100" w:type="dxa"/>
            <w:vAlign w:val="bottom"/>
          </w:tcPr>
          <w:p>
            <w:pPr>
              <w:ind w:left="1460"/>
              <w:spacing w:after="0"/>
              <w:rPr>
                <w:sz w:val="20"/>
                <w:szCs w:val="20"/>
                <w:color w:val="auto"/>
              </w:rPr>
            </w:pPr>
            <w:r>
              <w:rPr>
                <w:rFonts w:ascii="Arial" w:cs="Arial" w:eastAsia="Arial" w:hAnsi="Arial"/>
                <w:sz w:val="16"/>
                <w:szCs w:val="16"/>
                <w:color w:val="auto"/>
              </w:rPr>
              <w:t>CCK</w:t>
            </w:r>
          </w:p>
        </w:tc>
        <w:tc>
          <w:tcPr>
            <w:tcW w:w="1000" w:type="dxa"/>
            <w:vAlign w:val="bottom"/>
          </w:tcPr>
          <w:p>
            <w:pPr>
              <w:spacing w:after="0"/>
              <w:rPr>
                <w:sz w:val="18"/>
                <w:szCs w:val="18"/>
                <w:color w:val="auto"/>
              </w:rPr>
            </w:pPr>
          </w:p>
        </w:tc>
        <w:tc>
          <w:tcPr>
            <w:tcW w:w="4600" w:type="dxa"/>
            <w:vAlign w:val="bottom"/>
          </w:tcPr>
          <w:p>
            <w:pPr>
              <w:ind w:left="60"/>
              <w:spacing w:after="0"/>
              <w:rPr>
                <w:sz w:val="20"/>
                <w:szCs w:val="20"/>
                <w:color w:val="auto"/>
              </w:rPr>
            </w:pPr>
            <w:r>
              <w:rPr>
                <w:rFonts w:ascii="Arial" w:cs="Arial" w:eastAsia="Arial" w:hAnsi="Arial"/>
                <w:sz w:val="16"/>
                <w:szCs w:val="16"/>
                <w:color w:val="auto"/>
              </w:rPr>
              <w:t>New York Stock Exchange</w:t>
            </w:r>
          </w:p>
        </w:tc>
      </w:tr>
      <w:tr>
        <w:trPr>
          <w:trHeight w:val="257"/>
        </w:trPr>
        <w:tc>
          <w:tcPr>
            <w:tcW w:w="372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2100" w:type="dxa"/>
            <w:vAlign w:val="bottom"/>
          </w:tcPr>
          <w:p>
            <w:pPr>
              <w:ind w:left="1460"/>
              <w:spacing w:after="0"/>
              <w:rPr>
                <w:sz w:val="20"/>
                <w:szCs w:val="20"/>
                <w:color w:val="auto"/>
              </w:rPr>
            </w:pPr>
            <w:r>
              <w:rPr>
                <w:rFonts w:ascii="Arial" w:cs="Arial" w:eastAsia="Arial" w:hAnsi="Arial"/>
                <w:sz w:val="16"/>
                <w:szCs w:val="16"/>
                <w:color w:val="auto"/>
              </w:rPr>
              <w:t>CCK26</w:t>
            </w:r>
          </w:p>
        </w:tc>
        <w:tc>
          <w:tcPr>
            <w:tcW w:w="1000" w:type="dxa"/>
            <w:vAlign w:val="bottom"/>
          </w:tcPr>
          <w:p>
            <w:pPr>
              <w:spacing w:after="0"/>
              <w:rPr>
                <w:sz w:val="22"/>
                <w:szCs w:val="22"/>
                <w:color w:val="auto"/>
              </w:rPr>
            </w:pPr>
          </w:p>
        </w:tc>
        <w:tc>
          <w:tcPr>
            <w:tcW w:w="4600" w:type="dxa"/>
            <w:vAlign w:val="bottom"/>
          </w:tcPr>
          <w:p>
            <w:pPr>
              <w:ind w:left="60"/>
              <w:spacing w:after="0"/>
              <w:rPr>
                <w:sz w:val="20"/>
                <w:szCs w:val="20"/>
                <w:color w:val="auto"/>
              </w:rPr>
            </w:pPr>
            <w:r>
              <w:rPr>
                <w:rFonts w:ascii="Arial" w:cs="Arial" w:eastAsia="Arial" w:hAnsi="Arial"/>
                <w:sz w:val="16"/>
                <w:szCs w:val="16"/>
                <w:color w:val="auto"/>
              </w:rPr>
              <w:t>New York Stock Exchange</w:t>
            </w:r>
          </w:p>
        </w:tc>
      </w:tr>
      <w:tr>
        <w:trPr>
          <w:trHeight w:val="257"/>
        </w:trPr>
        <w:tc>
          <w:tcPr>
            <w:tcW w:w="372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2100" w:type="dxa"/>
            <w:vAlign w:val="bottom"/>
          </w:tcPr>
          <w:p>
            <w:pPr>
              <w:ind w:left="1460"/>
              <w:spacing w:after="0"/>
              <w:rPr>
                <w:sz w:val="20"/>
                <w:szCs w:val="20"/>
                <w:color w:val="auto"/>
              </w:rPr>
            </w:pPr>
            <w:r>
              <w:rPr>
                <w:rFonts w:ascii="Arial" w:cs="Arial" w:eastAsia="Arial" w:hAnsi="Arial"/>
                <w:sz w:val="16"/>
                <w:szCs w:val="16"/>
                <w:color w:val="auto"/>
              </w:rPr>
              <w:t>CCK96</w:t>
            </w:r>
          </w:p>
        </w:tc>
        <w:tc>
          <w:tcPr>
            <w:tcW w:w="1000" w:type="dxa"/>
            <w:vAlign w:val="bottom"/>
          </w:tcPr>
          <w:p>
            <w:pPr>
              <w:spacing w:after="0"/>
              <w:rPr>
                <w:sz w:val="22"/>
                <w:szCs w:val="22"/>
                <w:color w:val="auto"/>
              </w:rPr>
            </w:pPr>
          </w:p>
        </w:tc>
        <w:tc>
          <w:tcPr>
            <w:tcW w:w="4600" w:type="dxa"/>
            <w:vAlign w:val="bottom"/>
          </w:tcPr>
          <w:p>
            <w:pPr>
              <w:ind w:left="60"/>
              <w:spacing w:after="0"/>
              <w:rPr>
                <w:sz w:val="20"/>
                <w:szCs w:val="20"/>
                <w:color w:val="auto"/>
              </w:rPr>
            </w:pPr>
            <w:r>
              <w:rPr>
                <w:rFonts w:ascii="Arial" w:cs="Arial" w:eastAsia="Arial" w:hAnsi="Arial"/>
                <w:sz w:val="16"/>
                <w:szCs w:val="16"/>
                <w:color w:val="auto"/>
              </w:rPr>
              <w:t>New York Stock Exchange</w:t>
            </w:r>
          </w:p>
        </w:tc>
      </w:tr>
      <w:tr>
        <w:trPr>
          <w:trHeight w:val="284"/>
        </w:trPr>
        <w:tc>
          <w:tcPr>
            <w:tcW w:w="682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4600" w:type="dxa"/>
            <w:vAlign w:val="bottom"/>
          </w:tcPr>
          <w:p>
            <w:pPr>
              <w:spacing w:after="0"/>
              <w:rPr>
                <w:sz w:val="24"/>
                <w:szCs w:val="24"/>
                <w:color w:val="auto"/>
              </w:rPr>
            </w:pPr>
          </w:p>
        </w:tc>
      </w:tr>
      <w:tr>
        <w:trPr>
          <w:trHeight w:val="171"/>
        </w:trPr>
        <w:tc>
          <w:tcPr>
            <w:tcW w:w="3720" w:type="dxa"/>
            <w:vAlign w:val="bottom"/>
          </w:tcPr>
          <w:p>
            <w:pPr>
              <w:spacing w:after="0"/>
              <w:rPr>
                <w:sz w:val="14"/>
                <w:szCs w:val="14"/>
                <w:color w:val="auto"/>
              </w:rPr>
            </w:pPr>
          </w:p>
        </w:tc>
        <w:tc>
          <w:tcPr>
            <w:tcW w:w="3100" w:type="dxa"/>
            <w:vAlign w:val="bottom"/>
            <w:gridSpan w:val="2"/>
          </w:tcPr>
          <w:p>
            <w:pPr>
              <w:jc w:val="center"/>
              <w:ind w:left="806"/>
              <w:spacing w:after="0"/>
              <w:rPr>
                <w:sz w:val="20"/>
                <w:szCs w:val="20"/>
                <w:color w:val="auto"/>
              </w:rPr>
            </w:pPr>
            <w:r>
              <w:rPr>
                <w:rFonts w:ascii="Arial" w:cs="Arial" w:eastAsia="Arial" w:hAnsi="Arial"/>
                <w:sz w:val="14"/>
                <w:szCs w:val="14"/>
                <w:color w:val="auto"/>
                <w:w w:val="95"/>
              </w:rPr>
              <w:t>(Title of Class)</w:t>
            </w:r>
          </w:p>
        </w:tc>
        <w:tc>
          <w:tcPr>
            <w:tcW w:w="4600" w:type="dxa"/>
            <w:vAlign w:val="bottom"/>
          </w:tcPr>
          <w:p>
            <w:pPr>
              <w:spacing w:after="0"/>
              <w:rPr>
                <w:sz w:val="14"/>
                <w:szCs w:val="14"/>
                <w:color w:val="auto"/>
              </w:rPr>
            </w:pPr>
          </w:p>
        </w:tc>
      </w:tr>
      <w:tr>
        <w:trPr>
          <w:trHeight w:val="136"/>
        </w:trPr>
        <w:tc>
          <w:tcPr>
            <w:tcW w:w="3720" w:type="dxa"/>
            <w:vAlign w:val="bottom"/>
          </w:tcPr>
          <w:p>
            <w:pPr>
              <w:spacing w:after="0"/>
              <w:rPr>
                <w:sz w:val="11"/>
                <w:szCs w:val="11"/>
                <w:color w:val="auto"/>
              </w:rPr>
            </w:pPr>
          </w:p>
        </w:tc>
        <w:tc>
          <w:tcPr>
            <w:tcW w:w="3100" w:type="dxa"/>
            <w:vAlign w:val="bottom"/>
            <w:gridSpan w:val="2"/>
          </w:tcPr>
          <w:p>
            <w:pPr>
              <w:ind w:left="1460"/>
              <w:spacing w:after="0"/>
              <w:rPr>
                <w:sz w:val="20"/>
                <w:szCs w:val="20"/>
                <w:color w:val="auto"/>
              </w:rPr>
            </w:pPr>
            <w:r>
              <w:rPr>
                <w:rFonts w:ascii="Arial" w:cs="Arial" w:eastAsia="Arial" w:hAnsi="Arial"/>
                <w:sz w:val="11"/>
                <w:szCs w:val="11"/>
                <w:color w:val="auto"/>
              </w:rPr>
              <w:t>____________________</w:t>
            </w:r>
          </w:p>
        </w:tc>
        <w:tc>
          <w:tcPr>
            <w:tcW w:w="4600" w:type="dxa"/>
            <w:vAlign w:val="bottom"/>
          </w:tcPr>
          <w:p>
            <w:pPr>
              <w:spacing w:after="0"/>
              <w:rPr>
                <w:sz w:val="11"/>
                <w:szCs w:val="11"/>
                <w:color w:val="auto"/>
              </w:rPr>
            </w:pPr>
          </w:p>
        </w:tc>
      </w:tr>
      <w:tr>
        <w:trPr>
          <w:trHeight w:val="323"/>
        </w:trPr>
        <w:tc>
          <w:tcPr>
            <w:tcW w:w="6820" w:type="dxa"/>
            <w:vAlign w:val="bottom"/>
            <w:gridSpan w:val="3"/>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46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5" w:lineRule="exact"/>
        <w:rPr>
          <w:sz w:val="24"/>
          <w:szCs w:val="24"/>
          <w:color w:val="auto"/>
        </w:rPr>
      </w:pPr>
    </w:p>
    <w:p>
      <w:pPr>
        <w:spacing w:after="0" w:line="161" w:lineRule="exact"/>
        <w:tabs>
          <w:tab w:leader="none" w:pos="7620" w:val="left"/>
          <w:tab w:leader="none" w:pos="814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4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20"/>
        <w:spacing w:after="0" w:line="161"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518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118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9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18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118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96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3120" w:type="dxa"/>
            <w:vAlign w:val="bottom"/>
          </w:tcPr>
          <w:p>
            <w:pPr>
              <w:ind w:left="118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714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12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480" w:type="dxa"/>
            <w:vAlign w:val="bottom"/>
          </w:tcPr>
          <w:p>
            <w:pPr>
              <w:spacing w:after="0"/>
              <w:rPr>
                <w:sz w:val="19"/>
                <w:szCs w:val="19"/>
                <w:color w:val="auto"/>
              </w:rPr>
            </w:pPr>
          </w:p>
        </w:tc>
      </w:tr>
    </w:tbl>
    <w:p>
      <w:pPr>
        <w:ind w:right="160"/>
        <w:spacing w:after="0" w:line="229" w:lineRule="auto"/>
        <w:rPr>
          <w:sz w:val="20"/>
          <w:szCs w:val="20"/>
          <w:color w:val="auto"/>
        </w:rPr>
      </w:pPr>
      <w:r>
        <w:rPr>
          <w:rFonts w:ascii="Arial" w:cs="Arial" w:eastAsia="Arial" w:hAnsi="Arial"/>
          <w:sz w:val="14"/>
          <w:szCs w:val="14"/>
          <w:color w:val="auto"/>
        </w:rPr>
        <w:t>As of June 30, 2019, 135,434,877 shares of the Registrant’s Common Stock, excluding shares held in Treasury, were issued and outstanding, and the aggregate market value of such shares held by non-affiliates of the Registrant on such date was $8,275,070,985 based on the New York Stock Exchange closing price for such shares on that date.</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3"/>
          </w:tcPr>
          <w:p>
            <w:pPr>
              <w:spacing w:after="0"/>
              <w:rPr>
                <w:sz w:val="20"/>
                <w:szCs w:val="20"/>
                <w:color w:val="auto"/>
              </w:rPr>
            </w:pPr>
            <w:r>
              <w:rPr>
                <w:rFonts w:ascii="Arial" w:cs="Arial" w:eastAsia="Arial" w:hAnsi="Arial"/>
                <w:sz w:val="14"/>
                <w:szCs w:val="14"/>
                <w:color w:val="auto"/>
              </w:rPr>
              <w:t>As of February 27, 2020, 135,753,410 shares of the Registrant’s Common Stock were issued and outstanding.</w:t>
            </w:r>
          </w:p>
        </w:tc>
        <w:tc>
          <w:tcPr>
            <w:tcW w:w="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7"/>
        </w:trPr>
        <w:tc>
          <w:tcPr>
            <w:tcW w:w="3460" w:type="dxa"/>
            <w:vAlign w:val="bottom"/>
          </w:tcPr>
          <w:p>
            <w:pPr>
              <w:spacing w:after="0"/>
              <w:rPr>
                <w:sz w:val="22"/>
                <w:szCs w:val="22"/>
                <w:color w:val="auto"/>
              </w:rPr>
            </w:pPr>
          </w:p>
        </w:tc>
        <w:tc>
          <w:tcPr>
            <w:tcW w:w="4260" w:type="dxa"/>
            <w:vAlign w:val="bottom"/>
            <w:gridSpan w:val="2"/>
          </w:tcPr>
          <w:p>
            <w:pPr>
              <w:ind w:left="600"/>
              <w:spacing w:after="0"/>
              <w:rPr>
                <w:sz w:val="20"/>
                <w:szCs w:val="20"/>
                <w:color w:val="auto"/>
              </w:rPr>
            </w:pPr>
            <w:r>
              <w:rPr>
                <w:rFonts w:ascii="Arial" w:cs="Arial" w:eastAsia="Arial" w:hAnsi="Arial"/>
                <w:sz w:val="14"/>
                <w:szCs w:val="14"/>
                <w:b w:val="1"/>
                <w:bCs w:val="1"/>
                <w:color w:val="auto"/>
              </w:rPr>
              <w:t>DOCUMENTS INCORPORATED BY REFERENCE</w:t>
            </w:r>
          </w:p>
        </w:tc>
        <w:tc>
          <w:tcPr>
            <w:tcW w:w="5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2"/>
        </w:trPr>
        <w:tc>
          <w:tcPr>
            <w:tcW w:w="346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Document</w:t>
            </w:r>
          </w:p>
        </w:tc>
        <w:tc>
          <w:tcPr>
            <w:tcW w:w="580" w:type="dxa"/>
            <w:vAlign w:val="bottom"/>
          </w:tcPr>
          <w:p>
            <w:pPr>
              <w:spacing w:after="0"/>
              <w:rPr>
                <w:sz w:val="24"/>
                <w:szCs w:val="24"/>
                <w:color w:val="auto"/>
              </w:rPr>
            </w:pPr>
          </w:p>
        </w:tc>
        <w:tc>
          <w:tcPr>
            <w:tcW w:w="3120" w:type="dxa"/>
            <w:vAlign w:val="bottom"/>
            <w:gridSpan w:val="2"/>
          </w:tcPr>
          <w:p>
            <w:pPr>
              <w:jc w:val="center"/>
              <w:ind w:right="1380"/>
              <w:spacing w:after="0"/>
              <w:rPr>
                <w:sz w:val="20"/>
                <w:szCs w:val="20"/>
                <w:color w:val="auto"/>
              </w:rPr>
            </w:pPr>
            <w:r>
              <w:rPr>
                <w:rFonts w:ascii="Arial" w:cs="Arial" w:eastAsia="Arial" w:hAnsi="Arial"/>
                <w:sz w:val="14"/>
                <w:szCs w:val="14"/>
                <w:color w:val="auto"/>
                <w:w w:val="93"/>
              </w:rPr>
              <w:t>Parts Into Which Incorporated</w:t>
            </w:r>
          </w:p>
        </w:tc>
      </w:tr>
      <w:tr>
        <w:trPr>
          <w:trHeight w:val="20"/>
        </w:trPr>
        <w:tc>
          <w:tcPr>
            <w:tcW w:w="3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1"/>
        </w:trPr>
        <w:tc>
          <w:tcPr>
            <w:tcW w:w="7720" w:type="dxa"/>
            <w:vAlign w:val="bottom"/>
            <w:gridSpan w:val="3"/>
          </w:tcPr>
          <w:p>
            <w:pPr>
              <w:ind w:left="740"/>
              <w:spacing w:after="0"/>
              <w:rPr>
                <w:sz w:val="20"/>
                <w:szCs w:val="20"/>
                <w:color w:val="auto"/>
              </w:rPr>
            </w:pPr>
            <w:r>
              <w:rPr>
                <w:rFonts w:ascii="Arial" w:cs="Arial" w:eastAsia="Arial" w:hAnsi="Arial"/>
                <w:sz w:val="14"/>
                <w:szCs w:val="14"/>
                <w:color w:val="auto"/>
              </w:rPr>
              <w:t>Proxy Statement for the Annual Meeting of Shareholders to be held April 23, 2020</w:t>
            </w:r>
          </w:p>
        </w:tc>
        <w:tc>
          <w:tcPr>
            <w:tcW w:w="3700" w:type="dxa"/>
            <w:vAlign w:val="bottom"/>
            <w:gridSpan w:val="3"/>
          </w:tcPr>
          <w:p>
            <w:pPr>
              <w:jc w:val="center"/>
              <w:ind w:right="800"/>
              <w:spacing w:after="0"/>
              <w:rPr>
                <w:sz w:val="20"/>
                <w:szCs w:val="20"/>
                <w:color w:val="auto"/>
              </w:rPr>
            </w:pPr>
            <w:r>
              <w:rPr>
                <w:rFonts w:ascii="Arial" w:cs="Arial" w:eastAsia="Arial" w:hAnsi="Arial"/>
                <w:sz w:val="14"/>
                <w:szCs w:val="14"/>
                <w:color w:val="auto"/>
                <w:w w:val="93"/>
              </w:rPr>
              <w:t>Part III to the extent described therein</w:t>
            </w:r>
          </w:p>
        </w:tc>
      </w:tr>
      <w:tr>
        <w:trPr>
          <w:trHeight w:val="100"/>
        </w:trPr>
        <w:tc>
          <w:tcPr>
            <w:tcW w:w="34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88"/>
        </w:trPr>
        <w:tc>
          <w:tcPr>
            <w:tcW w:w="34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-97790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-97790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4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1"/>
              </w:rPr>
              <w:t>Crown Holdings, Inc.</w:t>
            </w:r>
          </w:p>
        </w:tc>
        <w:tc>
          <w:tcPr>
            <w:tcW w:w="1060" w:type="dxa"/>
            <w:vAlign w:val="bottom"/>
          </w:tcPr>
          <w:p>
            <w:pPr>
              <w:spacing w:after="0"/>
              <w:rPr>
                <w:sz w:val="20"/>
                <w:szCs w:val="20"/>
                <w:color w:val="auto"/>
              </w:rPr>
            </w:pPr>
          </w:p>
        </w:tc>
      </w:tr>
      <w:tr>
        <w:trPr>
          <w:trHeight w:val="648"/>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0" w:type="dxa"/>
            <w:vAlign w:val="bottom"/>
            <w:gridSpan w:val="10"/>
          </w:tcPr>
          <w:p>
            <w:pPr>
              <w:jc w:val="center"/>
              <w:ind w:right="2860"/>
              <w:spacing w:after="0"/>
              <w:rPr>
                <w:sz w:val="20"/>
                <w:szCs w:val="20"/>
                <w:color w:val="auto"/>
              </w:rPr>
            </w:pPr>
            <w:r>
              <w:rPr>
                <w:rFonts w:ascii="Arial" w:cs="Arial" w:eastAsia="Arial" w:hAnsi="Arial"/>
                <w:sz w:val="18"/>
                <w:szCs w:val="18"/>
                <w:color w:val="auto"/>
                <w:w w:val="95"/>
              </w:rPr>
              <w:t>2019 FORM 10-K ANNUAL REPORT</w:t>
            </w:r>
          </w:p>
        </w:tc>
        <w:tc>
          <w:tcPr>
            <w:tcW w:w="106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320"/>
              <w:spacing w:after="0"/>
              <w:rPr>
                <w:sz w:val="20"/>
                <w:szCs w:val="20"/>
                <w:color w:val="auto"/>
              </w:rPr>
            </w:pPr>
            <w:r>
              <w:rPr>
                <w:rFonts w:ascii="Arial" w:cs="Arial" w:eastAsia="Arial" w:hAnsi="Arial"/>
                <w:sz w:val="18"/>
                <w:szCs w:val="18"/>
                <w:color w:val="auto"/>
                <w:w w:val="95"/>
              </w:rPr>
              <w:t>TABLE OF CONTENTS</w:t>
            </w:r>
          </w:p>
        </w:tc>
        <w:tc>
          <w:tcPr>
            <w:tcW w:w="1060" w:type="dxa"/>
            <w:vAlign w:val="bottom"/>
          </w:tcPr>
          <w:p>
            <w:pPr>
              <w:spacing w:after="0"/>
              <w:rPr>
                <w:sz w:val="24"/>
                <w:szCs w:val="24"/>
                <w:color w:val="auto"/>
              </w:rPr>
            </w:pPr>
          </w:p>
        </w:tc>
      </w:tr>
      <w:tr>
        <w:trPr>
          <w:trHeight w:val="756"/>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20"/>
              <w:spacing w:after="0"/>
              <w:rPr>
                <w:sz w:val="20"/>
                <w:szCs w:val="20"/>
                <w:color w:val="auto"/>
              </w:rPr>
            </w:pPr>
            <w:r>
              <w:rPr>
                <w:rFonts w:ascii="Arial" w:cs="Arial" w:eastAsia="Arial" w:hAnsi="Arial"/>
                <w:sz w:val="18"/>
                <w:szCs w:val="18"/>
                <w:color w:val="auto"/>
                <w:w w:val="92"/>
              </w:rPr>
              <w:t>PART I</w:t>
            </w:r>
          </w:p>
        </w:tc>
        <w:tc>
          <w:tcPr>
            <w:tcW w:w="1060" w:type="dxa"/>
            <w:vAlign w:val="bottom"/>
          </w:tcPr>
          <w:p>
            <w:pPr>
              <w:spacing w:after="0"/>
              <w:rPr>
                <w:sz w:val="24"/>
                <w:szCs w:val="24"/>
                <w:color w:val="auto"/>
              </w:rPr>
            </w:pPr>
          </w:p>
        </w:tc>
      </w:tr>
      <w:tr>
        <w:trPr>
          <w:trHeight w:val="459"/>
        </w:trPr>
        <w:tc>
          <w:tcPr>
            <w:tcW w:w="480" w:type="dxa"/>
            <w:vAlign w:val="bottom"/>
            <w:tcBorders>
              <w:bottom w:val="single" w:sz="8" w:color="0000EE"/>
            </w:tcBorders>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660" w:type="dxa"/>
            <w:vAlign w:val="bottom"/>
            <w:gridSpan w:val="5"/>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20" w:type="dxa"/>
            <w:vAlign w:val="bottom"/>
            <w:gridSpan w:val="19"/>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80"/>
        </w:trPr>
        <w:tc>
          <w:tcPr>
            <w:tcW w:w="62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Item 1A</w:t>
              </w:r>
            </w:hyperlink>
          </w:p>
        </w:tc>
        <w:tc>
          <w:tcPr>
            <w:tcW w:w="520" w:type="dxa"/>
            <w:vAlign w:val="bottom"/>
            <w:gridSpan w:val="2"/>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960" w:type="dxa"/>
            <w:vAlign w:val="bottom"/>
            <w:gridSpan w:val="1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80"/>
        </w:trPr>
        <w:tc>
          <w:tcPr>
            <w:tcW w:w="6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Item 1B</w:t>
              </w:r>
            </w:hyperlink>
          </w:p>
        </w:tc>
        <w:tc>
          <w:tcPr>
            <w:tcW w:w="540" w:type="dxa"/>
            <w:vAlign w:val="bottom"/>
            <w:gridSpan w:val="3"/>
          </w:tcPr>
          <w:p>
            <w:pPr>
              <w:spacing w:after="0"/>
              <w:rPr>
                <w:sz w:val="24"/>
                <w:szCs w:val="24"/>
                <w:color w:val="auto"/>
              </w:rPr>
            </w:pP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Unresolved Staff Comments</w:t>
              </w:r>
            </w:hyperlink>
          </w:p>
        </w:tc>
        <w:tc>
          <w:tcPr>
            <w:tcW w:w="682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80"/>
        </w:trPr>
        <w:tc>
          <w:tcPr>
            <w:tcW w:w="480" w:type="dxa"/>
            <w:vAlign w:val="bottom"/>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2</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48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3</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48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4</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20"/>
        </w:trPr>
        <w:tc>
          <w:tcPr>
            <w:tcW w:w="4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40"/>
              <w:spacing w:after="0"/>
              <w:rPr>
                <w:sz w:val="20"/>
                <w:szCs w:val="20"/>
                <w:color w:val="auto"/>
              </w:rPr>
            </w:pPr>
            <w:r>
              <w:rPr>
                <w:rFonts w:ascii="Arial" w:cs="Arial" w:eastAsia="Arial" w:hAnsi="Arial"/>
                <w:sz w:val="18"/>
                <w:szCs w:val="18"/>
                <w:color w:val="auto"/>
                <w:w w:val="95"/>
              </w:rPr>
              <w:t>PART II</w:t>
            </w:r>
          </w:p>
        </w:tc>
        <w:tc>
          <w:tcPr>
            <w:tcW w:w="1060" w:type="dxa"/>
            <w:vAlign w:val="bottom"/>
          </w:tcPr>
          <w:p>
            <w:pPr>
              <w:spacing w:after="0"/>
              <w:rPr>
                <w:sz w:val="24"/>
                <w:szCs w:val="24"/>
                <w:color w:val="auto"/>
              </w:rPr>
            </w:pPr>
          </w:p>
        </w:tc>
      </w:tr>
      <w:tr>
        <w:trPr>
          <w:trHeight w:val="459"/>
        </w:trPr>
        <w:tc>
          <w:tcPr>
            <w:tcW w:w="480" w:type="dxa"/>
            <w:vAlign w:val="bottom"/>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5</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Market for Registrant’s Common Equity, Related Stockholder Matters and Issuer Purchases of Equity Securities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80"/>
        </w:trPr>
        <w:tc>
          <w:tcPr>
            <w:tcW w:w="480" w:type="dxa"/>
            <w:vAlign w:val="bottom"/>
            <w:tcBorders>
              <w:top w:val="single" w:sz="8" w:color="0000EE"/>
            </w:tcBorders>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6</w:t>
              </w:r>
            </w:hyperlink>
          </w:p>
        </w:tc>
        <w:tc>
          <w:tcPr>
            <w:tcW w:w="660" w:type="dxa"/>
            <w:vAlign w:val="bottom"/>
            <w:gridSpan w:val="5"/>
          </w:tcPr>
          <w:p>
            <w:pPr>
              <w:spacing w:after="0"/>
              <w:rPr>
                <w:sz w:val="24"/>
                <w:szCs w:val="24"/>
                <w:color w:val="auto"/>
              </w:rPr>
            </w:pP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480" w:type="dxa"/>
            <w:vAlign w:val="bottom"/>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7</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620" w:type="dxa"/>
            <w:vAlign w:val="bottom"/>
            <w:gridSpan w:val="4"/>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Item 7A</w:t>
              </w:r>
            </w:hyperlink>
          </w:p>
        </w:tc>
        <w:tc>
          <w:tcPr>
            <w:tcW w:w="520" w:type="dxa"/>
            <w:vAlign w:val="bottom"/>
            <w:gridSpan w:val="2"/>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0"/>
        </w:trPr>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8</w:t>
              </w:r>
            </w:hyperlink>
          </w:p>
        </w:tc>
        <w:tc>
          <w:tcPr>
            <w:tcW w:w="140" w:type="dxa"/>
            <w:vAlign w:val="bottom"/>
            <w:tcBorders>
              <w:top w:val="single" w:sz="8" w:color="0000EE"/>
            </w:tcBorders>
            <w:gridSpan w:val="3"/>
          </w:tcPr>
          <w:p>
            <w:pPr>
              <w:spacing w:after="0"/>
              <w:rPr>
                <w:sz w:val="24"/>
                <w:szCs w:val="24"/>
                <w:color w:val="auto"/>
              </w:rPr>
            </w:pPr>
          </w:p>
        </w:tc>
        <w:tc>
          <w:tcPr>
            <w:tcW w:w="520" w:type="dxa"/>
            <w:vAlign w:val="bottom"/>
            <w:gridSpan w:val="2"/>
          </w:tcPr>
          <w:p>
            <w:pPr>
              <w:spacing w:after="0"/>
              <w:rPr>
                <w:sz w:val="24"/>
                <w:szCs w:val="24"/>
                <w:color w:val="auto"/>
              </w:rPr>
            </w:pP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4520" w:type="dxa"/>
            <w:vAlign w:val="bottom"/>
            <w:gridSpan w:val="6"/>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0"/>
        </w:trPr>
        <w:tc>
          <w:tcPr>
            <w:tcW w:w="480" w:type="dxa"/>
            <w:vAlign w:val="bottom"/>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Item 9</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Changes in and Disagreements with Accountants on Accounting and Financial Disclosure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620" w:type="dxa"/>
            <w:vAlign w:val="bottom"/>
            <w:gridSpan w:val="4"/>
          </w:tcPr>
          <w:p>
            <w:pPr>
              <w:spacing w:after="0"/>
              <w:rPr>
                <w:rFonts w:ascii="Arial" w:cs="Arial" w:eastAsia="Arial" w:hAnsi="Arial"/>
                <w:sz w:val="18"/>
                <w:szCs w:val="18"/>
                <w:color w:val="0000EE"/>
                <w:w w:val="96"/>
              </w:rPr>
            </w:pPr>
            <w:hyperlink w:anchor="page107">
              <w:r>
                <w:rPr>
                  <w:rFonts w:ascii="Arial" w:cs="Arial" w:eastAsia="Arial" w:hAnsi="Arial"/>
                  <w:sz w:val="18"/>
                  <w:szCs w:val="18"/>
                  <w:color w:val="0000EE"/>
                  <w:w w:val="96"/>
                </w:rPr>
                <w:t>Item 9A</w:t>
              </w:r>
            </w:hyperlink>
          </w:p>
        </w:tc>
        <w:tc>
          <w:tcPr>
            <w:tcW w:w="520" w:type="dxa"/>
            <w:vAlign w:val="bottom"/>
            <w:gridSpan w:val="2"/>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80"/>
        </w:trPr>
        <w:tc>
          <w:tcPr>
            <w:tcW w:w="620" w:type="dxa"/>
            <w:vAlign w:val="bottom"/>
            <w:tcBorders>
              <w:top w:val="single" w:sz="8" w:color="0000EE"/>
            </w:tcBorders>
            <w:gridSpan w:val="4"/>
          </w:tcPr>
          <w:p>
            <w:pPr>
              <w:spacing w:after="0"/>
              <w:rPr>
                <w:rFonts w:ascii="Arial" w:cs="Arial" w:eastAsia="Arial" w:hAnsi="Arial"/>
                <w:sz w:val="18"/>
                <w:szCs w:val="18"/>
                <w:color w:val="0000EE"/>
                <w:w w:val="96"/>
              </w:rPr>
            </w:pPr>
            <w:hyperlink w:anchor="page108">
              <w:r>
                <w:rPr>
                  <w:rFonts w:ascii="Arial" w:cs="Arial" w:eastAsia="Arial" w:hAnsi="Arial"/>
                  <w:sz w:val="18"/>
                  <w:szCs w:val="18"/>
                  <w:color w:val="0000EE"/>
                  <w:w w:val="96"/>
                </w:rPr>
                <w:t>Item 9B</w:t>
              </w:r>
            </w:hyperlink>
          </w:p>
        </w:tc>
        <w:tc>
          <w:tcPr>
            <w:tcW w:w="520" w:type="dxa"/>
            <w:vAlign w:val="bottom"/>
            <w:gridSpan w:val="2"/>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710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520"/>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20"/>
              <w:spacing w:after="0"/>
              <w:rPr>
                <w:sz w:val="20"/>
                <w:szCs w:val="20"/>
                <w:color w:val="auto"/>
              </w:rPr>
            </w:pPr>
            <w:r>
              <w:rPr>
                <w:rFonts w:ascii="Arial" w:cs="Arial" w:eastAsia="Arial" w:hAnsi="Arial"/>
                <w:sz w:val="18"/>
                <w:szCs w:val="18"/>
                <w:color w:val="auto"/>
                <w:w w:val="96"/>
              </w:rPr>
              <w:t>PART III</w:t>
            </w:r>
          </w:p>
        </w:tc>
        <w:tc>
          <w:tcPr>
            <w:tcW w:w="1060" w:type="dxa"/>
            <w:vAlign w:val="bottom"/>
          </w:tcPr>
          <w:p>
            <w:pPr>
              <w:spacing w:after="0"/>
              <w:rPr>
                <w:sz w:val="24"/>
                <w:szCs w:val="24"/>
                <w:color w:val="auto"/>
              </w:rPr>
            </w:pPr>
          </w:p>
        </w:tc>
      </w:tr>
      <w:tr>
        <w:trPr>
          <w:trHeight w:val="459"/>
        </w:trPr>
        <w:tc>
          <w:tcPr>
            <w:tcW w:w="114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10</w:t>
              </w:r>
            </w:hyperlink>
          </w:p>
        </w:tc>
        <w:tc>
          <w:tcPr>
            <w:tcW w:w="886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80"/>
        </w:trPr>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11</w:t>
              </w:r>
            </w:hyperlink>
          </w:p>
        </w:tc>
        <w:tc>
          <w:tcPr>
            <w:tcW w:w="580" w:type="dxa"/>
            <w:vAlign w:val="bottom"/>
            <w:gridSpan w:val="4"/>
          </w:tcPr>
          <w:p>
            <w:pPr>
              <w:spacing w:after="0"/>
              <w:rPr>
                <w:sz w:val="24"/>
                <w:szCs w:val="24"/>
                <w:color w:val="auto"/>
              </w:rPr>
            </w:pP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4780" w:type="dxa"/>
            <w:vAlign w:val="bottom"/>
            <w:gridSpan w:val="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12</w:t>
              </w:r>
            </w:hyperlink>
          </w:p>
        </w:tc>
        <w:tc>
          <w:tcPr>
            <w:tcW w:w="886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13</w:t>
              </w:r>
            </w:hyperlink>
          </w:p>
        </w:tc>
        <w:tc>
          <w:tcPr>
            <w:tcW w:w="886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14</w:t>
              </w:r>
            </w:hyperlink>
          </w:p>
        </w:tc>
        <w:tc>
          <w:tcPr>
            <w:tcW w:w="886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Principal Accounting Fees and Services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520"/>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20"/>
              <w:spacing w:after="0"/>
              <w:rPr>
                <w:sz w:val="20"/>
                <w:szCs w:val="20"/>
                <w:color w:val="auto"/>
              </w:rPr>
            </w:pPr>
            <w:r>
              <w:rPr>
                <w:rFonts w:ascii="Arial" w:cs="Arial" w:eastAsia="Arial" w:hAnsi="Arial"/>
                <w:sz w:val="18"/>
                <w:szCs w:val="18"/>
                <w:color w:val="auto"/>
                <w:w w:val="94"/>
              </w:rPr>
              <w:t>PART IV</w:t>
            </w:r>
          </w:p>
        </w:tc>
        <w:tc>
          <w:tcPr>
            <w:tcW w:w="1060" w:type="dxa"/>
            <w:vAlign w:val="bottom"/>
          </w:tcPr>
          <w:p>
            <w:pPr>
              <w:spacing w:after="0"/>
              <w:rPr>
                <w:sz w:val="24"/>
                <w:szCs w:val="24"/>
                <w:color w:val="auto"/>
              </w:rPr>
            </w:pPr>
          </w:p>
        </w:tc>
      </w:tr>
      <w:tr>
        <w:trPr>
          <w:trHeight w:val="459"/>
        </w:trPr>
        <w:tc>
          <w:tcPr>
            <w:tcW w:w="114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15</w:t>
              </w:r>
            </w:hyperlink>
          </w:p>
        </w:tc>
        <w:tc>
          <w:tcPr>
            <w:tcW w:w="8860" w:type="dxa"/>
            <w:vAlign w:val="bottom"/>
            <w:gridSpan w:val="2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Exhibits and Financial Statement Schedules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16</w:t>
              </w:r>
            </w:hyperlink>
          </w:p>
        </w:tc>
        <w:tc>
          <w:tcPr>
            <w:tcW w:w="8860" w:type="dxa"/>
            <w:vAlign w:val="bottom"/>
            <w:gridSpan w:val="2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Form 10-K Summary</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SIGNATURES</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r>
    </w:tbl>
    <w:p>
      <w:pPr>
        <w:sectPr>
          <w:pgSz w:w="11900" w:h="16838" w:orient="portrait"/>
          <w:cols w:equalWidth="0" w:num="1">
            <w:col w:w="11060"/>
          </w:cols>
          <w:pgMar w:left="380" w:top="121"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worldwide leader in the design, manufacture and sale of packaging products and equipment for consumer goods and industrial products. The Company’s packaging for consumer goods includes steel and aluminum cans for food, beverage, household and other consumer products, glass bottles for beverage products, metal vacuum closures and steel crowns sold through the Company's sales organization to the soft drink, food, citrus, brewing, household products, personal care and various other industries. The Company's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Company operated 239 plants along with sales and service facilities throughout 47 countries and had approximately 33,000 employees. Consolidated net sales for the Company in 2019 were $11.7 billion with 70% derived from operations outside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DIVISIONS AND OPERATING SEGMENTS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generally organized by product line and geography within four divisions: Americas, Europe, Asia Pacific and Transit Packaging. See below for further information regarding the Company's divisions and reportable segments within each division. The Company's non-reportable segments include its North American food can business, its European aerosol and promotional packaging business, its North American aerosol can business and its tooling and equipment operations in the U.S. and U.K.</w:t>
      </w:r>
    </w:p>
    <w:p>
      <w:pPr>
        <w:spacing w:after="0" w:line="18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Additional financial information concerning the Company’s operating segments is set forth within “Management’s Discussion and Analysis of Financial Condition and Results of Operations” of this Annual Report and under </w:t>
      </w:r>
      <w:hyperlink w:anchor="page87">
        <w:r>
          <w:rPr>
            <w:rFonts w:ascii="Arial" w:cs="Arial" w:eastAsia="Arial" w:hAnsi="Arial"/>
            <w:sz w:val="18"/>
            <w:szCs w:val="18"/>
            <w:u w:val="single" w:color="auto"/>
            <w:color w:val="0000EE"/>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DIVISION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Americas Division includes operations in the U.S., Brazil, Canada, the Caribbean, Colombia and Mexico. These operations manufacture beverage, food and aerosol cans and ends, glass bottles, specialty packaging, metal vacuum closures, steel crowns and aluminum caps. At December 31, 2019, the division operated 48 plants in seven countries and had approximately 7,500 employees. In 2019, the Americas Division had net sales of $4.4 billion.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The Americas Beverage segment manufactures aluminum beverage cans and ends, glass bottles, steel crowns and aluminum caps. Manufacturing facilities are located in the U.S., Brazil, Canada, Colombia and Mexico. Americas Beverage had net sales in 2019 of $3.4 billion and segment income (as defined under </w:t>
      </w:r>
      <w:hyperlink w:anchor="page87">
        <w:r>
          <w:rPr>
            <w:rFonts w:ascii="Arial" w:cs="Arial" w:eastAsia="Arial" w:hAnsi="Arial"/>
            <w:sz w:val="18"/>
            <w:szCs w:val="18"/>
            <w:u w:val="single" w:color="auto"/>
            <w:color w:val="0000EE"/>
          </w:rPr>
          <w:t>Note Y</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the consolidated financial statements) of $534 million.</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EUROPEAN DIVISION</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European Division includes operations in Europe, the Middle East and Africa. These operations manufacture beverage, food and aerosol cans and ends, promotional packaging and metal vacuum closures and caps. At December 31, 2019, the division operated 60 plants in 22 countries and had approximately 11,500 employees. Net sales in 2019 were $3.6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European Beverage segment manufactures steel and aluminum beverage cans and ends in Europe, the Middle East and North Africa. European Beverage had net sales in 2019 of $1.5 billion and segment income (as defined under </w:t>
      </w:r>
      <w:hyperlink w:anchor="page87">
        <w:r>
          <w:rPr>
            <w:rFonts w:ascii="Arial" w:cs="Arial" w:eastAsia="Arial" w:hAnsi="Arial"/>
            <w:sz w:val="17"/>
            <w:szCs w:val="17"/>
            <w:u w:val="single" w:color="auto"/>
            <w:color w:val="0000EE"/>
          </w:rPr>
          <w:t>Note Y</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of $190 million.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European Food segment manufactures steel and aluminum food cans and ends, and metal vacuum closures, in Europe, Africa and the Middle East.</w:t>
      </w:r>
    </w:p>
    <w:p>
      <w:pPr>
        <w:spacing w:after="0" w:line="4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European Food had net sales in 2019 of $1.9 billion and segment income (as defined under </w:t>
      </w:r>
      <w:hyperlink w:anchor="page87">
        <w:r>
          <w:rPr>
            <w:rFonts w:ascii="Arial" w:cs="Arial" w:eastAsia="Arial" w:hAnsi="Arial"/>
            <w:sz w:val="16"/>
            <w:szCs w:val="16"/>
            <w:u w:val="single" w:color="auto"/>
            <w:color w:val="0000EE"/>
          </w:rPr>
          <w:t>Note Y</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of $205 million.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 DIVISION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Asia Pacific Division is a reportable segment primarily consisting of beverage can operations in Cambodia, China, Indonesia, Malaysia, Myanmar, Singapore, Thailand and Vietnam and also includes non-beverage can operations, primarily food cans and specialty packaging. At December 31, 2019, the division operated 28 plants in eight countries and had approximately 4,500 employees.</w:t>
      </w:r>
    </w:p>
    <w:p>
      <w:pPr>
        <w:spacing w:after="0" w:line="181"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Asia Pacific segment had net sales in 2019 of $1.3 billion and segment income (as defined under </w:t>
      </w:r>
      <w:hyperlink w:anchor="page87">
        <w:r>
          <w:rPr>
            <w:rFonts w:ascii="Arial" w:cs="Arial" w:eastAsia="Arial" w:hAnsi="Arial"/>
            <w:sz w:val="18"/>
            <w:szCs w:val="18"/>
            <w:u w:val="single" w:color="auto"/>
            <w:color w:val="0000EE"/>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$194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 DIVISION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Transit Packaging Division is a reportable segment which includes the Company’s industrial and protective solutions and equipment and tools businesses. Industrial solutions include steel strap, plastic strap, industrial film and other related products that are used in a wide range of industries, including steel, lumber, brick/block, corrugated boxes, food and beverage goods, agriculture products, and a large variety of other goods. Protective solutions include transit protection products, such as airbags, edge protectors, and honeycomb products that help prevent movement of, and/or damage to, a wide range of industrial and consumer goods during transport. Equipment and tools includes manual, semi-automatic and automatic equipment and tools, which are primarily used in end-of-line operations to apply consumables such as strap and film.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division operated 100 plants in 23 countries, including, Belgium, Germany, India, Sweden, Switzerland and the U.S., and had approximately 9,000 employees.</w:t>
      </w:r>
    </w:p>
    <w:p>
      <w:pPr>
        <w:spacing w:after="0" w:line="170"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Transit Packaging segment had net sales in 2019 of $2.3 billion and segment income (as defined under </w:t>
      </w:r>
      <w:hyperlink w:anchor="page87">
        <w:r>
          <w:rPr>
            <w:rFonts w:ascii="Arial" w:cs="Arial" w:eastAsia="Arial" w:hAnsi="Arial"/>
            <w:sz w:val="18"/>
            <w:szCs w:val="18"/>
            <w:u w:val="single" w:color="auto"/>
            <w:color w:val="0000EE"/>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$290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Beverage Cans and Glass Bottles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supplies beverage cans and ends and other packaging products to a variety of beverage and beer companies, including Anheuser-Busch InBev, Coca-Cola, Keurig Dr Pepper, Heineken, Molson Coors, Pepsi-Cola and Refresco, among others. The Company’s beverage can business is built around local, regional and global markets, which has served to develop the Company’s understanding of global customer and consumer expectations. The Company's glass bottle business is based in Mexico and serves customers in the local market.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beverage market is dynamic and highly competitive, with each packaging manufacturer working together with its customers to satisfy consumers’ ever-changing needs. The Company competes by offering its customers broad market knowledge, resources at all levels of its worldwide organization and extensive research and development capabilities that have enabled the Company to provide its customers with innovative products. The Company meets its customers’ beverage packaging needs with an array of two-piece beverage cans and ends and metal bottle caps. Innovations include the SuperEnd® and 360 End™ beverage can ends, and size variations. Size variations include slim and sleek cans for portion control, low calorie products or other product differentiation, as well as larger sizes for high volume consumption. The Company expects to continue to add capacity in many of its growing markets around the world.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Beverage can and glass bottle manufacturing is capital intensive, requiring significant investment in tools and machinery. The Company seeks to effectively manage its invested capital and is continuing its efforts to reduce the metal content of its cans and reduce non-metal costs, including water and energy usage, while improving production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Cans and Closures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manufactures a variety of food cans and ends, including two-piece and three-piece cans in assorted shapes and sizes, and sells food cans to food marketers such as Abbott Laboratories, Bonduelle, Morgan Foods, Nestlé, Princes Group and Simmons Foods, among others. The Company offers a wide variety of metal vacuum closures and sealing equipment solutions to leading marketers such as Abbott Laboratories, Danone, Nestlé and Unilever, among others, from a network of metal vacuum closure plants around the world. The Company supplies total packaging solutions, including metal and composite closures, capping systems and services while working closely with customers, retailers and glass and plastic container manufacturers to develop innovative closure solutions and meet customer requirements.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Technologies used to produce food cans include three-piece welded, two-piece drawn and wall-ironed and two-piece drawn and redrawn. The Company also offers its LIFTOFF™ series of food ends, including its Easylift™ full aperture steel food can ends, and PeelSeam™ and PeelFit™ flexible aluminum foil laminated ends. The Company offers expertise in closure design and decoration, ranging from quality printing of the closure in up to nine colors, to inside-the-cap printing, which offers customers new promotional possibilities, to better product protection through Ideal Closures™, Orbit™ and Superplus™. The Company’s commitment to innovation has led to developments in packaging materials, surface finishes, can shaping, lithography, filling, retorting, sealing and opening techniques and environmental performance. The Company manufactures easy open, vacuum and conventional ends for a variety of heat-processed and dry food products including fruits and vegetables, meat and seafood, soups, ready-made meals, infant formula, coffee and pet food.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 Packaging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transit packaging products are used to contain, unitize, and protect goods during manufacturing, transport, and warehousing and are sold around the world under a broad array of well-known brand names such as Signode, Strapex, Orgapack, Shippers Airbags, Angleboard, and MIMA. The Company serves diverse end markets, including metals, food and beverage, construction, agricultural, corrugated and general industrial. The Company's long operational history has resulted in a large base of equipment, which drives recurring revenue through the sale of consumables, parts and service offerings and future equipment replacement sales. The Company's customer concentration is 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Aerosol Cans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customers for aerosol cans and ends include manufacturers of personal care, food, household and industrial products, including Friesland Campina, Procter &amp; Gamble, SC Johnson and Unilever, among others. The aerosol can business is highly competitive. The Company competes by offering its customers a broad range of products including multiple sizes, multiple color schemes and shaped packaging.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 and Specialty Packaging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promotional and specialty packaging businesses are primarily located in Europe and Asia. The Company produces a wide range of promotional and specialty packaging containers with numerous lid and closure variations. The Company’s customers include Britvic and Nestlé among others.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Global marketers qualify suppliers on the basis of their ability to provide global service, innovative designs and technologies in a cost-effective manner.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global reach, the Company primarily markets and sells products to customers through its own sales and marketing staffs.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existing contracts.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use of working capital. The Company schedules its production to meet customer requirements. Because the production time for the Company’s products is short, any backlog of customer orders in relation to overall sales is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food packaging business is somewhat seasonal with the first quarter tending to be the slowest period as the autumn packing period in the Northern Hemisphere has ended and new crops are not yet planted. The industry generally enters its busiest period in the third quarter when the majority of fruits and vegetables are harvested and immediately canned. Due to this seasonality, inventory levels increase in the first half of the year to meet peak demand in the second and third quarters. Weather represents a substantial uncertainty in the yield of food products and is a major factor in determining the demand for food cans in any given year. Generally, beverage products are consumed in greater amounts during the warmer months of the year and sales have generally been higher in the second and third quarters of the calendar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businesses tend not to be as significantly affected by seasonal variations.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Group, Ball Corporation, Ball Metalpack, BWAY Corporation, Can-Pack S.A., Metal Container Corporation, Silgan Holdings Inc., and Trivium Packaging.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Transit Packaging Division also faces substantial competition from many regional and local competitors of various sizes in the manufacture, distribution and sale of its products. The division differentiates itself from the competition by leveraging its global scale, broad product portfolio and established brand reputation. The division's products compete, to some extent, with various other packaging materials, including other products made of paper, plastics, wood and various types of metal.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largest customers consist of many of the leading manufacturers and marketers of packaged consumer products in the world. Consolidation trends among beverage and food marketers have led to a concentrated customer base. The Company’s top ten global customers represented in the aggregate approximately 28% of its 2019 net sales. In each of the years in the period 2017 through 2019, no one customer accounted for more than ten percent of the Company’s net sales. Each operating segment, with the exception of the Transit Packaging Segment, has major customers and the loss of one or more of these major customers could have a material adverse effect on an individual segment or the Company as a whole. Major customers include those listed above under the caption "Products". In addition to sales to Coca-Cola and Pepsi-Cola, the Company also supplies independent licensees of Coca-Cola and Pepsi-Cola.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Company's principal Research, Development &amp; Engineering ("RD&amp;E") Centers for packaging products for consumer goods are located in Alsip, Illinois and Wantage, United Kingdom. The Company utilizes its centralized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w:t>
      </w:r>
    </w:p>
    <w:p>
      <w:pPr>
        <w:spacing w:after="0" w:line="18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Eole™ easy-open food ends and can shaping have been licensed in Australia, Japan, and Africa to provide customers with global access to Crown's brand building innovations.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Transit Packaging Division is well known throughout its markets for its ability to drive product innovation and leadership in new technologies. The division focuses on market driven innovation and has a long history of creating product and service solutions that solve problems and create value for its customers. The division's individual business units are primarily responsible for designing and executing their own research and development projects and the division's development process is comprised of a customer-oriented, "outside-in" approach. The division works with customers to determine their most pressing industrial packaging challenges, utilizing a rigorous multi-step product development process to ensure that they shape the ultimate product for both the customer and the broader market. Transit Packaging's track record of new product innovation is largely due to the success of this model.</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Transit Packaging Division has been an industry leader in industrial packaging innovation over the last 100 years as evidenced by their introduction of the first strap packaging product (1913), the first fully-automatic strapping machine (1946), the industry's first battery operated plastic strap hand tools (1995), and most recently the industry's first battery-operated steel strap hand tools (2013). At the core of its intellectual property strategy is a focus on obtaining quality patents that cover key products and technologies, in alignment with its business objectives. The Transit Packaging Division has grown its global patent portfolio to over 335 United States issued patents or pending patent applications and over 1,230 foreign issued patents or pending patent applications. The portfolio broadly covers about 370 customized technologies and spans diverse business platforms, as well as the different countries in which it operates.</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spent $55 million in 2019, $51 million in 2018, and $39 million in 2017 in its RD&amp;E activities. Certain of these activities are expected to improve and expand the Company's product lines in the future. These expenditures include projects to improve manufacturing efficiencies, reduce unit costs, and develop new and improved value-added packaging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MATERIALS AND SUPPLIERS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various raw materials, primarily aluminum and steel, in its manufacturing operations. The Transit Packaging division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2019, consumption of steel and aluminum represented 20% and 34%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steel contracts typically one year in duration with fixed prices or set repricing dates, and aluminum contracts typically multi-year in duration with fluctuating prices based on aluminum ingot costs. The Company generally attempts to mitigate its steel and aluminum price risk by matching its purchase obligations with its sales agreements; however, there can be no assurance that the Company will be able to fully mitigate that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commodity and foreign currency forwards in an attempt to manage its exposure to aluminum price volatility.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steel and aluminum for a significant period of time, its operations would be disrupted, and if the Company were unable to fully recover the higher cost of steel and aluminum, its financial results may be adversely affected. As a result of continuing global supply and demand pressures, other commodity-related costs affecting the Company’s business may increase as well, including utility and freight-related costs. The Company will attempt to increase prices on its products accordingly in order to recover these costs.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volatility of raw material prices, ongoing productivity and cost reduction efforts in recent years have focused on improving raw material cost management.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manufacturing facilities are dependent, in varying degrees, upon the availability of water and processed energy, such as natural gas and electricity. Certain of these may become difficult or impossible to obtain on acceptable terms due to external factors, which could increase the Company’s costs or interrupt its business.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Aluminum and steel, by their very nature, can be recycled at high effectiveness and can be repeatedly reused to form new consumer packaging with minimal or no degradation in performance, quality or safety. By recycling these metals, large amounts of energy can be saved and significant water use and carbon dioxide emissions avoided.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SUSTAINABILITY AND ENVIRONMENTAL, HEALTH AND SAFETY MATTERS</w:t>
      </w:r>
    </w:p>
    <w:p>
      <w:pPr>
        <w:spacing w:after="0" w:line="229" w:lineRule="exact"/>
        <w:rPr>
          <w:sz w:val="20"/>
          <w:szCs w:val="20"/>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 The Company has a Corporate Sustainability Policy and a Corporate Environmental Protection Policy. Environmental awareness is a key component of sustainability. Environmental considerations are among the criteria by which the Company evaluates projects, products, processes and purchases. The Company is committed to continuous improvement in product design and manufacturing practices to provide the best outcome for the human and natural environment, both now and in the future. By reducing the per-unit amount of raw materials used in manufacturing its products, the Company can significantly reduce the amount of energy, water and other resources and associated emissions necessary to manufacture metal containers. The Company aims to continue that process of improvement in its manufacturing process to assure that consumers and the environment are best served through the use of metal packaging. The Company is also committed to providing a safe work environment for its employees through programs that emphasize safety awareness and the elimination of injuries and incidents. There can be no assurance that current or future environmental laws or liabilities will not have a material effect on the Company’s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hyperlink w:anchor="page71">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WORKING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generally uses cash during the first nine months of the year to finance seasonal working capital needs. The Company’s working capital requirements are funded by cash flows from operations, revolving credit facilities and receivables securitization and factoring programs.</w:t>
      </w:r>
    </w:p>
    <w:p>
      <w:pPr>
        <w:spacing w:after="0" w:line="170"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hyperlink w:anchor="page64">
        <w:r>
          <w:rPr>
            <w:rFonts w:ascii="Arial" w:cs="Arial" w:eastAsia="Arial" w:hAnsi="Arial"/>
            <w:sz w:val="17"/>
            <w:szCs w:val="17"/>
            <w:u w:val="single" w:color="auto"/>
            <w:color w:val="0000EE"/>
          </w:rPr>
          <w:t>Note M</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the Company had approximately 33,000 employees. Collective bargaining agreements with varying terms and expiration dates cover approximately 18,000 employees. The Company does not expect that renegotiation of the agreements expiring in 2020 will have a material adverse effect on its consolidated results of operations, financial position or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website address is </w:t>
      </w:r>
      <w:r>
        <w:rPr>
          <w:rFonts w:ascii="Arial" w:cs="Arial" w:eastAsia="Arial" w:hAnsi="Arial"/>
          <w:sz w:val="18"/>
          <w:szCs w:val="18"/>
          <w:u w:val="single" w:color="auto"/>
          <w:color w:val="auto"/>
        </w:rPr>
        <w:t>www.crowncork.com</w:t>
      </w:r>
      <w:r>
        <w:rPr>
          <w:rFonts w:ascii="Arial" w:cs="Arial" w:eastAsia="Arial" w:hAnsi="Arial"/>
          <w:sz w:val="18"/>
          <w:szCs w:val="18"/>
          <w:color w:val="auto"/>
        </w:rPr>
        <w:t xml:space="preserve">.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 S. Securities and Exchange Commission ("SEC"). The SEC maintains a website that contains reports, proxy and information statements, and other information regarding issuers, including the Company, that file electronically with the SEC. The public can obtain any documents that the Company files with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which generated approximately 70% of its consolidated net sales in 2019, are subject to various risks that may lead to decreases in its financial results.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an international company, and the risks associated with operating in foreign countries may have a negative impact on the Company's liquidity and net income. The Company's international operations generated approximately 70%, 73% and 78% of its consolidated net sales in the years ended 2019, 2018 and 2017. In addition, the Company's business strategy includes continued expansion of international activities, including within developing markets and areas, such as the South America, Eastern Europe and Asia, that may pose greater risk of political or economic instability. Approximately 35% of the Company's consolidated net sales in the year ended 2019 and 2018 and approximately 38% of the Company's consolidated net sales in the years ended 2017 were generated outside of the developed markets in Western Europe, the United States and Canada. Furthermore, if global economic conditions deteriorate, there will likely be a negative effect on the Company's business, as well as the businesses of the Company's customers and suppliers. Further, if a downturn in European economic conditions ultimately leads to a significant devaluation of the euro, the value of the Company's financial assets that are denominated in euro would be significantly reduced when translated to U.S. dollars for financial reporting purposes. Any of these conditions could ultimately harm the Company's overall business, prospects, operating results, financial condition and cash flows.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Emerging markets are a focus of the Company's international growth strategy. The developing nature of these markets and the nature of the Company's international operations generally are subject to various risks, including: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inconsistent product regulation or policy changes by foreign agencies or governments;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customs, import/export and other trade compliance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exchange rate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the Company's multi-national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imposition of limitations on conversions of foreign currencies into dollars or payment of dividends and other payments by non-U.S. subsidiaries;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the Company's ability to satisfy its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civil disturbance, global or regional catastrophic events, natural disasters, including in emerging markets, and acts of terrorism;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9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geographical concentration of the Company's factories and operations and regional shifts in its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periodic health epidemic concerns, such as the recent coronavirus outbreak in China;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applicable anti-corruption or anti-bribery laws.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can be no guarantee that a deterioration of economic conditions in countries in which the Company operates or may seek to operate in the future would not have a material impact on the Company's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the effects of fluctuations in foreign exchange rates, which may reduce its net sales and cash flow.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exposed to fluctuations in foreign currencies as a significant portion of its consolidated net sales, costs, assets and liabilities, are denominated in currencies other than the U.S. dollar. The Company's international operations generated approximately 70%, 73% and 78% of its consolidated net sales in the years ended 2019, 2018 and 2017. Volatility in exchange rates may increase the costs of its products, impair the purchasing power of its customers in different markets, result in significant competitive benefit to certain of its competitors who incur a material part of their costs in other currencies than it does, and increase its hedging costs and limit its ability to hedge exchange rate exposure.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the year-ended December 31, 2019, a 0.10 movement in the average euro rate would have reduced net income by $11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the Company seeks to expand its business globally, growth opportunities may be impacted by greater political, economic and social uncertainty and the continuing and accelerating globalization of businesses could significantly change the dynamics of the Company's competition, customer base and product offerings</w:t>
      </w:r>
      <w:r>
        <w:rPr>
          <w:rFonts w:ascii="Arial" w:cs="Arial" w:eastAsia="Arial" w:hAnsi="Arial"/>
          <w:sz w:val="18"/>
          <w:szCs w:val="18"/>
          <w:b w:val="1"/>
          <w:bCs w:val="1"/>
          <w:i w:val="1"/>
          <w:iCs w:val="1"/>
          <w:color w:val="FF0000"/>
        </w:rPr>
        <w: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efforts to grow its businesses depend to a large extent upon access to, and its success in developing market share and operating profitably in, geographic markets including but not limited to the Middle East, South America, Eastern Europe and Asia. In some cases, countries in these regions have greater political and economic volatility, greater vulnerability to infrastructure and labor disruptions and differing local customer product preferences and requirements than the Company's other markets. Operating and seeking to expand business in a number of different regions and countries exposes the Company to multiple and potentially conflicting cultural practices, business practices and legal and regulatory requirements that are subject to change, including those related to tariffs and trade barriers, investments, property ownership rights, taxation, repatriation of earnings and regulation of advanced technologies. Such expansion efforts may also use capital and other resources of the Company that could be invested in other areas. Expanding business operations globally also increases exposure to currency fluctuations which can materially affect the Company's financial results. As these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manage its anticipated growth, and it may experience constraints or inefficiencies caused by unanticipated acceleration and deceleration of customer demand.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The Company's growth requires significant capital expenditures and may divert financial resources from other projects, such as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The Company's failure to manage its anticipated growth effectively could have a material effect on its business, operating results or financial condition.</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Company's profits will decline if the price of raw materials or energy rises and it cannot increase the price of its products, and the Company's financial results could be adversely affected if the Company was not able to obtain sufficient quantities of raw materials.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various raw materials, such as steel, aluminum, tin, water, natural gas, electricity and other processed energy, as well as materials derived from crude oil and natural gas, such as polyethylene and polypropylene resins, in its manufacturing operations. Sufficient quantities of these raw materials may not be available in the future or may be available only at increased prices. The Company's raw material supply contracts vary as to terms and duration, with steel contracts typically one year in duration with fixed prices and aluminum contracts typically multi-year in duration with fluctuating prices based on aluminum ingot costs.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tariffs and potential limits on steel supply in the United States from certain foreign countries could further negatively impact the Company's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prices of certain raw materials used by the Company, such as steel, aluminum, resins and processed energy, have historically been subject to volatility. In 2019, consumption of steel and aluminum represented 20% and 34% of the Company's consolidated cost of products sold, excluding depreciation and amortization. While certain, but not all, of the Company's contracts pass through raw material costs to customers, the Company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is unable to purchase steel, aluminum,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regarding pricing and product volumes.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substantial indebtedness of the Company could prevent it from fulfilling its obligations under its indebtedness.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substantial outstanding indebtedness. As a result of the Company's substantial indebtedness, a significant portion of the Company's cash flow will be required to pay interest and principal on its outstanding indebtedness, and the Company may not generate sufficient cash flow from operations, or have future borrowings available under its senior secured credit facilities, to enable it to repay its indebtedness or to fund other liquidity needs. As of December 31, 2019, the Company and its subsidiaries had approximately $8.0 billion of indebtedness.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current sources of liquidity includes a securitization facility with a program limit up to a maximum of $375 that expires in July 2020, a securitization facility with a program limit of $265 that expires in November 2022, and an uncommitted securitization facility with a program limit of $175 that expires in December 2020. Additional sources of the Company's liquidity include borrowings that mature as follows: its $1,650 billion revolving credit facilities in December 2024; its €650 million ($729 million at December 31, 2019) 4.0% senior notes in July 2022; its $1 billion 4.50% senior notes in January 2023; its €335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($376 million at December 31, 2019) 2.25% senior notes in February 2023; its €550 million ($617 million at December 31, 2019) 0.75% senior notes in February 2023; its €600 million ($673 million at December 31, 2019) 2.625% senior notes in September 2024; its €600 million ($673 million at December 31, 2019) 3.375% senior notes in May 2025; its $875 million 4.75% senior notes in February 2026; its €500 million ($561 million at December 31, 2019) 2.875% senior notes in February 2026; its $400 million 4.25% senior notes in September 2026; its $350 million 7.375% senior notes in December 2026; its $40 million 7.5% senior notes in December 2096; and its $45 million of other indebtedness in various currencies at various dates through 2036. In addition, the Company’s term loan facilities mature as follows: $40 million in 2020, $40 million in 2021, $80 million in 2022, $80 million in 2023, and $1,365 million in 2024.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substantial indebtedness of the Company could:</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 including rising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 the Company from making strategic acquisitions or exploiting business opportunities, including any planned expansion in emerging markets;</w:t>
      </w:r>
    </w:p>
    <w:p>
      <w:pPr>
        <w:spacing w:after="0" w:line="71"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make capital expenditures both domestically and internationally in order to grow the Company's business or maintain manufacturing plants in good working order and repair;</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under the Company's indebtedness, the Company's ability to obtain additional financing, dispose of assets or pay cash dividends;</w:t>
      </w:r>
    </w:p>
    <w:p>
      <w:pPr>
        <w:spacing w:after="0" w:line="8"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Company to sell assets used in its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refinance its existing indebtedness, particularly during periods of adverse credit market conditions when refinancing indebtedness may not be available under interest rates and other terms acceptable to the Company or at all;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cost of borrowing;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the industry in which it operates;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the Company at a competitive disadvantage compared to its competitors that have less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Some of the Company's indebtedness is subject to floating interest rates, which would result in the Company's interest expense increasing if interest rates rise.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2019, approximately $1.6 billion of the Company's $8.0 billion of total indebtedness and other outstanding obligations were subject to floating interest rates. Changes in economic conditions could result in higher interest rates, thereby increasing the Company's interest expense and reducing funds available for operations or other purposes. The Company's annual interest expense was $378 million, $384 million and $252 million for 2019, 2018 and 2017, respectively. Based on the amount of variable rate debt outstanding at December 31, 2019, a 0.25% increase in variable interest rates would increase its annual interest expense by approximately $4 million before tax. Accordingly, the Company may experience economic losses and a negative impact on earnings as a result of interest rate fluctuation. The actual effect of a 0.25% increase in these floating interest rates could be more than $4 million as the Company’s average borrowings on its variable rate debt may be higher during the year than the amount at December 31, 2019. In addition, the cost of the Company’s securitization and factoring facilities would also increase with an increase in floating interest rates.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Notwithstanding the Company's current indebtedness levels and restrictive covenants, the Company may still be able to incur substantial additional debt or make certain restricted payments, which could exacerbate the risks described above.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 indebtedness.</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and the Company may in the future establish a regular dividend on the Company's common stock. Adding new debt to current debt levels or making otherwise restricted payments could intensify the related risks that the Company and its subsidiaries now face.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Restrictive covenants in the debt agreements governing the Company's current or future indebtedness could restrict the Company's operating flexibility.</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businesses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w:t>
      </w:r>
    </w:p>
    <w:p>
      <w:pPr>
        <w:spacing w:after="0" w:line="24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pay dividends or make other distributions, repurchase capital stock, repurchase subordinated debt and make certain investments or loans;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and engage in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and other amounts to the Company from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accounting treatment and reporting practices;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the ability of a subsidiary to pay dividends to, make or repay loans to, transfer property to, or guarantee indebtedness of, the Company or any of its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or acquire assets, enter into leaseback transactions and merge or consolidate with or into other companies;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 Furthermore, if the Company or certain of its subsidiaries experience specific kinds of changes of control, the Company's senior secured credit facilities will be due and payable and the Company will be required to offer to repurchase outstanding notes.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breach of any of these covenants by the Company or the failure by the Company to meet any of these ratios or conditions could result in a default under any or all of such indebtedness. If a default occurs under any such indebtedness, all of the outstanding obligations thereunder could become immediately due and payable, which could result in a default under the Company's other</w:t>
      </w:r>
    </w:p>
    <w:p>
      <w:pPr>
        <w:jc w:val="both"/>
        <w:spacing w:after="0" w:line="277" w:lineRule="auto"/>
        <w:rPr>
          <w:sz w:val="20"/>
          <w:szCs w:val="20"/>
          <w:color w:val="auto"/>
        </w:rPr>
      </w:pPr>
      <w:r>
        <w:rPr>
          <w:rFonts w:ascii="Arial" w:cs="Arial" w:eastAsia="Arial" w:hAnsi="Arial"/>
          <w:sz w:val="17"/>
          <w:szCs w:val="17"/>
          <w:color w:val="auto"/>
        </w:rPr>
        <w:t>outstanding debt and could lead to an acceleration of obligations related to the Company's senior secured credit facilities, outstanding notes and other outstanding debt. The ability of the Company to comply with these covenants or indentures governing other indebtedness it may incur in the future and its outstanding notes can be affected by events beyond its control and, therefore, it may be unable to meet these ratios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the Company's cash flow and negatively impact its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&amp; Seal Company, Inc. (Crown Cork), a wholly-owned subsidiary of the Company, is one of many defendants in a substantial number of lawsuits filed throughout the United States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18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As of December 31, 2019, Crown Cork's accrual for pending and future asbestos-related claims and related legal costs was $273 million, including $232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hyperlink w:anchor="page69">
        <w:r>
          <w:rPr>
            <w:rFonts w:ascii="Arial" w:cs="Arial" w:eastAsia="Arial" w:hAnsi="Arial"/>
            <w:sz w:val="18"/>
            <w:szCs w:val="18"/>
            <w:u w:val="single" w:color="auto"/>
            <w:color w:val="0000EE"/>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2019, Crown Cork received approximately 2,000 new claims, settled or dismissed approximately 2,000 claims, and had approximately 56,000 claims outstanding at the end of the period. Of these outstanding claims, approximately 16,500 claims relate to claimants alleging first exposure to asbestos after 1964 and approximately 39,500 relate to claimants alleging first exposure to asbestos before or during 1964, of which approximately 13,000 were filed in Texas, 1,500 were filed in Pennsylvania, 6,000 were filed in other states that have enacted asbestos legislation and 19,000 were filed in other states. The outstanding claims at December 31, 2019 also exclude approximately 19,000 inactive claims.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businesses arising from these defenses will not increase materially.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22, 2010, the Texas Supreme Court, in a 6-2 decision,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continues to assign no value to claims filed after June 11, 2003.</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Crown Cork made cash payments of $22 million, $21 million and $30 million in 2019, 2018 and 2017 for asbestos-related claims including settlement payments and legal fees. These payments and any such future payments will reduce the cash flow available to Crown Cork for its business operations and debt payments.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ability to satisfy its obligations.</w:t>
      </w:r>
    </w:p>
    <w:p>
      <w:pPr>
        <w:spacing w:after="0" w:line="165"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a result of the uncertainties regarding its asbestos-related liabilities and its reduced cash flow, the ability of the Company to raise new money in the capital markets is more difficult and more costly, and the Company may not be able to access the capital markets in the future. Further information regarding Crown's Cork's asbestos-related liabilities is presented within “Management's Discussion and Analysis of Financial Condition and Results of Operations” under the headings, “Provision for Asbestos” and “Critical Accounting Policies” and under </w:t>
      </w:r>
      <w:hyperlink w:anchor="page69">
        <w:r>
          <w:rPr>
            <w:rFonts w:ascii="Arial" w:cs="Arial" w:eastAsia="Arial" w:hAnsi="Arial"/>
            <w:sz w:val="18"/>
            <w:szCs w:val="18"/>
            <w:u w:val="single" w:color="auto"/>
            <w:color w:val="0000EE"/>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audited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has significant pension plan obligations worldwide and significant unfunded postretirement obligations, which could reduce its cash flow and negatively impact its results of operations and its financial condition.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sponsors various pension plans worldwide, with the largest funded plans in the U.K., U.S. and Canada. In 2019, 2018 and 2017, the Company contributed $23 million, $20 million and $294 million to its pension plans. Pension expense was $66 million, including settlement charges of $44 million and a curtailment gain of $14 million, in 2019 and is expected to be $22 million in 2020, using foreign currency exchange rates in effect at December 31, 2019. In addition, the Company may trigger additional settlement charges in 2020 of approximately $30 million. A 0.25% change in the 2020 expected rate of return assumptions would change 2020 pension expense by approximately $12 million. A 0.25% change in the discount rates assumptions as of December 31, 2019 would change 2019 pension expense by approximately $2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the Company's cash available to pay its outstanding obligations and its net income and increase the Company's outstanding indebtedness.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current assumptions, the Company expects to make pension contributions of $21 million in 2020, $52 million in 2021, $37 million in 2022, $69 million in 2023 and $115 million in 2024. Future changes in the factors used to determine pension contributions, including investment performance of plan assets, could have a significant impact on the Company’s future contributions and its cash flow available for debt reduction, capital expenditures or other purposes.</w:t>
      </w:r>
    </w:p>
    <w:p>
      <w:pPr>
        <w:spacing w:after="0" w:line="187" w:lineRule="exact"/>
        <w:rPr>
          <w:sz w:val="20"/>
          <w:szCs w:val="20"/>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difference between pension plan obligations and assets, or the funded status of the plans, significantly affects the net periodic benefit costs of the Company's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hyperlink w:anchor="page73">
        <w:r>
          <w:rPr>
            <w:rFonts w:ascii="Arial" w:cs="Arial" w:eastAsia="Arial" w:hAnsi="Arial"/>
            <w:sz w:val="17"/>
            <w:szCs w:val="17"/>
            <w:u w:val="single" w:color="auto"/>
            <w:color w:val="0000EE"/>
          </w:rPr>
          <w:t>Note R</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 decline, the underfunding of the pension plans may increase and the Company may have to contribute additional funds to the pension plans, and the Company's pension expense may increase. In addition, the Company's supplemental executive retirement plan and retiree medical plans are unfunded.</w:t>
      </w:r>
    </w:p>
    <w:p>
      <w:pPr>
        <w:spacing w:after="0" w:line="178"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The Company's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the Company will incur a liability to the PBGC that may be equal to the entire amount of the underfunding, which under certain circumstances may be senior to the notes. In addition, as of December 31, 2019 the unfunded accumulated postretirement benefit obligation, as calculated in accordance with U.S. generally accepted accounting principles, for retiree medical benefits was approximately $164 million, based on assumptions set forth under </w:t>
      </w:r>
      <w:hyperlink w:anchor="page73">
        <w:r>
          <w:rPr>
            <w:rFonts w:ascii="Arial" w:cs="Arial" w:eastAsia="Arial" w:hAnsi="Arial"/>
            <w:sz w:val="16"/>
            <w:szCs w:val="16"/>
            <w:u w:val="single" w:color="auto"/>
            <w:color w:val="0000EE"/>
          </w:rPr>
          <w:t>Note R</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Company's audited consolidated financial statements in this Annual Report.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Acquisitions or investments that the Company is considering or may pursue could be unsuccessful, consume significant resources and require the incurrence of additional indebtedness.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consider acquisitions and investments that complement its existing business. These possible acquisitions and investments involve or may involve significant cash expenditures, debt incurrence (including the incurrence of additional indebtedness under the Company's senior secured revolving credit facilities or other secured or unsecured debt), operating losses and expenses that could have a material effect on the Company's financial condition and operating results.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if the Company incurs additional debt, the Company's liquidity and financial stability could be impaired as a result of using a significant portion of available cash or borrowing capacity to finance an acquisition. Moreover, the Company may face an increase in interest expense or financial leverage if additional debt is incurred to finance an acquisition, which may, among other things, adversely affect the Company's various financial ratios and the Company's compliance with the conditions of its existing indebtedness. In addition, such additional indebtedness may be incurred under the Company's senior secured credit facilities or otherwise secured by liens on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involve numerous other risks,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to the Company's ongoing business;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the Company's existing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contractual relationships, suppliers or customers of the acquired businesses or of the Company;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the extent the Company pursues an acquisition that causes it to incur unexpected costs or that fails to generate expected returns, the Company's financial position, results of operations and cash flows may be adversely affected, and the Company's ability to service its indebtedness may be negatively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principal markets may be subject to overcapacity and intense competition, which could reduce the Company's net sales and net income.</w:t>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Food and beverage cans are standardized products, allowing for relatively little differentiation among competitors. This could lead to overcapacity and price competition among food and beverage can producers if capacity growth outpaced the growth in demand for food and beverage cans and overall manufacturing capacity exceeded demand. These market conditions could reduce product prices and contribute to declining revenue and net income and increasing debt balances. As a result of industry overcapacity (including in developed markets and certain emerging markets) and price competition, the Company may not be able to increase prices sufficiently to offset higher costs or to generate sufficient cash flow. The North American and Western European food and beverage can markets, in particular, are considered to be mature markets, characterized by slow growth and a sophisticated distribution system.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competition from substitute products and decreases in demand for its products, which could result in lower profits and reduced cash flows.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subject to substantial competition from producers of alternative packaging made from glass, paper, flexible materials and plastic. The Company's sales depend heavily on the volumes of sales by the Company's customers in the food and beverage markets. Changes in preferences for products and packaging by consumers of prepackaged food and beverage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created excess capacity, the Company experiences relatively low capacity utilization rates in its operations, which can lead to reduced margins during that period and can have an adverse effect on the Company's business.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Transit Packaging Division also faces substantial competition from many regional and local competitors of various sizes in the manufacture, distribution and sale of its products. Its products compete, to some extent, with various other packaging materials,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including other products made of paper, plastics, wood and various types of metal. Although the division has long-term relationships with many of its customers, these relationships are typically not contractual. As a result, its customers may unilaterally reduce the purchase of its products and the division may not be able to quickly replace the revenue source, which could harm the Company's financial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business results depend on its ability to understand its customers' specific preferences and requirements, and to develop, manufacture and market products that meet customer demand.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ability to develop new product offerings for a diverse group of global customers with differing preferences, while maintaining functionality and spurring innovation, is critical to its success. This requires a thorough understanding of the Company's existing and potential customers on a global basis, particularly in potential high developing markets, including South America, Eastern Europe and Asia (including India). Failure to deliver quality products that meet customer needs ahead of competitors could have a significant adverse effect on the Company's business.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the Company depends or increases in fuel prices could increase the Company's costs or cause a disruption in the Company's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Company’s operations and its ability to service customers on a timely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the Company's net sales and profitability.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the Company's customers may reduce the Company's net sales and net income.</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majority of the Company's sales are to companies that have leading market positions in the sale of packaged food, beverages and household products to consumers. Although no one customer accounted for more than 10% of its net sales in the years ended 2019, 2018 or 2017, the loss of any of its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seasonal and weather conditions could reduce the Company's net sales.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manufactures metal and glass packaging primarily for the food and beverage can market. Its sales can be affected by weather conditions. Due principally to the seasonal nature of the soft drink, brewing, iced tea and other beverage industries, in which demand is stronger during the summer months, sales of the Company's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costs and liabilities related to stringent environmental and health and safety standards.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permits,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Although the U.S. FDA currently permits the use of bisphenol-A in food packaging materials and confirmed in a January 2010 update that studies employing standardized toxicity tests have supported the safety of current low levels of human exposure to bisphenol-A, the FDA in that January 2010 update noted that more research was needed, and further suggested reasonable steps to reduce exposure to bisphenol-A. The FDA subsequently entered into a consent decree under which it agreed to issue, by March 31, 2012,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final decision on a citizen’s petition requesting the agency take further regulatory steps with regard to bisphenol-A. On March 30, 2012, the FDA denied the request, responding, in part, that the appropriate course of action was to continue scientific study and review of all new evidence regarding the safety of bisphenol-A. In March 2010, the EPA issued an action plan for bisphenol-A, which includes, among other things, consideration of whether to add bisphenol-A to the chemical concern list on the basis of potential environmental effects and use of the EPA’s Design for the Environment program to encourage reductions in bisphenol-A manufacturing and use. Moreover, certain U.S. Congressional bodies, states and municipalities, as well as certain foreign nations and some member states of the European Union, such as Denmark, Belgium and France, have considered, proposed or already passed legislation banning or suspending the use of bisphenol-A in certain products or requiring warnings regarding bisphenol-A. In July 2012, the FDA banned the use of bisphenol-A in baby bottles and children’s drinking cups, and in July 2013, the FDA banned the use of bisphenol-A in epoxy resins that coat infant formula cans. In France, the production, importation, exportation and the placement on the market of baby bottles containing bisphenol-A was suspended by a law of 2010. This suspension was extended in 2013 to packaging and utensils for food intended for children under 3 and in 2015 to packaging and utensils for all other foods. Following a decision of the French Constitutional Court, the suspension is currently limited to the importation and the placement on the market of those packaging and utensils containing bisphenol-A. The law also includes certain product labeling requirements. More generally, France is very attentive to the issue of endocrine disruptors and food safety (e.g. Food Conference in 2017 (</w:t>
      </w:r>
      <w:r>
        <w:rPr>
          <w:rFonts w:ascii="Arial" w:cs="Arial" w:eastAsia="Arial" w:hAnsi="Arial"/>
          <w:sz w:val="17"/>
          <w:szCs w:val="17"/>
          <w:i w:val="1"/>
          <w:iCs w:val="1"/>
          <w:color w:val="auto"/>
        </w:rPr>
        <w:t>Etats généraux de l’alimentation</w:t>
      </w:r>
      <w:r>
        <w:rPr>
          <w:rFonts w:ascii="Arial" w:cs="Arial" w:eastAsia="Arial" w:hAnsi="Arial"/>
          <w:sz w:val="17"/>
          <w:szCs w:val="17"/>
          <w:color w:val="auto"/>
        </w:rPr>
        <w:t>)). In the first quarter of 2014, the European Food Safety Authority recommended that the tolerable daily intake of bisphenol-A be lowered. Further, the U.S. or additional international, federal, state or other regulatory authorities could restrict or prohibit the use of bisphenol-A in the future. For example, in 2015, the State of California declared bisphenol-A a reproductive system hazard and listed BPA as a hazardous chemical under California’s Safe Water and Toxic Environment Act, which may trigger a requirement to include warning labels on consumer items containing bisphenol-A. In addition, recent public reports, litigation and other allegations regarding the potential health hazards of bisphenol-A could contribute to a perceived safety risk about the Company's products and adversely impact sales or otherwise disrupt the Company's business. While the Company is exploring various alternatives to the use of bisphenol-A and conversion to alternatives is underway in some applications, there can be no assurance the Company will be completely successful in its efforts or that the alternatives will not be more costly to the Company.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United States and abroad, must comply with these laws and regulations. In addition, a number of governmental authorities in the United States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to the Company's operations is uncertain. In addition, the potential impact of climate change on the Company's operations is highly uncertain. The impact of climate change may vary by geographic location and other circumstances, including weather patterns and any impact to natural resources such as water.</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number of governmental authorities both in the U.S. and abroad also have enacted, or are considering, legal requirements relating to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the Company's products, and/or increase its costs.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certain restrictions that may limit its ability to make payments on its debt out of the cash reserves shown on the Company's consolidated financial statements.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has a significant amount of goodwill that, if impaired in the future, would result in lower reported net income and a reduction of its net worth.</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Impairment of the Company's goodwill would require a write down of goodwill, which would reduce the Company's net income in the period of any such write down. At December 31, 2019, the carrying value of the Company's goodwill was $4.4 billion. The Company is required to evaluate goodwill reflected on its balance sheet at least annually, or when circumstances indicate a potential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impairment. If it determines that the goodwill is impaired, the Company would be required to write off a portion or all of the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fails to retain key management and personnel, the Company may be unable to implement its business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 certain members of senior management are entitled to lump sum payments upon retirement or other termination of employment and a lump sum death benefit of five times the annual retirement benefit.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the Company's workforce is unionized and labor disruptions could increase the Company's costs and prevent the Company from supplying its customers.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significant portion of the Company's workforce is unionized and a prolonged work stoppage or strike at any facility with unionized employees could increase its costs and prevent the Company from supplying its customers. In addition, upon the expiration of existing collective bargaining agreements, the Company may not reach new agreements without union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representation in the future.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the Company's joint venture partners to observe their obligations could adversely affect the business and operations of the joint ventures and, in turn, the business and operations of the Company.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Company fails to maintain an effective system of internal control, the Company may not be able to accurately report financial results or prevent fraud.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failure to maintain adequate internal controls could result in financial statements that do not accurately reflect the Company's financial condition. There can be no assurance that the Company will be able to complete the work necessary to fully comply with the requirements of the Sarbanes-Oxley Act or that the Company's management and external auditors will continue to conclude that the Company's internal controls are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litigation risks which could negatively impact its operations and net income.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of the Company's transit packaging products are relied upon by customers or end users in their facilities or operations, or are manufactured for relatively broad industrial, transportation or consumer use. The Company faces an inherent risk of exposure to claims and damage to its reputation or brands in the event that the failure, use or misuse of its products results, or is alleged to result, in death, bodily injury, property damage or economic loss. For instance, certain of these products may fail while being used to transport heavy, industrial equipment. A successful product liability claim or series of claims against the Company, or a significant warranty claim or series of claims, could have a material adverse effect on the Company.</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one of the Company’s German subsidiaries. The local court order authorizing the inspection cited FCO suspicions of anti-competitive agreements in the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downturn in certain global economies could have adverse effects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downturn in certain global economies could have significant adverse effects on the Company's operations, including as a result of any the following:</w:t>
      </w:r>
    </w:p>
    <w:p>
      <w:pPr>
        <w:spacing w:after="0" w:line="291"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downturns in the business or financial condition of any of the Company's key customers or suppliers, potentially resulting in customers' inability to pay the Company's invoices as they become due, or at all, or suppliers' failure to fulfill their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losses associated with hedging activity by the Company for the benefit of the Company's customers including counterparty risk associated with such hedging activity, or costs associated with changing suppliers;</w:t>
      </w:r>
    </w:p>
    <w:p>
      <w:pPr>
        <w:spacing w:after="0" w:line="8"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decline in the fair value of the Company's pension assets or a decline in discount rates used to measure the Company's pension obligations, potentially requiring the Company to make significant additional contributions to its pension plans to meet prescribed funding levels;</w:t>
      </w: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deterioration of any of the lending parties under the Company's senior secured revolving credit facilities or the creditworthiness of the counterparties to the Company's derivative transactions, which could result in such parties' failure to satisfy their obligations under their arrangements with the Company;</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noncompliance with the covenants under the Company's indebtedness as a result of a weakening of the Company's financial position or results of operations;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currently available funding sources, which could have a negative impact upon the liquidity of the Company as well as that of its customers and suppliers.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vote by the United Kingdom to leave the European Union could adversely affect the Company.</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United Kingdom has ceased to be a member of the European Union ("E.U.") on January 31, 2020, with a transition period through December 31, 2020 (commonly referred to as "Brexit"). During such period, the United Kingdom continues to apply E.U. law and is treated for all material purposes as part of the E.U. There is uncertainty as to the scope, nature and terms of the relationship between the United Kingdom and the E.U. after Brexit as negotiations for the terms of the Brexit continue. The uncertainty could continue to adversely affect economic and market conditions in the United Kingdom, in the E.U. and its member states and elsewhere, and also contribute to uncertainty and instability in global financial markets. In particular, Brexit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significantly impacts volatility, liquidity and/or the market value of securities. Accordingly, Brexit could adversely affect the Company's business, results of operations, financial condition and cash flows.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its information technology and the failure or disruption of its information technology could disrupt its operations and adversely affect its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property through security breach, as well as potential civil liability and fines under various states' laws in which the Company does business. While the Company has security measures in place designed to protect the integrity of customer information and prevent data loss, misappropriation, and other security breaches, the Company's information technology system could nevertheless be penetrated by outside parties intent on extracting information, corrupting information or disrupting business processes. In addition, if the Company's information technology systems suffer severe damage, disruption or shutdown and the Company's business continuity plans do not effectively resolve the issues in a timely manner, the Company may lose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Failure or disruption of these systems, or the back-up systems, for any reason could disrupt the Company's operations and negatively impact the Company's cash flows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may not be able to use all of its foreign tax credit carryforwards in the event it undergoes an ownership change as defined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Revenue Code of 1986.</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substantial foreign tax carryforwards that can, subject to complex limitations, reduce U.S. taxes owed on foreign income. In the event the Company undergoes an ownership change as determined, its use of those foreign tax credit carryovers may be severely curtailed under section 383 of the U.S. Internal Revenue Code of 1986. An ownership change may occur if the percentage of the Company's stock owned by one or more 5% shareholders increases by more than 50 percentage points over the lowest percentage of the Company's stock owned by those shareholders, measured over a three year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taxation requirements and other law could negatively affect the Company's financial results.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 For example, while final regulations related to certain elements of the Tax Cuts and Jobs Act of 2017 (the "Tax Act") have been promulgated, other elements, including the limitation of tax deductions for interest expense, the treatment of global intangible low-taxed income and foreign-derived intangible income for Corporate taxpayers and the allocation of deductions for purposes of computing the foreign tax credit limitation, among others, are pending final regulations from the Internal Revenue Service and the enactment of these final regulations could adversely affect the Company's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Company's products are subject to import and excise duties and/or sales or value-added taxes in many jurisdictions in which it operates.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Increases in indirect taxes could affect the Company's products' affordability and therefore reduce demand for its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have been enacted in France, the United Kingdom, and Mexico. France has also imposed taxes on energy drinks using certain amounts of taurine and caffeine. Some state and local governments are also considering similar taxes, and Philadelphia, Pennsylvania (where the Company's Americas and Corporate headquarters were located prior to September 2018), Cook County, Illinois (where the Company's Transit Packaging headquarters is located), and several cities in California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adversely affect the Company's profitability and materially adversely affect the Company's business and financial results.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Company's intellectual property rights may negatively impact its ability to compete.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the Company is unable to maintain the proprietary nature of its technologies, its competitors may use its technologies to compete with it. The Company has a number of patents covering various aspects of its products, including its SuperEnd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beverage can end, whose primary patent expired in 2016, Easylift™ full aperture steel food can ends, PeelSeam™ and PeelFit™ flexible lidding and Ideal™ product line. The Company's patents may not withstand 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United States. Not all of the Company's domestic patents have 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the Company's products could be affected by changes in laws and regulations applicable to food and beverages and changes in consumer preferences.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manufactures and sells metal and glass packaging primarily for the food and beverage can market. As a result, many of the Company's products come into direct contact with food and beverages. Accordingly, the Company's products must comply with various laws and regulations for food and beverages applicable to its customers. Changes in such laws and regulations could negatively impact customers' demand for the Company's products as they comply with such changes and/or require the Company to make changes to its products. Such changes to the Company's products could include modifications to the coatings and compounds that the Company uses, possibly resulting in the incurrence of additional costs. Additionally, because many of the Company's products are used to package consumer goods, the Company is subject to a variety of risks that could influence consumer behavior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negatively impact demand for the Company's products, including changes in consumer preferences driven by various health-related concerns and perceptions.</w:t>
      </w:r>
    </w:p>
    <w:p>
      <w:pPr>
        <w:spacing w:after="0" w:line="333" w:lineRule="exact"/>
        <w:rPr>
          <w:sz w:val="20"/>
          <w:szCs w:val="20"/>
          <w:color w:val="auto"/>
        </w:rPr>
      </w:pPr>
    </w:p>
    <w:p>
      <w:pPr>
        <w:ind w:left="160"/>
        <w:spacing w:after="0"/>
        <w:tabs>
          <w:tab w:leader="none" w:pos="142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Company’s fiscal year relating to its periodic or current reports under the Securities Exchange Act of 1934.</w:t>
      </w:r>
    </w:p>
    <w:p>
      <w:pPr>
        <w:spacing w:after="0" w:line="200" w:lineRule="exact"/>
        <w:rPr>
          <w:sz w:val="20"/>
          <w:szCs w:val="20"/>
          <w:color w:val="auto"/>
        </w:rPr>
      </w:pPr>
    </w:p>
    <w:p>
      <w:pPr>
        <w:spacing w:after="0" w:line="214"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PROPERTIES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 Company operated 239 manufacturing facilities of which 69 were leased. The Company has four divisions, primarily defined geographically, within which it manufactures and markets its products. The Americas Division had 48 operating facilities of which eight were leased. Within the Americas Division, 28 facilities operated in the U.S. of which six were leased. The European Division had 60 operating facilities of which nine were leased and the Asia Pacific Division had 28 operating facilities of which three were leased. The Transit Packaging Division had 100 operating facilities of which 47 were leased. The Company also had three canmaking equipment and spare part operations in the U.S. and the U.K., one of which was a leased facility. Certain leases provide renewal or purchase options. The principal manufacturing facilities at December 31, 2019 are listed below and are grouped by product and by division.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Americas and Corporate headquarters is in Yardley, Pennsylvania. Its European headquarters is in Baar, Switzerland, its Asia Pacific headquarters is in Singapore and its Transit Packaging headquarters is in Glenview, Illinois. The Company maintains research facilities in Alsip, Illinois and Wantage, England.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w:t>
      </w:r>
    </w:p>
    <w:p>
      <w:pPr>
        <w:spacing w:after="0" w:line="181"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Ongoing productivity improvements and cost reduction efforts in recent years have focused on upgrading and modernizing facilities to reduce costs, improve efficiency and productivity and phase out uncompetitive facilities. The Company has also opened new facilities to meet increases in market demand for its products. These actions reflect the Company’s continued commitment to realign manufacturing facilities to maintain its competitive position in its markets. The Company continually reviews its operations and evaluates strategic opportunities. Further discussion of the Company’s recent restructuring actions is contained within “Management’s Discussion and Analysis of Financial Condition and Results of Operations” under the caption “Provision for Restructuring,” and under </w:t>
      </w:r>
      <w:hyperlink w:anchor="page62">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Utilization of any particular facility varies based upon product demand. While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Excluded from the list below are operating facilities in unconsolidated subsidiaries as well as service or support facilities. The service or support facilities include machine shop operations, plant operations dedicated to printing for cans and closures, coil shearing, coil coating and RD&amp;E operations. Some operating facilities produce more than one product but have been presented below under the product with the largest contribution to sales.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Americas</w:t>
            </w:r>
          </w:p>
        </w:tc>
        <w:tc>
          <w:tcPr>
            <w:tcW w:w="1720" w:type="dxa"/>
            <w:vAlign w:val="bottom"/>
          </w:tcPr>
          <w:p>
            <w:pPr>
              <w:spacing w:after="0"/>
              <w:rPr>
                <w:sz w:val="20"/>
                <w:szCs w:val="20"/>
                <w:color w:val="auto"/>
              </w:rPr>
            </w:pP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Europe</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Asia Pacific</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Beverage</w:t>
            </w:r>
          </w:p>
        </w:tc>
        <w:tc>
          <w:tcPr>
            <w:tcW w:w="1340" w:type="dxa"/>
            <w:vAlign w:val="bottom"/>
          </w:tcPr>
          <w:p>
            <w:pPr>
              <w:ind w:left="180"/>
              <w:spacing w:after="0"/>
              <w:rPr>
                <w:sz w:val="20"/>
                <w:szCs w:val="20"/>
                <w:color w:val="auto"/>
              </w:rPr>
            </w:pPr>
            <w:r>
              <w:rPr>
                <w:rFonts w:ascii="Arial" w:cs="Arial" w:eastAsia="Arial" w:hAnsi="Arial"/>
                <w:sz w:val="14"/>
                <w:szCs w:val="14"/>
                <w:color w:val="auto"/>
              </w:rPr>
              <w:t>Kankakee,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Manaus, Brazil</w:t>
            </w:r>
          </w:p>
        </w:tc>
        <w:tc>
          <w:tcPr>
            <w:tcW w:w="1720" w:type="dxa"/>
            <w:vAlign w:val="bottom"/>
          </w:tcPr>
          <w:p>
            <w:pPr>
              <w:ind w:left="20"/>
              <w:spacing w:after="0"/>
              <w:rPr>
                <w:sz w:val="20"/>
                <w:szCs w:val="20"/>
                <w:color w:val="auto"/>
              </w:rPr>
            </w:pPr>
            <w:r>
              <w:rPr>
                <w:rFonts w:ascii="Arial" w:cs="Arial" w:eastAsia="Arial" w:hAnsi="Arial"/>
                <w:sz w:val="14"/>
                <w:szCs w:val="14"/>
                <w:color w:val="auto"/>
              </w:rPr>
              <w:t>Custines,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Sevilla, Spain</w:t>
            </w:r>
          </w:p>
        </w:tc>
        <w:tc>
          <w:tcPr>
            <w:tcW w:w="2140" w:type="dxa"/>
            <w:vAlign w:val="bottom"/>
          </w:tcPr>
          <w:p>
            <w:pPr>
              <w:ind w:left="20"/>
              <w:spacing w:after="0"/>
              <w:rPr>
                <w:sz w:val="20"/>
                <w:szCs w:val="20"/>
                <w:color w:val="auto"/>
              </w:rPr>
            </w:pPr>
            <w:r>
              <w:rPr>
                <w:rFonts w:ascii="Arial" w:cs="Arial" w:eastAsia="Arial" w:hAnsi="Arial"/>
                <w:sz w:val="14"/>
                <w:szCs w:val="14"/>
                <w:color w:val="auto"/>
              </w:rPr>
              <w:t>Phnom Penh, Cambodia (2)</w:t>
            </w: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Mankato, MN</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Ponta Grossa, Brazil</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Korinthos, Greece</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Valencia, Spain</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Sihanoukville, Cambodia</w:t>
            </w:r>
          </w:p>
        </w:tc>
        <w:tc>
          <w:tcPr>
            <w:tcW w:w="0" w:type="dxa"/>
            <w:vAlign w:val="bottom"/>
          </w:tcPr>
          <w:p>
            <w:pPr>
              <w:spacing w:after="0"/>
              <w:rPr>
                <w:sz w:val="1"/>
                <w:szCs w:val="1"/>
                <w:color w:val="auto"/>
              </w:rPr>
            </w:pPr>
          </w:p>
        </w:tc>
      </w:tr>
      <w:tr>
        <w:trPr>
          <w:trHeight w:val="128"/>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and</w:t>
            </w:r>
          </w:p>
        </w:tc>
        <w:tc>
          <w:tcPr>
            <w:tcW w:w="1340" w:type="dxa"/>
            <w:vAlign w:val="bottom"/>
            <w:vMerge w:val="continue"/>
          </w:tcPr>
          <w:p>
            <w:pPr>
              <w:spacing w:after="0"/>
              <w:rPr>
                <w:sz w:val="11"/>
                <w:szCs w:val="11"/>
                <w:color w:val="auto"/>
              </w:rPr>
            </w:pPr>
          </w:p>
        </w:tc>
        <w:tc>
          <w:tcPr>
            <w:tcW w:w="2240" w:type="dxa"/>
            <w:vAlign w:val="bottom"/>
            <w:tcBorders>
              <w:right w:val="single" w:sz="8" w:color="auto"/>
            </w:tcBorders>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Batesville, MS</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Rio Verde, Brazil</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Patras, Greece</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El Agba, Tunisia</w:t>
            </w: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Closures</w:t>
            </w:r>
          </w:p>
        </w:tc>
        <w:tc>
          <w:tcPr>
            <w:tcW w:w="1340" w:type="dxa"/>
            <w:vAlign w:val="bottom"/>
            <w:vMerge w:val="continue"/>
          </w:tcPr>
          <w:p>
            <w:pPr>
              <w:spacing w:after="0"/>
              <w:rPr>
                <w:sz w:val="21"/>
                <w:szCs w:val="21"/>
                <w:color w:val="auto"/>
              </w:rPr>
            </w:pPr>
          </w:p>
        </w:tc>
        <w:tc>
          <w:tcPr>
            <w:tcW w:w="2240" w:type="dxa"/>
            <w:vAlign w:val="bottom"/>
            <w:tcBorders>
              <w:right w:val="single" w:sz="8" w:color="auto"/>
            </w:tcBorders>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2600" w:type="dxa"/>
            <w:vAlign w:val="bottom"/>
            <w:tcBorders>
              <w:right w:val="single" w:sz="8" w:color="auto"/>
            </w:tcBorders>
            <w:vMerge w:val="continue"/>
          </w:tcPr>
          <w:p>
            <w:pPr>
              <w:spacing w:after="0"/>
              <w:rPr>
                <w:sz w:val="21"/>
                <w:szCs w:val="21"/>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Hangzhou, China</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Nichols, NY</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Calgary, Canada</w:t>
            </w:r>
          </w:p>
        </w:tc>
        <w:tc>
          <w:tcPr>
            <w:tcW w:w="1720" w:type="dxa"/>
            <w:vAlign w:val="bottom"/>
          </w:tcPr>
          <w:p>
            <w:pPr>
              <w:ind w:left="20"/>
              <w:spacing w:after="0"/>
              <w:rPr>
                <w:sz w:val="20"/>
                <w:szCs w:val="20"/>
                <w:color w:val="auto"/>
              </w:rPr>
            </w:pPr>
            <w:r>
              <w:rPr>
                <w:rFonts w:ascii="Arial" w:cs="Arial" w:eastAsia="Arial" w:hAnsi="Arial"/>
                <w:sz w:val="14"/>
                <w:szCs w:val="14"/>
                <w:color w:val="auto"/>
              </w:rPr>
              <w:t>Amman, Jordan</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Izmit, Turkey</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Heshan, China</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Dayton, OH</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Weston, Canada</w:t>
            </w:r>
          </w:p>
        </w:tc>
        <w:tc>
          <w:tcPr>
            <w:tcW w:w="1720" w:type="dxa"/>
            <w:vAlign w:val="bottom"/>
          </w:tcPr>
          <w:p>
            <w:pPr>
              <w:ind w:left="20"/>
              <w:spacing w:after="0"/>
              <w:rPr>
                <w:sz w:val="20"/>
                <w:szCs w:val="20"/>
                <w:color w:val="auto"/>
              </w:rPr>
            </w:pPr>
            <w:r>
              <w:rPr>
                <w:rFonts w:ascii="Arial" w:cs="Arial" w:eastAsia="Arial" w:hAnsi="Arial"/>
                <w:sz w:val="14"/>
                <w:szCs w:val="14"/>
                <w:color w:val="auto"/>
              </w:rPr>
              <w:t>Dammam, Saudi Arabia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Osmaniye, Turkey</w:t>
            </w:r>
          </w:p>
        </w:tc>
        <w:tc>
          <w:tcPr>
            <w:tcW w:w="2140" w:type="dxa"/>
            <w:vAlign w:val="bottom"/>
          </w:tcPr>
          <w:p>
            <w:pPr>
              <w:ind w:left="20"/>
              <w:spacing w:after="0"/>
              <w:rPr>
                <w:sz w:val="20"/>
                <w:szCs w:val="20"/>
                <w:color w:val="auto"/>
              </w:rPr>
            </w:pPr>
            <w:r>
              <w:rPr>
                <w:rFonts w:ascii="Arial" w:cs="Arial" w:eastAsia="Arial" w:hAnsi="Arial"/>
                <w:sz w:val="14"/>
                <w:szCs w:val="14"/>
                <w:color w:val="auto"/>
              </w:rPr>
              <w:t>Ziyang,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Cheraw, SC</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Santafe de Bogota,</w:t>
            </w:r>
          </w:p>
        </w:tc>
        <w:tc>
          <w:tcPr>
            <w:tcW w:w="1720" w:type="dxa"/>
            <w:vAlign w:val="bottom"/>
          </w:tcPr>
          <w:p>
            <w:pPr>
              <w:ind w:left="20"/>
              <w:spacing w:after="0"/>
              <w:rPr>
                <w:sz w:val="20"/>
                <w:szCs w:val="20"/>
                <w:color w:val="auto"/>
              </w:rPr>
            </w:pPr>
            <w:r>
              <w:rPr>
                <w:rFonts w:ascii="Arial" w:cs="Arial" w:eastAsia="Arial" w:hAnsi="Arial"/>
                <w:sz w:val="14"/>
                <w:szCs w:val="14"/>
                <w:color w:val="auto"/>
              </w:rPr>
              <w:t>Jeddah, Saudi Arabia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Dubai, UAE</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Karawang, Indonesia</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Conroe, TX</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Colombia</w:t>
            </w:r>
          </w:p>
        </w:tc>
        <w:tc>
          <w:tcPr>
            <w:tcW w:w="1720" w:type="dxa"/>
            <w:vAlign w:val="bottom"/>
          </w:tcPr>
          <w:p>
            <w:pPr>
              <w:ind w:left="20"/>
              <w:spacing w:after="0"/>
              <w:rPr>
                <w:sz w:val="20"/>
                <w:szCs w:val="20"/>
                <w:color w:val="auto"/>
              </w:rPr>
            </w:pPr>
            <w:r>
              <w:rPr>
                <w:rFonts w:ascii="Arial" w:cs="Arial" w:eastAsia="Arial" w:hAnsi="Arial"/>
                <w:sz w:val="14"/>
                <w:szCs w:val="14"/>
                <w:color w:val="auto"/>
              </w:rPr>
              <w:t>Kosice, Slovakia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Botcherby, U.K.</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Bangi, Malaysia</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Fort Bend, TX</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Chihuahua, Mexico</w:t>
            </w:r>
          </w:p>
        </w:tc>
        <w:tc>
          <w:tcPr>
            <w:tcW w:w="1720" w:type="dxa"/>
            <w:vAlign w:val="bottom"/>
          </w:tcPr>
          <w:p>
            <w:pPr>
              <w:ind w:left="20"/>
              <w:spacing w:after="0"/>
              <w:rPr>
                <w:sz w:val="20"/>
                <w:szCs w:val="20"/>
                <w:color w:val="auto"/>
              </w:rPr>
            </w:pPr>
            <w:r>
              <w:rPr>
                <w:rFonts w:ascii="Arial" w:cs="Arial" w:eastAsia="Arial" w:hAnsi="Arial"/>
                <w:sz w:val="14"/>
                <w:szCs w:val="14"/>
                <w:color w:val="auto"/>
              </w:rPr>
              <w:t>Agoncillo, Spain</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Braunstone, U.K.</w:t>
            </w:r>
          </w:p>
        </w:tc>
        <w:tc>
          <w:tcPr>
            <w:tcW w:w="2140" w:type="dxa"/>
            <w:vAlign w:val="bottom"/>
          </w:tcPr>
          <w:p>
            <w:pPr>
              <w:ind w:left="20"/>
              <w:spacing w:after="0"/>
              <w:rPr>
                <w:sz w:val="20"/>
                <w:szCs w:val="20"/>
                <w:color w:val="auto"/>
              </w:rPr>
            </w:pPr>
            <w:r>
              <w:rPr>
                <w:rFonts w:ascii="Arial" w:cs="Arial" w:eastAsia="Arial" w:hAnsi="Arial"/>
                <w:sz w:val="14"/>
                <w:szCs w:val="14"/>
                <w:color w:val="auto"/>
              </w:rPr>
              <w:t>Yangon, Myanmar</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Winchester, VA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Ensenada, 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Olympia, WA</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Guadalajara,</w:t>
            </w: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Nong Khae, Thailand</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La Crosse, WI</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Danang, Vietnam</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Worland, WY</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Monterrey, Mexico (2)</w:t>
            </w: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Dong Nai, Vietnam</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Cabreuva, Brazil</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Orizaba, 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Hanoi, Vietnam</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Teresina, Brazil</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Toluca, 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Ho Chi Minh City, Vietnam</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Estancia, Brazil</w:t>
            </w:r>
          </w:p>
        </w:tc>
        <w:tc>
          <w:tcPr>
            <w:tcW w:w="224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Food</w:t>
            </w:r>
          </w:p>
        </w:tc>
        <w:tc>
          <w:tcPr>
            <w:tcW w:w="1340" w:type="dxa"/>
            <w:vAlign w:val="bottom"/>
          </w:tcPr>
          <w:p>
            <w:pPr>
              <w:ind w:left="180"/>
              <w:spacing w:after="0"/>
              <w:rPr>
                <w:sz w:val="20"/>
                <w:szCs w:val="20"/>
                <w:color w:val="auto"/>
              </w:rPr>
            </w:pPr>
            <w:r>
              <w:rPr>
                <w:rFonts w:ascii="Arial" w:cs="Arial" w:eastAsia="Arial" w:hAnsi="Arial"/>
                <w:sz w:val="14"/>
                <w:szCs w:val="14"/>
                <w:color w:val="auto"/>
              </w:rPr>
              <w:t>Owatonna, MN</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Hanover, PA</w:t>
            </w:r>
          </w:p>
        </w:tc>
        <w:tc>
          <w:tcPr>
            <w:tcW w:w="1720" w:type="dxa"/>
            <w:vAlign w:val="bottom"/>
          </w:tcPr>
          <w:p>
            <w:pPr>
              <w:ind w:left="20"/>
              <w:spacing w:after="0"/>
              <w:rPr>
                <w:sz w:val="20"/>
                <w:szCs w:val="20"/>
                <w:color w:val="auto"/>
              </w:rPr>
            </w:pPr>
            <w:r>
              <w:rPr>
                <w:rFonts w:ascii="Arial" w:cs="Arial" w:eastAsia="Arial" w:hAnsi="Arial"/>
                <w:sz w:val="14"/>
                <w:szCs w:val="14"/>
                <w:color w:val="auto"/>
              </w:rPr>
              <w:t>Carpentras,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Abidjan, Ivory Coast</w:t>
            </w:r>
          </w:p>
        </w:tc>
        <w:tc>
          <w:tcPr>
            <w:tcW w:w="2140" w:type="dxa"/>
            <w:vAlign w:val="bottom"/>
          </w:tcPr>
          <w:p>
            <w:pPr>
              <w:ind w:left="20"/>
              <w:spacing w:after="0"/>
              <w:rPr>
                <w:sz w:val="20"/>
                <w:szCs w:val="20"/>
                <w:color w:val="auto"/>
              </w:rPr>
            </w:pPr>
            <w:r>
              <w:rPr>
                <w:rFonts w:ascii="Arial" w:cs="Arial" w:eastAsia="Arial" w:hAnsi="Arial"/>
                <w:sz w:val="14"/>
                <w:szCs w:val="14"/>
                <w:color w:val="auto"/>
              </w:rPr>
              <w:t>Bangpoo, Thailand</w:t>
            </w: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Omaha, NE</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Suffolk, VA</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Concarneau, France</w:t>
            </w:r>
          </w:p>
        </w:tc>
        <w:tc>
          <w:tcPr>
            <w:tcW w:w="2600" w:type="dxa"/>
            <w:vAlign w:val="bottom"/>
            <w:tcBorders>
              <w:right w:val="single" w:sz="8" w:color="auto"/>
            </w:tcBorders>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Hat Yai, Thailand</w:t>
            </w:r>
          </w:p>
        </w:tc>
        <w:tc>
          <w:tcPr>
            <w:tcW w:w="0" w:type="dxa"/>
            <w:vAlign w:val="bottom"/>
          </w:tcPr>
          <w:p>
            <w:pPr>
              <w:spacing w:after="0"/>
              <w:rPr>
                <w:sz w:val="1"/>
                <w:szCs w:val="1"/>
                <w:color w:val="auto"/>
              </w:rPr>
            </w:pPr>
          </w:p>
        </w:tc>
      </w:tr>
      <w:tr>
        <w:trPr>
          <w:trHeight w:val="128"/>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and</w:t>
            </w:r>
          </w:p>
        </w:tc>
        <w:tc>
          <w:tcPr>
            <w:tcW w:w="1340" w:type="dxa"/>
            <w:vAlign w:val="bottom"/>
            <w:vMerge w:val="continue"/>
          </w:tcPr>
          <w:p>
            <w:pPr>
              <w:spacing w:after="0"/>
              <w:rPr>
                <w:sz w:val="11"/>
                <w:szCs w:val="11"/>
                <w:color w:val="auto"/>
              </w:rPr>
            </w:pPr>
          </w:p>
        </w:tc>
        <w:tc>
          <w:tcPr>
            <w:tcW w:w="2240" w:type="dxa"/>
            <w:vAlign w:val="bottom"/>
            <w:tcBorders>
              <w:right w:val="single" w:sz="8" w:color="auto"/>
            </w:tcBorders>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Toamasina, Madagascar</w:t>
            </w: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Closures</w:t>
            </w:r>
          </w:p>
        </w:tc>
        <w:tc>
          <w:tcPr>
            <w:tcW w:w="1340" w:type="dxa"/>
            <w:vAlign w:val="bottom"/>
          </w:tcPr>
          <w:p>
            <w:pPr>
              <w:ind w:left="180"/>
              <w:spacing w:after="0"/>
              <w:rPr>
                <w:sz w:val="20"/>
                <w:szCs w:val="20"/>
                <w:color w:val="auto"/>
              </w:rPr>
            </w:pPr>
            <w:r>
              <w:rPr>
                <w:rFonts w:ascii="Arial" w:cs="Arial" w:eastAsia="Arial" w:hAnsi="Arial"/>
                <w:sz w:val="14"/>
                <w:szCs w:val="14"/>
                <w:color w:val="auto"/>
              </w:rPr>
              <w:t>Lancaster, OH</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Oshkosh, WI</w:t>
            </w:r>
          </w:p>
        </w:tc>
        <w:tc>
          <w:tcPr>
            <w:tcW w:w="1720" w:type="dxa"/>
            <w:vAlign w:val="bottom"/>
          </w:tcPr>
          <w:p>
            <w:pPr>
              <w:ind w:left="20"/>
              <w:spacing w:after="0"/>
              <w:rPr>
                <w:sz w:val="20"/>
                <w:szCs w:val="20"/>
                <w:color w:val="auto"/>
              </w:rPr>
            </w:pPr>
            <w:r>
              <w:rPr>
                <w:rFonts w:ascii="Arial" w:cs="Arial" w:eastAsia="Arial" w:hAnsi="Arial"/>
                <w:sz w:val="14"/>
                <w:szCs w:val="14"/>
                <w:color w:val="auto"/>
              </w:rPr>
              <w:t>Laon,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Agadir, Morocco</w:t>
            </w:r>
          </w:p>
        </w:tc>
        <w:tc>
          <w:tcPr>
            <w:tcW w:w="2140" w:type="dxa"/>
            <w:vAlign w:val="bottom"/>
          </w:tcPr>
          <w:p>
            <w:pPr>
              <w:ind w:left="20"/>
              <w:spacing w:after="0"/>
              <w:rPr>
                <w:sz w:val="20"/>
                <w:szCs w:val="20"/>
                <w:color w:val="auto"/>
              </w:rPr>
            </w:pPr>
            <w:r>
              <w:rPr>
                <w:rFonts w:ascii="Arial" w:cs="Arial" w:eastAsia="Arial" w:hAnsi="Arial"/>
                <w:sz w:val="14"/>
                <w:szCs w:val="14"/>
                <w:color w:val="auto"/>
              </w:rPr>
              <w:t>Nakhon Pathom, Thailand</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Massillon, OH</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Kingston, Jamaica</w:t>
            </w:r>
          </w:p>
        </w:tc>
        <w:tc>
          <w:tcPr>
            <w:tcW w:w="1720" w:type="dxa"/>
            <w:vAlign w:val="bottom"/>
          </w:tcPr>
          <w:p>
            <w:pPr>
              <w:ind w:left="20"/>
              <w:spacing w:after="0"/>
              <w:rPr>
                <w:sz w:val="20"/>
                <w:szCs w:val="20"/>
                <w:color w:val="auto"/>
              </w:rPr>
            </w:pPr>
            <w:r>
              <w:rPr>
                <w:rFonts w:ascii="Arial" w:cs="Arial" w:eastAsia="Arial" w:hAnsi="Arial"/>
                <w:sz w:val="14"/>
                <w:szCs w:val="14"/>
                <w:color w:val="auto"/>
              </w:rPr>
              <w:t>Nantes,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Casablanca, Morocco</w:t>
            </w:r>
          </w:p>
        </w:tc>
        <w:tc>
          <w:tcPr>
            <w:tcW w:w="2140" w:type="dxa"/>
            <w:vAlign w:val="bottom"/>
          </w:tcPr>
          <w:p>
            <w:pPr>
              <w:ind w:left="20"/>
              <w:spacing w:after="0"/>
              <w:rPr>
                <w:sz w:val="20"/>
                <w:szCs w:val="20"/>
                <w:color w:val="auto"/>
              </w:rPr>
            </w:pPr>
            <w:r>
              <w:rPr>
                <w:rFonts w:ascii="Arial" w:cs="Arial" w:eastAsia="Arial" w:hAnsi="Arial"/>
                <w:sz w:val="14"/>
                <w:szCs w:val="14"/>
                <w:color w:val="auto"/>
              </w:rPr>
              <w:t>Samrong, Thailand</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Mill Park, OH</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La Villa, Mexico</w:t>
            </w:r>
          </w:p>
        </w:tc>
        <w:tc>
          <w:tcPr>
            <w:tcW w:w="1720" w:type="dxa"/>
            <w:vAlign w:val="bottom"/>
          </w:tcPr>
          <w:p>
            <w:pPr>
              <w:ind w:left="20"/>
              <w:spacing w:after="0"/>
              <w:rPr>
                <w:sz w:val="20"/>
                <w:szCs w:val="20"/>
                <w:color w:val="auto"/>
              </w:rPr>
            </w:pPr>
            <w:r>
              <w:rPr>
                <w:rFonts w:ascii="Arial" w:cs="Arial" w:eastAsia="Arial" w:hAnsi="Arial"/>
                <w:sz w:val="14"/>
                <w:szCs w:val="14"/>
                <w:color w:val="auto"/>
              </w:rPr>
              <w:t>Outreau,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Goleniow, Poland</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Songkhla, Thailand</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4"/>
                <w:szCs w:val="14"/>
                <w:color w:val="auto"/>
              </w:rPr>
              <w:t>Connellsville, PA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Barbados, West Indies</w:t>
            </w:r>
          </w:p>
        </w:tc>
        <w:tc>
          <w:tcPr>
            <w:tcW w:w="1720" w:type="dxa"/>
            <w:vAlign w:val="bottom"/>
          </w:tcPr>
          <w:p>
            <w:pPr>
              <w:ind w:left="20"/>
              <w:spacing w:after="0"/>
              <w:rPr>
                <w:sz w:val="20"/>
                <w:szCs w:val="20"/>
                <w:color w:val="auto"/>
              </w:rPr>
            </w:pPr>
            <w:r>
              <w:rPr>
                <w:rFonts w:ascii="Arial" w:cs="Arial" w:eastAsia="Arial" w:hAnsi="Arial"/>
                <w:sz w:val="14"/>
                <w:szCs w:val="14"/>
                <w:color w:val="auto"/>
              </w:rPr>
              <w:t>Perigueux,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Pruszcz, Poland</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Mühldorf, Germany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Alcochete, Portugal</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Seesen, Germany (2)</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Novotitarovskaya, Russia</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Thessaloniki, Greece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Timashevsk, Russia</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Tema, Ghana</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Aldeanueva De Ebro, Spain</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Kornye, Hungary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Las Torres De Cotillas,</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Nagykoros, Hungary</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Athy, Ireland</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Llanera, Spain</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vMerge w:val="continue"/>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Aprilia, 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Merida, 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Battipaglia, 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Osuna, 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Calerno S. Ilario d’Enza,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Pontavedra, 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Sevilla, Spain</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Nocera Superiore, Italy</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Karacabey, Turkey</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Parma, 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Wisbech, U.K.</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Aerosol</w:t>
            </w:r>
          </w:p>
        </w:tc>
        <w:tc>
          <w:tcPr>
            <w:tcW w:w="1340" w:type="dxa"/>
            <w:vAlign w:val="bottom"/>
          </w:tcPr>
          <w:p>
            <w:pPr>
              <w:ind w:left="180"/>
              <w:spacing w:after="0"/>
              <w:rPr>
                <w:sz w:val="20"/>
                <w:szCs w:val="20"/>
                <w:color w:val="auto"/>
              </w:rPr>
            </w:pPr>
            <w:r>
              <w:rPr>
                <w:rFonts w:ascii="Arial" w:cs="Arial" w:eastAsia="Arial" w:hAnsi="Arial"/>
                <w:sz w:val="14"/>
                <w:szCs w:val="14"/>
                <w:color w:val="auto"/>
              </w:rPr>
              <w:t>Alsip,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Faribault, MN</w:t>
            </w:r>
          </w:p>
        </w:tc>
        <w:tc>
          <w:tcPr>
            <w:tcW w:w="1720" w:type="dxa"/>
            <w:vAlign w:val="bottom"/>
          </w:tcPr>
          <w:p>
            <w:pPr>
              <w:ind w:left="20"/>
              <w:spacing w:after="0"/>
              <w:rPr>
                <w:sz w:val="20"/>
                <w:szCs w:val="20"/>
                <w:color w:val="auto"/>
              </w:rPr>
            </w:pPr>
            <w:r>
              <w:rPr>
                <w:rFonts w:ascii="Arial" w:cs="Arial" w:eastAsia="Arial" w:hAnsi="Arial"/>
                <w:sz w:val="14"/>
                <w:szCs w:val="14"/>
                <w:color w:val="auto"/>
              </w:rPr>
              <w:t>Spilamberto, Italy (2)</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Sutton, U.K.</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40" w:type="dxa"/>
            <w:vAlign w:val="bottom"/>
            <w:vMerge w:val="restart"/>
          </w:tcPr>
          <w:p>
            <w:pPr>
              <w:ind w:left="180"/>
              <w:spacing w:after="0"/>
              <w:rPr>
                <w:sz w:val="20"/>
                <w:szCs w:val="20"/>
                <w:color w:val="auto"/>
              </w:rPr>
            </w:pPr>
            <w:r>
              <w:rPr>
                <w:rFonts w:ascii="Arial" w:cs="Arial" w:eastAsia="Arial" w:hAnsi="Arial"/>
                <w:sz w:val="14"/>
                <w:szCs w:val="14"/>
                <w:color w:val="auto"/>
              </w:rPr>
              <w:t>Decatur,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Spartanburg, SC</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Promotional &amp;</w:t>
            </w:r>
          </w:p>
        </w:tc>
        <w:tc>
          <w:tcPr>
            <w:tcW w:w="1340" w:type="dxa"/>
            <w:vAlign w:val="bottom"/>
          </w:tcPr>
          <w:p>
            <w:pPr>
              <w:ind w:left="180"/>
              <w:spacing w:after="0"/>
              <w:rPr>
                <w:sz w:val="20"/>
                <w:szCs w:val="20"/>
                <w:color w:val="auto"/>
              </w:rPr>
            </w:pPr>
            <w:r>
              <w:rPr>
                <w:rFonts w:ascii="Arial" w:cs="Arial" w:eastAsia="Arial" w:hAnsi="Arial"/>
                <w:sz w:val="14"/>
                <w:szCs w:val="14"/>
                <w:color w:val="auto"/>
              </w:rPr>
              <w:t>Belcamp, MD</w:t>
            </w:r>
          </w:p>
        </w:tc>
        <w:tc>
          <w:tcPr>
            <w:tcW w:w="2240" w:type="dxa"/>
            <w:vAlign w:val="bottom"/>
            <w:tcBorders>
              <w:right w:val="single" w:sz="8" w:color="auto"/>
            </w:tcBorders>
          </w:tcPr>
          <w:p>
            <w:pPr>
              <w:spacing w:after="0"/>
              <w:rPr>
                <w:sz w:val="18"/>
                <w:szCs w:val="18"/>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w w:val="98"/>
              </w:rPr>
              <w:t>Chatillon-sur-Seine,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Carlisle, U.K.</w:t>
            </w:r>
          </w:p>
        </w:tc>
        <w:tc>
          <w:tcPr>
            <w:tcW w:w="2140" w:type="dxa"/>
            <w:vAlign w:val="bottom"/>
          </w:tcPr>
          <w:p>
            <w:pPr>
              <w:ind w:left="20"/>
              <w:spacing w:after="0"/>
              <w:rPr>
                <w:sz w:val="20"/>
                <w:szCs w:val="20"/>
                <w:color w:val="auto"/>
              </w:rPr>
            </w:pPr>
            <w:r>
              <w:rPr>
                <w:rFonts w:ascii="Arial" w:cs="Arial" w:eastAsia="Arial" w:hAnsi="Arial"/>
                <w:sz w:val="14"/>
                <w:szCs w:val="14"/>
                <w:color w:val="auto"/>
              </w:rPr>
              <w:t>Henan, China</w:t>
            </w:r>
          </w:p>
        </w:tc>
        <w:tc>
          <w:tcPr>
            <w:tcW w:w="0" w:type="dxa"/>
            <w:vAlign w:val="bottom"/>
          </w:tcPr>
          <w:p>
            <w:pPr>
              <w:spacing w:after="0"/>
              <w:rPr>
                <w:sz w:val="1"/>
                <w:szCs w:val="1"/>
                <w:color w:val="auto"/>
              </w:rPr>
            </w:pPr>
          </w:p>
        </w:tc>
      </w:tr>
      <w:tr>
        <w:trPr>
          <w:trHeight w:val="216"/>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Specialty</w:t>
            </w:r>
          </w:p>
        </w:tc>
        <w:tc>
          <w:tcPr>
            <w:tcW w:w="1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Hoorn, Netherlands</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Mansfield, U.K.</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Huizhou, China</w:t>
            </w:r>
          </w:p>
        </w:tc>
        <w:tc>
          <w:tcPr>
            <w:tcW w:w="0" w:type="dxa"/>
            <w:vAlign w:val="bottom"/>
          </w:tcPr>
          <w:p>
            <w:pPr>
              <w:spacing w:after="0"/>
              <w:rPr>
                <w:sz w:val="1"/>
                <w:szCs w:val="1"/>
                <w:color w:val="auto"/>
              </w:rPr>
            </w:pPr>
          </w:p>
        </w:tc>
      </w:tr>
      <w:tr>
        <w:trPr>
          <w:trHeight w:val="87"/>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Packaging</w:t>
            </w:r>
          </w:p>
        </w:tc>
        <w:tc>
          <w:tcPr>
            <w:tcW w:w="134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72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36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Kunshan, China</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Qingdao Chengyan,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Shanghai,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Tianjin,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Dong Nai, Vietnam</w:t>
            </w:r>
          </w:p>
        </w:tc>
        <w:tc>
          <w:tcPr>
            <w:tcW w:w="0" w:type="dxa"/>
            <w:vAlign w:val="bottom"/>
          </w:tcPr>
          <w:p>
            <w:pPr>
              <w:spacing w:after="0"/>
              <w:rPr>
                <w:sz w:val="1"/>
                <w:szCs w:val="1"/>
                <w:color w:val="auto"/>
              </w:rPr>
            </w:pPr>
          </w:p>
        </w:tc>
      </w:tr>
      <w:tr>
        <w:trPr>
          <w:trHeight w:val="282"/>
        </w:trPr>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Canmaking</w:t>
            </w:r>
          </w:p>
        </w:tc>
        <w:tc>
          <w:tcPr>
            <w:tcW w:w="1340" w:type="dxa"/>
            <w:vAlign w:val="bottom"/>
          </w:tcPr>
          <w:p>
            <w:pPr>
              <w:ind w:left="180"/>
              <w:spacing w:after="0"/>
              <w:rPr>
                <w:sz w:val="20"/>
                <w:szCs w:val="20"/>
                <w:color w:val="auto"/>
              </w:rPr>
            </w:pPr>
            <w:r>
              <w:rPr>
                <w:rFonts w:ascii="Arial" w:cs="Arial" w:eastAsia="Arial" w:hAnsi="Arial"/>
                <w:sz w:val="14"/>
                <w:szCs w:val="14"/>
                <w:color w:val="auto"/>
              </w:rPr>
              <w:t>Norwalk, CT</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Chippewa Falls, WI</w:t>
            </w:r>
          </w:p>
        </w:tc>
        <w:tc>
          <w:tcPr>
            <w:tcW w:w="1720" w:type="dxa"/>
            <w:vAlign w:val="bottom"/>
          </w:tcPr>
          <w:p>
            <w:pPr>
              <w:ind w:left="20"/>
              <w:spacing w:after="0"/>
              <w:rPr>
                <w:sz w:val="20"/>
                <w:szCs w:val="20"/>
                <w:color w:val="auto"/>
              </w:rPr>
            </w:pPr>
            <w:r>
              <w:rPr>
                <w:rFonts w:ascii="Arial" w:cs="Arial" w:eastAsia="Arial" w:hAnsi="Arial"/>
                <w:sz w:val="14"/>
                <w:szCs w:val="14"/>
                <w:color w:val="auto"/>
              </w:rPr>
              <w:t>Shipley, U.K. (2)</w:t>
            </w:r>
          </w:p>
        </w:tc>
        <w:tc>
          <w:tcPr>
            <w:tcW w:w="260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Equipment</w:t>
            </w:r>
          </w:p>
        </w:tc>
        <w:tc>
          <w:tcPr>
            <w:tcW w:w="1340" w:type="dxa"/>
            <w:vAlign w:val="bottom"/>
          </w:tcPr>
          <w:p>
            <w:pPr>
              <w:ind w:left="180"/>
              <w:spacing w:after="0"/>
              <w:rPr>
                <w:sz w:val="20"/>
                <w:szCs w:val="20"/>
                <w:color w:val="auto"/>
              </w:rPr>
            </w:pPr>
            <w:r>
              <w:rPr>
                <w:rFonts w:ascii="Arial" w:cs="Arial" w:eastAsia="Arial" w:hAnsi="Arial"/>
                <w:sz w:val="14"/>
                <w:szCs w:val="14"/>
                <w:color w:val="auto"/>
              </w:rPr>
              <w:t>Trevose, PA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Acayucan, Mexico</w:t>
            </w: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and Other</w:t>
            </w:r>
          </w:p>
        </w:tc>
        <w:tc>
          <w:tcPr>
            <w:tcW w:w="1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676"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1" w:right="259" w:bottom="676"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Americas</w:t>
            </w:r>
          </w:p>
        </w:tc>
        <w:tc>
          <w:tcPr>
            <w:tcW w:w="1640" w:type="dxa"/>
            <w:vAlign w:val="bottom"/>
          </w:tcPr>
          <w:p>
            <w:pPr>
              <w:spacing w:after="0"/>
              <w:rPr>
                <w:sz w:val="20"/>
                <w:szCs w:val="20"/>
                <w:color w:val="auto"/>
              </w:rPr>
            </w:pPr>
          </w:p>
        </w:tc>
        <w:tc>
          <w:tcPr>
            <w:tcW w:w="2680" w:type="dxa"/>
            <w:vAlign w:val="bottom"/>
          </w:tcPr>
          <w:p>
            <w:pPr>
              <w:ind w:left="220"/>
              <w:spacing w:after="0"/>
              <w:rPr>
                <w:sz w:val="20"/>
                <w:szCs w:val="20"/>
                <w:color w:val="auto"/>
              </w:rPr>
            </w:pPr>
            <w:r>
              <w:rPr>
                <w:rFonts w:ascii="Arial" w:cs="Arial" w:eastAsia="Arial" w:hAnsi="Arial"/>
                <w:sz w:val="18"/>
                <w:szCs w:val="18"/>
                <w:b w:val="1"/>
                <w:bCs w:val="1"/>
                <w:color w:val="auto"/>
              </w:rPr>
              <w:t>Europe</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Asia Pacific</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Transit</w:t>
            </w:r>
          </w:p>
        </w:tc>
        <w:tc>
          <w:tcPr>
            <w:tcW w:w="1540" w:type="dxa"/>
            <w:vAlign w:val="bottom"/>
          </w:tcPr>
          <w:p>
            <w:pPr>
              <w:ind w:left="360"/>
              <w:spacing w:after="0"/>
              <w:rPr>
                <w:sz w:val="20"/>
                <w:szCs w:val="20"/>
                <w:color w:val="auto"/>
              </w:rPr>
            </w:pPr>
            <w:r>
              <w:rPr>
                <w:rFonts w:ascii="Arial" w:cs="Arial" w:eastAsia="Arial" w:hAnsi="Arial"/>
                <w:sz w:val="14"/>
                <w:szCs w:val="14"/>
                <w:color w:val="auto"/>
              </w:rPr>
              <w:t>Benton, AR (2)</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Cincinnati, OH</w:t>
            </w:r>
          </w:p>
        </w:tc>
        <w:tc>
          <w:tcPr>
            <w:tcW w:w="1640" w:type="dxa"/>
            <w:vAlign w:val="bottom"/>
          </w:tcPr>
          <w:p>
            <w:pPr>
              <w:ind w:left="20"/>
              <w:spacing w:after="0"/>
              <w:rPr>
                <w:sz w:val="20"/>
                <w:szCs w:val="20"/>
                <w:color w:val="auto"/>
              </w:rPr>
            </w:pPr>
            <w:r>
              <w:rPr>
                <w:rFonts w:ascii="Arial" w:cs="Arial" w:eastAsia="Arial" w:hAnsi="Arial"/>
                <w:sz w:val="14"/>
                <w:szCs w:val="14"/>
                <w:color w:val="auto"/>
              </w:rPr>
              <w:t>Virton, Belgium</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Gorey, Ireland</w:t>
            </w:r>
          </w:p>
        </w:tc>
        <w:tc>
          <w:tcPr>
            <w:tcW w:w="2140" w:type="dxa"/>
            <w:vAlign w:val="bottom"/>
          </w:tcPr>
          <w:p>
            <w:pPr>
              <w:ind w:left="20"/>
              <w:spacing w:after="0"/>
              <w:rPr>
                <w:sz w:val="20"/>
                <w:szCs w:val="20"/>
                <w:color w:val="auto"/>
              </w:rPr>
            </w:pPr>
            <w:r>
              <w:rPr>
                <w:rFonts w:ascii="Arial" w:cs="Arial" w:eastAsia="Arial" w:hAnsi="Arial"/>
                <w:sz w:val="14"/>
                <w:szCs w:val="14"/>
                <w:color w:val="auto"/>
              </w:rPr>
              <w:t>Derrimut, Australia</w:t>
            </w:r>
          </w:p>
        </w:tc>
        <w:tc>
          <w:tcPr>
            <w:tcW w:w="0" w:type="dxa"/>
            <w:vAlign w:val="bottom"/>
          </w:tcPr>
          <w:p>
            <w:pPr>
              <w:spacing w:after="0"/>
              <w:rPr>
                <w:sz w:val="1"/>
                <w:szCs w:val="1"/>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Packaging</w:t>
            </w:r>
          </w:p>
        </w:tc>
        <w:tc>
          <w:tcPr>
            <w:tcW w:w="1540" w:type="dxa"/>
            <w:vAlign w:val="bottom"/>
          </w:tcPr>
          <w:p>
            <w:pPr>
              <w:ind w:left="360"/>
              <w:spacing w:after="0"/>
              <w:rPr>
                <w:sz w:val="20"/>
                <w:szCs w:val="20"/>
                <w:color w:val="auto"/>
              </w:rPr>
            </w:pPr>
            <w:r>
              <w:rPr>
                <w:rFonts w:ascii="Arial" w:cs="Arial" w:eastAsia="Arial" w:hAnsi="Arial"/>
                <w:sz w:val="14"/>
                <w:szCs w:val="14"/>
                <w:color w:val="auto"/>
              </w:rPr>
              <w:t>Fordyce, AR</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Cleveland, OH</w:t>
            </w:r>
          </w:p>
        </w:tc>
        <w:tc>
          <w:tcPr>
            <w:tcW w:w="1640" w:type="dxa"/>
            <w:vAlign w:val="bottom"/>
          </w:tcPr>
          <w:p>
            <w:pPr>
              <w:ind w:left="20"/>
              <w:spacing w:after="0"/>
              <w:rPr>
                <w:sz w:val="20"/>
                <w:szCs w:val="20"/>
                <w:color w:val="auto"/>
              </w:rPr>
            </w:pPr>
            <w:r>
              <w:rPr>
                <w:rFonts w:ascii="Arial" w:cs="Arial" w:eastAsia="Arial" w:hAnsi="Arial"/>
                <w:sz w:val="14"/>
                <w:szCs w:val="14"/>
                <w:color w:val="auto"/>
              </w:rPr>
              <w:t>Kardjali, Bulgaria</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Kilkenny, Ireland</w:t>
            </w:r>
          </w:p>
        </w:tc>
        <w:tc>
          <w:tcPr>
            <w:tcW w:w="2140" w:type="dxa"/>
            <w:vAlign w:val="bottom"/>
          </w:tcPr>
          <w:p>
            <w:pPr>
              <w:ind w:left="20"/>
              <w:spacing w:after="0"/>
              <w:rPr>
                <w:sz w:val="20"/>
                <w:szCs w:val="20"/>
                <w:color w:val="auto"/>
              </w:rPr>
            </w:pPr>
            <w:r>
              <w:rPr>
                <w:rFonts w:ascii="Arial" w:cs="Arial" w:eastAsia="Arial" w:hAnsi="Arial"/>
                <w:sz w:val="14"/>
                <w:szCs w:val="14"/>
                <w:color w:val="auto"/>
              </w:rPr>
              <w:t>Kurri Kurri, Australia</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Sheridan, AR</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Loveland, OH</w:t>
            </w:r>
          </w:p>
        </w:tc>
        <w:tc>
          <w:tcPr>
            <w:tcW w:w="1640" w:type="dxa"/>
            <w:vAlign w:val="bottom"/>
          </w:tcPr>
          <w:p>
            <w:pPr>
              <w:ind w:left="20"/>
              <w:spacing w:after="0"/>
              <w:rPr>
                <w:sz w:val="20"/>
                <w:szCs w:val="20"/>
                <w:color w:val="auto"/>
              </w:rPr>
            </w:pPr>
            <w:r>
              <w:rPr>
                <w:rFonts w:ascii="Arial" w:cs="Arial" w:eastAsia="Arial" w:hAnsi="Arial"/>
                <w:sz w:val="14"/>
                <w:szCs w:val="14"/>
                <w:color w:val="auto"/>
              </w:rPr>
              <w:t>Noerresundby, Denmark</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Nairobi, Kenya</w:t>
            </w:r>
          </w:p>
        </w:tc>
        <w:tc>
          <w:tcPr>
            <w:tcW w:w="2140" w:type="dxa"/>
            <w:vAlign w:val="bottom"/>
          </w:tcPr>
          <w:p>
            <w:pPr>
              <w:ind w:left="20"/>
              <w:spacing w:after="0"/>
              <w:rPr>
                <w:sz w:val="20"/>
                <w:szCs w:val="20"/>
                <w:color w:val="auto"/>
              </w:rPr>
            </w:pPr>
            <w:r>
              <w:rPr>
                <w:rFonts w:ascii="Arial" w:cs="Arial" w:eastAsia="Arial" w:hAnsi="Arial"/>
                <w:sz w:val="14"/>
                <w:szCs w:val="14"/>
                <w:color w:val="auto"/>
              </w:rPr>
              <w:t>Qingdao, China</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Phoenix, AZ</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Elizabethtown, PA</w:t>
            </w:r>
          </w:p>
        </w:tc>
        <w:tc>
          <w:tcPr>
            <w:tcW w:w="1640" w:type="dxa"/>
            <w:vAlign w:val="bottom"/>
          </w:tcPr>
          <w:p>
            <w:pPr>
              <w:ind w:left="20"/>
              <w:spacing w:after="0"/>
              <w:rPr>
                <w:sz w:val="20"/>
                <w:szCs w:val="20"/>
                <w:color w:val="auto"/>
              </w:rPr>
            </w:pPr>
            <w:r>
              <w:rPr>
                <w:rFonts w:ascii="Arial" w:cs="Arial" w:eastAsia="Arial" w:hAnsi="Arial"/>
                <w:sz w:val="14"/>
                <w:szCs w:val="14"/>
                <w:color w:val="auto"/>
              </w:rPr>
              <w:t>Soenderborg, Denmark</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Heerlen,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Bangalore, India (3)</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Bay Point, CA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Hazleton, PA</w:t>
            </w:r>
          </w:p>
        </w:tc>
        <w:tc>
          <w:tcPr>
            <w:tcW w:w="1640" w:type="dxa"/>
            <w:vAlign w:val="bottom"/>
          </w:tcPr>
          <w:p>
            <w:pPr>
              <w:ind w:left="20"/>
              <w:spacing w:after="0"/>
              <w:rPr>
                <w:sz w:val="20"/>
                <w:szCs w:val="20"/>
                <w:color w:val="auto"/>
              </w:rPr>
            </w:pPr>
            <w:r>
              <w:rPr>
                <w:rFonts w:ascii="Arial" w:cs="Arial" w:eastAsia="Arial" w:hAnsi="Arial"/>
                <w:sz w:val="14"/>
                <w:szCs w:val="14"/>
                <w:color w:val="auto"/>
              </w:rPr>
              <w:t>Liljendal, Finland</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Nuenen,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Dahej, India</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Stockton, CA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South Canaan, PA</w:t>
            </w:r>
          </w:p>
        </w:tc>
        <w:tc>
          <w:tcPr>
            <w:tcW w:w="1640" w:type="dxa"/>
            <w:vAlign w:val="bottom"/>
          </w:tcPr>
          <w:p>
            <w:pPr>
              <w:ind w:left="20"/>
              <w:spacing w:after="0"/>
              <w:rPr>
                <w:sz w:val="20"/>
                <w:szCs w:val="20"/>
                <w:color w:val="auto"/>
              </w:rPr>
            </w:pPr>
            <w:r>
              <w:rPr>
                <w:rFonts w:ascii="Arial" w:cs="Arial" w:eastAsia="Arial" w:hAnsi="Arial"/>
                <w:sz w:val="14"/>
                <w:szCs w:val="14"/>
                <w:color w:val="auto"/>
              </w:rPr>
              <w:t>Masku, Finland</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Zwijndrecht,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Karnataka, India</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Denver, CO</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Imperial, PA</w:t>
            </w:r>
          </w:p>
        </w:tc>
        <w:tc>
          <w:tcPr>
            <w:tcW w:w="1640" w:type="dxa"/>
            <w:vAlign w:val="bottom"/>
          </w:tcPr>
          <w:p>
            <w:pPr>
              <w:ind w:left="20"/>
              <w:spacing w:after="0"/>
              <w:rPr>
                <w:sz w:val="20"/>
                <w:szCs w:val="20"/>
                <w:color w:val="auto"/>
              </w:rPr>
            </w:pPr>
            <w:r>
              <w:rPr>
                <w:rFonts w:ascii="Arial" w:cs="Arial" w:eastAsia="Arial" w:hAnsi="Arial"/>
                <w:sz w:val="14"/>
                <w:szCs w:val="14"/>
                <w:color w:val="auto"/>
              </w:rPr>
              <w:t>Castelsarrasin, 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Kosice, Slovakia</w:t>
            </w:r>
          </w:p>
        </w:tc>
        <w:tc>
          <w:tcPr>
            <w:tcW w:w="2140" w:type="dxa"/>
            <w:vAlign w:val="bottom"/>
          </w:tcPr>
          <w:p>
            <w:pPr>
              <w:ind w:left="20"/>
              <w:spacing w:after="0"/>
              <w:rPr>
                <w:sz w:val="20"/>
                <w:szCs w:val="20"/>
                <w:color w:val="auto"/>
              </w:rPr>
            </w:pPr>
            <w:r>
              <w:rPr>
                <w:rFonts w:ascii="Arial" w:cs="Arial" w:eastAsia="Arial" w:hAnsi="Arial"/>
                <w:sz w:val="14"/>
                <w:szCs w:val="14"/>
                <w:color w:val="auto"/>
              </w:rPr>
              <w:t>Rudrapur, India</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Carrollton, GA</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East Providence, RI (2)</w:t>
            </w:r>
          </w:p>
        </w:tc>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Fontaine les Luxeuil,</w:t>
            </w:r>
          </w:p>
        </w:tc>
        <w:tc>
          <w:tcPr>
            <w:tcW w:w="26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Burseryd, Sweden</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Rudraram, India (2)</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2680" w:type="dxa"/>
            <w:vAlign w:val="bottom"/>
            <w:tcBorders>
              <w:right w:val="single" w:sz="8" w:color="auto"/>
            </w:tcBorders>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Douglasville, GA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Chapin, SC</w:t>
            </w:r>
          </w:p>
        </w:tc>
        <w:tc>
          <w:tcPr>
            <w:tcW w:w="1640" w:type="dxa"/>
            <w:vAlign w:val="bottom"/>
          </w:tcPr>
          <w:p>
            <w:pPr>
              <w:ind w:left="20"/>
              <w:spacing w:after="0"/>
              <w:rPr>
                <w:sz w:val="20"/>
                <w:szCs w:val="20"/>
                <w:color w:val="auto"/>
              </w:rPr>
            </w:pPr>
            <w:r>
              <w:rPr>
                <w:rFonts w:ascii="Arial" w:cs="Arial" w:eastAsia="Arial" w:hAnsi="Arial"/>
                <w:sz w:val="14"/>
                <w:szCs w:val="14"/>
                <w:color w:val="auto"/>
              </w:rPr>
              <w:t>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Hjo,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Silvassa, India (2)</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LaGrange, GA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Darlington, SC (2)</w:t>
            </w:r>
          </w:p>
        </w:tc>
        <w:tc>
          <w:tcPr>
            <w:tcW w:w="1640" w:type="dxa"/>
            <w:vAlign w:val="bottom"/>
          </w:tcPr>
          <w:p>
            <w:pPr>
              <w:ind w:left="20"/>
              <w:spacing w:after="0"/>
              <w:rPr>
                <w:sz w:val="20"/>
                <w:szCs w:val="20"/>
                <w:color w:val="auto"/>
              </w:rPr>
            </w:pPr>
            <w:r>
              <w:rPr>
                <w:rFonts w:ascii="Arial" w:cs="Arial" w:eastAsia="Arial" w:hAnsi="Arial"/>
                <w:sz w:val="14"/>
                <w:szCs w:val="14"/>
                <w:color w:val="auto"/>
              </w:rPr>
              <w:t>Manneville sur Risle,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Sandared,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Pohang, South Korea</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Macon, GA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Greer, SC</w:t>
            </w:r>
          </w:p>
        </w:tc>
        <w:tc>
          <w:tcPr>
            <w:tcW w:w="1640" w:type="dxa"/>
            <w:vAlign w:val="bottom"/>
          </w:tcPr>
          <w:p>
            <w:pPr>
              <w:ind w:left="20"/>
              <w:spacing w:after="0"/>
              <w:rPr>
                <w:sz w:val="20"/>
                <w:szCs w:val="20"/>
                <w:color w:val="auto"/>
              </w:rPr>
            </w:pPr>
            <w:r>
              <w:rPr>
                <w:rFonts w:ascii="Arial" w:cs="Arial" w:eastAsia="Arial" w:hAnsi="Arial"/>
                <w:sz w:val="14"/>
                <w:szCs w:val="14"/>
                <w:color w:val="auto"/>
              </w:rPr>
              <w:t>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Ystad,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Sriracha, Thailand</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Bridgeview,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Latta, SC</w:t>
            </w:r>
          </w:p>
        </w:tc>
        <w:tc>
          <w:tcPr>
            <w:tcW w:w="1640" w:type="dxa"/>
            <w:vAlign w:val="bottom"/>
          </w:tcPr>
          <w:p>
            <w:pPr>
              <w:ind w:left="20"/>
              <w:spacing w:after="0"/>
              <w:rPr>
                <w:sz w:val="20"/>
                <w:szCs w:val="20"/>
                <w:color w:val="auto"/>
              </w:rPr>
            </w:pPr>
            <w:r>
              <w:rPr>
                <w:rFonts w:ascii="Arial" w:cs="Arial" w:eastAsia="Arial" w:hAnsi="Arial"/>
                <w:sz w:val="14"/>
                <w:szCs w:val="14"/>
                <w:color w:val="auto"/>
              </w:rPr>
              <w:t>Tournus, 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Dietikon, Switzerland (2)</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Dixmoor,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Orange, TX</w:t>
            </w:r>
          </w:p>
        </w:tc>
        <w:tc>
          <w:tcPr>
            <w:tcW w:w="1640" w:type="dxa"/>
            <w:vAlign w:val="bottom"/>
          </w:tcPr>
          <w:p>
            <w:pPr>
              <w:ind w:left="20"/>
              <w:spacing w:after="0"/>
              <w:rPr>
                <w:sz w:val="20"/>
                <w:szCs w:val="20"/>
                <w:color w:val="auto"/>
              </w:rPr>
            </w:pPr>
            <w:r>
              <w:rPr>
                <w:rFonts w:ascii="Arial" w:cs="Arial" w:eastAsia="Arial" w:hAnsi="Arial"/>
                <w:sz w:val="14"/>
                <w:szCs w:val="14"/>
                <w:color w:val="auto"/>
              </w:rPr>
              <w:t>Dinslaken, Germany (2)</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Merenschwand, Switzerland</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Glenview,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San Antonio, TX</w:t>
            </w:r>
          </w:p>
        </w:tc>
        <w:tc>
          <w:tcPr>
            <w:tcW w:w="1640" w:type="dxa"/>
            <w:vAlign w:val="bottom"/>
          </w:tcPr>
          <w:p>
            <w:pPr>
              <w:ind w:left="20"/>
              <w:spacing w:after="0"/>
              <w:rPr>
                <w:sz w:val="20"/>
                <w:szCs w:val="20"/>
                <w:color w:val="auto"/>
              </w:rPr>
            </w:pPr>
            <w:r>
              <w:rPr>
                <w:rFonts w:ascii="Arial" w:cs="Arial" w:eastAsia="Arial" w:hAnsi="Arial"/>
                <w:sz w:val="14"/>
                <w:szCs w:val="14"/>
                <w:color w:val="auto"/>
              </w:rPr>
              <w:t>Goldkronach, Germany</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Izmir, Turkey</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Kankakee, IL (2)</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Danville, VA</w:t>
            </w:r>
          </w:p>
        </w:tc>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Hilden, Germany</w:t>
            </w:r>
          </w:p>
        </w:tc>
        <w:tc>
          <w:tcPr>
            <w:tcW w:w="26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Andover, U.K.</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268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Elkhart, IN</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Martinsville, VA</w:t>
            </w:r>
          </w:p>
        </w:tc>
        <w:tc>
          <w:tcPr>
            <w:tcW w:w="1640" w:type="dxa"/>
            <w:vAlign w:val="bottom"/>
          </w:tcPr>
          <w:p>
            <w:pPr>
              <w:ind w:left="20"/>
              <w:spacing w:after="0"/>
              <w:rPr>
                <w:sz w:val="20"/>
                <w:szCs w:val="20"/>
                <w:color w:val="auto"/>
              </w:rPr>
            </w:pPr>
            <w:r>
              <w:rPr>
                <w:rFonts w:ascii="Arial" w:cs="Arial" w:eastAsia="Arial" w:hAnsi="Arial"/>
                <w:sz w:val="14"/>
                <w:szCs w:val="14"/>
                <w:color w:val="auto"/>
              </w:rPr>
              <w:t>Nurnberg, Germany</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Dudley, U.K.</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Gary, IN</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Woodland, WA</w:t>
            </w:r>
          </w:p>
        </w:tc>
        <w:tc>
          <w:tcPr>
            <w:tcW w:w="1640" w:type="dxa"/>
            <w:vAlign w:val="bottom"/>
          </w:tcPr>
          <w:p>
            <w:pPr>
              <w:ind w:left="20"/>
              <w:spacing w:after="0"/>
              <w:rPr>
                <w:sz w:val="20"/>
                <w:szCs w:val="20"/>
                <w:color w:val="auto"/>
              </w:rPr>
            </w:pPr>
            <w:r>
              <w:rPr>
                <w:rFonts w:ascii="Arial" w:cs="Arial" w:eastAsia="Arial" w:hAnsi="Arial"/>
                <w:sz w:val="14"/>
                <w:szCs w:val="14"/>
                <w:color w:val="auto"/>
              </w:rPr>
              <w:t>Weischlitz, Germany</w:t>
            </w: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Florence, KY</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Cabreuva, Brazil</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Monroe, LA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Cambridge Ontario,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West Monroe, LA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Canada</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Brighton, MI</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Amatlan de los Reyes,</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Eden, NC</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Mexico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Salisbury, NC (2)</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Cienega de Flores,</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Irvington, NJ</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Mexico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1540" w:type="dxa"/>
            <w:vAlign w:val="bottom"/>
          </w:tcPr>
          <w:p>
            <w:pPr>
              <w:ind w:left="360"/>
              <w:spacing w:after="0"/>
              <w:rPr>
                <w:sz w:val="20"/>
                <w:szCs w:val="20"/>
                <w:color w:val="auto"/>
              </w:rPr>
            </w:pPr>
            <w:r>
              <w:rPr>
                <w:rFonts w:ascii="Arial" w:cs="Arial" w:eastAsia="Arial" w:hAnsi="Arial"/>
                <w:sz w:val="14"/>
                <w:szCs w:val="14"/>
                <w:color w:val="auto"/>
              </w:rPr>
              <w:t>Newark, NJ</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Toluca, Mexico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1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7"/>
          <w:szCs w:val="17"/>
          <w:u w:val="single" w:color="auto"/>
          <w:color w:val="auto"/>
        </w:rPr>
        <w:t>LEGAL PROCEEDINGS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2019, the accrual for pending and future asbestos claims and related legal costs that are probable and estimable was $273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been identified by the Environmental Protection Agency as a potentially responsible party (along with others, in most cases) at a number of sites.</w:t>
      </w:r>
    </w:p>
    <w:p>
      <w:pPr>
        <w:spacing w:after="0" w:line="116" w:lineRule="exact"/>
        <w:rPr>
          <w:sz w:val="20"/>
          <w:szCs w:val="20"/>
          <w:color w:val="auto"/>
        </w:rPr>
      </w:pPr>
    </w:p>
    <w:p>
      <w:pPr>
        <w:jc w:val="both"/>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hyperlink w:anchor="page69">
        <w:r>
          <w:rPr>
            <w:rFonts w:ascii="Arial" w:cs="Arial" w:eastAsia="Arial" w:hAnsi="Arial"/>
            <w:sz w:val="16"/>
            <w:szCs w:val="16"/>
            <w:u w:val="single" w:color="auto"/>
            <w:color w:val="0000EE"/>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71">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93"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OUR EXECUTIVE OFFICERS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the principal executive officers of the Company, including their ages and positions, is set forth in “Directors, Executive Officers and Corporate Governance” of this Annual Report.</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91" w:lineRule="exact"/>
        <w:rPr>
          <w:sz w:val="20"/>
          <w:szCs w:val="20"/>
          <w:color w:val="auto"/>
        </w:rPr>
      </w:pPr>
    </w:p>
    <w:p>
      <w:pPr>
        <w:ind w:left="1480" w:right="60" w:hanging="1363"/>
        <w:spacing w:after="0" w:line="277" w:lineRule="auto"/>
        <w:tabs>
          <w:tab w:leader="none" w:pos="146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REGISTRANT’S COMMON EQUITY, RELATED STOCKHOLDER MATTERS AND ISSUER PURCHASES OF EQUITY SECURITIES</w:t>
      </w:r>
    </w:p>
    <w:p>
      <w:pPr>
        <w:spacing w:after="0" w:line="197"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Registrant’s common stock is listed on the New York Stock Exchange under ticker symbol CCK. On February 27, 2020 there were 3,825 registered shareholders of the Registrant’s common stock, including 1,352 participants in the Company’s Employee Stock Purchase Plan. The market price of the Registrant’s common stock at December 31, 2019 is set forth in Part II of this Annual Report under Quarterly Data (unaudited). The foregoing information regarding the number of registered shareholders of common stock does not include persons holding stock through clearinghouse systems. Details regarding the Company’s policy as to payment of cash dividends and repurchase of shares are set forth under </w:t>
      </w:r>
      <w:hyperlink w:anchor="page84">
        <w:r>
          <w:rPr>
            <w:rFonts w:ascii="Arial" w:cs="Arial" w:eastAsia="Arial" w:hAnsi="Arial"/>
            <w:sz w:val="16"/>
            <w:szCs w:val="16"/>
            <w:u w:val="single" w:color="auto"/>
            <w:color w:val="0000EE"/>
          </w:rPr>
          <w:t>Note 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December 31, 2019, there were 71,288 of the Company's shares surrendered to cover taxes on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COMPARATIVE STOCK PERFORMANCE </w:t>
      </w:r>
      <w:r>
        <w:rPr>
          <w:rFonts w:ascii="Arial" w:cs="Arial" w:eastAsia="Arial" w:hAnsi="Arial"/>
          <w:sz w:val="18"/>
          <w:szCs w:val="18"/>
          <w:color w:val="auto"/>
        </w:rPr>
        <w: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Five-Year Cumulative Total Return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Holdings, S&amp;P 500 Index, Dow Jones U.S. Containers &amp; Packaging Index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2941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Crown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Dow Jones U.S. Containers &amp; Packaging Index</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left="580" w:hanging="329"/>
        <w:spacing w:after="0" w:line="261" w:lineRule="auto"/>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w:t>
      </w:r>
    </w:p>
    <w:p>
      <w:pPr>
        <w:spacing w:after="0" w:line="115"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Assumes that the value of the investment in Crown Holdings common stock and each index was $100 on December 31, 2014 and that all dividends were reinvested.</w:t>
      </w:r>
    </w:p>
    <w:p>
      <w:pPr>
        <w:spacing w:after="0" w:line="176" w:lineRule="exact"/>
        <w:rPr>
          <w:rFonts w:ascii="Arial" w:cs="Arial" w:eastAsia="Arial" w:hAnsi="Arial"/>
          <w:sz w:val="14"/>
          <w:szCs w:val="14"/>
          <w:color w:val="auto"/>
        </w:rPr>
      </w:pPr>
    </w:p>
    <w:p>
      <w:pPr>
        <w:ind w:left="580" w:hanging="329"/>
        <w:spacing w:after="0" w:line="310" w:lineRule="auto"/>
        <w:tabs>
          <w:tab w:leader="none" w:pos="49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Industry index is weighted by market capitalization and, as of December 31, 2019, was composed of Crown Holdings, Amcor, AptarGroup, Avery Dennison, Ball, Berry Global, Graphic Packaging, International Paper, O-I Glass, Packaging Corp. of America, Sealed Air, Silgan, Sonoco and WestRock.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5"/>
              </w:rPr>
              <w:t>ITEM 6.</w:t>
            </w:r>
          </w:p>
        </w:tc>
        <w:tc>
          <w:tcPr>
            <w:tcW w:w="680" w:type="dxa"/>
            <w:vAlign w:val="bottom"/>
          </w:tcPr>
          <w:p>
            <w:pPr>
              <w:spacing w:after="0"/>
              <w:rPr>
                <w:sz w:val="17"/>
                <w:szCs w:val="17"/>
                <w:color w:val="auto"/>
              </w:rPr>
            </w:pP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SELECTED FINANCIAL DATA</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vMerge w:val="restart"/>
          </w:tcPr>
          <w:p>
            <w:pPr>
              <w:jc w:val="right"/>
              <w:ind w:right="4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2018 (a) (b)</w:t>
            </w:r>
          </w:p>
        </w:tc>
        <w:tc>
          <w:tcPr>
            <w:tcW w:w="280" w:type="dxa"/>
            <w:vAlign w:val="bottom"/>
          </w:tcPr>
          <w:p>
            <w:pPr>
              <w:spacing w:after="0" w:line="20" w:lineRule="exact"/>
              <w:rPr>
                <w:sz w:val="1"/>
                <w:szCs w:val="1"/>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line="20" w:lineRule="exact"/>
              <w:rPr>
                <w:sz w:val="1"/>
                <w:szCs w:val="1"/>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130"/>
              <w:spacing w:after="0"/>
              <w:rPr>
                <w:sz w:val="20"/>
                <w:szCs w:val="20"/>
                <w:color w:val="auto"/>
              </w:rPr>
            </w:pPr>
            <w:r>
              <w:rPr>
                <w:rFonts w:ascii="Arial" w:cs="Arial" w:eastAsia="Arial" w:hAnsi="Arial"/>
                <w:sz w:val="18"/>
                <w:szCs w:val="18"/>
                <w:color w:val="auto"/>
                <w:w w:val="93"/>
              </w:rPr>
              <w:t>2015 (c)</w:t>
            </w:r>
          </w:p>
        </w:tc>
        <w:tc>
          <w:tcPr>
            <w:tcW w:w="0" w:type="dxa"/>
            <w:vAlign w:val="bottom"/>
          </w:tcPr>
          <w:p>
            <w:pPr>
              <w:spacing w:after="0" w:line="20" w:lineRule="exact"/>
              <w:rPr>
                <w:sz w:val="1"/>
                <w:szCs w:val="1"/>
                <w:color w:val="auto"/>
              </w:rPr>
            </w:pPr>
          </w:p>
        </w:tc>
      </w:tr>
      <w:tr>
        <w:trPr>
          <w:trHeight w:val="879"/>
        </w:trPr>
        <w:tc>
          <w:tcPr>
            <w:tcW w:w="40" w:type="dxa"/>
            <w:vAlign w:val="bottom"/>
            <w:tcBorders>
              <w:bottom w:val="single" w:sz="8" w:color="CCEEFF"/>
            </w:tcBorders>
          </w:tcPr>
          <w:p>
            <w:pPr>
              <w:spacing w:after="0"/>
              <w:rPr>
                <w:sz w:val="24"/>
                <w:szCs w:val="24"/>
                <w:color w:val="auto"/>
              </w:rPr>
            </w:pPr>
          </w:p>
        </w:tc>
        <w:tc>
          <w:tcPr>
            <w:tcW w:w="524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color w:val="auto"/>
              </w:rPr>
              <w:t>(in millions, except per share, ratios and other statistics)</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Summary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11,665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11,151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8,698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8,284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Cost of products sold,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9,349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9,028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6,623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Provision for asbestos</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Restructuring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Loss from early extinguishments of debt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Other pension and postretirement</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w w:val="88"/>
              </w:rPr>
              <w:t>Foreign exchange</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before income taxes and equity earnings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829</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Equity in net earnings of affiliates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625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528</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428</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583</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Net income attributable to Crown Holdings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439</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323</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gridSpan w:val="2"/>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b w:val="1"/>
                <w:bCs w:val="1"/>
                <w:color w:val="auto"/>
              </w:rPr>
              <w:t>Financial Position at December 31</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Total assets (d)</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15,505</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15,262</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10,663</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9,599</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7,955</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8,663</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5,314</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4,911</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923</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668</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2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Common Share Data (dollars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Market price on December 31</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72.54</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41.57</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56.25</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52.57</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Number of shares outstanding at year-end</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135.2</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134.3</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139.8</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133.6</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135.3</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135.6</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360" w:firstLine="8"/>
        <w:spacing w:after="0" w:line="256"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1 2018, the Company adopted new accounting guidance on accounting for revenue recognition. This guidance was applied on a modified retrospective basis. Prior period amounts have not been recast and continue to be reported in accordance with accounting guidance in effect for those periods.</w:t>
      </w: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December 31,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9" w:lineRule="exact"/>
        <w:rPr>
          <w:rFonts w:ascii="Arial" w:cs="Arial" w:eastAsia="Arial" w:hAnsi="Arial"/>
          <w:sz w:val="18"/>
          <w:szCs w:val="18"/>
          <w:color w:val="auto"/>
        </w:rPr>
      </w:pPr>
    </w:p>
    <w:p>
      <w:pPr>
        <w:ind w:right="238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1, 2019, the Company adopted new accounting guidance on lease accounting. This guidance was applied on a modified retrospective basis. Prior period amounts have not been recast and continue to be reported in accordance with accounting guidance in effect for those periods.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ind w:left="660" w:right="1880" w:hanging="647"/>
        <w:spacing w:after="0" w:line="308" w:lineRule="auto"/>
        <w:rPr>
          <w:sz w:val="20"/>
          <w:szCs w:val="20"/>
          <w:color w:val="auto"/>
        </w:rPr>
      </w:pPr>
      <w:r>
        <w:rPr>
          <w:rFonts w:ascii="Arial" w:cs="Arial" w:eastAsia="Arial" w:hAnsi="Arial"/>
          <w:sz w:val="17"/>
          <w:szCs w:val="17"/>
          <w:u w:val="single" w:color="auto"/>
          <w:color w:val="auto"/>
        </w:rPr>
        <w:t xml:space="preserve">ITEM 7. MANAGEMENT'S DISCUSSION AND ANALYSIS OF FINANCIAL CONDITION AND RESULTS OF OPERATIONS </w:t>
      </w:r>
      <w:r>
        <w:rPr>
          <w:rFonts w:ascii="Arial" w:cs="Arial" w:eastAsia="Arial" w:hAnsi="Arial"/>
          <w:sz w:val="17"/>
          <w:szCs w:val="17"/>
          <w:color w:val="auto"/>
        </w:rPr>
        <w:t>(in millions, except per share, average settlement cost per asbestos claim, employee, shareholder and statistical data)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summarizes the significant factors affecting the results of operations and financial condition of Crown Holdings, Inc. (the "Company") as of and during the three-year period ended December 31, 2019. This discussion should be read in conjunction with the consolidated financial statements included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STRATEGY AND TRENDS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2018, the Company completed its acquisition of Signode Industrial Group, a leading global provider of transit packaging systems and solutions, for consideration of $3.9 billion. With the acquisition, the Company added a portfolio of premier transit and protective packaging franchises to its existing metal packaging businesses, thereby broadening and diversifying its customer base and product offerings and significantly increasing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2019, the Company announced a Board-led review of the Company's portfolio and capital allocation, which is ongoing.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For several years, global industry demand for beverage cans has been growing and this is expected to continue in the coming years. After many years of relatively flat volumes, beverage can growth in North America has accelerated mainly due to the outsized portion of new beverage products being introduced in cans versus other packaging formats. In addition, markets such as Brazil, Europe and Southeast Asia have also experienced higher volumes and market expansion.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continues to generate strong returns on invested capital and significant cash flow from its non-beverage can operations including its global food can and transit packaging businesses. The Company's primary capital allocation focus will be to reduce leverage, as was successfully accomplished following previous acquisitions, and begin to return capital to its shareholders.</w:t>
      </w:r>
    </w:p>
    <w:p>
      <w:pPr>
        <w:spacing w:after="0" w:line="181"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key measure used by the Company in assessing performance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foreign currency translation impacts referred to in the discussion below were primarily due to changes in the euro and pound sterling in the Company's European segments, the Canadian dollar and Mexican peso in the Company's Americas segments, the Chinese renminbi, Malaysian ringgit and Thai baht in the Company's Asia Pacific segment and the euro in the Company's Transit Packaging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color w:val="auto"/>
              </w:rPr>
              <w:t>NET SALES AND SEGMENT INCOME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99"/>
        </w:trPr>
        <w:tc>
          <w:tcPr>
            <w:tcW w:w="304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2017</w:t>
            </w:r>
          </w:p>
        </w:tc>
      </w:tr>
      <w:tr>
        <w:trPr>
          <w:trHeight w:val="27"/>
        </w:trPr>
        <w:tc>
          <w:tcPr>
            <w:tcW w:w="30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5"/>
              </w:rPr>
              <w:t>$ 11,665</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1"/>
              </w:rPr>
              <w:t>$ 11,151</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$ 8,698</w:t>
            </w:r>
          </w:p>
        </w:tc>
      </w:tr>
      <w:tr>
        <w:trPr>
          <w:trHeight w:val="27"/>
        </w:trPr>
        <w:tc>
          <w:tcPr>
            <w:tcW w:w="30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sales increased primarily due to $569 from an additional three months of Signode's operations and 3% higher global beverage sales unit volumes, partially offset by the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increased primarily due to $1,800 from the acquisition of Signode, pass-through of higher raw material costs, 4% higher global beverage sales unit volumes, $134 from the impact of foreign currency translation and $27 from the impact of new accounting guidance adopted during the year which accelerated the timing of revenue recognition on certain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market growth due to the introduction of new beverage products in cans versus other packaging formats. To meet volume requirements in the U.S. and Canadian beverage can markets, the Company has begun construction of a third line at its Nichols, NY facility which is expected to begin production during the second quarter of 2020. Additionally, a new beverage can line at the Weston, Ontario plant began production in January 2020.</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In January 2018, the Company commenced operations at a new glass bottle facility in Chihuahua, Mexico, to serve the expanding beer market in the northern part of the country. Additionally, in November 2019, the Company commenced operations at a new one-line beverage can facility in Rio Verde,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2017</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3,369</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3,282</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2,928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sales increased primarily due to 2% higher sales unit volumes partially offset by the pass-through of lower aluminum costs and $20 from the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primarily due to higher sales unit volumes, lower freight costs and improved pricing in North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increased primarily due to 6% higher sales unit volumes and the pass-through of higher aluminum costs of $167 partially offset by $11 from the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primarily due to higher freight costs in North America, which offset the impact of higher sales unit volumes.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2018, the first line of a new beverage can plant in Valencia, Spain began operations and a second line began operations in February 2019. The multi-year project to convert beverage can capacity in Spain from steel to aluminum is nearing completion as both lines in the Seville, Spain plant, which have multi-size capability, will be in commercial production in the second quarter of 2020. Additionally, in December 2018, the Company commenced operations at a new one-line plant in Parma,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2017</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1,497</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1,489</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1,457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sales increased primarily due to 6% higher sales unit volumes, partially offset by $56 related to the impact of foreign currency translation and the pass-through of lower aluminum costs.</w:t>
      </w:r>
    </w:p>
    <w:p>
      <w:pPr>
        <w:spacing w:after="0" w:line="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Segment income decreased primarily due to higher depreciation related to recent capacity expansion and line conversions and $5 from the impact of foreign currency translation, partially offset by higher sales unit volumes.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$34 related to the impact of foreign currency translation and the pass-through of higher raw material costs, partially offset by 10% lower sales unit volumes in the Middle East.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primarily due to lower sales in the Middle East and higher startup costs at new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European Food segment manufactures steel and aluminum food cans and ends and metal vacuum closures, and supplies a variety of customers from its operations throughout Europe and Africa. The European food can market is a mature market where consumer preference continues to favor the can due to product protection and food preservation, however, challenging harvest yields have led to volume declines in recent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3"/>
              </w:rPr>
              <w:t>Net sales and segment income in the European Food segment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2017</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1,887</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1,982</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1,935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sales decreased primarily due to $102 from the impact of foreign currency translation, partially offset by the pass-through of higher raw material costs.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Segment income decreased primarily due to unfavorable product mix, higher tinplate and other operating costs that were not fully passed through in selling price and $11 from the impact of foreign currency translation.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increased primarily due to the pass-through of higher tinplate costs and $78 related to the impact of foreign currency translation partially offset by 6% lower sales unit volumes. Lower sales unit volumes were primarily the result of lower demand due to challenging weather conditions which resulted in poor harvest yields.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decreased primarily due to lower sales unit volumes, partially offset by improved cost performance and $10 related to the impact of foreign currency translation.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Production began at a new beverage can plant in Yangon, Myanmar in July 2018. A third beverage can line at the Phnom Penh, Cambodia plant commenced operations in January 2019 and the Company has begun construction of a new beverage can plant in Nong Khae, Thailand, which will begin production during the third quarter of 2020. In response to market conditions in China, the Company closed its Putian facility in 2018 and its Huizhou</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facility in early 2019. Following these closures, the Company has three beverage can plants in China with approximately $75 in annual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8"/>
              </w:rPr>
              <w:t>Net sales and segment income in the Asia Pacific segment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2017</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1,290</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1,316</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1,177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primarily due to lower sales unit volumes related to plant closures in China and the pass-through of lower aluminum costs, partially offset by 12% higher sales unit volumes in Southeast Asia.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due to higher sales unit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13% higher sales unit volume in Southeast Asia and $21 related to the impact of foreign currency translation, partially offset by lower sales related to the closure of the Beijing beverage can facility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primarily due to higher sales unit volumes.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3, 2018, the Company completed its acquisition of Signode, which is reported as the Company's Transit Packaging segment. The Transit Packaging segment includes the Company's global industrial and protective solutions and equipment and tools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2018</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2,274</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and segment income increased primarily due to $569 and $73 from an additional quarter of ownership in 2019 partially offset by lower sales unit volumes due to a slowdown in manufacturing activity in many global markets, unfavorable product mix and $33 and $4 from the impact of foreign currency translation.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Non-reportable Segments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non-reportable segments include its North American food can business, its European aerosol can and promotional packaging business, its North American aerosol can business and its tooling and equipment operations in the U.S. and U.K.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8"/>
              </w:rPr>
              <w:t>Net sales and segment income in non-reportable segments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2017</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1,348</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1,282</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1,201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2018</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Net sales increased primarily due to the pass-through of higher tinplate costs and 5% higher sales unit volumes in the Company's North America food can business partially offset by lower sales unit volumes in the Company's equipment operations and $17 from the impact of foreign currency translation.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Segment income increased primarily due to higher sales unit volumes and lower freight costs in the Company's North America food can business and favorable product mix in the Company's equipment operations, partially offset by higher tinplate and other operating costs in the Company's global aerosol businesses that were not fully passed through in selling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increased primarily due to $67 related to the pass-through of higher tinplate costs in the North America food can business and global aerosol businesses and $12 related to the impact of foreign currency translation. Higher sales volumes in the Company's North America food can business and equipment operations were offset by lower sales unit volumes in the Company's global aerosol businesses.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was comparable as the impact of higher sales unit volumes in the North America food can business and the Company's equipment operations were partially offset by higher freight costs in the North America food can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Corporate and unallocated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78"/>
        </w:trPr>
        <w:tc>
          <w:tcPr>
            <w:tcW w:w="582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2017</w:t>
            </w:r>
          </w:p>
        </w:tc>
      </w:tr>
      <w:tr>
        <w:trPr>
          <w:trHeight w:val="27"/>
        </w:trPr>
        <w:tc>
          <w:tcPr>
            <w:tcW w:w="5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unallocated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(158)</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(139)</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(143)</w:t>
            </w:r>
          </w:p>
        </w:tc>
      </w:tr>
      <w:tr>
        <w:trPr>
          <w:trHeight w:val="27"/>
        </w:trPr>
        <w:tc>
          <w:tcPr>
            <w:tcW w:w="5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Corporate and unallocated costs increased from 2018 to 2019 primarily due to higher incentive compensation in 2019 and lower claims activity in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PRODUCTS SOLD (EXCLUDING DEPRECIATION AND AMORTIZATION)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 of products sold (excluding depreciation and amortization) increased from $9,028 in 2018 to $9,349 in 2019 primarily due to the Signode acquisition in April 2018, partially offset by $214 from the impact of foreign currency translation.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products sold (excluding depreciation and amortization) increased from $7,006 in 2017 to $9,028 in 2018 primarily due to the Signode acquisition, the impact of higher raw material costs and $115 from the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sold (excluding depreciation and amortization) as a percentage of net sales was 80% in 2019 and 81% in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increased from $425 in 2018 to $490 in 2019 primarily due to the impact of an additional quarter of ownership of Signode in 2019 and higher depreciation due to recent capacity expansion.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increased from $247 in 2017 to $425 in 2018 primarily due to the impact of the Signode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ADMINISTRATIVE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 increased from $367 in 2017 to $558 in 2018 and $631 in 2019 primarily due to the impact of the Signode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decreased from $384 in 2018 to $378 in 2019 primarily due to lower interest rates offset by higher average outstanding debt incurred to finance the Signode acquisition.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increased from $252 in 2017 to $384 in 2018 primarily due to higher outstanding debt from borrowings incurred to finance the Signode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ON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786</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829</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401</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lower effective tax rate in 2019 was primarily due to a tax benefit of $36 from the release of a valuation allowance against the Company's net deferred tax assets in Luxembourg and a tax benefit of $9 arising from tax law changes in India, partially offset by a charge of $15 to settle a tax contingency arising from a transaction that occurred prior to the acquisition of Signode.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rate in 2018 included $24 related to taxes on the distributions of foreign earnings, which were previously asserted to be indefinitely reinvested.</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higher effective tax rate in 2017 was primarily due to a net charge of $177 to recognize the impact of U.S. federal tax reform which reduced the U.S. corporate tax rate from 35% to 21%, imposed a limitation on the tax deduction for interest expense, net of interest income, to 30% of a U.S. corporation's adjusted taxable income and also changed certain provisions related to the taxation of non-U.S. subsidiary earnings.</w:t>
      </w:r>
    </w:p>
    <w:p>
      <w:pPr>
        <w:spacing w:after="0" w:line="181"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regarding income taxes, see </w:t>
      </w:r>
      <w:hyperlink w:anchor="page81">
        <w:r>
          <w:rPr>
            <w:rFonts w:ascii="Arial" w:cs="Arial" w:eastAsia="Arial" w:hAnsi="Arial"/>
            <w:sz w:val="18"/>
            <w:szCs w:val="18"/>
            <w:u w:val="single" w:color="auto"/>
            <w:color w:val="0000EE"/>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and the Critical Accounting Policies section of this “Management’s Discussion and Analysis of Financial Condition and Results of Operations” for a discussion of the Company’s policies with respect to valuation allowances.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ATTRIBUTABLE TO NONCONTROLLING INTERESTS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attributable to noncontrolling interest increased from $89 in 2018 to $115 in 2019 primarily due to higher earnings in the Company's beverage can operations in Brazil, including the impact of a favorable court ruling related to the recovery of indirect taxes paid in prior years.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attributable to noncontrolling interest decreased from $105 in 2017 to $89 in 2018 primarily due to lower earnings in the Company's beverage can operations in Brazil and the Middle East.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operating activities increased from $571 in 2018 to $1,163 in 2019 primarily due to higher income from operations and changes in working capital partially offset by cash used for interest payments in 2019 related to outstanding borrowings incurred to finance the Signode acquisition.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Receivables decreased from $1,602 at December 31, 2018 to $1,528 at December 31, 2019 primarily due to increased securitization and factoring and lower aluminum costs, partially offset by higher sales unit volumes. Days sales outstanding for trade receivables, excluding the impact of unbilled receivables, decreased from 41 at December 31, 2018 to 36 at December 31, 2019, primarily related to increased securitization and factoring.</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decreased from $1,690 at December 31, 2018 to $1,626 at December 31, 2019 primarily due to lower inventory levels in the Transit Packaging segment. Inventory turnover was 64 days at December 31, 2018 compared to 63 days at December 31, 2019.</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decreased from $2,732 at December 31, 2018 to $2,646 at December 31, 2019 and days outstanding for trade payables decreased from 107 days at December 31, 2018 to 99 days at December 31, 2019 primarily due to lower aluminum costs and lower inventory levels in the Transit Packaging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Cash used for investing activities decreased from $3,843 in 2018 to $374 in 2019. In 2018, investing activities included $3,912 paid to acquire Signode. Additionally, in 2018, the Company had cash collections of $490 on beneficial interest in transferred receivables. The Company terminated its North American securitization facility in July 2018 and entered into a new facility which removed the deferred purchase price component but requires the Company to maintain a deposit in a restricted cash account. See </w:t>
      </w:r>
      <w:hyperlink w:anchor="page60">
        <w:r>
          <w:rPr>
            <w:rFonts w:ascii="Arial" w:cs="Arial" w:eastAsia="Arial" w:hAnsi="Arial"/>
            <w:sz w:val="18"/>
            <w:szCs w:val="18"/>
            <w:u w:val="single" w:color="auto"/>
            <w:color w:val="0000EE"/>
          </w:rPr>
          <w:t>Note 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 discussion of the Company's securitization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capital expenditures in 2020 to be approximately $600.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Company had approximately $86 of capital commitments. The Company expects to fund these commitments primarily through cash generated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provided cash of $3,533 in 2018 primarily due to proceeds from borrowings to finance the Signode acquisition and used cash of $785 in 2019 primarily to pay down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$464 of the Company's $607 in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$371 was held by subsidiaries for which earnings are considered indefinitely reinvested. If such earnings were repatriated the Company may be required to record incremental foreign taxes on the repatriated funds.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revolving credit agreements provides capacity of $1,650. As of December 31, 2019, the Company had available capacity of $1,586 under its revolving credit facilities. The Company could have borrowed this amount at December 31, 2019 and would still be in compliance with its leverage ratio covenants.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ratio of total debt, less cash and cash equivalents, to total capitalization was 77.8% and 86.2% at December 31, 2019 and 2018. Total capitalization is defined by the Company as total debt plus total equity, less cash and cash equivalents.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4.1 to 1.0 at December 31, 2019 was in compliance with the covenant requiring a ratio no greater than 5.75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current sources of liquidity includes a securitization facility with a program limit up to a maximum of $375 that expires in July 2020, a securitization facility with a program limit of $265 that expires in November 2022, and an uncommitted securitization facility with a program limit of $175 that expires in December 2020. Additional sources of the Company's liquidity include borrowings that mature as follows: its $1,650 revolving credit facilities in December 2024; its €650 ($729 at December 31, 2019) 4.0% senior notes in July 2022; its $1,000 4.50% senior notes in January 2023; its €335 ($376 million at December 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2019) 2.25% senior notes in February 2023; its €550 ($617 at December 31, 2019) 0.75% senior notes in February 2023; its €600 ($673 at December 31,</w:t>
      </w:r>
    </w:p>
    <w:p>
      <w:pPr>
        <w:spacing w:after="0" w:line="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2019) 2.625% senior notes in September 2024; its €600 ($673 at December 31, 2019) 3.375% senior notes in May 2025; its $875 4.75% senior notes in February 2026; its €500 ($561 at December 31, 2019) 2.875% senior notes in February 2026; its $400 4.25% senior notes in September 2026; its $350 7.375% senior notes in December 2026; its $40 7.5% senior notes in December 2096; and its $45 of other indebtedness in various currencies at various dates through 2036. In addition, the Company’s term loan facilities mature as follows: $40 in 2020, $40 in 2021, $80 in 2022, $80 in 2023, and $1,365 in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as of December 31, 2019 are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Arial" w:cs="Arial" w:eastAsia="Arial" w:hAnsi="Arial"/>
                <w:sz w:val="18"/>
                <w:szCs w:val="18"/>
                <w:color w:val="auto"/>
              </w:rPr>
              <w:t>Payments Due by Period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2025 &amp;</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after</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on long-term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1,327</w:t>
            </w: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Projected pension contributions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294</w:t>
            </w: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5,834</w:t>
            </w: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15,779</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amounts due in foreign currencies are translated at exchange rates as of December 31, 2019.</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fund its obligations through a combination of cash flows from operations, borrowings under its revolving credit facilities and the acceleration of cash receipts under its receivables securitization and factoring programs.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long-term debt for the five years subsequent to 2019 exclude unamortized discounts and debt issuance costs.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on long-term debt is presented through 2025 only and represents the interest that will accrue by year based on debt outstanding and interest rates in effect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Projected pension contributions represent the Company's expected funding contributions for the next five years.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Postretirement obligations represent expected payments to retirees for medical and life insurance coverage for the next ten years. Pension and postretirement obligation projections require the use of numerous estimates and assumptions such as discount rates, rates of return on plan assets, compensation increases, health care cost increases, mortality and employee turnover and have therefore been provided for only five years for pension and ten years for postretirement.</w:t>
      </w: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Purchase obligations include commitments for raw materials and utilities at December 31, 2019. These commitments specify significant terms, including fixed or minimum quantities to be purchased; fixed, minimum or variable pricing provisions; and the approximate timing of transactions.</w:t>
      </w:r>
    </w:p>
    <w:p>
      <w:pPr>
        <w:spacing w:after="0" w:line="93"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table above excludes $41 of liabilities for unrecognized tax benefits because the Company is unable to estimate when these amounts may be paid, if at all. See </w:t>
      </w:r>
      <w:hyperlink w:anchor="page81">
        <w:r>
          <w:rPr>
            <w:rFonts w:ascii="Arial" w:cs="Arial" w:eastAsia="Arial" w:hAnsi="Arial"/>
            <w:sz w:val="18"/>
            <w:szCs w:val="18"/>
            <w:u w:val="single" w:color="auto"/>
            <w:color w:val="0000EE"/>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the Company’s unrecognized tax benefits.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then existing market conditions and may determine not to pursue such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customers of changes in commodity prices and foreign exchange rates, to effectively achieve its goal of risk reduction. The Company’s objective in managing its exposure to market risk is to limit the impact on earnings and cash flow.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provides information in U.S. dollars as of December 31, 2019 about the Company’s forward currency exchange contracts. The contracts primarily hedge anticipated transactions, unrecognized firm commitments and intercompany debt. The contracts with no amounts in the fair value column have a fair value of less than $1.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1"/>
              </w:rPr>
              <w:t>Contract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93"/>
              </w:rPr>
              <w:t>fair value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contractual</w:t>
            </w:r>
          </w:p>
        </w:tc>
      </w:tr>
      <w:tr>
        <w:trPr>
          <w:trHeight w:val="23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Buy/Sell</w:t>
            </w:r>
          </w:p>
        </w:tc>
        <w:tc>
          <w:tcPr>
            <w:tcW w:w="3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amount</w:t>
            </w: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91"/>
              </w:rPr>
              <w:t>gain/(loss)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exchange rate</w:t>
            </w:r>
          </w:p>
        </w:tc>
      </w:tr>
      <w:tr>
        <w:trPr>
          <w:trHeight w:val="27"/>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Euro/Sterling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Euro/U.S. dollars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0.89</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Sterling/Euro</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Euro/Polish zloty</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0.23</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zloty/Euro</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U.S. dollars/Euro</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Euro/Swiss francs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0.92</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Singapore dollars/U.S. dollars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Euro/Singapore dollars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U.S. dollars/Brazilian real</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0.24</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dollars/Thai baht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Euro/Swedish krona</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0.10</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Euro/Danish krone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Sterling/U.S. dollars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0.77</w:t>
            </w: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2019, the Company had additional contracts with an aggregate notional value of $101 to purchase or sell other currencies, primarily Asian currencies, including the Malaysian ringgit, Indonesian rupiah, and Hong Kong dollar; European currencies, including the Hungarian florint; the South African rand; the Australian dollar; and the Canadian dollar. The aggregate fair value of these contracts was a loss of less than $1.</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2019, the Company had cross-currency swaps with aggregate notional values of $1,075 (€947). The swaps are designated as hedges of the Company's net investment in a euro-based subsidiary and matures in 2026. The fair value of these contracts at December 31, 2019 was a net gain of $49.</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principal cash flows and related interest rates by year of maturity for the Company’s long-term debt obligations as of December 31, 2019. Interest rates represent the rates in effect as of December 31,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400"/>
              <w:spacing w:after="0"/>
              <w:rPr>
                <w:sz w:val="20"/>
                <w:szCs w:val="20"/>
                <w:color w:val="auto"/>
              </w:rPr>
            </w:pPr>
            <w:r>
              <w:rPr>
                <w:rFonts w:ascii="Arial" w:cs="Arial" w:eastAsia="Arial" w:hAnsi="Arial"/>
                <w:sz w:val="18"/>
                <w:szCs w:val="18"/>
                <w:color w:val="auto"/>
              </w:rPr>
              <w:t>Year of Maturity</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7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3"/>
              </w:rPr>
              <w:t>Thereafter</w:t>
            </w: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2,904</w:t>
            </w: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Average interest 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Average interest 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future payments of long-term debt obligations at December 31, 2019 include $3,805 of U.S. dollar-denominated debt, $4,133 of euro-denominated debt and $6 of debt denominated in other currencies.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various raw materials, such as steel and aluminum in its manufacturing operations, which expose it to risk from adverse fluctuations in commodity prices. In 2019, consumption of steel and aluminum represented 20% and 34% of the Company’s consolidated cost of products sold, excluding depreciation and amortization. The Company primarily manages its risk to adverse commodity price fluctuations and surcharges through contracts that pass through raw material costs to customers.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2019, the Company had forward commodity contracts to hedge aluminum price fluctuations with a notional value of $327 and a net loss of $11. The maturities of the commodity contracts closely correlate to the anticipated purchases of those commodities.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Company's manufacturing facilities are dependent, to varying degrees, upon the availability of water and processed energy, such as natural gas and electricity.</w:t>
      </w:r>
    </w:p>
    <w:p>
      <w:pPr>
        <w:spacing w:after="0" w:line="17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5">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further information on the Company’s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The Company has certain guarantees and indemnification agreements that could require the payment of cash upon the occurrence of certain events. The guarantees and agreements are further discussed under </w:t>
      </w:r>
      <w:hyperlink w:anchor="page71">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consolidated financial statements. The Company also utilizes receivables securitization and factoring facilities and derivative financial instruments as further discussed under </w:t>
      </w:r>
      <w:hyperlink w:anchor="page60">
        <w:r>
          <w:rPr>
            <w:rFonts w:ascii="Arial" w:cs="Arial" w:eastAsia="Arial" w:hAnsi="Arial"/>
            <w:sz w:val="16"/>
            <w:szCs w:val="16"/>
            <w:u w:val="single" w:color="auto"/>
            <w:color w:val="0000EE"/>
          </w:rPr>
          <w:t>Note 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65">
        <w:r>
          <w:rPr>
            <w:rFonts w:ascii="Arial" w:cs="Arial" w:eastAsia="Arial" w:hAnsi="Arial"/>
            <w:sz w:val="16"/>
            <w:szCs w:val="16"/>
            <w:u w:val="single" w:color="auto"/>
            <w:color w:val="0000EE"/>
          </w:rPr>
          <w:t>Note 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4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ENVIRONMENTAL MATTERS</w:t>
      </w:r>
    </w:p>
    <w:p>
      <w:pPr>
        <w:spacing w:after="0" w:line="225" w:lineRule="exact"/>
        <w:rPr>
          <w:rFonts w:ascii="Arial" w:cs="Arial" w:eastAsia="Arial" w:hAnsi="Arial"/>
          <w:sz w:val="16"/>
          <w:szCs w:val="16"/>
          <w:color w:val="auto"/>
        </w:rPr>
      </w:pPr>
    </w:p>
    <w:p>
      <w:pPr>
        <w:jc w:val="both"/>
        <w:spacing w:after="0" w:line="259" w:lineRule="auto"/>
        <w:rPr>
          <w:sz w:val="20"/>
          <w:szCs w:val="20"/>
          <w:color w:val="auto"/>
        </w:rPr>
      </w:pPr>
      <w:r>
        <w:rPr>
          <w:rFonts w:ascii="Arial" w:cs="Arial" w:eastAsia="Arial" w:hAnsi="Arial"/>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33" w:lineRule="exact"/>
        <w:rPr>
          <w:rFonts w:ascii="Arial" w:cs="Arial" w:eastAsia="Arial" w:hAnsi="Arial"/>
          <w:sz w:val="16"/>
          <w:szCs w:val="16"/>
          <w:color w:val="auto"/>
        </w:rPr>
      </w:pPr>
    </w:p>
    <w:p>
      <w:pPr>
        <w:jc w:val="both"/>
        <w:spacing w:after="0" w:line="259" w:lineRule="auto"/>
        <w:rPr>
          <w:sz w:val="20"/>
          <w:szCs w:val="20"/>
          <w:color w:val="auto"/>
        </w:rPr>
      </w:pPr>
      <w:r>
        <w:rPr>
          <w:rFonts w:ascii="Arial" w:cs="Arial" w:eastAsia="Arial" w:hAnsi="Arial"/>
          <w:sz w:val="18"/>
          <w:szCs w:val="18"/>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187" w:lineRule="exact"/>
        <w:rPr>
          <w:rFonts w:ascii="Arial" w:cs="Arial" w:eastAsia="Arial" w:hAnsi="Arial"/>
          <w:sz w:val="16"/>
          <w:szCs w:val="16"/>
          <w:color w:val="auto"/>
        </w:rPr>
      </w:pPr>
    </w:p>
    <w:p>
      <w:pPr>
        <w:jc w:val="both"/>
        <w:spacing w:after="0" w:line="264" w:lineRule="auto"/>
        <w:rPr>
          <w:sz w:val="20"/>
          <w:szCs w:val="20"/>
          <w:color w:val="auto"/>
        </w:rPr>
      </w:pPr>
      <w:r>
        <w:rPr>
          <w:rFonts w:ascii="Arial" w:cs="Arial" w:eastAsia="Arial" w:hAnsi="Arial"/>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181" w:lineRule="exact"/>
        <w:rPr>
          <w:rFonts w:ascii="Arial" w:cs="Arial" w:eastAsia="Arial" w:hAnsi="Arial"/>
          <w:sz w:val="16"/>
          <w:szCs w:val="16"/>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71">
        <w:r>
          <w:rPr>
            <w:rFonts w:ascii="Arial" w:cs="Arial" w:eastAsia="Arial" w:hAnsi="Arial"/>
            <w:sz w:val="18"/>
            <w:szCs w:val="18"/>
            <w:u w:val="single" w:color="auto"/>
            <w:color w:val="0000EE"/>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environmental matters including the Company's accrual for environmental remediation costs.</w:t>
      </w:r>
    </w:p>
    <w:p>
      <w:pPr>
        <w:spacing w:after="0" w:line="17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INFLATION</w:t>
      </w:r>
    </w:p>
    <w:p>
      <w:pPr>
        <w:spacing w:after="0" w:line="225" w:lineRule="exact"/>
        <w:rPr>
          <w:rFonts w:ascii="Arial" w:cs="Arial" w:eastAsia="Arial" w:hAnsi="Arial"/>
          <w:sz w:val="16"/>
          <w:szCs w:val="16"/>
          <w:color w:val="auto"/>
        </w:rPr>
      </w:pPr>
    </w:p>
    <w:p>
      <w:pPr>
        <w:jc w:val="both"/>
        <w:spacing w:after="0" w:line="342" w:lineRule="auto"/>
        <w:rPr>
          <w:sz w:val="20"/>
          <w:szCs w:val="20"/>
          <w:color w:val="auto"/>
        </w:rPr>
      </w:pPr>
      <w:r>
        <w:rPr>
          <w:rFonts w:ascii="Arial" w:cs="Arial" w:eastAsia="Arial" w:hAnsi="Arial"/>
          <w:sz w:val="16"/>
          <w:szCs w:val="16"/>
          <w:color w:val="auto"/>
        </w:rPr>
        <w:t>Certain of the Company's sales contracts contain non-metal pass-through provisions that include annual selling price adjustments based on a producer price index. In certain years the referenced index may be negative, requiring the Company to reduce its selling prices while its actual costs may have increased.</w:t>
      </w:r>
    </w:p>
    <w:p>
      <w:pPr>
        <w:spacing w:after="0" w:line="12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rFonts w:ascii="Arial" w:cs="Arial" w:eastAsia="Arial" w:hAnsi="Arial"/>
          <w:sz w:val="16"/>
          <w:szCs w:val="16"/>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hyperlink w:anchor="page53">
        <w:r>
          <w:rPr>
            <w:rFonts w:ascii="Arial" w:cs="Arial" w:eastAsia="Arial" w:hAnsi="Arial"/>
            <w:sz w:val="18"/>
            <w:szCs w:val="18"/>
            <w:u w:val="single" w:color="auto"/>
            <w:color w:val="0000EE"/>
          </w:rPr>
          <w:t>Note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Certain accounting policies, however, are considered to be critical in that (i) they are most important to the depiction</w:t>
      </w:r>
    </w:p>
    <w:p>
      <w:pPr>
        <w:spacing w:after="0" w:line="4" w:lineRule="exact"/>
        <w:rPr>
          <w:rFonts w:ascii="Arial" w:cs="Arial" w:eastAsia="Arial" w:hAnsi="Arial"/>
          <w:sz w:val="16"/>
          <w:szCs w:val="16"/>
          <w:color w:val="auto"/>
        </w:rPr>
      </w:pPr>
    </w:p>
    <w:p>
      <w:pPr>
        <w:jc w:val="both"/>
        <w:spacing w:after="0" w:line="261" w:lineRule="auto"/>
        <w:rPr>
          <w:sz w:val="20"/>
          <w:szCs w:val="20"/>
          <w:color w:val="auto"/>
        </w:rPr>
      </w:pPr>
      <w:r>
        <w:rPr>
          <w:rFonts w:ascii="Arial" w:cs="Arial" w:eastAsia="Arial" w:hAnsi="Arial"/>
          <w:sz w:val="18"/>
          <w:szCs w:val="18"/>
          <w:color w:val="auto"/>
        </w:rPr>
        <w:t>of the Company’s financial condition and results of operations and (ii) their application requires management’s most subjective judgment in making estimates about the effect of matters that are inherently uncertain.</w:t>
      </w:r>
    </w:p>
    <w:p>
      <w:pPr>
        <w:spacing w:after="0" w:line="40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Asbestos Liabilities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potential liability for asbestos cases is highly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w:t>
      </w:r>
    </w:p>
    <w:p>
      <w:pPr>
        <w:spacing w:after="0" w:line="4" w:lineRule="exact"/>
        <w:rPr>
          <w:sz w:val="20"/>
          <w:szCs w:val="20"/>
          <w:color w:val="auto"/>
        </w:rPr>
      </w:pPr>
    </w:p>
    <w:p>
      <w:pPr>
        <w:jc w:val="both"/>
        <w:ind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of state asbestos legislation (including the validity and applicability of the Pennsylvania legislation to non-Pennsylvania jurisdictions, where the substantial majority of the Company’s asbestos cases are filed). See </w:t>
      </w:r>
      <w:hyperlink w:anchor="page69">
        <w:r>
          <w:rPr>
            <w:rFonts w:ascii="Arial" w:cs="Arial" w:eastAsia="Arial" w:hAnsi="Arial"/>
            <w:sz w:val="18"/>
            <w:szCs w:val="18"/>
            <w:u w:val="single" w:color="auto"/>
            <w:color w:val="0000EE"/>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regarding the provision for asbestos-related costs.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w:t>
      </w:r>
    </w:p>
    <w:p>
      <w:pPr>
        <w:jc w:val="both"/>
        <w:ind w:right="20"/>
        <w:spacing w:after="0" w:line="261" w:lineRule="auto"/>
        <w:rPr>
          <w:sz w:val="20"/>
          <w:szCs w:val="20"/>
          <w:color w:val="auto"/>
        </w:rPr>
      </w:pPr>
      <w:r>
        <w:rPr>
          <w:rFonts w:ascii="Arial" w:cs="Arial" w:eastAsia="Arial" w:hAnsi="Arial"/>
          <w:sz w:val="18"/>
          <w:szCs w:val="18"/>
          <w:color w:val="auto"/>
        </w:rPr>
        <w:t>Company estimates its liability without limitation to a specified time period and provides for the estimated amounts expected to be paid related to outstanding claims, projected future claims and legal costs.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 the year, it is difficult to predict at any time during the year whether the number of claims or average settlement cost over the five year period ending December 31 of such year will increase compared to the prior five year period.</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five year average settlement cost per claim was $13,800 in 2017, $14,900 in 2018 and $14,400 in 2019. While the average settlement cost per claim decreased in 2019 compared to 2018, the decrease was offset in the Company's accrual calculation by an increase in projected future claim settlements.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a higher percentage of Crown Cork’s settlements have related to claims alleging serious disease (primarily mesothelioma) which are settled at higher dollar amounts. Accordingly, a higher percentage of claims projected into the future continue to relate to serious diseases and are therefore valued at higher dollar amounts. For example, in each of the years 2019, 2018 and 2017, of the projected claims related to claimants alleging first exposure to asbestos before or during 1964 and filed in states that have not enacted asbestos legislation, approximately 60% relate to claims alleging serious diseases such as mesothelioma.</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five year average settlement cost per claim decreased in 2019, if Crown Cork continues to settle a high percentage of claims alleging serious disease at higher dollar amounts,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2019 by $27. A 10% increase in these two factors at the same time would increase the estimated liability at December 31, 2019 by $57. A 10% decrease in these two factors at the same time would decrease the estimated liability at December 31, 2019 by $52.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and changes in input costs that may affect revenue growth, gross margin percentages and cash flow trends over multiple periods.</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both market and income approaches.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obtains available information regarding multiples used in recent transactions, if any, involving transfers of controlling interests in the consumer and industrial packaging industries.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reviews publicly available trading multiples based on the enterprise value and revenue of companies in the consumer and industrial packaging industries whose shares are publicly traded. The appropriate multiple is applied to the respective financial results of the reporting unit to obtain an estimated fair value.</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industries, which information is available through various sources, adjusted for specific risk premiums for each reporting unit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completed its annual review for 2019 and recorded an impairment charge of $25 related to the European Aerosol and Promotional Packaging reporting unit as further described below. The fair value of all other reporting units exceeded their carrying value as of October 1, 2019. Although an impairment charge was not recorded for any of the Company’s other reporting units, there can be no assurances that future goodwill impairments will not occur.</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European Aerosol and Promotional Packaging reporting unit operates in a low-growth environment with multiple competitors. In recent years, market demand for three-piece aerosol packaging has gradually declined. This decline combined with higher operating costs that have not been fully recovered through selling prices had an adverse impact on the expected future cash flows utilized in the Company’s valuation. As a result, the reporting unit’s fair value has declined below its carrying value. The fair value of the reporting unit was determined using a discount rate of 9.25% and an EBITDA multiple of 8.0 times. The maximum effect of weighting the Company's valuation approaches other than equally would have resulted in an additional impairment charge of $10. Assuming all other factors remain the same, a $1 change in forecasted annual Adjusted EBITDA changes the estimated fair value by $8 and an increase in the discount rate from 9.25% to 10.25% changes the estimated fair value by $2. If future cash flows are less than the Company has included in its projections, additional impairment charges may be recorded. As of December 31, 2019, the reporting unit had $68 of goodwill.</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October 1, 2019 the estimated fair value of the Protective Packaging reporting unit, which is included in the Transit Packaging segment, was 6% higher than its carrying value using the methods described above, a discount rate of 9.25%, revenue multiples ranging from 1.4 to 1.8 times and EBITDA multiples of 8.5 to 12.6 times. The maximum effect of weighting the Company's valuation approaches other than equally would have resulted in an impairment charge of $7. Assuming all other factors remain the same, a $1 change in forecasted annual Adjusted EBITDA changes the excess of estimated fair value over carrying value by $8 and an increase in the discount rate from 9.25% to 10.25% decreases the fair value by $61. Increasing the discount rate to 10.25% would have resulted in an impairment of $2. As of December 31, 2019, the reporting unit had $454 of goodwill. In January 2020, based upon an internal reorganization, the Protective Packaging reporting unit was merged into the Industrial Solutions reporting unit, which is also included in the Transit Packaging segment.</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October 1, 2019, the estimated fair value of the Equipment &amp; Tools reporting unit, which is included in the Transit Packaging segment was 9% higher than its carrying value using the methods described above, including a discount rate of 12.25%, revenue multiples ranging from 2.0 to 2.4 times and EBITDA multiples of 10.0 to 10.4 times. The maximum effect of weighting the Company's valuation approaches other than equally would have not resulted in an impairment charge. Assuming all other factors remain the same, a $1 change in forecasted annual Adjusted EBITDA changes the excess of estimated fair value over carrying value by $7 and an increase in the discount rate from 12.25% to 13.25% changes the excess of the fair value over carrying value by $54. Under each of these scenarios, the reporting unit’s fair value exceeded its carrying value. If Adjusted EBITDA margin decreased by 2.7% the fair value of the reporting unit would approximate carrying value. As of December 31, 2019, the reporting unit had $765 of goodwill.</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reporting units operate in low-growth environments with multiple competitors, which could result in lower selling prices. While the Company believes current projections are reasonable, the reporting units' ability to maintain or grow could be negatively impacted by the above factors. To the extent future operating results were to decline causing the estimated fair value to fall below carrying value, it is possible that additional impairment charges may be recorded.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 Impairment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an impairment review of its long-lived assets, including definite-lived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Valuation Allowance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records a valuation allowance to reduce its deferred tax assets when it is more likely than not that a portion of the tax assets will not be realized. The estimate of the amount that will not be realized requires the use of assumptions concerning the Company’s future taxable income. These estimates are projected through the life of the related deferred tax assets based on assumptions that management believes are reasonable. The Company considers all sources of taxable income in estimating its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valuation allowances, including taxable income in any available carry back period; the reversal of taxable temporary differences; tax-planning strategies; and taxable income expected to be generated in the future other than from reversing temporary differences.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Should the Company change its estimate of the amount of deferred tax assets that it would be able to realize, an adjustment to the valuation allowance would result in an increase or decrease in tax expense in the period such a change in estimate was made.</w:t>
      </w:r>
    </w:p>
    <w:p>
      <w:pPr>
        <w:spacing w:after="0" w:line="184"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81">
        <w:r>
          <w:rPr>
            <w:rFonts w:ascii="Arial" w:cs="Arial" w:eastAsia="Arial" w:hAnsi="Arial"/>
            <w:sz w:val="18"/>
            <w:szCs w:val="18"/>
            <w:u w:val="single" w:color="auto"/>
            <w:color w:val="0000EE"/>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the Company’s valuation allowances, which included a release of $36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Postretirement Benefits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$66, including settlement charges of $44 and a curtailment gain of $14, in 2019 and currently projects its 2020 pension expense to be $22, using foreign currency exchange rates in effect at December 31, 2019. In addition, the Company may incur additional settlement charges of approximately $30 in 2020.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 historical ranges, projected future outlook of each asset class, inflation assumptions and the expected net value from active management of the assets based on actual results.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plan’s assumed rate of return was 7.25 % in 2019 and is 6.75% for 2020. The U.K. plan’s assumed rate of return was 4.25% in 2019 and is 3.50% for 2020. A 0.25% change in the expected rates of return would change 2020 pension expense by approximately $12.</w:t>
      </w:r>
    </w:p>
    <w:p>
      <w:pPr>
        <w:spacing w:after="0" w:line="170"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Discount rates were selected using a method that matches projected payouts from the plans to an actuarially determined yield curve based on market observable AA bond yields in the respective plan jurisdictions and currencies. In certain jurisdictions, government securities were used along with corporate bonds to develop country-specific yield curves to the extent that the underlying markets were not deemed sufficiently developed. A 0.25% change in the discount rates from those used at December 31, 2019 would change 2020 pension expense by approximately $2 and postretirement expense by less than $1. A 0.25% change in the discount rates from those used at December 31, 2019 would have changed the pension benefit obligation by approximately $145 and the postretirement benefit obligation approximately $3 as of December 31, 2019. See </w:t>
      </w:r>
      <w:hyperlink w:anchor="page73">
        <w:r>
          <w:rPr>
            <w:rFonts w:ascii="Arial" w:cs="Arial" w:eastAsia="Arial" w:hAnsi="Arial"/>
            <w:sz w:val="17"/>
            <w:szCs w:val="17"/>
            <w:u w:val="single" w:color="auto"/>
            <w:color w:val="0000EE"/>
          </w:rPr>
          <w:t>Note R</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on pension and postretirement benefit obligations and assumptions.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2019, the Company had pre-tax unrecognized net losses in other comprehensive income of $1,808 related to its pension plans and $42 related to its other postretirement benefit plans. Unrecognized gains and losses arise each year primarily due to changes in discount rates, differences in actual plan asset returns compared to expected returns, and changes in actuarial assumptions such as mortality. For example, the unrecognized net loss in the Company’s pension plans included a current year gain of $410 primarily due to actual asset returns higher than expected returns, partially offset by a loss of $357 primarily due to lower discount rates at the end of 2019 compared to 2018.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2019 included charges of $93 for the amortization of unrecognized net losses, and the Company estimates charges of $94 in 2020. Amortizable losses are being recognized over either the average expected life of inactive employees or the remaining service life of active participants depending on the status of the individual plans. The weighted average amortization periods range between 6 - 19 years. An increase of 10% in the number of years used to amortize unrecognized losses in each plan would decrease estimated charges for 2020 by $9. A decrease of 10% in the number of years would increase the estimated 2020 charge by $11.</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unrecognized net losses in the Company’s postretirement benefit plans are being recognized over the average remaining service life of active participants of 10 years. The Company’s postretirement benefits expense for the year ended December 31, 2019 included a loss of $3 for the amortization of unrecognized net losses, and the Company estimates losses of $4 in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GUIDANCE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new guidance on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operating leases and off-balance-sheet credit exposures. This guidance is effective for the Company on January 1, 2020. The Company is currently evaluating the impact of adopting this standard and does not expect the guidance to have a material impact on the Company's consolidated financial statements.</w:t>
      </w:r>
    </w:p>
    <w:p>
      <w:pPr>
        <w:spacing w:after="0" w:line="19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 August 2018, the FASB issued new guidance which aligns the accounting for implementation costs incurred in a cloud computing arrangement that is a service arrangement (i.e. hosting arrangement) with the guidance on capitalizing costs for internal use software. The Company will adopt this standard on a prospective basis on January 1, 2020 and does not expect the guidance to have a material impact on the Company's consolidated financial statements.</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December 2019, the FASB issued new guidance to simplify the accounting for income taxes by, among other things, reducing complexity in the interim-period accounting for year-to-date loss limitations and changes in tax laws. The guidance is effective for the Company on January 1, 2021. The Company does not expect the guidance to have a material impact on the consolidated financial statements.</w:t>
      </w:r>
    </w:p>
    <w:p>
      <w:pPr>
        <w:spacing w:after="0" w:line="18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53">
        <w:r>
          <w:rPr>
            <w:rFonts w:ascii="Arial" w:cs="Arial" w:eastAsia="Arial" w:hAnsi="Arial"/>
            <w:sz w:val="18"/>
            <w:szCs w:val="18"/>
            <w:u w:val="single" w:color="auto"/>
            <w:color w:val="0000EE"/>
          </w:rPr>
          <w:t>Note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information on recently adopted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225" w:lineRule="exact"/>
        <w:rPr>
          <w:sz w:val="20"/>
          <w:szCs w:val="20"/>
          <w:color w:val="auto"/>
        </w:rPr>
      </w:pPr>
    </w:p>
    <w:p>
      <w:pPr>
        <w:jc w:val="both"/>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Statements in this Annual Report, including those in “Management’s Discussion and Analysis of Financial Condition and Results of Operations,” in the discussions of the provision for asbestos under </w:t>
      </w:r>
      <w:hyperlink w:anchor="page69">
        <w:r>
          <w:rPr>
            <w:rFonts w:ascii="Arial" w:cs="Arial" w:eastAsia="Arial" w:hAnsi="Arial"/>
            <w:sz w:val="16"/>
            <w:szCs w:val="16"/>
            <w:u w:val="single" w:color="auto"/>
            <w:color w:val="0000EE"/>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other contingencies under </w:t>
      </w:r>
      <w:hyperlink w:anchor="page71">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w:t>
      </w:r>
    </w:p>
    <w:p>
      <w:pPr>
        <w:spacing w:after="0" w:line="7" w:lineRule="exact"/>
        <w:rPr>
          <w:sz w:val="20"/>
          <w:szCs w:val="20"/>
          <w:color w:val="auto"/>
        </w:rPr>
      </w:pPr>
    </w:p>
    <w:p>
      <w:pPr>
        <w:jc w:val="both"/>
        <w:ind w:firstLine="8"/>
        <w:spacing w:after="0" w:line="255"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 (iv) anticipated uses of cash, (v) cost reduction efforts and expected savings, (vi) the Company’s policies with respect to executive compensation and (vii) the expected outcome of contingencies, including with respect to asbestos-related litigation and pension and postretirement liabilities.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Important factors that could cause the actual results of operations or financial condition of the Company to differ include, but are not necessarily limited to, the ability of the Company to expand successfully in international and emerging markets; the ability of the Company to repay, refinance or restructure its short and long-term indebtedness on adequate terms and to comply with the terms of its agreements relating to debt; the impact of Brexit;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the Tax Act and other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including in the Company’s Middle East operations,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ongoing impact of price increases; energy and natural resource costs; the cost and other effects of legal and administrative cases and proceedings, settlements and investigations; the outcome of asbestos-related litigation (including the number and size of future claims and the terms of settlements, and the impact of bankruptcy filings by other companies with asbestos-related liabilities, any of which could increase Crown Cork’s asbestos-related costs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potential dispositions, acquisitions or other strategic realignments,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(including with respect to human vulnerabilities associated with cyber-security risks); the Company’s ability to generate sufficient production capacity; the Company’s ability to improve and expand its existing product 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impact of the Company's comprehensive Board-led review of its portfolio and capital allocation/return;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sugar-sweetened beverages or energy drinks, the impact of new tariffs and potential limits on steel supply in the U.S. from certain foreign countries; and changes in the Company’s strategic areas of focus, which may impact the Company’s operations, financial profile or levels of indebtedness.</w:t>
      </w:r>
    </w:p>
    <w:p>
      <w:pPr>
        <w:spacing w:after="0" w:line="169"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Some of the factors noted above are discussed elsewhere in this Annual Report and prior Company filings with the SEC, including within Part I, Item 1A, “</w:t>
      </w:r>
      <w:hyperlink w:anchor="page9">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in this Annual Report. In addition, other factors have been or may be discussed from time to time in the Company’s SEC filings.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34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u w:val="single" w:color="auto"/>
          <w:color w:val="auto"/>
        </w:rPr>
        <w:t>ITEM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within “Management’s Discussion and Analysis of Financial Condition and Results of Operations” under the captions “Market Risk” and "Forward Looking Statements" in this Annual Report is incorporated herein by reference.</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2017, the Financial Conduct Authority (the authority that regulates LIBOR) announced it intends to stop compelling banks to submit rates for the calculation of LIBOR after 2021. The U.S. Federal Reserve, in conjunction with the Alternative Reference Rate Committee has announced the replacement of U.S. dollar LIBOR rates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At December 31, 2019, the Company does have contracts that are indexed to LIBOR, including cross-currency swap contracts and certain of its term loan facilities, and continues to monitor this activity and evaluate the related risks.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60" w:type="dxa"/>
            <w:vAlign w:val="bottom"/>
            <w:gridSpan w:val="2"/>
          </w:tcPr>
          <w:p>
            <w:pPr>
              <w:ind w:left="1820"/>
              <w:spacing w:after="0"/>
              <w:rPr>
                <w:sz w:val="20"/>
                <w:szCs w:val="20"/>
                <w:color w:val="auto"/>
              </w:rPr>
            </w:pPr>
            <w:r>
              <w:rPr>
                <w:rFonts w:ascii="Arial" w:cs="Arial" w:eastAsia="Arial" w:hAnsi="Arial"/>
                <w:sz w:val="18"/>
                <w:szCs w:val="18"/>
                <w:b w:val="1"/>
                <w:bCs w:val="1"/>
                <w:color w:val="auto"/>
              </w:rPr>
              <w:t>Crown Holdings, Inc.</w:t>
            </w:r>
          </w:p>
        </w:tc>
        <w:tc>
          <w:tcPr>
            <w:tcW w:w="1100" w:type="dxa"/>
            <w:vAlign w:val="bottom"/>
          </w:tcPr>
          <w:p>
            <w:pPr>
              <w:spacing w:after="0"/>
              <w:rPr>
                <w:sz w:val="20"/>
                <w:szCs w:val="20"/>
                <w:color w:val="auto"/>
              </w:rPr>
            </w:pPr>
          </w:p>
        </w:tc>
      </w:tr>
      <w:tr>
        <w:trPr>
          <w:trHeight w:val="770"/>
        </w:trPr>
        <w:tc>
          <w:tcPr>
            <w:tcW w:w="620" w:type="dxa"/>
            <w:vAlign w:val="bottom"/>
            <w:gridSpan w:val="2"/>
          </w:tcPr>
          <w:p>
            <w:pPr>
              <w:spacing w:after="0"/>
              <w:rPr>
                <w:sz w:val="20"/>
                <w:szCs w:val="20"/>
                <w:color w:val="auto"/>
              </w:rPr>
            </w:pPr>
            <w:r>
              <w:rPr>
                <w:rFonts w:ascii="Arial" w:cs="Arial" w:eastAsia="Arial" w:hAnsi="Arial"/>
                <w:sz w:val="18"/>
                <w:szCs w:val="18"/>
                <w:color w:val="auto"/>
                <w:w w:val="95"/>
              </w:rPr>
              <w:t>ITEM 8.</w:t>
            </w:r>
          </w:p>
        </w:tc>
        <w:tc>
          <w:tcPr>
            <w:tcW w:w="9280" w:type="dxa"/>
            <w:vAlign w:val="bottom"/>
            <w:gridSpan w:val="6"/>
          </w:tcPr>
          <w:p>
            <w:pPr>
              <w:ind w:left="720"/>
              <w:spacing w:after="0"/>
              <w:rPr>
                <w:sz w:val="20"/>
                <w:szCs w:val="20"/>
                <w:color w:val="auto"/>
              </w:rPr>
            </w:pPr>
            <w:r>
              <w:rPr>
                <w:rFonts w:ascii="Arial" w:cs="Arial" w:eastAsia="Arial" w:hAnsi="Arial"/>
                <w:sz w:val="18"/>
                <w:szCs w:val="18"/>
                <w:color w:val="auto"/>
              </w:rPr>
              <w:t>FINANCIAL STATEMENTS AND SUPPLEMENTARY DATA</w:t>
            </w:r>
          </w:p>
        </w:tc>
        <w:tc>
          <w:tcPr>
            <w:tcW w:w="110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74"/>
        </w:trPr>
        <w:tc>
          <w:tcPr>
            <w:tcW w:w="3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INDEX TO FINANCIAL STATEMENTS</w:t>
            </w:r>
          </w:p>
        </w:tc>
        <w:tc>
          <w:tcPr>
            <w:tcW w:w="686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r>
      <w:tr>
        <w:trPr>
          <w:trHeight w:val="574"/>
        </w:trPr>
        <w:tc>
          <w:tcPr>
            <w:tcW w:w="340" w:type="dxa"/>
            <w:vAlign w:val="bottom"/>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Financial Statements</w:t>
            </w:r>
          </w:p>
        </w:tc>
        <w:tc>
          <w:tcPr>
            <w:tcW w:w="8040" w:type="dxa"/>
            <w:vAlign w:val="bottom"/>
            <w:gridSpan w:val="4"/>
          </w:tcPr>
          <w:p>
            <w:pPr>
              <w:spacing w:after="0"/>
              <w:rPr>
                <w:sz w:val="24"/>
                <w:szCs w:val="24"/>
                <w:color w:val="auto"/>
              </w:rPr>
            </w:pPr>
          </w:p>
        </w:tc>
        <w:tc>
          <w:tcPr>
            <w:tcW w:w="1100" w:type="dxa"/>
            <w:vAlign w:val="bottom"/>
          </w:tcPr>
          <w:p>
            <w:pPr>
              <w:spacing w:after="0"/>
              <w:rPr>
                <w:sz w:val="24"/>
                <w:szCs w:val="24"/>
                <w:color w:val="auto"/>
              </w:rPr>
            </w:pPr>
          </w:p>
        </w:tc>
      </w:tr>
      <w:tr>
        <w:trPr>
          <w:trHeight w:val="615"/>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Management’s Report on Internal Control Over Financial Reporting</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Report of Independent Registered Public Accounting Firm</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67"/>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Balance Sheets as of December 31, 2019 and 2018</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w w:val="97"/>
              </w:rPr>
              <w:t>Consolidated Statements of Changes in Shareholders' Equity for the years ended December 31, 2019, 2018 and 2017</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Supplementary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554"/>
        </w:trPr>
        <w:tc>
          <w:tcPr>
            <w:tcW w:w="34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Financial Statement Schedule</w:t>
            </w:r>
          </w:p>
        </w:tc>
        <w:tc>
          <w:tcPr>
            <w:tcW w:w="1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140" w:type="dxa"/>
            <w:vAlign w:val="bottom"/>
            <w:gridSpan w:val="4"/>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15"/>
        </w:trPr>
        <w:tc>
          <w:tcPr>
            <w:tcW w:w="34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Schedule II – Valuation and Qualifying Accounts and Reserves for the years ended December 31, 2019, 2018 and 2017</w:t>
            </w: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891"/>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5"/>
          </w:tcPr>
          <w:p>
            <w:pPr>
              <w:ind w:left="4960"/>
              <w:spacing w:after="0"/>
              <w:rPr>
                <w:sz w:val="20"/>
                <w:szCs w:val="20"/>
                <w:color w:val="auto"/>
              </w:rPr>
            </w:pPr>
            <w:r>
              <w:rPr>
                <w:rFonts w:ascii="Arial" w:cs="Arial" w:eastAsia="Arial" w:hAnsi="Arial"/>
                <w:sz w:val="18"/>
                <w:szCs w:val="18"/>
                <w:color w:val="auto"/>
              </w:rPr>
              <w:t>42</w:t>
            </w:r>
          </w:p>
        </w:tc>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000"/>
          </w:cols>
          <w:pgMar w:left="280" w:top="121" w:right="6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its assessment, management has concluded that, as of December 31, 2019,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based on those criteria.</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Crown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Crown Holdings, Inc. and its subsidiaries (“the Company”) as of December 31, 2019 and 2018, and the related consolidated statements of operations, of comprehensive income, of changes in shareholders’ equity, and of cash flows for each of the three years in the period ended December 31, 2019, including the related notes and financial statement schedule listed in the accompanying index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A to the consolidated financial statements, the Company changed the manner in which it accounts for leases in 2019 and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Assessment - European Aerosol and Promotional Packaging, Protective Packaging, and Equipment &amp; Tools Reporting Units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Notes A and G to the consolidated financial statements, the Company’s consolidated goodwill balance was $4.4 billion as of December 31, 2019, and, as disclosed by management, the goodwill associated with the European Aerosol and Promotional Packaging, Protective Packaging and Equipment</w:t>
      </w:r>
    </w:p>
    <w:p>
      <w:pPr>
        <w:jc w:val="both"/>
        <w:ind w:firstLine="8"/>
        <w:spacing w:after="0" w:line="270" w:lineRule="auto"/>
        <w:tabs>
          <w:tab w:leader="none" w:pos="1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Tools reporting units was $68 million, $454 million, and $765 million, respectively. The Company performs a goodwill impairment review in the fourth quarter of each year or when facts and circumstances indicate goodwill may be impaired. The Company completed its annual review for 2019 and recorded an impairment charge of $25 million related to the European Aerosol and Promotional Packaging reporting unit. The estimated fair value of the Protective Packaging and Equipment &amp; Tools reporting units were 6%, and 9%, respectively, higher than the carrying value. Management determines the estimated fair value of the reporting unit based on an average of the estimated fair values using an income and a market approach. Management’s income approach utilizes significant assumptions, including revenue and adjusted EBITDA margin growth rates and discount rate.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European Aerosol and Promotional Packaging, Protective Packaging, and Equipment &amp; Tools reporting units is a critical audit matter are there was significant judgment by management when developing their estimated fair values. This in turn led to a high degree of auditor judgment, subjectivity and effort in performing procedures and evaluating significant assumptions, within management’s cash flow projections used in the income approach including revenue and adjusted EBITDA margin growth rates and the discount rate. In addition, the audit effort involved the use of professionals with specialized skill and knowledge to assist in performing these procedures and evaluating the audit evidence obtained.</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estimation of the fair value of the reporting units. These procedures also included, among others, testing management’s process for estimating the fair value of the European Aerosol and Promotional Packaging, Protective Packaging, and Equipment &amp; Tools reporting units, testing the completeness, accuracy, and relevance of the underlying data used in the income approach, and evaluating the significant assumptions used by management, including the revenue and adjusted EBITDA margin growth rates and the discount rate. Evaluating management’s assumptions related to the revenue and adjusted EBITDA margin growth rates included evaluating whether the judgments made by management were reasonable considering the current and past performance of the reporting units, the consistency with external market and industry data, and whether these assumptions were consistent with evidence obtained in other areas of the audit. Professionals with specialized skill and knowledge were used to assist in the evaluation of the Company’s fair value model and certain significant assumptions, including the discount 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11,665</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11,151</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8,698</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 amortization</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9,349</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9,028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7,006</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1,196</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pension and postretirement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786</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Equity in net earnings of affiliates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4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4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67"/>
        </w:trPr>
        <w:tc>
          <w:tcPr>
            <w:tcW w:w="70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56"/>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jc w:val="center"/>
        <w:ind w:right="-4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365760</wp:posOffset>
            </wp:positionV>
            <wp:extent cx="6226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r>
      <w:tr>
        <w:trPr>
          <w:trHeight w:val="27"/>
        </w:trPr>
        <w:tc>
          <w:tcPr>
            <w:tcW w:w="6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6920" w:type="dxa"/>
            <w:vAlign w:val="bottom"/>
          </w:tcPr>
          <w:p>
            <w:pPr>
              <w:ind w:left="700"/>
              <w:spacing w:after="0"/>
              <w:rPr>
                <w:sz w:val="20"/>
                <w:szCs w:val="20"/>
                <w:color w:val="auto"/>
              </w:rPr>
            </w:pPr>
            <w:r>
              <w:rPr>
                <w:rFonts w:ascii="Arial" w:cs="Arial" w:eastAsia="Arial" w:hAnsi="Arial"/>
                <w:sz w:val="18"/>
                <w:szCs w:val="18"/>
                <w:color w:val="auto"/>
              </w:rPr>
              <w:t>Other comprehensive income / (loss), net of tax</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6920" w:type="dxa"/>
            <w:vAlign w:val="bottom"/>
          </w:tcPr>
          <w:p>
            <w:pPr>
              <w:ind w:left="540"/>
              <w:spacing w:after="0"/>
              <w:rPr>
                <w:sz w:val="20"/>
                <w:szCs w:val="20"/>
                <w:color w:val="auto"/>
              </w:rPr>
            </w:pPr>
            <w:r>
              <w:rPr>
                <w:rFonts w:ascii="Arial" w:cs="Arial" w:eastAsia="Arial" w:hAnsi="Arial"/>
                <w:sz w:val="18"/>
                <w:szCs w:val="18"/>
                <w:color w:val="auto"/>
              </w:rPr>
              <w:t>Pension and other postretirement benefits</w:t>
            </w: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Derivatives qualifying as hedges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6920" w:type="dxa"/>
            <w:vAlign w:val="bottom"/>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245</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389</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6920" w:type="dxa"/>
            <w:vAlign w:val="bottom"/>
          </w:tcPr>
          <w:p>
            <w:pPr>
              <w:ind w:left="5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Translation adjustments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920" w:type="dxa"/>
            <w:vAlign w:val="bottom"/>
          </w:tcPr>
          <w:p>
            <w:pPr>
              <w:ind w:left="54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80"/>
          </w:cols>
          <w:pgMar w:left="580" w:top="499" w:right="1039" w:bottom="1440" w:gutter="0" w:footer="0" w:header="0"/>
        </w:sectPr>
      </w:pPr>
    </w:p>
    <w:bookmarkStart w:id="49" w:name="page50"/>
    <w:bookmarkEnd w:id="49"/>
    <w:p>
      <w:pPr>
        <w:ind w:left="49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7"/>
          </w:tcPr>
          <w:p>
            <w:pPr>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4,002</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Operating lease right-of-use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4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7240" w:type="dxa"/>
            <w:vAlign w:val="bottom"/>
            <w:gridSpan w:val="7"/>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15,505</w:t>
            </w:r>
          </w:p>
        </w:tc>
        <w:tc>
          <w:tcPr>
            <w:tcW w:w="4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67"/>
        </w:trPr>
        <w:tc>
          <w:tcPr>
            <w:tcW w:w="172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2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Short-term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7,818</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Non-current portion of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gridSpan w:val="7"/>
            <w:shd w:val="clear" w:color="auto" w:fill="CCEEFF"/>
          </w:tcPr>
          <w:p>
            <w:pPr>
              <w:ind w:left="40"/>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hyperlink w:anchor="page71">
              <w:r>
                <w:rPr>
                  <w:rFonts w:ascii="Arial" w:cs="Arial" w:eastAsia="Arial" w:hAnsi="Arial"/>
                  <w:sz w:val="18"/>
                  <w:szCs w:val="18"/>
                  <w:color w:val="0000EE"/>
                </w:rPr>
                <w:t>(Note P)</w:t>
              </w:r>
            </w:hyperlink>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7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40" w:type="dxa"/>
            <w:vAlign w:val="bottom"/>
            <w:gridSpan w:val="7"/>
            <w:shd w:val="clear" w:color="auto" w:fill="CCEEFF"/>
          </w:tcPr>
          <w:p>
            <w:pPr>
              <w:ind w:left="40"/>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Preferred stock, authorized: 30,000,000; none issued </w:t>
            </w:r>
            <w:hyperlink w:anchor="page84">
              <w:r>
                <w:rPr>
                  <w:rFonts w:ascii="Arial" w:cs="Arial" w:eastAsia="Arial" w:hAnsi="Arial"/>
                  <w:sz w:val="18"/>
                  <w:szCs w:val="18"/>
                  <w:color w:val="0000EE"/>
                </w:rPr>
                <w:t>(Note T)</w:t>
              </w:r>
            </w:hyperlink>
          </w:p>
        </w:tc>
        <w:tc>
          <w:tcPr>
            <w:tcW w:w="3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7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Common stock, par value: $5.00; authorized: 500,000,000 shares; issued: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7"/>
            <w:shd w:val="clear" w:color="auto" w:fill="CCEEFF"/>
          </w:tcPr>
          <w:p>
            <w:pPr>
              <w:ind w:left="220"/>
              <w:spacing w:after="0" w:line="202" w:lineRule="exact"/>
              <w:rPr>
                <w:rFonts w:ascii="Arial" w:cs="Arial" w:eastAsia="Arial" w:hAnsi="Arial"/>
                <w:sz w:val="18"/>
                <w:szCs w:val="18"/>
                <w:color w:val="auto"/>
              </w:rPr>
            </w:pPr>
            <w:r>
              <w:rPr>
                <w:rFonts w:ascii="Arial" w:cs="Arial" w:eastAsia="Arial" w:hAnsi="Arial"/>
                <w:sz w:val="18"/>
                <w:szCs w:val="18"/>
                <w:color w:val="auto"/>
              </w:rPr>
              <w:t>185,744,072 shares (</w:t>
            </w:r>
            <w:hyperlink w:anchor="page84">
              <w:r>
                <w:rPr>
                  <w:rFonts w:ascii="Arial" w:cs="Arial" w:eastAsia="Arial" w:hAnsi="Arial"/>
                  <w:sz w:val="18"/>
                  <w:szCs w:val="18"/>
                  <w:color w:val="0000EE"/>
                </w:rPr>
                <w:t>Note T</w:t>
              </w:r>
            </w:hyperlink>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929</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48"/>
        </w:trPr>
        <w:tc>
          <w:tcPr>
            <w:tcW w:w="17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Accumulated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(3,131)</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Treasury stock at par value (2019 - 50,166,194 shares; 2018 - 50,570,124 shares)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7"/>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Crown Holdings shareholders’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1,713</w:t>
            </w:r>
          </w:p>
        </w:tc>
        <w:tc>
          <w:tcPr>
            <w:tcW w:w="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7"/>
        </w:trPr>
        <w:tc>
          <w:tcPr>
            <w:tcW w:w="7240" w:type="dxa"/>
            <w:vAlign w:val="bottom"/>
            <w:gridSpan w:val="7"/>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15,505</w:t>
            </w:r>
          </w:p>
        </w:tc>
        <w:tc>
          <w:tcPr>
            <w:tcW w:w="4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7"/>
        </w:trPr>
        <w:tc>
          <w:tcPr>
            <w:tcW w:w="7240" w:type="dxa"/>
            <w:vAlign w:val="bottom"/>
            <w:gridSpan w:val="7"/>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gridSpan w:val="7"/>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gridSpan w:val="7"/>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240" w:top="121" w:right="1019" w:bottom="1440" w:gutter="0" w:footer="0" w:header="0"/>
        </w:sectPr>
      </w:pPr>
    </w:p>
    <w:p>
      <w:pPr>
        <w:spacing w:after="0" w:line="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640"/>
          </w:cols>
          <w:pgMar w:left="240" w:top="121" w:right="101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2"/>
              </w:rPr>
              <w:t>Adjustments to reconcile net income to net cash provided by / (used for)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Pension contributions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4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660" w:type="dxa"/>
            <w:vAlign w:val="bottom"/>
          </w:tcPr>
          <w:p>
            <w:pPr>
              <w:ind w:left="14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660" w:type="dxa"/>
            <w:vAlign w:val="bottom"/>
          </w:tcPr>
          <w:p>
            <w:pPr>
              <w:ind w:left="1620"/>
              <w:spacing w:after="0"/>
              <w:rPr>
                <w:sz w:val="20"/>
                <w:szCs w:val="20"/>
                <w:color w:val="auto"/>
              </w:rPr>
            </w:pPr>
            <w:r>
              <w:rPr>
                <w:rFonts w:ascii="Arial" w:cs="Arial" w:eastAsia="Arial" w:hAnsi="Arial"/>
                <w:sz w:val="18"/>
                <w:szCs w:val="18"/>
                <w:b w:val="1"/>
                <w:bCs w:val="1"/>
                <w:color w:val="auto"/>
              </w:rPr>
              <w:t>Net cash provided by / (used for)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Beneficial interest in transferred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Foreign exchange derivatives related to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Net investment hedges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Net cash (used for) / provided by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Proceeds from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Finance lease payments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Common stock issued</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Contribution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for) /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December 31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1"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34290</wp:posOffset>
            </wp:positionV>
            <wp:extent cx="3370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Crown</w:t>
            </w:r>
          </w:p>
        </w:tc>
        <w:tc>
          <w:tcPr>
            <w:tcW w:w="1080" w:type="dxa"/>
            <w:vAlign w:val="bottom"/>
            <w:gridSpan w:val="3"/>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Cumulative effect of change in accounting principle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Contribution from noncontrolling interests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Cumulative effect of change in accounting principle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Restricted stock awarded</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Contribution from noncontrolling interests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Restricted stock awarded</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3"/>
              </w:rPr>
              <w:t>1,713</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per share, employee and statistical data)</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Business and Principles of Consolidation</w:t>
      </w:r>
      <w:r>
        <w:rPr>
          <w:rFonts w:ascii="Arial" w:cs="Arial" w:eastAsia="Arial" w:hAnsi="Arial"/>
          <w:sz w:val="18"/>
          <w:szCs w:val="18"/>
          <w:color w:val="auto"/>
        </w:rPr>
        <w:t>. The consolidated financial statements include the accounts of Crown Holdings, Inc.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subsidiary companies (where the context requires, the “Company” shall include reference to the Company and its consolidated subsidiary companies).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worldwide leader in the design, manufacture and sale of packaging products and equipment for consumer goods and industrial products. The Company’s packaging for consumer goods include steel and aluminum cans for beverage, food, household and other consumer products, glass bottles for beverage products and metal vacuum closures and steel crowns sold through the Company's sales organization to the soft drink, food, citrus, brewing, household products, personal care and various other industries. The Company's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statements were prepared in conformity with accounting principles generally accepted in the United States of America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 Investments in companies in which the Company does not have control, but has the ability to exercise significant influence over operating and financial policies, are accounted for by the equity method. Other investments are carried at cost.</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For non-U.S. subsidiaries which operate in a local currency environment, assets and liabilities are translated into U.S.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On January 1, 2018, the Company adopted new accounting guidance which outlined a single comprehensive model to use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revenue arising from contracts with customers and superseded previous revenue recognition guidance. Under previous guidance, the Company generally recognized revenue from product sales when the goods were shipped and title and risk of loss passed to the customer. Under the new guidance, revenues are recognized when control of the promised product is transferred to customers.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the Company’s revenues from metal packaging products are derived from multi-year requirement contracts with 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the Company's transit packaging segment are generally derived from individual purchase orders which may include multiple goods and services which are separate performance obligations because they are distinct and separately identifiable.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The timing of revenue recognition for the Company’s other products, including beverage ends and three-piece products, which includes food cans and ends and aerosol cans and ends, may vary as these products may be printed or customized depending upon customer preferences which can vary by geographic market. Revenue that is recognized over time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included in receivables in the Consolidated Balance Sheet with a corresponding decrease to inventory.</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 For awards with a service or market condition, compensation expense is recognized over the vesting period on a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basis using the grant date fair value of the award and the estimated number of awards that are expected to vest. For awards with a performance condition, the Company assesses the probability of vesting at each reporting period and adjust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3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Cash, Cash Equivalents and Restricted Cash</w:t>
      </w:r>
      <w:r>
        <w:rPr>
          <w:rFonts w:ascii="Arial" w:cs="Arial" w:eastAsia="Arial" w:hAnsi="Arial"/>
          <w:sz w:val="16"/>
          <w:szCs w:val="16"/>
          <w:color w:val="auto"/>
        </w:rPr>
        <w:t>. Cash equivalents represent investments with maturities of three months or less from the time of purchase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Accounts Receivable and Allowance for Doubtful Accounts</w:t>
      </w:r>
      <w:r>
        <w:rPr>
          <w:rFonts w:ascii="Arial" w:cs="Arial" w:eastAsia="Arial" w:hAnsi="Arial"/>
          <w:sz w:val="18"/>
          <w:szCs w:val="18"/>
          <w:color w:val="auto"/>
        </w:rPr>
        <w:t>. Trade accounts receivable are recorded at the invoiced amount and do not bear interest. The</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for doubtful accounts is the best estimate of the amount of probable credit losses in existing accounts receivable. The allowance is determined based on a review of individual accounts for collectability, generally focusing on those accounts that are past due or experiencing financial difficulties. The current year expense to adjust the allowance for doubtful accounts is recorded within selling and administrative expense in the Consolidated Statements of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Inventory Valuation</w:t>
      </w:r>
      <w:r>
        <w:rPr>
          <w:rFonts w:ascii="Arial" w:cs="Arial" w:eastAsia="Arial" w:hAnsi="Arial"/>
          <w:sz w:val="18"/>
          <w:szCs w:val="18"/>
          <w:color w:val="auto"/>
        </w:rPr>
        <w:t>. Inventories are stated at the lower of cost or market, with cost principally determined under the first-in, first-out (“FIFO”) or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cost method.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Property, Plant and Equipment</w:t>
      </w:r>
      <w:r>
        <w:rPr>
          <w:rFonts w:ascii="Arial" w:cs="Arial" w:eastAsia="Arial" w:hAnsi="Arial"/>
          <w:sz w:val="18"/>
          <w:szCs w:val="18"/>
          <w:color w:val="auto"/>
        </w:rPr>
        <w:t>. Property, plant and equipment (“PP&amp;E”) is carried at cost less accumulated depreciation and includes expenditures for new</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and equipment and those costs which substantially increase the useful lives or capacity of existing PP&amp;E. Cost of constructed assets includes capitalized interest incurred during the construction and development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Maintenance and repairs, including labor and material costs for planned major maintenance such as annual production line overhauls, are expensed as incurred. When PP&amp;E is retired or otherwise disposed, the net carrying amount is eliminated with any gain or loss on disposition recognized in earnings at that time.</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is provided on a straight-line basis over the estimated useful lives of the assets described below (in years). The Company periodically reviews the estimated useful lives of its PP&amp;E and, where appropriate, changes are made prospectively.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39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92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 40</w:t>
            </w:r>
          </w:p>
        </w:tc>
      </w:tr>
      <w:tr>
        <w:trPr>
          <w:trHeight w:val="27"/>
        </w:trPr>
        <w:tc>
          <w:tcPr>
            <w:tcW w:w="64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w:t>
            </w:r>
          </w:p>
        </w:tc>
      </w:tr>
      <w:tr>
        <w:trPr>
          <w:trHeight w:val="27"/>
        </w:trPr>
        <w:tc>
          <w:tcPr>
            <w:tcW w:w="648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Goodwill and Intangible Assets</w:t>
      </w:r>
      <w:r>
        <w:rPr>
          <w:rFonts w:ascii="Arial" w:cs="Arial" w:eastAsia="Arial" w:hAnsi="Arial"/>
          <w:sz w:val="17"/>
          <w:szCs w:val="17"/>
          <w:color w:val="auto"/>
        </w:rPr>
        <w:t>. Assets and liabilities of acquired businesses are recorded under the acquisition method of accounting at their estimated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was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The quantitative assessment involves a number of assumptions and judgments, including the calculation of fair value for the Company’s identified reporting units. The Company determines the estimated fair value of each reporting unit based on an average of the estimated fair values using an income and a market approach. The income approach utilizes significant assumptions, including revenue and Adjusted EBITDA margin growth rates and discount rate. If the carrying value of a reporting unit exceeds its fair value, any impairment loss is measured by comparing the carrying value of the reporting unit to its fair value, not to exceed the carrying amount of goodwill.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Definite-lived intangible assets are carried at cost less accumulated amortization. Definite-lived intangibles are amortized on a straight-line basis over their estimated useful lives described below (in years). Definite-lived intangible assets are tested for impairment when facts and circumstances indicate the carrying value may not be recoverable from their undiscounted cash flows. If impaired, the assets are written down to fair value based on either discounted cash flows or appraised values.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428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- 27</w:t>
            </w:r>
          </w:p>
        </w:tc>
      </w:tr>
      <w:tr>
        <w:trPr>
          <w:trHeight w:val="27"/>
        </w:trPr>
        <w:tc>
          <w:tcPr>
            <w:tcW w:w="6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4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6 - 8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Long-term supply contracts</w:t>
            </w:r>
          </w:p>
        </w:tc>
        <w:tc>
          <w:tcPr>
            <w:tcW w:w="4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42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14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Impairment or Disposal of Long-Lived Assets</w:t>
      </w:r>
      <w:r>
        <w:rPr>
          <w:rFonts w:ascii="Arial" w:cs="Arial" w:eastAsia="Arial" w:hAnsi="Arial"/>
          <w:sz w:val="18"/>
          <w:szCs w:val="18"/>
          <w:color w:val="auto"/>
        </w:rPr>
        <w:t>. In the event that facts and circumstances indicate that the carrying value of long-lived assets,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PP&amp;E and certain identifiable intangible assets with finite lives, may be impaired, the Company performs a recoverability evaluation. If the evaluation indicates that the carrying value of an asset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The Company has operating and finance leases for land and buildings related to certain manufacturing facilities, warehouses and corporate offices,</w:t>
      </w:r>
      <w:r>
        <w:rPr>
          <w:rFonts w:ascii="Arial" w:cs="Arial" w:eastAsia="Arial" w:hAnsi="Arial"/>
          <w:sz w:val="16"/>
          <w:szCs w:val="16"/>
          <w:b w:val="1"/>
          <w:bCs w:val="1"/>
          <w:color w:val="auto"/>
        </w:rPr>
        <w:t xml:space="preserve"> </w:t>
      </w:r>
      <w:r>
        <w:rPr>
          <w:rFonts w:ascii="Arial" w:cs="Arial" w:eastAsia="Arial" w:hAnsi="Arial"/>
          <w:sz w:val="16"/>
          <w:szCs w:val="16"/>
          <w:color w:val="auto"/>
        </w:rPr>
        <w:t>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relates.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the currency in which lease payments are made. The Company's leases do not contain any material residual value guarantees or material restrictive covenants.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Taxes on Income</w:t>
      </w:r>
      <w:r>
        <w:rPr>
          <w:rFonts w:ascii="Arial" w:cs="Arial" w:eastAsia="Arial" w:hAnsi="Arial"/>
          <w:sz w:val="18"/>
          <w:szCs w:val="18"/>
          <w:color w:val="auto"/>
        </w:rPr>
        <w:t>. The provision for income taxes is determined using the asset and liability approach. Deferred taxes represent the future expected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differences between the financial reporting and tax bases of assets and liabilities based upon enacted tax rates and laws. The Tax Act created a requirement that certain intangible income of foreign subsidiaries must be included currently in the gross income of the U.S. shareholder. The Company has made an accounting policy election to treat taxes due on future U.S. inclusions in taxable income related to this intangible income as a current period expense when incurred.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Derivatives and Hedging</w:t>
      </w:r>
      <w:r>
        <w:rPr>
          <w:rFonts w:ascii="Arial" w:cs="Arial" w:eastAsia="Arial" w:hAnsi="Arial"/>
          <w:sz w:val="17"/>
          <w:szCs w:val="17"/>
          <w:color w:val="auto"/>
        </w:rPr>
        <w:t>. All outstanding derivative financial instruments are recognized in the balance sheet at their fair values. The impact on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anticipated transactions are no longer probable.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Treasury Stock</w:t>
      </w:r>
      <w:r>
        <w:rPr>
          <w:rFonts w:ascii="Arial" w:cs="Arial" w:eastAsia="Arial" w:hAnsi="Arial"/>
          <w:sz w:val="18"/>
          <w:szCs w:val="18"/>
          <w:color w:val="auto"/>
        </w:rPr>
        <w:t>. Treasury stock is reported at par value. The excess of fair value over par value is first charged to paid-in capital, if any, and then to retained</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 Research, development and engineering costs of $55 in 2019, $51 in 2018, and $39 in 2017 were expensed as incurred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of prior years’ data have been made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and Reporting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2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February 2016, the FASB issued new guidance on lease accounting. Under the new guidance, lease classification criteria and income statement recognition are similar to previous guidance; however, all leases with a term longer than one year are recorded on the balance sheet through a right-of-use asset and a corresponding lease liability. The Company adopted the standard on a modified retrospective basis on January 1, 2019. In addition, the Company elected the package of practical expedients, which allowed the Company to carry forward its historical assessments of whether contracts are or contain leases, lease classification and initial direct costs. Adoption of this standard resulted in the recording of operating right-of-use assets and corresponding operating lease liabilities of approximately $220. Finance leases were already recorded on the balance sheet under the previous guidance in current and long-term maturities of long-term debt. Upon adoption of this standard $5 was reclassified to accrued liabilities and $24 was reclassified to other non-current liabilities. The Company reclassified prior period amounts to conform to the current year presentation. See </w:t>
      </w:r>
      <w:hyperlink w:anchor="page108">
        <w:r>
          <w:rPr>
            <w:rFonts w:ascii="Arial" w:cs="Arial" w:eastAsia="Arial" w:hAnsi="Arial"/>
            <w:sz w:val="18"/>
            <w:szCs w:val="18"/>
            <w:u w:val="single" w:color="auto"/>
            <w:color w:val="0000EE"/>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on the Company's lease arrangements.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FASB issued new accounting guidance to permit the reclassification from accumulated other comprehensive earnings to retained earnings of stranded tax effects resulting from the Tax Act. The Company adopted the guidance on January 1, 2019 and elected not to reclassify stranded tax effects resulting from the Tax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new guidance on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operating leases and off-balance-sheet credit exposures. This guidance is effective for the Company on January 1, 2020. The Company is currently evaluating the impact of adopting this standard and does not expect the guidance to have a material impact on the Company's consolidated financial statements.</w:t>
      </w:r>
    </w:p>
    <w:p>
      <w:pPr>
        <w:spacing w:after="0" w:line="19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 August 2018, the FASB issued new guidance which aligns the accounting for implementation costs incurred in a cloud computing arrangement that is a service arrangement (i.e. hosting arrangement) with the guidance on capitalizing costs for internal use software. The Company will adopt this standard on a prospective basis on January 1, 2020 and does not expect the guidance to have a material impact on the Company's consolidated financial statements.</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December 2019, the FASB issued new guidance to simplify the accounting for income taxes by, among other things, reducing complexity in the interim-period accounting for year-to-date loss limitations and changes in tax laws. The guidance is effective for the Company on January 1, 2021. The Company does not expect the guidance to have a material impact on the consolidated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Leases</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Company adopted new guidance on lease accounting on January 1, 2019 on a modified retrospective basis, as discussed in </w:t>
      </w:r>
      <w:hyperlink w:anchor="page53">
        <w:r>
          <w:rPr>
            <w:rFonts w:ascii="Arial" w:cs="Arial" w:eastAsia="Arial" w:hAnsi="Arial"/>
            <w:sz w:val="18"/>
            <w:szCs w:val="18"/>
            <w:u w:val="single" w:color="auto"/>
            <w:color w:val="0000EE"/>
          </w:rPr>
          <w:t>Note A</w:t>
        </w:r>
      </w:hyperlink>
      <w:r>
        <w:rPr>
          <w:rFonts w:ascii="Arial" w:cs="Arial" w:eastAsia="Arial" w:hAnsi="Arial"/>
          <w:sz w:val="18"/>
          <w:szCs w:val="18"/>
          <w:color w:val="auto"/>
        </w:rPr>
        <w:t>. Total operating lease expense under the previous guidance was $50 for each of the years ended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year ended December 31, 2019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9820" w:type="dxa"/>
            <w:vAlign w:val="bottom"/>
            <w:vMerge w:val="restart"/>
          </w:tcPr>
          <w:p>
            <w:pPr>
              <w:ind w:left="40"/>
              <w:spacing w:after="0"/>
              <w:rPr>
                <w:sz w:val="20"/>
                <w:szCs w:val="20"/>
                <w:color w:val="auto"/>
              </w:rPr>
            </w:pPr>
            <w:r>
              <w:rPr>
                <w:rFonts w:ascii="Arial" w:cs="Arial" w:eastAsia="Arial" w:hAnsi="Arial"/>
                <w:sz w:val="18"/>
                <w:szCs w:val="18"/>
                <w:color w:val="auto"/>
              </w:rPr>
              <w:t>Operating lease costs: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Short-term lease cost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lease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Variable operating lease costs were $3 for the year ended December 31, 2019. Interest on finance lease liabilities was less than $1 for the year ended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708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810"/>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608"/>
        </w:trPr>
        <w:tc>
          <w:tcPr>
            <w:tcW w:w="7280" w:type="dxa"/>
            <w:vAlign w:val="bottom"/>
            <w:gridSpan w:val="2"/>
          </w:tcPr>
          <w:p>
            <w:pPr>
              <w:spacing w:after="0"/>
              <w:rPr>
                <w:sz w:val="20"/>
                <w:szCs w:val="20"/>
                <w:color w:val="auto"/>
              </w:rPr>
            </w:pPr>
            <w:r>
              <w:rPr>
                <w:rFonts w:ascii="Arial" w:cs="Arial" w:eastAsia="Arial" w:hAnsi="Arial"/>
                <w:sz w:val="18"/>
                <w:szCs w:val="18"/>
                <w:color w:val="auto"/>
                <w:w w:val="91"/>
              </w:rPr>
              <w:t>Operating cash flows from finance leases were less than $1 for the year ended December 31, 2019.</w:t>
            </w: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708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54"/>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204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gridSpan w:val="2"/>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51</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portion of operating lease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156</w:t>
            </w:r>
          </w:p>
        </w:tc>
      </w:tr>
      <w:tr>
        <w:trPr>
          <w:trHeight w:val="297"/>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207</w:t>
            </w:r>
          </w:p>
        </w:tc>
      </w:tr>
      <w:tr>
        <w:trPr>
          <w:trHeight w:val="311"/>
        </w:trPr>
        <w:tc>
          <w:tcPr>
            <w:tcW w:w="7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finance lease liabilities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9.5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35"/>
        </w:trPr>
        <w:tc>
          <w:tcPr>
            <w:tcW w:w="7080" w:type="dxa"/>
            <w:vAlign w:val="bottom"/>
          </w:tcPr>
          <w:p>
            <w:pPr>
              <w:spacing w:after="0"/>
              <w:rPr>
                <w:sz w:val="20"/>
                <w:szCs w:val="20"/>
                <w:color w:val="auto"/>
              </w:rPr>
            </w:pPr>
            <w:r>
              <w:rPr>
                <w:rFonts w:ascii="Arial" w:cs="Arial" w:eastAsia="Arial" w:hAnsi="Arial"/>
                <w:sz w:val="18"/>
                <w:szCs w:val="18"/>
                <w:color w:val="auto"/>
              </w:rPr>
              <w:t>Maturities of lease liabilities as of December 31, 2019 were as follows: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54"/>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w w:val="86"/>
              </w:rPr>
              <w:t>Finance Leases</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1"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708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648"/>
        </w:trPr>
        <w:tc>
          <w:tcPr>
            <w:tcW w:w="7080" w:type="dxa"/>
            <w:vAlign w:val="bottom"/>
          </w:tcPr>
          <w:p>
            <w:pPr>
              <w:spacing w:after="0"/>
              <w:rPr>
                <w:sz w:val="20"/>
                <w:szCs w:val="20"/>
                <w:color w:val="auto"/>
              </w:rPr>
            </w:pPr>
            <w:r>
              <w:rPr>
                <w:rFonts w:ascii="Arial" w:cs="Arial" w:eastAsia="Arial" w:hAnsi="Arial"/>
                <w:sz w:val="18"/>
                <w:szCs w:val="18"/>
                <w:color w:val="auto"/>
              </w:rPr>
              <w:t>Maturities of lease liabilities as of December 31, 2018 were as follows: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54"/>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color w:val="auto"/>
                <w:w w:val="94"/>
              </w:rPr>
              <w:t>Finance Leases</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does not have material lease commitments that have not commenced.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 of Signode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3, 2018, the Company completed its acquisition of Signode, a leading global provider of transit packaging systems and solutions, thereby broadening and diversifying its customer base and product offerings. The Company paid a purchase price of $3.9 billion.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supplemental pro forma data presents consolidated information as if the acquisition had been completed on January 1, 2017. These amounts were calculated after adjusting Signode's results to reflect interest expense incurred on the debt to finance the acquisition, additional depreciation and amortization that would have been charged assuming the fair value of property, plant and equipment and intangible assets had been applied from January 1, 2017 and related transaction costs. These adjustments also include an additional charge of $32 in the year ended December 31, 2017 for the fair value adjustment for inventory acquired.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4540" w:type="dxa"/>
            <w:vAlign w:val="bottom"/>
            <w:gridSpan w:val="5"/>
          </w:tcPr>
          <w:p>
            <w:pPr>
              <w:jc w:val="right"/>
              <w:ind w:right="30"/>
              <w:spacing w:after="0"/>
              <w:rPr>
                <w:sz w:val="20"/>
                <w:szCs w:val="20"/>
                <w:color w:val="auto"/>
              </w:rPr>
            </w:pPr>
            <w:r>
              <w:rPr>
                <w:rFonts w:ascii="Arial" w:cs="Arial" w:eastAsia="Arial" w:hAnsi="Arial"/>
                <w:sz w:val="18"/>
                <w:szCs w:val="18"/>
                <w:color w:val="auto"/>
                <w:w w:val="92"/>
              </w:rPr>
              <w:t>Unaudited pro forma data for the year-ended December 31,</w:t>
            </w:r>
          </w:p>
        </w:tc>
      </w:tr>
      <w:tr>
        <w:trPr>
          <w:trHeight w:val="27"/>
        </w:trPr>
        <w:tc>
          <w:tcPr>
            <w:tcW w:w="6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6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11,739</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Pro forma net income attributable to Crown Holdings</w:t>
            </w:r>
          </w:p>
        </w:tc>
        <w:tc>
          <w:tcPr>
            <w:tcW w:w="1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234</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 forma data should not be considered indicative of the results that would have occurred if the acquisition and related financing had been consummated on the assumed completion dates, nor are they indicative of future results.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included in the Company's Consolidated Balance Sheets and Statement of Cash Flows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r>
      <w:tr>
        <w:trPr>
          <w:trHeight w:val="27"/>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324"/>
        </w:trPr>
        <w:tc>
          <w:tcPr>
            <w:tcW w:w="7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w:t>
            </w: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cash</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324"/>
        </w:trPr>
        <w:tc>
          <w:tcPr>
            <w:tcW w:w="75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Amounts included in restricted cash primarily represent amounts required to be segregated by certain of the Company's receivables securitization agreements.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52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Crown Holdings, Inc.</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86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 Receivables</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r>
      <w:tr>
        <w:trPr>
          <w:trHeight w:val="27"/>
        </w:trPr>
        <w:tc>
          <w:tcPr>
            <w:tcW w:w="66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1,162</w:t>
            </w: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r>
      <w:tr>
        <w:trPr>
          <w:trHeight w:val="243"/>
        </w:trPr>
        <w:tc>
          <w:tcPr>
            <w:tcW w:w="66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66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3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1,100</w:t>
            </w: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43"/>
        </w:trPr>
        <w:tc>
          <w:tcPr>
            <w:tcW w:w="66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3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6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37"/>
        </w:trPr>
        <w:tc>
          <w:tcPr>
            <w:tcW w:w="6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1,528</w:t>
            </w:r>
          </w:p>
        </w:tc>
        <w:tc>
          <w:tcPr>
            <w:tcW w:w="6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r>
      <w:tr>
        <w:trPr>
          <w:trHeight w:val="27"/>
        </w:trPr>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receivables securitization and factoring facilities in the normal course of business as part of managing its cash flows. The Company accounts for transfers under its securitization facilities as sales because the Company sells full title and ownership in the underlying receivables and has met the criteria for control of the receivables to be considered transferred.</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its factoring arrangements as either sales or secured borrowing based on whether it has transferred control over the factored receivables. The Company’s continuing involvement in factored receivables accounted for as sales is limited to servicing the receivables. The Company receives adequate compensation for servicing the receivables and no servicing asset or liability is recorded.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amounts securitized or factored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7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Accounted for as secured borrowings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Accounted for as sales</w:t>
            </w: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1,318</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1,097</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2018, the Company terminated its $200 North American securitization facility, which included a deferred purchase price component, and entered into a new securitization facility to sell, on a revolving basis, certain trade accounts receivable balances up to a maximum of $375. The new facility, which matures in 2020, removed the deferred purchase price component but requires the Company to maintain a deposit in a restricted cash account. The Company received net proceeds of $106 from the termination of the securitization facility and resale of receivables under the new agreement. These proceeds are included in the beneficial interest in securitized receivables line in the Company's Consolidated Statement of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expenses related to securitization and factoring facilities of $23 in 2019, $21 in 2018, and $15 in 2017 as interest expense.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F. Inventories</w:t>
            </w:r>
          </w:p>
        </w:tc>
        <w:tc>
          <w:tcPr>
            <w:tcW w:w="3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20" w:type="dxa"/>
            <w:vAlign w:val="bottom"/>
          </w:tcPr>
          <w:p>
            <w:pPr>
              <w:spacing w:after="0"/>
              <w:rPr>
                <w:sz w:val="24"/>
                <w:szCs w:val="24"/>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472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1,626</w:t>
            </w:r>
          </w:p>
        </w:tc>
        <w:tc>
          <w:tcPr>
            <w:tcW w:w="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700" w:type="dxa"/>
            <w:vAlign w:val="bottom"/>
            <w:vMerge w:val="restart"/>
          </w:tcPr>
          <w:p>
            <w:pPr>
              <w:jc w:val="right"/>
              <w:ind w:right="1630"/>
              <w:spacing w:after="0"/>
              <w:rPr>
                <w:sz w:val="20"/>
                <w:szCs w:val="20"/>
                <w:color w:val="auto"/>
              </w:rPr>
            </w:pPr>
            <w:r>
              <w:rPr>
                <w:rFonts w:ascii="Arial" w:cs="Arial" w:eastAsia="Arial" w:hAnsi="Arial"/>
                <w:sz w:val="18"/>
                <w:szCs w:val="18"/>
                <w:color w:val="auto"/>
              </w:rPr>
              <w:t>58</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reportable segment for the years ended December 31, 2019 and 2018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4"/>
              </w:rPr>
              <w:t>European</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Transit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96"/>
              </w:rPr>
              <w:t>Non-reportable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w w:val="98"/>
              </w:rPr>
              <w:t>Beverage</w:t>
            </w:r>
          </w:p>
        </w:tc>
        <w:tc>
          <w:tcPr>
            <w:tcW w:w="22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5"/>
              </w:rPr>
              <w:t>Beverage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93"/>
              </w:rPr>
              <w:t>European Food</w:t>
            </w:r>
          </w:p>
        </w:tc>
        <w:tc>
          <w:tcPr>
            <w:tcW w:w="2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5"/>
              </w:rPr>
              <w:t>Packaging</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4"/>
              </w:rPr>
              <w:t>segments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1,552</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1,506</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4,442</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4,430</w:t>
            </w: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2019, the goodwill impairment included in non-reportable segments related to the European Aerosols and Promotional Packaging reporting unit. In recent years market demand for three-piece aerosol packaging has gradually declined. This decline combined with higher operating costs that have not been fully recovered in selling prices has had an adverse impact on the expected future cash flows utilized in the Company’s valuation. As a result, the reporting unit's fair value declined below its carrying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 December 31, 2019 was net of the following accumulated impairments: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European</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Transit</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Non-reportable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Beverage</w:t>
            </w:r>
          </w:p>
        </w:tc>
        <w:tc>
          <w:tcPr>
            <w:tcW w:w="2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Beverage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6"/>
              </w:rPr>
              <w:t>European Food</w:t>
            </w:r>
          </w:p>
        </w:tc>
        <w:tc>
          <w:tcPr>
            <w:tcW w:w="2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7"/>
              </w:rPr>
              <w:t>Packaging</w:t>
            </w:r>
          </w:p>
        </w:tc>
        <w:tc>
          <w:tcPr>
            <w:tcW w:w="2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6"/>
              </w:rPr>
              <w:t>Segments</w:t>
            </w: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Accumulated impairments balance at December 31,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r>
      <w:tr>
        <w:trPr>
          <w:trHeight w:val="27"/>
        </w:trPr>
        <w:tc>
          <w:tcPr>
            <w:tcW w:w="3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December 31, 2019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w w:val="99"/>
              </w:rPr>
              <w:t>Gross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Net</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Long term supply contracts</w:t>
            </w: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36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2,484</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December 31, 2019, 2018, and 2017 was $186, $148 and $39.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 amortization expense for each of the years from 2020 - 2023 is estimated to be $167 and 2024 is estimated to be $159.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6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Crown Holdings, Inc.</w:t>
            </w: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220" w:type="dxa"/>
            <w:vAlign w:val="bottom"/>
          </w:tcPr>
          <w:p>
            <w:pPr>
              <w:spacing w:after="0"/>
              <w:rPr>
                <w:sz w:val="20"/>
                <w:szCs w:val="20"/>
                <w:color w:val="auto"/>
              </w:rPr>
            </w:pPr>
            <w:r>
              <w:rPr>
                <w:rFonts w:ascii="Arial" w:cs="Arial" w:eastAsia="Arial" w:hAnsi="Arial"/>
                <w:sz w:val="18"/>
                <w:szCs w:val="18"/>
                <w:b w:val="1"/>
                <w:bCs w:val="1"/>
                <w:color w:val="auto"/>
              </w:rPr>
              <w:t>I. Property, Plant and Equipment</w:t>
            </w: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5,836</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(3,925)</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3,887</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J. Other Non-Current Assets</w:t>
            </w:r>
          </w:p>
        </w:tc>
        <w:tc>
          <w:tcPr>
            <w:tcW w:w="3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2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3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 Accrued Liabilities</w:t>
            </w:r>
          </w:p>
        </w:tc>
        <w:tc>
          <w:tcPr>
            <w:tcW w:w="3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2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employee benefits</w:t>
            </w:r>
          </w:p>
        </w:tc>
        <w:tc>
          <w:tcPr>
            <w:tcW w:w="3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derivatives</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Asbestos liabilities</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486</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L.  Restructuring and Other</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The Company recorded restructuring and other items as follows: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6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impairments and sales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9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Other (income) / costs</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2019, asset impairments and sales included gains of $13 related to asset sales partially offset by a charge of $6 related to a fire at a production facility in Asia.</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1"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costs in 2019 included charges of $18 of termination benefits related to headcount reductions across the Company's divisions, including $14 related to headcount reductions in the Company's European and Transit Packaging divisions.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 costs of $41 in 2019 included gains of $50 arising from favorable court rulings related to the recovery of indirect taxes paid in prior years by certain of the Company's Brazilian subsidiaries and a charge of $7 related to the settlement of a litigation matter related to Signode that arose prior to its acquisition by the Company in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 recorded asset impairment charges of $13 to write down the carrying value of fixed assets related to the announced closure of two beverage can plants in the Company's Asia Pacific segment. The Company announced plans to close the plants in response to economic conditions in China. Asset impairment and sales also includes gains on asset sales related to prior restructuring 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Restructuring costs in 2018 included $5 for termination benefits related to the closure of two beverage can plants in the Company's Asia Pacific segment discussed above, $12 of termination benefits related to other actions to reduce manufacturing capacity and headcount and other exit costs of $8 related to prior and current year restructuring actions.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2017, asset impairments and sales included a charge of $19 to write down the carrying value of fixed assets related to the closure of beverage can plants in China and the U.S., a promotional packaging facility in Europe and a food can facility in Peru. Asset impairments and sales also included a benefit of $5 due to the expiration of an environmental indemnification related to the sale of certain operations in the Company's European Promotional Packaging business in 2015. Additionally, the Company recorded restructuring charges of $18 for termination benefits related to the plant closures listed above.</w:t>
      </w:r>
    </w:p>
    <w:p>
      <w:pPr>
        <w:spacing w:after="0" w:line="15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Transaction costs in 2018 and 2017 relate to the acquisition of Signode as described in </w:t>
      </w:r>
      <w:hyperlink w:anchor="page59">
        <w:r>
          <w:rPr>
            <w:rFonts w:ascii="Arial" w:cs="Arial" w:eastAsia="Arial" w:hAnsi="Arial"/>
            <w:sz w:val="18"/>
            <w:szCs w:val="18"/>
            <w:u w:val="single" w:color="auto"/>
            <w:color w:val="0000EE"/>
          </w:rPr>
          <w:t>Note B</w:t>
        </w:r>
      </w:hyperlink>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other costs included a charge of $19 due to the settlement of a litigation matter related to Mivisa that arose prior to its acquisition by the Company in 2014. In 2018, the Company recorded a benefit of $6 due to the favorable settlement of this matter.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Restructuring charges by segment were as follows:</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64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r>
      <w:tr>
        <w:trPr>
          <w:trHeight w:val="27"/>
        </w:trPr>
        <w:tc>
          <w:tcPr>
            <w:tcW w:w="64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Beverage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European Beverage</w:t>
            </w:r>
          </w:p>
        </w:tc>
        <w:tc>
          <w:tcPr>
            <w:tcW w:w="940" w:type="dxa"/>
            <w:vAlign w:val="bottom"/>
          </w:tcPr>
          <w:p>
            <w:pPr>
              <w:spacing w:after="0"/>
              <w:rPr>
                <w:sz w:val="21"/>
                <w:szCs w:val="2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Food</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 Packaging</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Non-reportable segments</w:t>
            </w: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Restructuring charges by type were as follows:</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66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Other exit costs</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the Company had a restructuring accrual of $17, primarily related to the closure of the beverage can plants in China discussed above, and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7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Crown Holdings, Inc.</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48"/>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M.  Debt</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2018</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20"/>
                <w:szCs w:val="20"/>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2"/>
              </w:rPr>
              <w:t>Principal</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94"/>
              </w:rPr>
              <w:t>Carrying</w:t>
            </w:r>
          </w:p>
        </w:tc>
      </w:tr>
      <w:tr>
        <w:trPr>
          <w:trHeight w:val="270"/>
        </w:trPr>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23"/>
                <w:szCs w:val="23"/>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amount</w:t>
            </w:r>
          </w:p>
        </w:tc>
        <w:tc>
          <w:tcPr>
            <w:tcW w:w="140" w:type="dxa"/>
            <w:vAlign w:val="bottom"/>
          </w:tcPr>
          <w:p>
            <w:pPr>
              <w:spacing w:after="0"/>
              <w:rPr>
                <w:sz w:val="23"/>
                <w:szCs w:val="23"/>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0"/>
              </w:rPr>
              <w:t>outstanding</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9"/>
              </w:rPr>
              <w:t>amount</w:t>
            </w:r>
          </w:p>
        </w:tc>
      </w:tr>
      <w:tr>
        <w:trPr>
          <w:trHeight w:val="27"/>
        </w:trPr>
        <w:tc>
          <w:tcPr>
            <w:tcW w:w="36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360" w:type="dxa"/>
            <w:vAlign w:val="bottom"/>
            <w:tcBorders>
              <w:right w:val="single" w:sz="8" w:color="CCEEFF"/>
            </w:tcBorders>
          </w:tcPr>
          <w:p>
            <w:pPr>
              <w:spacing w:after="0"/>
              <w:rPr>
                <w:sz w:val="15"/>
                <w:szCs w:val="15"/>
                <w:color w:val="auto"/>
              </w:rPr>
            </w:pPr>
          </w:p>
        </w:tc>
        <w:tc>
          <w:tcPr>
            <w:tcW w:w="284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218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89</w:t>
            </w:r>
          </w:p>
        </w:tc>
        <w:tc>
          <w:tcPr>
            <w:tcW w:w="62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89</w:t>
            </w:r>
          </w:p>
        </w:tc>
      </w:tr>
      <w:tr>
        <w:trPr>
          <w:trHeight w:val="61"/>
        </w:trPr>
        <w:tc>
          <w:tcPr>
            <w:tcW w:w="360" w:type="dxa"/>
            <w:vAlign w:val="bottom"/>
            <w:tcBorders>
              <w:right w:val="single" w:sz="8" w:color="CCEEFF"/>
            </w:tcBorders>
          </w:tcPr>
          <w:p>
            <w:pPr>
              <w:spacing w:after="0"/>
              <w:rPr>
                <w:sz w:val="5"/>
                <w:szCs w:val="5"/>
                <w:color w:val="auto"/>
              </w:rPr>
            </w:pPr>
          </w:p>
        </w:tc>
        <w:tc>
          <w:tcPr>
            <w:tcW w:w="1140" w:type="dxa"/>
            <w:vAlign w:val="bottom"/>
            <w:tcBorders>
              <w:top w:val="single" w:sz="8" w:color="auto"/>
            </w:tcBorders>
            <w:shd w:val="clear" w:color="auto" w:fill="CCEEFF"/>
          </w:tcPr>
          <w:p>
            <w:pPr>
              <w:spacing w:after="0"/>
              <w:rPr>
                <w:sz w:val="5"/>
                <w:szCs w:val="5"/>
                <w:color w:val="auto"/>
              </w:rPr>
            </w:pPr>
          </w:p>
        </w:tc>
        <w:tc>
          <w:tcPr>
            <w:tcW w:w="170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180340</wp:posOffset>
            </wp:positionV>
            <wp:extent cx="70408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Long-term debt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secured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70408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Term loan facilities</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80" w:type="dxa"/>
            <w:vAlign w:val="bottom"/>
          </w:tcPr>
          <w:p>
            <w:pPr>
              <w:ind w:left="700"/>
              <w:spacing w:after="0"/>
              <w:rPr>
                <w:sz w:val="20"/>
                <w:szCs w:val="20"/>
                <w:color w:val="auto"/>
              </w:rPr>
            </w:pPr>
            <w:r>
              <w:rPr>
                <w:rFonts w:ascii="Arial" w:cs="Arial" w:eastAsia="Arial" w:hAnsi="Arial"/>
                <w:sz w:val="18"/>
                <w:szCs w:val="18"/>
                <w:color w:val="auto"/>
              </w:rPr>
              <w:t>U.S. dollar at LIBOR plus 1.5% due 2024</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810</w:t>
            </w: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U.S. dollar at LIBOR plus 2.00% due 2025</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r>
      <w:tr>
        <w:trPr>
          <w:trHeight w:val="270"/>
        </w:trPr>
        <w:tc>
          <w:tcPr>
            <w:tcW w:w="4880" w:type="dxa"/>
            <w:vAlign w:val="bottom"/>
          </w:tcPr>
          <w:p>
            <w:pPr>
              <w:ind w:left="700"/>
              <w:spacing w:after="0" w:line="270" w:lineRule="exact"/>
              <w:rPr>
                <w:sz w:val="20"/>
                <w:szCs w:val="20"/>
                <w:color w:val="auto"/>
              </w:rPr>
            </w:pPr>
            <w:r>
              <w:rPr>
                <w:rFonts w:ascii="Arial" w:cs="Arial" w:eastAsia="Arial" w:hAnsi="Arial"/>
                <w:sz w:val="18"/>
                <w:szCs w:val="18"/>
                <w:color w:val="auto"/>
              </w:rPr>
              <w:t>Euro at EURIBOR plus 1.5% due 2024</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0"/>
        </w:trPr>
        <w:tc>
          <w:tcPr>
            <w:tcW w:w="4880" w:type="dxa"/>
            <w:vAlign w:val="bottom"/>
            <w:shd w:val="clear" w:color="auto" w:fill="CCEEFF"/>
          </w:tcPr>
          <w:p>
            <w:pPr>
              <w:ind w:left="700"/>
              <w:spacing w:after="0" w:line="270" w:lineRule="exact"/>
              <w:rPr>
                <w:sz w:val="20"/>
                <w:szCs w:val="20"/>
                <w:color w:val="auto"/>
              </w:rPr>
            </w:pPr>
            <w:r>
              <w:rPr>
                <w:rFonts w:ascii="Arial" w:cs="Arial" w:eastAsia="Arial" w:hAnsi="Arial"/>
                <w:sz w:val="18"/>
                <w:szCs w:val="18"/>
                <w:color w:val="auto"/>
              </w:rPr>
              <w:t>Euro at EURIBOR plus 2.375% due 2025</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€650 at 4.0% due 2022</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U. S. dollar at 4.50% due 2023</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993</w:t>
            </w: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€335 at 2.25% due 2023</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€550 at 0.75% due 2023</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€600 at 2.625% due 2024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€600 at 3.375% due 2025</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dollar at 4.25% due 2026</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U.S. dollar at 4.75% due 2026</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dollar at 7.375% due 2026</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€500 at 2.875% due 2026</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dollar at 7.50% due 2096</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Other indebtedness in various currencies: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Fixed rate with rates in 2019 from 4.0% to 7.5% due through</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48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2036</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29"/>
        </w:trPr>
        <w:tc>
          <w:tcPr>
            <w:tcW w:w="4880" w:type="dxa"/>
            <w:vAlign w:val="bottom"/>
          </w:tcPr>
          <w:p>
            <w:pPr>
              <w:ind w:left="340"/>
              <w:spacing w:after="0"/>
              <w:rPr>
                <w:sz w:val="20"/>
                <w:szCs w:val="20"/>
                <w:color w:val="auto"/>
              </w:rPr>
            </w:pPr>
            <w:r>
              <w:rPr>
                <w:rFonts w:ascii="Arial" w:cs="Arial" w:eastAsia="Arial" w:hAnsi="Arial"/>
                <w:sz w:val="18"/>
                <w:szCs w:val="18"/>
                <w:color w:val="auto"/>
                <w:w w:val="95"/>
              </w:rPr>
              <w:t>Variable rate with average rates in 2019 from 2.6% to 4.3%</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880" w:type="dxa"/>
            <w:vAlign w:val="bottom"/>
          </w:tcPr>
          <w:p>
            <w:pPr>
              <w:ind w:left="340"/>
              <w:spacing w:after="0"/>
              <w:rPr>
                <w:sz w:val="20"/>
                <w:szCs w:val="20"/>
                <w:color w:val="auto"/>
              </w:rPr>
            </w:pPr>
            <w:r>
              <w:rPr>
                <w:rFonts w:ascii="Arial" w:cs="Arial" w:eastAsia="Arial" w:hAnsi="Arial"/>
                <w:sz w:val="18"/>
                <w:szCs w:val="18"/>
                <w:color w:val="auto"/>
              </w:rPr>
              <w:t>due through 2025</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7,944</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7,880</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8,667</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long-term debt, less current maturities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7,882</w:t>
            </w:r>
          </w:p>
        </w:tc>
        <w:tc>
          <w:tcPr>
            <w:tcW w:w="4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7,818</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8,586</w:t>
            </w:r>
          </w:p>
        </w:tc>
        <w:tc>
          <w:tcPr>
            <w:tcW w:w="4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€450 and €263 at December 31, 2019 and 2018</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€746 at December 31, 2018</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$8,410 at December 31, 2019 and $8,735 at December 31,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facilities include provisions for letters of credit up to $310 that reduce the amount of borrowing capacity otherwise available. At December 31, 2019, the Company’s available borrowing capacity under the credit facilities was $1,586, equal to the facilities’ aggregate capacity of $1,650 less $64 of outstanding letters of credit. The interest rate on the facilities can vary from LIBOR or EURIBOR, with a floor of zero, plus a margin of up to 1.55%, depending on the facility, based on the Company's leverage ratio. The revolving credit facilities and term loan facilities contain restrictions on the ability of the Company to, among other things, incur additional debt, pay dividends, repurchase capital stock and make certain restricted payments and requires the Company to maintain a leverage ratio of no greater than 5.75 times at December 31, 2019. The Company was in compliance with all covenants as of December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The weighted average interest rates were as follows: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654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2017</w:t>
            </w:r>
          </w:p>
        </w:tc>
      </w:tr>
      <w:tr>
        <w:trPr>
          <w:trHeight w:val="27"/>
        </w:trPr>
        <w:tc>
          <w:tcPr>
            <w:tcW w:w="6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1"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maturities of long-term debt, excluding unamortized discounts and debt issuance costs, for the five years subsequent to 2019 are $62, $44, $813, $2,076 and $2,042. Cash payments for interest during 2019, 2018 and 2017 were $362, $334 and $225.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Activity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2019, the Company issued €550 ($617 at December 31, 2019) principal amount 0.75% senior unsecured notes due 2023. The notes were issued at par by Crown European Holdings, S.A., a subsidiary of the Company, and are unconditionally guaranteed by the company and certain of its subsidiaries. In December 2019, the Company borrowed $1,100 Term A Loans and €450 ($505 at December 31, 2019) of Term Euro Loans, and used the proceeds, together with the proceeds from the issuance of the €550 senior notes, cash on hand and borrowings under the Revolving Credit Facilities to refinance in full the U.S. dollar Term A and Euro Term A loan facilities due in 2022 and the U.S. dollar Term B and Euro Term B loan facilities due in 2025.</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Derivative and Other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reporting date. Level 2 includes inputs other than quoted prices in active markets included in Level 1, which are either directly or indirectly observable as of the reporting date. Level 3 includes unobservable pricing inputs that are not corroborated by market data or other objective sources. The Company has no items valued using Level 3 inputs other than certain pension plan assets.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w:t>
      </w:r>
    </w:p>
    <w:p>
      <w:pPr>
        <w:jc w:val="both"/>
        <w:ind w:right="20"/>
        <w:spacing w:after="0" w:line="261" w:lineRule="auto"/>
        <w:rPr>
          <w:sz w:val="20"/>
          <w:szCs w:val="20"/>
          <w:color w:val="auto"/>
        </w:rPr>
      </w:pPr>
      <w:r>
        <w:rPr>
          <w:rFonts w:ascii="Arial" w:cs="Arial" w:eastAsia="Arial" w:hAnsi="Arial"/>
          <w:sz w:val="18"/>
          <w:szCs w:val="18"/>
          <w:color w:val="auto"/>
        </w:rPr>
        <w:t>present value of future cash flows under the terms of the contracts using market information as of the reporting date, such as foreign exchange spot and forward rates, and are reported under Level 2 of the fair value hierarchy.</w:t>
      </w:r>
    </w:p>
    <w:p>
      <w:pPr>
        <w:spacing w:after="0" w:line="184"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64">
        <w:r>
          <w:rPr>
            <w:rFonts w:ascii="Arial" w:cs="Arial" w:eastAsia="Arial" w:hAnsi="Arial"/>
            <w:sz w:val="18"/>
            <w:szCs w:val="18"/>
            <w:u w:val="single" w:color="auto"/>
            <w:color w:val="0000EE"/>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objective in managing exposure to market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and using sales agreements that permit the pass-through of commodity price and foreign exchange rate risk to customers.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as the underlying exposure.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release from accumulated other comprehensive income is the same as that of the underlying exposure. Contracts outstanding at December 31, 2019 mature between one and twenty-seven months.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Company discontinues hedge accounting because it is no longer probable that an anticipated transaction will occur in the originally specified period, changes to fair value accumulated in other comprehensive income are recognized immediately in earnings.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commodity forwards to hedge anticipated purchases of various commodities, including aluminum, fuel oil and natural gas and these exposures are hedged by a central treasury unit.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June 2019, the Company entered into interest rate swaps to convert $200 of its U.S. dollar term loan facility from floating-rate to a fixed-rate of 1.82%.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interest rate swaps mature in June 2021.</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accumulated other comprehensive income ("AOCI") and earnings from changes in fair value related to derivative instruments designated as cash flow hedges.</w:t>
      </w:r>
    </w:p>
    <w:p>
      <w:pPr>
        <w:spacing w:after="0" w:line="11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Amount of gain/(loss)</w:t>
      </w:r>
    </w:p>
    <w:p>
      <w:pPr>
        <w:spacing w:after="0" w:line="6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31750</wp:posOffset>
            </wp:positionV>
            <wp:extent cx="17151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Derivatives designated as cash flow</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Commodities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jc w:val="center"/>
              <w:ind w:left="50"/>
              <w:spacing w:after="0"/>
              <w:rPr>
                <w:sz w:val="20"/>
                <w:szCs w:val="20"/>
                <w:color w:val="auto"/>
              </w:rPr>
            </w:pPr>
            <w:r>
              <w:rPr>
                <w:rFonts w:ascii="Arial" w:cs="Arial" w:eastAsia="Arial" w:hAnsi="Arial"/>
                <w:sz w:val="18"/>
                <w:szCs w:val="18"/>
                <w:color w:val="auto"/>
                <w:w w:val="93"/>
              </w:rPr>
              <w:t>Amount of gain/</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(loss) reclassified from</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AOCI into income</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gridSpan w:val="2"/>
            <w:vMerge w:val="restart"/>
          </w:tcPr>
          <w:p>
            <w:pPr>
              <w:ind w:left="40"/>
              <w:spacing w:after="0"/>
              <w:rPr>
                <w:sz w:val="20"/>
                <w:szCs w:val="20"/>
                <w:color w:val="auto"/>
              </w:rPr>
            </w:pPr>
            <w:r>
              <w:rPr>
                <w:rFonts w:ascii="Arial" w:cs="Arial" w:eastAsia="Arial" w:hAnsi="Arial"/>
                <w:sz w:val="18"/>
                <w:szCs w:val="18"/>
                <w:color w:val="auto"/>
              </w:rPr>
              <w:t>Derivatives designated as cash flow</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vMerge w:val="restart"/>
          </w:tcPr>
          <w:p>
            <w:pPr>
              <w:ind w:left="114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6"/>
        </w:trPr>
        <w:tc>
          <w:tcPr>
            <w:tcW w:w="3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ind w:left="114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year ended December 31, 2020, a net loss of $9 ($7, net of tax) is expected to be reclassified to earnings. No amounts were reclassified during the years ended December 31, 2019 and 2018 in connection with anticipated transactions that were no longer considered probable.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1"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on earnings from foreign exchange contracts designated as fair value hedges was a gain of $1 for the year ended December 31, 2019 and a loss of $2 for the year ended December 31, 2018. These adjustments were reported within foreign exchange in the Consolidated Statements of Operations and were offset by changes in the fair values of the related hedged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Pre-tax amount of gain/(loss) recognized in</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22860</wp:posOffset>
            </wp:positionV>
            <wp:extent cx="20669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hedges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w w:val="96"/>
              </w:rPr>
              <w:t>Affected line item in the Statement of Operations</w:t>
            </w:r>
          </w:p>
        </w:tc>
      </w:tr>
      <w:tr>
        <w:trPr>
          <w:trHeight w:val="27"/>
        </w:trPr>
        <w:tc>
          <w:tcPr>
            <w:tcW w:w="3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Foreign exchange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940" w:type="dxa"/>
            <w:vAlign w:val="bottom"/>
          </w:tcPr>
          <w:p>
            <w:pPr>
              <w:ind w:left="40"/>
              <w:spacing w:after="0"/>
              <w:rPr>
                <w:sz w:val="20"/>
                <w:szCs w:val="20"/>
                <w:color w:val="auto"/>
              </w:rPr>
            </w:pPr>
            <w:r>
              <w:rPr>
                <w:rFonts w:ascii="Arial" w:cs="Arial" w:eastAsia="Arial" w:hAnsi="Arial"/>
                <w:sz w:val="18"/>
                <w:szCs w:val="18"/>
                <w:color w:val="auto"/>
              </w:rPr>
              <w:t>Cost of products sold</w:t>
            </w: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7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r>
      <w:tr>
        <w:trPr>
          <w:trHeight w:val="237"/>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designates certain debt and derivative instruments as net investment hedges to manage foreign currency risk relating to net investments in subsidiaries denominated in foreign currencies.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2019 and 2018, the Company recorded gains of $27 ($27, net of tax) and $47 ($43, net of tax) in other comprehensive income for certain debt instruments that are designated as hedges of its net investment in a euro-based subsidiary. As of December 31, 2019, cumulative losses of $32 ($9, net of tax) were recognized in accumulated other comprehensive income related to these net investment hedges and the carrying amount of the hedged net investment was approximately €1,207 ($1,354 at December 31,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2018, the Company entered into a series of cross-currency swaps with an aggregate notional value of $875 (€768). The swaps are designated as hedges of the Company's net investment in a euro-based subsidiary. Under the cross-currency contracts, the Company will receive semi-annual fixed U.S. dollar payments at a rate of 4.75% of the U.S. notional value and pay 1.84% on the euro notional value.</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May 2019, the Company entered into a cross-currency swap with an aggregate notional value of $200 (€179). The swap is designated as a hedge of the Company's net investment in a euro-based subsidiary. Under the cross-currency contract, the Company receives quarterly variable U.S. dollar payments at a rate of LIBOR plus a floating rate spread on the dollar notional value and pays EURIBOR plus a floating rate spread on the euro notional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net investment hedges remain in accumulated other comprehensive income until disposal of the underlying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from changes in the fair value of derivative instruments designated as net investment hedges.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540" w:type="dxa"/>
            <w:vAlign w:val="bottom"/>
            <w:gridSpan w:val="3"/>
          </w:tcPr>
          <w:p>
            <w:pPr>
              <w:jc w:val="right"/>
              <w:ind w:right="1200"/>
              <w:spacing w:after="0"/>
              <w:rPr>
                <w:sz w:val="20"/>
                <w:szCs w:val="20"/>
                <w:color w:val="auto"/>
              </w:rPr>
            </w:pPr>
            <w:r>
              <w:rPr>
                <w:rFonts w:ascii="Arial" w:cs="Arial" w:eastAsia="Arial" w:hAnsi="Arial"/>
                <w:sz w:val="18"/>
                <w:szCs w:val="18"/>
                <w:b w:val="1"/>
                <w:bCs w:val="1"/>
                <w:color w:val="auto"/>
              </w:rPr>
              <w:t>Crown Holdings, Inc.</w:t>
            </w: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10"/>
        </w:trPr>
        <w:tc>
          <w:tcPr>
            <w:tcW w:w="4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gridSpan w:val="4"/>
          </w:tcPr>
          <w:p>
            <w:pPr>
              <w:jc w:val="right"/>
              <w:ind w:right="270"/>
              <w:spacing w:after="0"/>
              <w:rPr>
                <w:sz w:val="20"/>
                <w:szCs w:val="20"/>
                <w:color w:val="auto"/>
              </w:rPr>
            </w:pPr>
            <w:r>
              <w:rPr>
                <w:rFonts w:ascii="Arial" w:cs="Arial" w:eastAsia="Arial" w:hAnsi="Arial"/>
                <w:sz w:val="18"/>
                <w:szCs w:val="18"/>
                <w:color w:val="auto"/>
                <w:w w:val="96"/>
              </w:rPr>
              <w:t>Amount of gain/(loss) recognized in OCI</w:t>
            </w:r>
          </w:p>
        </w:tc>
      </w:tr>
      <w:tr>
        <w:trPr>
          <w:trHeight w:val="27"/>
        </w:trPr>
        <w:tc>
          <w:tcPr>
            <w:tcW w:w="4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Derivatives designated as net investment hedges</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42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42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60" w:type="dxa"/>
            <w:vAlign w:val="bottom"/>
            <w:gridSpan w:val="4"/>
          </w:tcPr>
          <w:p>
            <w:pPr>
              <w:ind w:left="480"/>
              <w:spacing w:after="0"/>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1920" w:type="dxa"/>
            <w:vAlign w:val="bottom"/>
          </w:tcPr>
          <w:p>
            <w:pPr>
              <w:ind w:left="460"/>
              <w:spacing w:after="0"/>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4"/>
          </w:tcPr>
          <w:p>
            <w:pPr>
              <w:ind w:left="50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920" w:type="dxa"/>
            <w:vAlign w:val="bottom"/>
          </w:tcPr>
          <w:p>
            <w:pPr>
              <w:ind w:left="50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2018</w:t>
            </w:r>
          </w:p>
        </w:tc>
      </w:tr>
      <w:tr>
        <w:trPr>
          <w:trHeight w:val="27"/>
        </w:trPr>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3800" w:type="dxa"/>
            <w:vAlign w:val="bottom"/>
            <w:gridSpan w:val="7"/>
            <w:shd w:val="clear" w:color="auto" w:fill="CCEEFF"/>
          </w:tcPr>
          <w:p>
            <w:pPr>
              <w:ind w:left="40"/>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96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29"/>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contracts cash flow</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9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contracts fair value</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9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1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Commodities contracts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flow</w:t>
            </w: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29"/>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9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1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flow</w:t>
            </w: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Net investment hedge</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9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183"/>
        </w:trPr>
        <w:tc>
          <w:tcPr>
            <w:tcW w:w="3800" w:type="dxa"/>
            <w:vAlign w:val="bottom"/>
            <w:gridSpan w:val="7"/>
          </w:tcPr>
          <w:p>
            <w:pPr>
              <w:ind w:left="40"/>
              <w:spacing w:after="0" w:line="182" w:lineRule="exact"/>
              <w:rPr>
                <w:sz w:val="20"/>
                <w:szCs w:val="20"/>
                <w:color w:val="auto"/>
              </w:rPr>
            </w:pPr>
            <w:r>
              <w:rPr>
                <w:rFonts w:ascii="Arial" w:cs="Arial" w:eastAsia="Arial" w:hAnsi="Arial"/>
                <w:sz w:val="18"/>
                <w:szCs w:val="18"/>
                <w:color w:val="auto"/>
              </w:rPr>
              <w:t>Derivatives not designated as hedging</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8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instruments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9"/>
        </w:trPr>
        <w:tc>
          <w:tcPr>
            <w:tcW w:w="1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29"/>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318"/>
        </w:trPr>
        <w:tc>
          <w:tcPr>
            <w:tcW w:w="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r>
      <w:tr>
        <w:trPr>
          <w:trHeight w:val="269"/>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Arial" w:cs="Arial" w:eastAsia="Arial" w:hAnsi="Arial"/>
                <w:sz w:val="18"/>
                <w:szCs w:val="18"/>
                <w:color w:val="auto"/>
              </w:rPr>
              <w:t>Fair Value Hedge Carrying Amounts</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615"/>
        </w:trPr>
        <w:tc>
          <w:tcPr>
            <w:tcW w:w="266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3"/>
          </w:tcPr>
          <w:p>
            <w:pPr>
              <w:ind w:left="80"/>
              <w:spacing w:after="0"/>
              <w:rPr>
                <w:sz w:val="20"/>
                <w:szCs w:val="20"/>
                <w:color w:val="auto"/>
              </w:rPr>
            </w:pPr>
            <w:r>
              <w:rPr>
                <w:rFonts w:ascii="Arial" w:cs="Arial" w:eastAsia="Arial" w:hAnsi="Arial"/>
                <w:sz w:val="18"/>
                <w:szCs w:val="18"/>
                <w:color w:val="auto"/>
                <w:w w:val="91"/>
              </w:rPr>
              <w:t>Carrying amount of the hedged assets/(liabilities)</w:t>
            </w:r>
          </w:p>
        </w:tc>
      </w:tr>
      <w:tr>
        <w:trPr>
          <w:trHeight w:val="27"/>
        </w:trPr>
        <w:tc>
          <w:tcPr>
            <w:tcW w:w="2660" w:type="dxa"/>
            <w:vAlign w:val="bottom"/>
          </w:tcPr>
          <w:p>
            <w:pPr>
              <w:spacing w:after="0"/>
              <w:rPr>
                <w:sz w:val="2"/>
                <w:szCs w:val="2"/>
                <w:color w:val="auto"/>
              </w:rPr>
            </w:pPr>
          </w:p>
        </w:tc>
        <w:tc>
          <w:tcPr>
            <w:tcW w:w="4860" w:type="dxa"/>
            <w:vAlign w:val="bottom"/>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520" w:type="dxa"/>
            <w:vAlign w:val="bottom"/>
            <w:gridSpan w:val="3"/>
          </w:tcPr>
          <w:p>
            <w:pPr>
              <w:ind w:left="124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w w:val="92"/>
              </w:rPr>
              <w:t>December 31, 2018</w:t>
            </w:r>
          </w:p>
        </w:tc>
      </w:tr>
      <w:tr>
        <w:trPr>
          <w:trHeight w:val="27"/>
        </w:trPr>
        <w:tc>
          <w:tcPr>
            <w:tcW w:w="26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7520" w:type="dxa"/>
            <w:vAlign w:val="bottom"/>
            <w:gridSpan w:val="3"/>
          </w:tcPr>
          <w:p>
            <w:pPr>
              <w:ind w:left="40"/>
              <w:spacing w:after="0"/>
              <w:rPr>
                <w:sz w:val="20"/>
                <w:szCs w:val="20"/>
                <w:color w:val="auto"/>
              </w:rPr>
            </w:pPr>
            <w:r>
              <w:rPr>
                <w:rFonts w:ascii="Arial" w:cs="Arial" w:eastAsia="Arial" w:hAnsi="Arial"/>
                <w:sz w:val="18"/>
                <w:szCs w:val="18"/>
                <w:color w:val="auto"/>
              </w:rPr>
              <w:t>Accrued liabilities</w:t>
            </w:r>
          </w:p>
        </w:tc>
        <w:tc>
          <w:tcPr>
            <w:tcW w:w="1560" w:type="dxa"/>
            <w:vAlign w:val="bottom"/>
          </w:tcPr>
          <w:p>
            <w:pPr>
              <w:jc w:val="right"/>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4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2019 and 2018, the cumulative amounts of fair value hedging adjustments included in the carrying amount of the hedge assets and liabilities were losses of $2 and less than $1.</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1"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Gross amounts recognized in the</w:t>
            </w:r>
          </w:p>
        </w:tc>
        <w:tc>
          <w:tcPr>
            <w:tcW w:w="160" w:type="dxa"/>
            <w:vAlign w:val="bottom"/>
          </w:tcPr>
          <w:p>
            <w:pPr>
              <w:spacing w:after="0"/>
              <w:rPr>
                <w:sz w:val="18"/>
                <w:szCs w:val="18"/>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Gross amounts not offset in the</w:t>
            </w: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Balance Sheet</w:t>
            </w:r>
          </w:p>
        </w:tc>
        <w:tc>
          <w:tcPr>
            <w:tcW w:w="160" w:type="dxa"/>
            <w:vAlign w:val="bottom"/>
          </w:tcPr>
          <w:p>
            <w:pPr>
              <w:spacing w:after="0"/>
              <w:rPr>
                <w:sz w:val="20"/>
                <w:szCs w:val="20"/>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Balance Sheet</w:t>
            </w:r>
          </w:p>
        </w:tc>
        <w:tc>
          <w:tcPr>
            <w:tcW w:w="380" w:type="dxa"/>
            <w:vAlign w:val="bottom"/>
          </w:tcPr>
          <w:p>
            <w:pPr>
              <w:spacing w:after="0"/>
              <w:rPr>
                <w:sz w:val="20"/>
                <w:szCs w:val="20"/>
                <w:color w:val="auto"/>
              </w:rPr>
            </w:pPr>
          </w:p>
        </w:tc>
        <w:tc>
          <w:tcPr>
            <w:tcW w:w="1760" w:type="dxa"/>
            <w:vAlign w:val="bottom"/>
          </w:tcPr>
          <w:p>
            <w:pPr>
              <w:jc w:val="right"/>
              <w:ind w:right="550"/>
              <w:spacing w:after="0"/>
              <w:rPr>
                <w:sz w:val="20"/>
                <w:szCs w:val="20"/>
                <w:color w:val="auto"/>
              </w:rPr>
            </w:pPr>
            <w:r>
              <w:rPr>
                <w:rFonts w:ascii="Arial" w:cs="Arial" w:eastAsia="Arial" w:hAnsi="Arial"/>
                <w:sz w:val="18"/>
                <w:szCs w:val="18"/>
                <w:color w:val="auto"/>
              </w:rPr>
              <w:t>Net amount</w:t>
            </w:r>
          </w:p>
        </w:tc>
      </w:tr>
      <w:tr>
        <w:trPr>
          <w:trHeight w:val="27"/>
        </w:trPr>
        <w:tc>
          <w:tcPr>
            <w:tcW w:w="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378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Balance at December 31, 2019</w:t>
            </w: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03"/>
        </w:trPr>
        <w:tc>
          <w:tcPr>
            <w:tcW w:w="37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Balance at December 31, 2018</w:t>
            </w: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40</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2260" w:type="dxa"/>
            <w:vAlign w:val="bottom"/>
            <w:gridSpan w:val="3"/>
          </w:tcPr>
          <w:p>
            <w:pPr>
              <w:ind w:left="80"/>
              <w:spacing w:after="0"/>
              <w:rPr>
                <w:sz w:val="20"/>
                <w:szCs w:val="20"/>
                <w:color w:val="auto"/>
              </w:rPr>
            </w:pPr>
            <w:r>
              <w:rPr>
                <w:rFonts w:ascii="Arial" w:cs="Arial" w:eastAsia="Arial" w:hAnsi="Arial"/>
                <w:sz w:val="18"/>
                <w:szCs w:val="18"/>
                <w:color w:val="auto"/>
              </w:rPr>
              <w:t>December 31, 2019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2018</w:t>
            </w:r>
          </w:p>
        </w:tc>
      </w:tr>
      <w:tr>
        <w:trPr>
          <w:trHeight w:val="27"/>
        </w:trPr>
        <w:tc>
          <w:tcPr>
            <w:tcW w:w="7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66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820</w:t>
            </w:r>
          </w:p>
        </w:tc>
      </w:tr>
      <w:tr>
        <w:trPr>
          <w:trHeight w:val="27"/>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Interest rate</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fair value hedges: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net investment hedges: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875</w:t>
            </w:r>
          </w:p>
        </w:tc>
      </w:tr>
      <w:tr>
        <w:trPr>
          <w:trHeight w:val="27"/>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796</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Asbestos-Related 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United States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ectPr>
          <w:pgSz w:w="11900" w:h="16838" w:orient="portrait"/>
          <w:cols w:equalWidth="0" w:num="1">
            <w:col w:w="11420"/>
          </w:cols>
          <w:pgMar w:left="240" w:top="121"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1"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2010, the Texas Supreme Court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approximate claims activity for the years ended 2019, 2018 and 2017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67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claims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55,500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6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56,000</w:t>
            </w:r>
          </w:p>
        </w:tc>
        <w:tc>
          <w:tcPr>
            <w:tcW w:w="220" w:type="dxa"/>
            <w:vAlign w:val="bottom"/>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56,000</w:t>
            </w:r>
          </w:p>
        </w:tc>
        <w:tc>
          <w:tcPr>
            <w:tcW w:w="200" w:type="dxa"/>
            <w:vAlign w:val="bottom"/>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55,500</w:t>
            </w:r>
          </w:p>
        </w:tc>
      </w:tr>
      <w:tr>
        <w:trPr>
          <w:trHeight w:val="27"/>
        </w:trPr>
        <w:tc>
          <w:tcPr>
            <w:tcW w:w="67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payments during the years ended 2019, 2018, and 2017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6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Asbestos-related payments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Settled claims payments (included in asbestos-related payments above)</w:t>
            </w: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of each year, the Company performs an analysis of outstanding claims and categorizes by year of exposure and state filed.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December 31, 2018, the Company's outstanding claims were: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ind w:left="8140"/>
              <w:spacing w:after="0"/>
              <w:rPr>
                <w:sz w:val="20"/>
                <w:szCs w:val="20"/>
                <w:color w:val="auto"/>
              </w:rPr>
            </w:pPr>
            <w:r>
              <w:rPr>
                <w:rFonts w:ascii="Arial" w:cs="Arial" w:eastAsia="Arial" w:hAnsi="Arial"/>
                <w:sz w:val="18"/>
                <w:szCs w:val="18"/>
                <w:color w:val="auto"/>
                <w:w w:val="84"/>
              </w:rPr>
              <w:t>2019</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2018</w:t>
            </w:r>
          </w:p>
        </w:tc>
      </w:tr>
      <w:tr>
        <w:trPr>
          <w:trHeight w:val="27"/>
        </w:trPr>
        <w:tc>
          <w:tcPr>
            <w:tcW w:w="7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Claimants alleging first exposure after 1964</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16,500</w:t>
            </w:r>
          </w:p>
        </w:tc>
        <w:tc>
          <w:tcPr>
            <w:tcW w:w="6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16,500</w:t>
            </w:r>
          </w:p>
        </w:tc>
      </w:tr>
      <w:tr>
        <w:trPr>
          <w:trHeight w:val="243"/>
        </w:trPr>
        <w:tc>
          <w:tcPr>
            <w:tcW w:w="8500" w:type="dxa"/>
            <w:vAlign w:val="bottom"/>
            <w:gridSpan w:val="2"/>
          </w:tcPr>
          <w:p>
            <w:pPr>
              <w:ind w:left="40"/>
              <w:spacing w:after="0"/>
              <w:rPr>
                <w:sz w:val="20"/>
                <w:szCs w:val="20"/>
                <w:color w:val="auto"/>
              </w:rPr>
            </w:pPr>
            <w:r>
              <w:rPr>
                <w:rFonts w:ascii="Arial" w:cs="Arial" w:eastAsia="Arial" w:hAnsi="Arial"/>
                <w:sz w:val="18"/>
                <w:szCs w:val="18"/>
                <w:color w:val="auto"/>
              </w:rPr>
              <w:t>Claimants alleging first exposure before or during 1964 filed in:</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13,000</w:t>
            </w:r>
          </w:p>
        </w:tc>
        <w:tc>
          <w:tcPr>
            <w:tcW w:w="6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r>
      <w:tr>
        <w:trPr>
          <w:trHeight w:val="243"/>
        </w:trPr>
        <w:tc>
          <w:tcPr>
            <w:tcW w:w="8500" w:type="dxa"/>
            <w:vAlign w:val="bottom"/>
            <w:gridSpan w:val="2"/>
          </w:tcPr>
          <w:p>
            <w:pPr>
              <w:ind w:left="380"/>
              <w:spacing w:after="0"/>
              <w:rPr>
                <w:sz w:val="20"/>
                <w:szCs w:val="20"/>
                <w:color w:val="auto"/>
              </w:rPr>
            </w:pPr>
            <w:r>
              <w:rPr>
                <w:rFonts w:ascii="Arial" w:cs="Arial" w:eastAsia="Arial" w:hAnsi="Arial"/>
                <w:sz w:val="18"/>
                <w:szCs w:val="18"/>
                <w:color w:val="auto"/>
              </w:rPr>
              <w:t>Pennsylvania</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7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states that have enacted asbestos legislation</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6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8500" w:type="dxa"/>
            <w:vAlign w:val="bottom"/>
            <w:gridSpan w:val="2"/>
          </w:tcPr>
          <w:p>
            <w:pPr>
              <w:ind w:left="380"/>
              <w:spacing w:after="0"/>
              <w:rPr>
                <w:sz w:val="20"/>
                <w:szCs w:val="20"/>
                <w:color w:val="auto"/>
              </w:rPr>
            </w:pPr>
            <w:r>
              <w:rPr>
                <w:rFonts w:ascii="Arial" w:cs="Arial" w:eastAsia="Arial" w:hAnsi="Arial"/>
                <w:sz w:val="18"/>
                <w:szCs w:val="18"/>
                <w:color w:val="auto"/>
              </w:rPr>
              <w:t>Other states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19,000</w:t>
            </w:r>
          </w:p>
        </w:tc>
        <w:tc>
          <w:tcPr>
            <w:tcW w:w="6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19,000</w:t>
            </w:r>
          </w:p>
        </w:tc>
      </w:tr>
      <w:tr>
        <w:trPr>
          <w:trHeight w:val="27"/>
        </w:trPr>
        <w:tc>
          <w:tcPr>
            <w:tcW w:w="7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outstanding</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56,000</w:t>
            </w:r>
          </w:p>
        </w:tc>
        <w:tc>
          <w:tcPr>
            <w:tcW w:w="6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ectPr>
          <w:pgSz w:w="11900" w:h="16838" w:orient="portrait"/>
          <w:cols w:equalWidth="0" w:num="1">
            <w:col w:w="11420"/>
          </w:cols>
          <w:pgMar w:left="240" w:top="121"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jc w:val="right"/>
              <w:ind w:right="80"/>
              <w:spacing w:after="0"/>
              <w:rPr>
                <w:sz w:val="20"/>
                <w:szCs w:val="20"/>
                <w:color w:val="auto"/>
              </w:rPr>
            </w:pPr>
            <w:r>
              <w:rPr>
                <w:rFonts w:ascii="Arial" w:cs="Arial" w:eastAsia="Arial" w:hAnsi="Arial"/>
                <w:sz w:val="18"/>
                <w:szCs w:val="18"/>
                <w:color w:val="auto"/>
              </w:rPr>
              <w:t>2019</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6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Pre-1964 claims in states without asbestos legislation</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81% of the claims outstanding at the end of 2019 were filed by plaintiffs who do not claim a specific amount of damages or claim a minimum amount as established by court rules relating to jurisdiction; approximately 16% were filed by plaintiffs who claim damages of less than $5; approximately 3% were filed by plaintiffs who claim damages from $5 to less than $100 (34% of whom claim damages less than $25) and 13 claims were filed by plaintiffs who claim damages in excess of $100.</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December 31, 2019, the Company’s accrual for pending and future asbestos-related claims and related legal costs was $273, including $232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8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along with others in most cases, has been identified by the EPA or a comparable state environmental agency as a Potentially Responsible Party (“PRP”) at a number of sites and has recorded aggregate accruals of $8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also recorded aggregate accruals of $7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basic raw materials for its products are steel and aluminum,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900" w:type="dxa"/>
            <w:vAlign w:val="bottom"/>
            <w:gridSpan w:val="2"/>
          </w:tcPr>
          <w:p>
            <w:pPr>
              <w:jc w:val="right"/>
              <w:ind w:right="2080"/>
              <w:spacing w:after="0"/>
              <w:rPr>
                <w:sz w:val="20"/>
                <w:szCs w:val="20"/>
                <w:color w:val="auto"/>
              </w:rPr>
            </w:pPr>
            <w:r>
              <w:rPr>
                <w:rFonts w:ascii="Arial" w:cs="Arial" w:eastAsia="Arial" w:hAnsi="Arial"/>
                <w:sz w:val="18"/>
                <w:szCs w:val="18"/>
                <w:b w:val="1"/>
                <w:bCs w:val="1"/>
                <w:color w:val="auto"/>
              </w:rPr>
              <w:t>Crown Holdings, Inc.</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64"/>
        </w:trPr>
        <w:tc>
          <w:tcPr>
            <w:tcW w:w="3720" w:type="dxa"/>
            <w:vAlign w:val="bottom"/>
          </w:tcPr>
          <w:p>
            <w:pPr>
              <w:spacing w:after="0"/>
              <w:rPr>
                <w:sz w:val="20"/>
                <w:szCs w:val="20"/>
                <w:color w:val="auto"/>
              </w:rPr>
            </w:pPr>
            <w:r>
              <w:rPr>
                <w:rFonts w:ascii="Arial" w:cs="Arial" w:eastAsia="Arial" w:hAnsi="Arial"/>
                <w:sz w:val="18"/>
                <w:szCs w:val="18"/>
                <w:b w:val="1"/>
                <w:bCs w:val="1"/>
                <w:color w:val="auto"/>
              </w:rPr>
              <w:t>Q. Other Non-Current Liabilities</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720" w:type="dxa"/>
            <w:vAlign w:val="bottom"/>
          </w:tcPr>
          <w:p>
            <w:pPr>
              <w:spacing w:after="0"/>
              <w:rPr>
                <w:sz w:val="24"/>
                <w:szCs w:val="24"/>
                <w:color w:val="auto"/>
              </w:rPr>
            </w:pPr>
          </w:p>
        </w:tc>
        <w:tc>
          <w:tcPr>
            <w:tcW w:w="4900" w:type="dxa"/>
            <w:vAlign w:val="bottom"/>
            <w:gridSpan w:val="2"/>
          </w:tcPr>
          <w:p>
            <w:pPr>
              <w:jc w:val="right"/>
              <w:ind w:right="12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r>
      <w:tr>
        <w:trPr>
          <w:trHeight w:val="27"/>
        </w:trPr>
        <w:tc>
          <w:tcPr>
            <w:tcW w:w="37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490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Asbestos liabilities</w:t>
            </w:r>
          </w:p>
        </w:tc>
        <w:tc>
          <w:tcPr>
            <w:tcW w:w="3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3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benefits</w:t>
            </w:r>
          </w:p>
        </w:tc>
        <w:tc>
          <w:tcPr>
            <w:tcW w:w="3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3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Fair value of derivatives</w:t>
            </w:r>
          </w:p>
        </w:tc>
        <w:tc>
          <w:tcPr>
            <w:tcW w:w="3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3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w:t>
            </w:r>
          </w:p>
        </w:tc>
        <w:tc>
          <w:tcPr>
            <w:tcW w:w="3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37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72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Income taxes payable includes unrecognized tax benefits as discussed in </w:t>
      </w:r>
      <w:hyperlink w:anchor="page81">
        <w:r>
          <w:rPr>
            <w:rFonts w:ascii="Arial" w:cs="Arial" w:eastAsia="Arial" w:hAnsi="Arial"/>
            <w:sz w:val="18"/>
            <w:szCs w:val="18"/>
            <w:u w:val="single" w:color="auto"/>
            <w:color w:val="0000EE"/>
          </w:rPr>
          <w:t>Note S</w:t>
        </w:r>
      </w:hyperlink>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Pension and Other Postretirement Benefits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Pensions. </w:t>
      </w:r>
      <w:r>
        <w:rPr>
          <w:rFonts w:ascii="Arial" w:cs="Arial" w:eastAsia="Arial" w:hAnsi="Arial"/>
          <w:sz w:val="18"/>
          <w:szCs w:val="18"/>
          <w:color w:val="auto"/>
        </w:rPr>
        <w:t>The Company sponsors various pension plans covering certain U.S. and non-U.S. employees, and participates in certain multi-employer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The benefits under the Company plans are based primarily on years of service and either the employees’ remuneration near retirement or a fixed dollar multiple.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4"/>
          </w:tcPr>
          <w:p>
            <w:pPr>
              <w:spacing w:after="0"/>
              <w:rPr>
                <w:sz w:val="20"/>
                <w:szCs w:val="20"/>
                <w:color w:val="auto"/>
              </w:rPr>
            </w:pPr>
            <w:r>
              <w:rPr>
                <w:rFonts w:ascii="Arial" w:cs="Arial" w:eastAsia="Arial" w:hAnsi="Arial"/>
                <w:sz w:val="18"/>
                <w:szCs w:val="18"/>
                <w:color w:val="auto"/>
              </w:rPr>
              <w:t>A measurement date of December 31 was used for all plans presented below.</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700" w:type="dxa"/>
            <w:vAlign w:val="bottom"/>
            <w:gridSpan w:val="4"/>
          </w:tcPr>
          <w:p>
            <w:pPr>
              <w:spacing w:after="0"/>
              <w:rPr>
                <w:sz w:val="20"/>
                <w:szCs w:val="20"/>
                <w:color w:val="auto"/>
              </w:rPr>
            </w:pPr>
            <w:r>
              <w:rPr>
                <w:rFonts w:ascii="Arial" w:cs="Arial" w:eastAsia="Arial" w:hAnsi="Arial"/>
                <w:sz w:val="18"/>
                <w:szCs w:val="18"/>
                <w:color w:val="auto"/>
              </w:rPr>
              <w:t>The components of pension expense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5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Amortization of actuarial loss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Net periodic cost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0"/>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5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Curtailments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Amortization of actuarial loss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Net periodic cost / (benefit)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settlement charges in 2019 and 2018 arose from the payment of lump sum buy-outs to settle certain pension obligations using plan assets. The Company may incur additional settlement charges in 2020. The curtailment gain in 2019 was to recognize prior</w:t>
      </w:r>
    </w:p>
    <w:p>
      <w:pPr>
        <w:spacing w:after="0" w:line="1" w:lineRule="exact"/>
        <w:rPr>
          <w:sz w:val="20"/>
          <w:szCs w:val="20"/>
          <w:color w:val="auto"/>
        </w:rPr>
      </w:pPr>
    </w:p>
    <w:p>
      <w:pPr>
        <w:ind w:right="2720"/>
        <w:spacing w:after="0" w:line="261" w:lineRule="auto"/>
        <w:rPr>
          <w:sz w:val="20"/>
          <w:szCs w:val="20"/>
          <w:color w:val="auto"/>
        </w:rPr>
      </w:pPr>
      <w:r>
        <w:rPr>
          <w:rFonts w:ascii="Arial" w:cs="Arial" w:eastAsia="Arial" w:hAnsi="Arial"/>
          <w:sz w:val="18"/>
          <w:szCs w:val="18"/>
          <w:color w:val="auto"/>
        </w:rPr>
        <w:t>service credits that were previously recorded in accumulated other comprehensive income in connection with the closure of a non-U.S. defined benefit pension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Additional pension expense of $5 was recognized in each of 2019, 2018 and 2017 for multi-employer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projected benefit obligations, accumulated benefit obligations, plan assets and funded status of the Company's U.S. and non-U.S. plans were as follows: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1" w:right="2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0" w:type="dxa"/>
            <w:vAlign w:val="bottom"/>
            <w:gridSpan w:val="4"/>
          </w:tcPr>
          <w:p>
            <w:pPr>
              <w:ind w:left="680"/>
              <w:spacing w:after="0"/>
              <w:rPr>
                <w:sz w:val="20"/>
                <w:szCs w:val="20"/>
                <w:color w:val="auto"/>
              </w:rPr>
            </w:pPr>
            <w:r>
              <w:rPr>
                <w:rFonts w:ascii="Arial" w:cs="Arial" w:eastAsia="Arial" w:hAnsi="Arial"/>
                <w:sz w:val="18"/>
                <w:szCs w:val="18"/>
                <w:b w:val="1"/>
                <w:bCs w:val="1"/>
                <w:color w:val="auto"/>
                <w:w w:val="94"/>
              </w:rPr>
              <w:t>Crown Holdings, Inc.</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U.S. Plans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Non-U.S. Plans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7"/>
        </w:trPr>
        <w:tc>
          <w:tcPr>
            <w:tcW w:w="4220" w:type="dxa"/>
            <w:vAlign w:val="bottom"/>
            <w:gridSpan w:val="4"/>
            <w:vMerge w:val="restart"/>
          </w:tcPr>
          <w:p>
            <w:pPr>
              <w:ind w:left="40"/>
              <w:spacing w:after="0"/>
              <w:rPr>
                <w:sz w:val="20"/>
                <w:szCs w:val="20"/>
                <w:color w:val="auto"/>
              </w:rPr>
            </w:pPr>
            <w:r>
              <w:rPr>
                <w:rFonts w:ascii="Arial" w:cs="Arial" w:eastAsia="Arial" w:hAnsi="Arial"/>
                <w:sz w:val="18"/>
                <w:szCs w:val="18"/>
                <w:color w:val="auto"/>
              </w:rPr>
              <w:t>Projected Benefit Obligations</w:t>
            </w: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20" w:type="dxa"/>
            <w:vAlign w:val="bottom"/>
            <w:gridSpan w:val="4"/>
            <w:vMerge w:val="continue"/>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2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Benefit obligations at January 1</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Plan participants’ contributions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Amendments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Settlements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Curtailments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Actuarial loss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Benefits paid</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Benefit obligations at December 31</w:t>
            </w:r>
          </w:p>
        </w:tc>
        <w:tc>
          <w:tcPr>
            <w:tcW w:w="8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1,440</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1,371</w:t>
            </w:r>
          </w:p>
        </w:tc>
        <w:tc>
          <w:tcPr>
            <w:tcW w:w="4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3,220</w:t>
            </w:r>
          </w:p>
        </w:tc>
        <w:tc>
          <w:tcPr>
            <w:tcW w:w="2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2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Plan Assets</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Fair value of plan assets at January 1</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1,220</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3,264</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Employer contributions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Settlements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Benefits paid</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8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3,480</w:t>
            </w:r>
          </w:p>
        </w:tc>
        <w:tc>
          <w:tcPr>
            <w:tcW w:w="2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Funded status</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Accumulated benefit obligations at December 31</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4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pension plans with accumulated benefit obligations in excess of plan assets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3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r>
      <w:tr>
        <w:trPr>
          <w:trHeight w:val="243"/>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Accumulated benefit obligations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1,397</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770"/>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43"/>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Accumulated benefit obligations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 The assets of the plan are broadly diversified in terms of securities and security types in order to limit the potential of large losses from any one security.</w:t>
      </w:r>
    </w:p>
    <w:p>
      <w:pPr>
        <w:sectPr>
          <w:pgSz w:w="11900" w:h="16838" w:orient="portrait"/>
          <w:cols w:equalWidth="0" w:num="1">
            <w:col w:w="11420"/>
          </w:cols>
          <w:pgMar w:left="240" w:top="121" w:right="23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1" w:right="239" w:bottom="609"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712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8"/>
        </w:trPr>
        <w:tc>
          <w:tcPr>
            <w:tcW w:w="7120" w:type="dxa"/>
            <w:vAlign w:val="bottom"/>
          </w:tcPr>
          <w:p>
            <w:pPr>
              <w:spacing w:after="0"/>
              <w:rPr>
                <w:sz w:val="20"/>
                <w:szCs w:val="20"/>
                <w:color w:val="auto"/>
              </w:rPr>
            </w:pPr>
            <w:r>
              <w:rPr>
                <w:rFonts w:ascii="Arial" w:cs="Arial" w:eastAsia="Arial" w:hAnsi="Arial"/>
                <w:sz w:val="18"/>
                <w:szCs w:val="18"/>
                <w:color w:val="auto"/>
              </w:rPr>
              <w:t>The strategic ranges for asset allocation in the U.S. plans are as follows: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1"/>
        </w:trPr>
        <w:tc>
          <w:tcPr>
            <w:tcW w:w="7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equities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International equities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Balanced funds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 strategy in its U.K. plan, the largest non-U.S. plan, is designed to achieve a funding level of 100% within the next 7 years by targeting an expected return of 1.8% annually in excess of the expected growth in the liabilities. The Company seeks to achieve this return with a risk level commensurate with a 5% chance of the funding level falling between 4% and 7% in any one year. The strategic ranges for asset allocation in the U.K. plan are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grade credit</w:t>
            </w:r>
          </w:p>
        </w:tc>
        <w:tc>
          <w:tcPr>
            <w:tcW w:w="3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Equities</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credit</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Other</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 Investments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 Investments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 Investments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Measured Using NAV per Share Practical Expedient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measured using NAV per share as a practical expedient include investment funds that invest in global equity, emerging markets and fixed income. The global equity funds invest in equity securities of various market sectors including industrial materials, consumer discretionary goods and services, financial infrastructure, technology, and health care. The emerging markets funds invest in equity markets within financial services, consumer goods and services, energy, and technology.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2019 and 2018 are summarized in the tables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U.S. plan</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Non-U.S. plan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8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Level 1</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Global large cap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U.S. large cap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mid/small cap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Mutual funds – global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Mutual funds – U.S.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Mutual funds – fixed income</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183"/>
        </w:trPr>
        <w:tc>
          <w:tcPr>
            <w:tcW w:w="478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Level 2</w:t>
            </w:r>
          </w:p>
        </w:tc>
        <w:tc>
          <w:tcPr>
            <w:tcW w:w="19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Government issued debt securities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 backed securities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Structured debt</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Derivatives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Investment funds – global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emerging markets</w:t>
            </w:r>
          </w:p>
        </w:tc>
        <w:tc>
          <w:tcPr>
            <w:tcW w:w="1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8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Level 3</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Investment funds – real estate</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Private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Real estate – direct</w:t>
            </w:r>
          </w:p>
        </w:tc>
        <w:tc>
          <w:tcPr>
            <w:tcW w:w="1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Total assets in fair value hierarchy</w:t>
            </w: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Investments measured at NAV Practical Expedient (a)</w:t>
            </w: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34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Investment funds – global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emerging markets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Hedge funds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7"/>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Total investments at fair value</w:t>
            </w:r>
          </w:p>
        </w:tc>
        <w:tc>
          <w:tcPr>
            <w:tcW w:w="19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1,130</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vMerge w:val="restart"/>
          </w:tcPr>
          <w:p>
            <w:pPr>
              <w:jc w:val="right"/>
              <w:ind w:right="870"/>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Crown Holdings, Inc.</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1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U.S. plan</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Non-U.S. plan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4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Level 1</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Global large cap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U.S. large cap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mid/small cap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Mutual funds – global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Mutual funds – U.S.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Mutual funds – fixed income</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183"/>
        </w:trPr>
        <w:tc>
          <w:tcPr>
            <w:tcW w:w="440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Level 2</w:t>
            </w:r>
          </w:p>
        </w:tc>
        <w:tc>
          <w:tcPr>
            <w:tcW w:w="2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Government issued debt securities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 backed securities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Structured debt</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Derivatives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Investment funds – global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r>
      <w:tr>
        <w:trPr>
          <w:trHeight w:val="183"/>
        </w:trPr>
        <w:tc>
          <w:tcPr>
            <w:tcW w:w="440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Level 3</w:t>
            </w:r>
          </w:p>
        </w:tc>
        <w:tc>
          <w:tcPr>
            <w:tcW w:w="2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real estate</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Hedge funds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Private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Real estate – direct</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77"/>
        </w:trPr>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3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264"/>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 in fair value hierarchy</w:t>
            </w:r>
          </w:p>
        </w:tc>
        <w:tc>
          <w:tcPr>
            <w:tcW w:w="2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r>
      <w:tr>
        <w:trPr>
          <w:trHeight w:val="27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03"/>
        </w:trPr>
        <w:tc>
          <w:tcPr>
            <w:tcW w:w="44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Investments measured at NAV Practical Expedient (a)</w:t>
            </w:r>
          </w:p>
        </w:tc>
        <w:tc>
          <w:tcPr>
            <w:tcW w:w="2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3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Investment funds – fixed income</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global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Investment funds – emerging markets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8"/>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ASU No. 2015-07, certain investments that are measured at fair value using the NAV per share practical expedient have not been classified in the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Accrued income excluded from the tables above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2200" w:type="dxa"/>
            <w:vAlign w:val="bottom"/>
            <w:gridSpan w:val="3"/>
          </w:tcPr>
          <w:p>
            <w:pPr>
              <w:jc w:val="right"/>
              <w:ind w:right="16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2018</w:t>
            </w:r>
          </w:p>
        </w:tc>
      </w:tr>
      <w:tr>
        <w:trPr>
          <w:trHeight w:val="48"/>
        </w:trPr>
        <w:tc>
          <w:tcPr>
            <w:tcW w:w="27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plan assets</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Non-U.S. plan assets</w:t>
            </w: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Plan assets include $244 and $140 of the Company’s common stock at December 31, 2019 and 2018.</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beginning and ending balances of plan assets measured using significant unobservable inputs (Level 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Hedge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Private</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Real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funds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equity</w:t>
            </w:r>
          </w:p>
        </w:tc>
        <w:tc>
          <w:tcPr>
            <w:tcW w:w="3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estate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returns – assets held at reporting date</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returns – assets sold during the period</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transfers during the period</w:t>
            </w:r>
          </w:p>
        </w:tc>
        <w:tc>
          <w:tcPr>
            <w:tcW w:w="9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returns – assets held at reporting date</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returns – assets sold during the period</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the pension plan assets valued using net asset value as a practical expedient: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color w:val="auto"/>
                <w:w w:val="99"/>
              </w:rPr>
              <w:t>Redemption Notice</w:t>
            </w:r>
          </w:p>
        </w:tc>
      </w:tr>
      <w:tr>
        <w:trPr>
          <w:trHeight w:val="230"/>
        </w:trPr>
        <w:tc>
          <w:tcPr>
            <w:tcW w:w="3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Fair Value</w:t>
            </w:r>
          </w:p>
        </w:tc>
        <w:tc>
          <w:tcPr>
            <w:tcW w:w="420" w:type="dxa"/>
            <w:vAlign w:val="bottom"/>
          </w:tcPr>
          <w:p>
            <w:pPr>
              <w:spacing w:after="0"/>
              <w:rPr>
                <w:sz w:val="20"/>
                <w:szCs w:val="20"/>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color w:val="auto"/>
                <w:w w:val="94"/>
              </w:rPr>
              <w:t>Redemption Frequency</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Period</w:t>
            </w:r>
          </w:p>
        </w:tc>
      </w:tr>
      <w:tr>
        <w:trPr>
          <w:trHeight w:val="27"/>
        </w:trPr>
        <w:tc>
          <w:tcPr>
            <w:tcW w:w="3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17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193</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Semi-monthly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1 - 5 days</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Investment funds – global equity</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1 - 15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emerging markets</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Daily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days</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328</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1 - 30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3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17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210</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Semi-monthly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day</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Investment funds – global equity</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1 - 15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emerging markets</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Daily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days</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282</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1 - 45 days</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assets valued using net asset value as a practical expedient do not have any unfunded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Pension assets and liabilities included in the Consolidated Balance Sheets were:</w:t>
            </w: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77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2018</w:t>
            </w:r>
          </w:p>
        </w:tc>
      </w:tr>
      <w:tr>
        <w:trPr>
          <w:trHeight w:val="27"/>
        </w:trPr>
        <w:tc>
          <w:tcPr>
            <w:tcW w:w="7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7"/>
        </w:trPr>
        <w:tc>
          <w:tcPr>
            <w:tcW w:w="7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current liability at December 31, 2019, represents the expected required payments to be made for unfunded plans over the next twelve months. Total estimated 2020 employer contributions are $21 for the Company’s pension plans.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loss and prior service cost (credit) for the Company’s pension plans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jc w:val="right"/>
              <w:ind w:right="63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Prior</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Prior</w:t>
            </w:r>
          </w:p>
        </w:tc>
      </w:tr>
      <w:tr>
        <w:trPr>
          <w:trHeight w:val="230"/>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service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service</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8"/>
              </w:rPr>
              <w:t>service</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Reclassification to net periodic benefit cost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year gain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portions of the net losses and net prior service that are expected to be recognized as components of net periodic benefit cost / (credit) in 2020 are $94 and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 payments as of December 31, 2019 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color w:val="auto"/>
                <w:w w:val="91"/>
              </w:rPr>
              <w:t>U.S.</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Non-U.S.</w:t>
            </w:r>
          </w:p>
        </w:tc>
      </w:tr>
      <w:tr>
        <w:trPr>
          <w:trHeight w:val="230"/>
        </w:trPr>
        <w:tc>
          <w:tcPr>
            <w:tcW w:w="4480" w:type="dxa"/>
            <w:vAlign w:val="bottom"/>
          </w:tcPr>
          <w:p>
            <w:pPr>
              <w:spacing w:after="0"/>
              <w:rPr>
                <w:sz w:val="20"/>
                <w:szCs w:val="20"/>
                <w:color w:val="auto"/>
              </w:rPr>
            </w:pPr>
          </w:p>
        </w:tc>
        <w:tc>
          <w:tcPr>
            <w:tcW w:w="1080" w:type="dxa"/>
            <w:vAlign w:val="bottom"/>
          </w:tcPr>
          <w:p>
            <w:pPr>
              <w:jc w:val="center"/>
              <w:ind w:left="370"/>
              <w:spacing w:after="0"/>
              <w:rPr>
                <w:sz w:val="20"/>
                <w:szCs w:val="20"/>
                <w:color w:val="auto"/>
              </w:rPr>
            </w:pPr>
            <w:r>
              <w:rPr>
                <w:rFonts w:ascii="Arial" w:cs="Arial" w:eastAsia="Arial" w:hAnsi="Arial"/>
                <w:sz w:val="18"/>
                <w:szCs w:val="18"/>
                <w:color w:val="auto"/>
                <w:w w:val="88"/>
              </w:rPr>
              <w:t>plans</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plans</w:t>
            </w:r>
          </w:p>
        </w:tc>
      </w:tr>
      <w:tr>
        <w:trPr>
          <w:trHeight w:val="27"/>
        </w:trPr>
        <w:tc>
          <w:tcPr>
            <w:tcW w:w="4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2021</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448</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837</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actuarial assumptions used to calculate the benefit obligations at December 31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Compensation increase</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81"/>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Compensation increase</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actuarial assumptions used to calculate pension expense for each year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 service cost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Discount rate - interest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Compensation increase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Long-term rate of return</w:t>
            </w: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81"/>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 service cost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Discount rate - interest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Compensation increase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Long-term rate of return</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4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ectPr>
          <w:pgSz w:w="11900" w:h="16838" w:orient="portrait"/>
          <w:cols w:equalWidth="0" w:num="1">
            <w:col w:w="11420"/>
          </w:cols>
          <w:pgMar w:left="240" w:top="121"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Postretirement Benefit Plans. </w:t>
      </w:r>
      <w:r>
        <w:rPr>
          <w:rFonts w:ascii="Arial" w:cs="Arial" w:eastAsia="Arial" w:hAnsi="Arial"/>
          <w:sz w:val="18"/>
          <w:szCs w:val="18"/>
          <w:color w:val="auto"/>
        </w:rPr>
        <w:t>The Company sponsors unfunded plans to provide health care and life insurance benefits to certain pensioners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Other Postretirement Benefits</w:t>
            </w:r>
          </w:p>
        </w:tc>
        <w:tc>
          <w:tcPr>
            <w:tcW w:w="22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48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Amortization of actuarial loss</w:t>
            </w:r>
          </w:p>
        </w:tc>
        <w:tc>
          <w:tcPr>
            <w:tcW w:w="220" w:type="dxa"/>
            <w:vAlign w:val="bottom"/>
          </w:tcPr>
          <w:p>
            <w:pPr>
              <w:spacing w:after="0"/>
              <w:rPr>
                <w:sz w:val="21"/>
                <w:szCs w:val="21"/>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credit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Changes in the benefit obligations were: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obligations at January 1</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Amendments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Benefit obligations at December 31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loss and prior service credit for the Company’s postretirement benefit plans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2019</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Net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Prior</w:t>
            </w:r>
          </w:p>
        </w:tc>
        <w:tc>
          <w:tcPr>
            <w:tcW w:w="740" w:type="dxa"/>
            <w:vAlign w:val="bottom"/>
          </w:tcPr>
          <w:p>
            <w:pPr>
              <w:jc w:val="right"/>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Prior</w:t>
            </w:r>
          </w:p>
        </w:tc>
        <w:tc>
          <w:tcPr>
            <w:tcW w:w="780" w:type="dxa"/>
            <w:vAlign w:val="bottom"/>
          </w:tcPr>
          <w:p>
            <w:pPr>
              <w:jc w:val="right"/>
              <w:spacing w:after="0"/>
              <w:rPr>
                <w:sz w:val="20"/>
                <w:szCs w:val="20"/>
                <w:color w:val="auto"/>
              </w:rPr>
            </w:pPr>
            <w:r>
              <w:rPr>
                <w:rFonts w:ascii="Arial" w:cs="Arial" w:eastAsia="Arial" w:hAnsi="Arial"/>
                <w:sz w:val="18"/>
                <w:szCs w:val="18"/>
                <w:color w:val="auto"/>
              </w:rPr>
              <w:t>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Prior</w:t>
            </w:r>
          </w:p>
        </w:tc>
      </w:tr>
      <w:tr>
        <w:trPr>
          <w:trHeight w:val="230"/>
        </w:trPr>
        <w:tc>
          <w:tcPr>
            <w:tcW w:w="40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loss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service</w:t>
            </w:r>
          </w:p>
        </w:tc>
        <w:tc>
          <w:tcPr>
            <w:tcW w:w="740" w:type="dxa"/>
            <w:vAlign w:val="bottom"/>
          </w:tcPr>
          <w:p>
            <w:pPr>
              <w:jc w:val="right"/>
              <w:spacing w:after="0"/>
              <w:rPr>
                <w:sz w:val="20"/>
                <w:szCs w:val="20"/>
                <w:color w:val="auto"/>
              </w:rPr>
            </w:pPr>
            <w:r>
              <w:rPr>
                <w:rFonts w:ascii="Arial" w:cs="Arial" w:eastAsia="Arial" w:hAnsi="Arial"/>
                <w:sz w:val="18"/>
                <w:szCs w:val="18"/>
                <w:color w:val="auto"/>
              </w:rPr>
              <w:t>loss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service</w:t>
            </w:r>
          </w:p>
        </w:tc>
        <w:tc>
          <w:tcPr>
            <w:tcW w:w="780" w:type="dxa"/>
            <w:vAlign w:val="bottom"/>
          </w:tcPr>
          <w:p>
            <w:pPr>
              <w:jc w:val="right"/>
              <w:spacing w:after="0"/>
              <w:rPr>
                <w:sz w:val="20"/>
                <w:szCs w:val="20"/>
                <w:color w:val="auto"/>
              </w:rPr>
            </w:pPr>
            <w:r>
              <w:rPr>
                <w:rFonts w:ascii="Arial" w:cs="Arial" w:eastAsia="Arial" w:hAnsi="Arial"/>
                <w:sz w:val="18"/>
                <w:szCs w:val="18"/>
                <w:color w:val="auto"/>
              </w:rPr>
              <w:t>loss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8"/>
              </w:rPr>
              <w:t>service</w:t>
            </w:r>
          </w:p>
        </w:tc>
      </w:tr>
      <w:tr>
        <w:trPr>
          <w:trHeight w:val="27"/>
        </w:trPr>
        <w:tc>
          <w:tcPr>
            <w:tcW w:w="4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Reclassification to net periodic benefit cost</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year gain (loss)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80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estimated portions of the net losses and prior service credits that are expected to be recognized as components of net periodic benefit cost/(credit) in 2020 are $4 and $(25).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Expected future benefit payments are as follows: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color w:val="auto"/>
                <w:w w:val="99"/>
              </w:rPr>
              <w:t>Benefit Payments</w:t>
            </w:r>
          </w:p>
        </w:tc>
      </w:tr>
      <w:tr>
        <w:trPr>
          <w:trHeight w:val="27"/>
        </w:trPr>
        <w:tc>
          <w:tcPr>
            <w:tcW w:w="4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766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864"/>
        </w:trPr>
        <w:tc>
          <w:tcPr>
            <w:tcW w:w="7660" w:type="dxa"/>
            <w:vAlign w:val="bottom"/>
          </w:tcPr>
          <w:p>
            <w:pPr>
              <w:spacing w:after="0"/>
              <w:rPr>
                <w:sz w:val="20"/>
                <w:szCs w:val="20"/>
                <w:color w:val="auto"/>
              </w:rPr>
            </w:pPr>
            <w:r>
              <w:rPr>
                <w:rFonts w:ascii="Arial" w:cs="Arial" w:eastAsia="Arial" w:hAnsi="Arial"/>
                <w:sz w:val="18"/>
                <w:szCs w:val="18"/>
                <w:color w:val="auto"/>
              </w:rPr>
              <w:t>The assumed health care cost trend rates at December 31, 2019 were as follows:</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5"/>
        </w:trPr>
        <w:tc>
          <w:tcPr>
            <w:tcW w:w="7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2019</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Rate that the cost trend rate gradually declines to</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rate it is assumed to remain</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2035</w:t>
            </w:r>
          </w:p>
        </w:tc>
      </w:tr>
      <w:tr>
        <w:trPr>
          <w:trHeight w:val="648"/>
        </w:trPr>
        <w:tc>
          <w:tcPr>
            <w:tcW w:w="7660" w:type="dxa"/>
            <w:vAlign w:val="bottom"/>
          </w:tcPr>
          <w:p>
            <w:pPr>
              <w:spacing w:after="0"/>
              <w:rPr>
                <w:sz w:val="20"/>
                <w:szCs w:val="20"/>
                <w:color w:val="auto"/>
              </w:rPr>
            </w:pPr>
            <w:r>
              <w:rPr>
                <w:rFonts w:ascii="Arial" w:cs="Arial" w:eastAsia="Arial" w:hAnsi="Arial"/>
                <w:sz w:val="18"/>
                <w:szCs w:val="18"/>
                <w:color w:val="auto"/>
                <w:w w:val="91"/>
              </w:rPr>
              <w:t>A one-percentage-point change in assumed health care cost trend rates would have the following effects:</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gridSpan w:val="4"/>
          </w:tcPr>
          <w:p>
            <w:pPr>
              <w:jc w:val="right"/>
              <w:ind w:right="1010"/>
              <w:spacing w:after="0"/>
              <w:rPr>
                <w:sz w:val="20"/>
                <w:szCs w:val="20"/>
                <w:color w:val="auto"/>
              </w:rPr>
            </w:pPr>
            <w:r>
              <w:rPr>
                <w:rFonts w:ascii="Arial" w:cs="Arial" w:eastAsia="Arial" w:hAnsi="Arial"/>
                <w:sz w:val="18"/>
                <w:szCs w:val="18"/>
                <w:color w:val="auto"/>
              </w:rPr>
              <w:t>One percentage point</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color w:val="auto"/>
              </w:rPr>
              <w:t>Increase</w:t>
            </w:r>
          </w:p>
        </w:tc>
        <w:tc>
          <w:tcPr>
            <w:tcW w:w="340" w:type="dxa"/>
            <w:vAlign w:val="bottom"/>
          </w:tcPr>
          <w:p>
            <w:pPr>
              <w:spacing w:after="0"/>
              <w:rPr>
                <w:sz w:val="20"/>
                <w:szCs w:val="20"/>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Decrease</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discount rates used to calculate the benefit obligations at the end of each year and the cost for each year are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jc w:val="right"/>
              <w:ind w:right="60"/>
              <w:spacing w:after="0"/>
              <w:rPr>
                <w:sz w:val="20"/>
                <w:szCs w:val="20"/>
                <w:color w:val="auto"/>
              </w:rPr>
            </w:pPr>
            <w:r>
              <w:rPr>
                <w:rFonts w:ascii="Arial" w:cs="Arial" w:eastAsia="Arial" w:hAnsi="Arial"/>
                <w:sz w:val="18"/>
                <w:szCs w:val="18"/>
                <w:color w:val="auto"/>
              </w:rPr>
              <w:t>2019</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2017</w:t>
            </w:r>
          </w:p>
        </w:tc>
      </w:tr>
      <w:tr>
        <w:trPr>
          <w:trHeight w:val="27"/>
        </w:trPr>
        <w:tc>
          <w:tcPr>
            <w:tcW w:w="6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Defined Contribution Benefit Plans. </w:t>
      </w:r>
      <w:r>
        <w:rPr>
          <w:rFonts w:ascii="Arial" w:cs="Arial" w:eastAsia="Arial" w:hAnsi="Arial"/>
          <w:sz w:val="16"/>
          <w:szCs w:val="16"/>
          <w:color w:val="auto"/>
        </w:rPr>
        <w:t>The Company also sponsors defined contribution benefit plans in certain jurisdictions including the U.S. and the U.K.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2019, the Company recognized expense of $11 related to these plans.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S.  Income Taxes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The components of income before income taxes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statutory federal income tax rate to pre-tax income as a result of the following items:</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0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Crown Holdings, Inc.</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10"/>
        </w:trPr>
        <w:tc>
          <w:tcPr>
            <w:tcW w:w="4020" w:type="dxa"/>
            <w:vAlign w:val="bottom"/>
          </w:tcPr>
          <w:p>
            <w:pPr>
              <w:spacing w:after="0"/>
              <w:rPr>
                <w:sz w:val="24"/>
                <w:szCs w:val="24"/>
                <w:color w:val="auto"/>
              </w:rPr>
            </w:pPr>
          </w:p>
        </w:tc>
        <w:tc>
          <w:tcPr>
            <w:tcW w:w="3040" w:type="dxa"/>
            <w:vAlign w:val="bottom"/>
            <w:gridSpan w:val="2"/>
          </w:tcPr>
          <w:p>
            <w:pPr>
              <w:jc w:val="right"/>
              <w:ind w:right="1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r>
      <w:tr>
        <w:trPr>
          <w:trHeight w:val="27"/>
        </w:trPr>
        <w:tc>
          <w:tcPr>
            <w:tcW w:w="40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statutory rate at 21%, 21% and 35%</w:t>
            </w:r>
          </w:p>
        </w:tc>
        <w:tc>
          <w:tcPr>
            <w:tcW w:w="304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Tax on foreign income</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taxes on foreign income, net of credits</w:t>
            </w:r>
          </w:p>
        </w:tc>
        <w:tc>
          <w:tcPr>
            <w:tcW w:w="2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Valuation allowance changes</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contingencies</w:t>
            </w:r>
          </w:p>
        </w:tc>
        <w:tc>
          <w:tcPr>
            <w:tcW w:w="2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Tax law changes</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4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20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02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4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4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benefits from certain incentives in Brazil which allow it to pay reduced income taxes. The incentives expire at various dates beginning in December 2022. These incentives increased net income attributable to the Company by $17 in 2019 and $14 in both 2018 and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taxes of $173, $177 and $154 in 2019, 2018 and 2017.</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2019, the Company recorded an income tax benefit of $36 related to a deferred tax valuation allowance release resulting from an internal reorganization. Additionally, the Company recorded a charge of $15 related to the settlement of a pre-acquisition tax contingency that arose from a transaction that occurred prior to its acquisition of Signode. The Company also recorded a benefit of $9 arising from tax law changes in India.</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Act resulted in significant changes from previous tax law, including reduction of the U.S. corporate tax rate from 35% to 21%, a one-time tax imposed on the unremitted earnings of other non-U.S. subsidiaries (the "transition tax") and a limitation on the tax deduction for interest expense, net of interest income, to 30% of a U.S. corporations adjusted taxable income. As a result of the tax rate reduction, the Company recorded a provisional reduction in net deferred tax assets of $103 as of December 31, 2017 and a corresponding deferred income tax charge. Additionally, as of December 31, 2017, the Company recorded a provisional obligation of $82 for the transition tax, recorded a charge of $25 for the related usage of foreign tax credits and reversed $11 of deferred tax liabilities related to cumulative undistributed foreign earnings. The Company finalized the impact of the Tax Act in 2018 and recorded a net benefit of $2 to adjust its provisional amounts.</w:t>
      </w:r>
    </w:p>
    <w:p>
      <w:pPr>
        <w:spacing w:after="0" w:line="18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2018, the Company recorded a charge of $24 related to local taxes on the distributions of foreign earnings, which were previously asserted to be indefinitely reinvested. As of December 31, 2019 the Company has not provided deferred taxes on approximately $1,300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The components of deferred taxes at December 31 are: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2019</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2018</w:t>
            </w:r>
          </w:p>
        </w:tc>
        <w:tc>
          <w:tcPr>
            <w:tcW w:w="124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Liabilities</w:t>
            </w:r>
          </w:p>
        </w:tc>
      </w:tr>
      <w:tr>
        <w:trPr>
          <w:trHeight w:val="27"/>
        </w:trPr>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carryforwards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Postretirement and postemployment benefits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177</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Asbestos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Right of use assets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Tax carryforwards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203835</wp:posOffset>
            </wp:positionV>
            <wp:extent cx="17151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313" w:lineRule="exact"/>
        <w:rPr>
          <w:sz w:val="20"/>
          <w:szCs w:val="20"/>
          <w:color w:val="auto"/>
        </w:rPr>
      </w:pPr>
    </w:p>
    <w:p>
      <w:pPr>
        <w:ind w:left="5460"/>
        <w:spacing w:after="0"/>
        <w:tabs>
          <w:tab w:leader="none" w:pos="6380" w:val="left"/>
        </w:tabs>
        <w:rPr>
          <w:sz w:val="20"/>
          <w:szCs w:val="20"/>
          <w:color w:val="auto"/>
        </w:rPr>
      </w:pPr>
      <w:r>
        <w:rPr>
          <w:rFonts w:ascii="Arial" w:cs="Arial" w:eastAsia="Arial" w:hAnsi="Arial"/>
          <w:sz w:val="18"/>
          <w:szCs w:val="18"/>
          <w:u w:val="single" w:color="auto"/>
          <w:color w:val="auto"/>
        </w:rPr>
        <w:t>Year</w:t>
      </w:r>
      <w:r>
        <w:rPr>
          <w:sz w:val="20"/>
          <w:szCs w:val="20"/>
          <w:color w:val="auto"/>
        </w:rPr>
        <w:tab/>
      </w:r>
      <w:r>
        <w:rPr>
          <w:rFonts w:ascii="Arial" w:cs="Arial" w:eastAsia="Arial" w:hAnsi="Arial"/>
          <w:sz w:val="18"/>
          <w:szCs w:val="18"/>
          <w:u w:val="single" w:color="auto"/>
          <w:color w:val="auto"/>
        </w:rPr>
        <w:t>Amount</w:t>
      </w:r>
    </w:p>
    <w:p>
      <w:pPr>
        <w:spacing w:after="0" w:line="63" w:lineRule="exact"/>
        <w:rPr>
          <w:sz w:val="20"/>
          <w:szCs w:val="20"/>
          <w:color w:val="auto"/>
        </w:rPr>
      </w:pPr>
    </w:p>
    <w:p>
      <w:pPr>
        <w:ind w:left="5420"/>
        <w:spacing w:after="0"/>
        <w:tabs>
          <w:tab w:leader="none" w:pos="6160" w:val="left"/>
          <w:tab w:leader="none" w:pos="680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31750</wp:posOffset>
            </wp:positionV>
            <wp:extent cx="17151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420"/>
        <w:spacing w:after="0"/>
        <w:tabs>
          <w:tab w:leader="none" w:pos="680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22</w:t>
      </w:r>
    </w:p>
    <w:p>
      <w:pPr>
        <w:spacing w:after="0" w:line="63" w:lineRule="exact"/>
        <w:rPr>
          <w:sz w:val="20"/>
          <w:szCs w:val="20"/>
          <w:color w:val="auto"/>
        </w:rPr>
      </w:pPr>
    </w:p>
    <w:p>
      <w:pPr>
        <w:ind w:left="5420"/>
        <w:spacing w:after="0"/>
        <w:tabs>
          <w:tab w:leader="none" w:pos="680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31750</wp:posOffset>
            </wp:positionV>
            <wp:extent cx="17151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420"/>
        <w:spacing w:after="0"/>
        <w:tabs>
          <w:tab w:leader="none" w:pos="680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11</w:t>
      </w:r>
    </w:p>
    <w:p>
      <w:pPr>
        <w:spacing w:after="0" w:line="63" w:lineRule="exact"/>
        <w:rPr>
          <w:sz w:val="20"/>
          <w:szCs w:val="20"/>
          <w:color w:val="auto"/>
        </w:rPr>
      </w:pPr>
    </w:p>
    <w:p>
      <w:pPr>
        <w:ind w:left="5420"/>
        <w:spacing w:after="0"/>
        <w:tabs>
          <w:tab w:leader="none" w:pos="6800" w:val="left"/>
        </w:tabs>
        <w:rPr>
          <w:sz w:val="20"/>
          <w:szCs w:val="20"/>
          <w:color w:val="auto"/>
        </w:rPr>
      </w:pPr>
      <w:r>
        <w:rPr>
          <w:rFonts w:ascii="Arial" w:cs="Arial" w:eastAsia="Arial" w:hAnsi="Arial"/>
          <w:sz w:val="18"/>
          <w:szCs w:val="18"/>
          <w:color w:val="auto"/>
        </w:rPr>
        <w:t>2024</w:t>
      </w:r>
      <w:r>
        <w:rPr>
          <w:sz w:val="20"/>
          <w:szCs w:val="20"/>
          <w:color w:val="auto"/>
        </w:rPr>
        <w:tab/>
      </w: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31750</wp:posOffset>
            </wp:positionV>
            <wp:extent cx="17151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040"/>
        <w:spacing w:after="0"/>
        <w:tabs>
          <w:tab w:leader="none" w:pos="672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211</w:t>
      </w:r>
    </w:p>
    <w:p>
      <w:pPr>
        <w:spacing w:after="0" w:line="63" w:lineRule="exact"/>
        <w:rPr>
          <w:sz w:val="20"/>
          <w:szCs w:val="20"/>
          <w:color w:val="auto"/>
        </w:rPr>
      </w:pPr>
    </w:p>
    <w:p>
      <w:pPr>
        <w:ind w:left="5060"/>
        <w:spacing w:after="0"/>
        <w:tabs>
          <w:tab w:leader="none" w:pos="6700" w:val="left"/>
        </w:tabs>
        <w:rPr>
          <w:sz w:val="20"/>
          <w:szCs w:val="20"/>
          <w:color w:val="auto"/>
        </w:rPr>
      </w:pPr>
      <w:r>
        <w:rPr>
          <w:rFonts w:ascii="Arial" w:cs="Arial" w:eastAsia="Arial" w:hAnsi="Arial"/>
          <w:sz w:val="18"/>
          <w:szCs w:val="18"/>
          <w:color w:val="auto"/>
        </w:rPr>
        <w:t>Unlimited</w:t>
      </w:r>
      <w:r>
        <w:rPr>
          <w:sz w:val="20"/>
          <w:szCs w:val="20"/>
          <w:color w:val="auto"/>
        </w:rPr>
        <w:tab/>
      </w:r>
      <w:r>
        <w:rPr>
          <w:rFonts w:ascii="Arial" w:cs="Arial" w:eastAsia="Arial" w:hAnsi="Arial"/>
          <w:sz w:val="18"/>
          <w:szCs w:val="18"/>
          <w:color w:val="auto"/>
        </w:rPr>
        <w:t>145</w:t>
      </w:r>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carryforwards expiring in 2022 include $72 of U.S. federal foreign tax credits which based on current projections the Company believes it will utilize before expiration. Tax carryforwards expiring after 2024 include $141 of U.S. state tax loss carryforwards and $53 of Luxembourg tax loss carryforwards. The unlimited category includes $36 related to U.S. disallowed business interest carryforwards and $64 of French tax loss carryforwards.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Realization of any portion of the Company’s deferred tax assets is dependent upon the availability of taxable income in the relevant jurisdictions. The Company considers all sources of taxable income, including (i) taxable income in any available carry back period, (ii) the reversal of taxable temporary differences, (iii) tax-planning strategies, and (iv) taxable income expected to be generated in the future other than from reversing temporary differences. The Company also considers whether there have been cumulative losses in recent years. The Company records a valuation allowance when it is more likely than not that some portion or all of the deferred tax assets will not be realized.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valuation allowances at December 31, 2019 includes $205 primarily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estimate of the appropriate valuation allowance in any jurisdiction involves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 reconciliation of unrecognized tax benefits follows: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60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r>
      <w:tr>
        <w:trPr>
          <w:trHeight w:val="27"/>
        </w:trPr>
        <w:tc>
          <w:tcPr>
            <w:tcW w:w="6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Additions related to acquisitions</w:t>
            </w:r>
          </w:p>
        </w:tc>
        <w:tc>
          <w:tcPr>
            <w:tcW w:w="1040" w:type="dxa"/>
            <w:vAlign w:val="bottom"/>
          </w:tcPr>
          <w:p>
            <w:pPr>
              <w:spacing w:after="0"/>
              <w:rPr>
                <w:sz w:val="21"/>
                <w:szCs w:val="21"/>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prior year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Reductions to prior period tax positions</w:t>
            </w:r>
          </w:p>
        </w:tc>
        <w:tc>
          <w:tcPr>
            <w:tcW w:w="1040" w:type="dxa"/>
            <w:vAlign w:val="bottom"/>
          </w:tcPr>
          <w:p>
            <w:pPr>
              <w:spacing w:after="0"/>
              <w:rPr>
                <w:sz w:val="21"/>
                <w:szCs w:val="21"/>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unrecognized tax benefits include potential liabilities related to transfer pricing, foreign withholding taxes, and non-deductibility of expenses and exclude $2 of interest and penalties as of December 31, 2019.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total interest and penalties recorded in income tax expense was less than $1 in 2019, 2018 and 2017. As of December 31, 2019, unrecognized tax benefits of $41, if recognized, would affect the Company's effective tax rate.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years that remained subject to examination by major tax jurisdictions as of December 31, 2019 were, 2010 and subsequent years for Germany; 2013 and subsequent years for India; 2015 and subsequent years for the Brazil, Canada, Italy, Mexico and Spain; and 2016 and subsequent years for the U.K. and the U.S.; 2017 and subsequent years for France. In addition, tax authorities in certain jurisdictions, including France and the U.S., may examine earlier years when tax carryforwards that were generated in those years are subsequently utilized.</w:t>
      </w:r>
    </w:p>
    <w:p>
      <w:pPr>
        <w:spacing w:after="0" w:line="39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T.</w:t>
      </w:r>
      <w:r>
        <w:rPr>
          <w:sz w:val="20"/>
          <w:szCs w:val="20"/>
          <w:color w:val="auto"/>
        </w:rPr>
        <w:tab/>
      </w:r>
      <w:r>
        <w:rPr>
          <w:rFonts w:ascii="Arial" w:cs="Arial" w:eastAsia="Arial" w:hAnsi="Arial"/>
          <w:sz w:val="16"/>
          <w:szCs w:val="16"/>
          <w:b w:val="1"/>
          <w:bCs w:val="1"/>
          <w:color w:val="auto"/>
        </w:rPr>
        <w:t>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common share activity for the years ended December 31 follows (in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6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outstanding at January 1</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135,173,948</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134,275,609</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139,840,228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Shares repurchased</w:t>
            </w:r>
          </w:p>
        </w:tc>
        <w:tc>
          <w:tcPr>
            <w:tcW w:w="1340" w:type="dxa"/>
            <w:vAlign w:val="bottom"/>
          </w:tcPr>
          <w:p>
            <w:pPr>
              <w:jc w:val="right"/>
              <w:spacing w:after="0"/>
              <w:rPr>
                <w:sz w:val="20"/>
                <w:szCs w:val="20"/>
                <w:color w:val="auto"/>
              </w:rPr>
            </w:pPr>
            <w:r>
              <w:rPr>
                <w:rFonts w:ascii="Arial" w:cs="Arial" w:eastAsia="Arial" w:hAnsi="Arial"/>
                <w:sz w:val="18"/>
                <w:szCs w:val="18"/>
                <w:color w:val="auto"/>
              </w:rPr>
              <w:t>(106,388)</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(92,167)</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(6,157,010)</w:t>
            </w:r>
          </w:p>
        </w:tc>
      </w:tr>
      <w:tr>
        <w:trPr>
          <w:trHeight w:val="27"/>
        </w:trPr>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upon exercise of employee stock options</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70,000</w:t>
            </w:r>
          </w:p>
        </w:tc>
        <w:tc>
          <w:tcPr>
            <w:tcW w:w="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299,050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Restricted stock issued to employees, net of forfeitures</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416,695</w:t>
            </w:r>
          </w:p>
        </w:tc>
        <w:tc>
          <w:tcPr>
            <w:tcW w:w="4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958,672</w:t>
            </w:r>
          </w:p>
        </w:tc>
        <w:tc>
          <w:tcPr>
            <w:tcW w:w="4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269,025</w:t>
            </w:r>
          </w:p>
        </w:tc>
      </w:tr>
      <w:tr>
        <w:trPr>
          <w:trHeight w:val="27"/>
        </w:trPr>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non-employee directors</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23,623</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31,834</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24,316</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Common shares outstanding at December 31</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135,577,878</w:t>
            </w:r>
          </w:p>
        </w:tc>
        <w:tc>
          <w:tcPr>
            <w:tcW w:w="4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135,173,948</w:t>
            </w:r>
          </w:p>
        </w:tc>
        <w:tc>
          <w:tcPr>
            <w:tcW w:w="4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134,275,609</w:t>
            </w:r>
          </w:p>
        </w:tc>
      </w:tr>
      <w:tr>
        <w:trPr>
          <w:trHeight w:val="20"/>
        </w:trPr>
        <w:tc>
          <w:tcPr>
            <w:tcW w:w="6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pay dividends and repurchase its common stock is limited by certain restrictions in its debt agreements. These restrictions are subject to a number of exceptions, however, allowing the Company to make otherwise restricted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Accumulated Other Comprehensive Loss Attributable to Crown Holdings</w:t>
      </w:r>
    </w:p>
    <w:p>
      <w:pPr>
        <w:spacing w:after="0" w:line="243"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 for the years ended December 31, 2019 and 2018.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currency</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losses on cash</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benefit plans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flow hedges</w:t>
            </w:r>
          </w:p>
        </w:tc>
        <w:tc>
          <w:tcPr>
            <w:tcW w:w="240" w:type="dxa"/>
            <w:vAlign w:val="bottom"/>
          </w:tcPr>
          <w:p>
            <w:pPr>
              <w:spacing w:after="0"/>
              <w:rPr>
                <w:sz w:val="20"/>
                <w:szCs w:val="20"/>
                <w:color w:val="auto"/>
              </w:rPr>
            </w:pPr>
          </w:p>
        </w:tc>
        <w:tc>
          <w:tcPr>
            <w:tcW w:w="880" w:type="dxa"/>
            <w:vAlign w:val="bottom"/>
          </w:tcPr>
          <w:p>
            <w:pPr>
              <w:jc w:val="right"/>
              <w:ind w:right="289"/>
              <w:spacing w:after="0"/>
              <w:rPr>
                <w:sz w:val="20"/>
                <w:szCs w:val="20"/>
                <w:color w:val="auto"/>
              </w:rPr>
            </w:pPr>
            <w:r>
              <w:rPr>
                <w:rFonts w:ascii="Arial" w:cs="Arial" w:eastAsia="Arial" w:hAnsi="Arial"/>
                <w:sz w:val="18"/>
                <w:szCs w:val="18"/>
                <w:color w:val="auto"/>
              </w:rPr>
              <w:t>Total</w:t>
            </w:r>
          </w:p>
        </w:tc>
      </w:tr>
      <w:tr>
        <w:trPr>
          <w:trHeight w:val="27"/>
        </w:trPr>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54"/>
        </w:trPr>
        <w:tc>
          <w:tcPr>
            <w:tcW w:w="610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20"/>
                <w:szCs w:val="20"/>
                <w:color w:val="auto"/>
              </w:rPr>
              <w:t>3</w:t>
            </w:r>
          </w:p>
        </w:tc>
      </w:tr>
      <w:tr>
        <w:trPr>
          <w:trHeight w:val="23"/>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8"/>
                <w:szCs w:val="18"/>
                <w:color w:val="auto"/>
              </w:rPr>
              <w:t>55</w:t>
            </w:r>
          </w:p>
        </w:tc>
      </w:tr>
      <w:tr>
        <w:trPr>
          <w:trHeight w:val="27"/>
        </w:trPr>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(loss)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610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w:t>
            </w:r>
          </w:p>
        </w:tc>
      </w:tr>
      <w:tr>
        <w:trPr>
          <w:trHeight w:val="27"/>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(loss)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137</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9"/>
              <w:spacing w:after="0"/>
              <w:rPr>
                <w:sz w:val="20"/>
                <w:szCs w:val="20"/>
                <w:color w:val="auto"/>
              </w:rPr>
            </w:pPr>
            <w:r>
              <w:rPr>
                <w:rFonts w:ascii="Arial" w:cs="Arial" w:eastAsia="Arial" w:hAnsi="Arial"/>
                <w:sz w:val="18"/>
                <w:szCs w:val="18"/>
                <w:color w:val="auto"/>
              </w:rPr>
              <w:t>106</w:t>
            </w:r>
          </w:p>
        </w:tc>
      </w:tr>
      <w:tr>
        <w:trPr>
          <w:trHeight w:val="27"/>
        </w:trPr>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243</w:t>
            </w:r>
          </w:p>
        </w:tc>
      </w:tr>
      <w:tr>
        <w:trPr>
          <w:trHeight w:val="257"/>
        </w:trPr>
        <w:tc>
          <w:tcPr>
            <w:tcW w:w="610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w:t>
            </w: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65">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73">
        <w:r>
          <w:rPr>
            <w:rFonts w:ascii="Arial" w:cs="Arial" w:eastAsia="Arial" w:hAnsi="Arial"/>
            <w:sz w:val="18"/>
            <w:szCs w:val="18"/>
            <w:u w:val="single" w:color="auto"/>
            <w:color w:val="0000EE"/>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752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64"/>
        </w:trPr>
        <w:tc>
          <w:tcPr>
            <w:tcW w:w="7520" w:type="dxa"/>
            <w:vAlign w:val="bottom"/>
          </w:tcPr>
          <w:p>
            <w:pPr>
              <w:spacing w:after="0"/>
              <w:rPr>
                <w:sz w:val="20"/>
                <w:szCs w:val="20"/>
                <w:color w:val="auto"/>
              </w:rPr>
            </w:pPr>
            <w:r>
              <w:rPr>
                <w:rFonts w:ascii="Arial" w:cs="Arial" w:eastAsia="Arial" w:hAnsi="Arial"/>
                <w:sz w:val="18"/>
                <w:szCs w:val="18"/>
                <w:b w:val="1"/>
                <w:bCs w:val="1"/>
                <w:color w:val="auto"/>
              </w:rPr>
              <w:t>V. Revenue</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18"/>
                <w:szCs w:val="18"/>
                <w:color w:val="auto"/>
                <w:w w:val="96"/>
              </w:rPr>
              <w:t>For the years ended December 31, 2019 and 2018, the Company recognized revenue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over time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5,724</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Revenue recognized at a point in time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5,941</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5,386</w:t>
            </w: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11,665</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11,151</w:t>
            </w:r>
          </w:p>
        </w:tc>
      </w:tr>
      <w:tr>
        <w:trPr>
          <w:trHeight w:val="20"/>
        </w:trPr>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7">
        <w:r>
          <w:rPr>
            <w:rFonts w:ascii="Arial" w:cs="Arial" w:eastAsia="Arial" w:hAnsi="Arial"/>
            <w:sz w:val="18"/>
            <w:szCs w:val="18"/>
            <w:u w:val="single" w:color="auto"/>
            <w:color w:val="0000EE"/>
          </w:rPr>
          <w:t>Note 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 These equipment contracts, including payment terms, are typically less than one year in duration.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December 31, 2019</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2018</w:t>
            </w:r>
          </w:p>
        </w:tc>
      </w:tr>
      <w:tr>
        <w:trPr>
          <w:trHeight w:val="27"/>
        </w:trPr>
        <w:tc>
          <w:tcPr>
            <w:tcW w:w="66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included in prepaid and other current assets</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30</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Contract liabilities included in accrued liabilities</w:t>
            </w:r>
          </w:p>
        </w:tc>
        <w:tc>
          <w:tcPr>
            <w:tcW w:w="17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 included in other non-current liabilities</w:t>
            </w:r>
          </w:p>
        </w:tc>
        <w:tc>
          <w:tcPr>
            <w:tcW w:w="17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Net contract asset</w:t>
            </w:r>
          </w:p>
        </w:tc>
        <w:tc>
          <w:tcPr>
            <w:tcW w:w="1740" w:type="dxa"/>
            <w:vAlign w:val="bottom"/>
            <w:tcBorders>
              <w:top w:val="single" w:sz="8" w:color="auto"/>
              <w:bottom w:val="single" w:sz="8" w:color="auto"/>
            </w:tcBorders>
          </w:tcPr>
          <w:p>
            <w:pPr>
              <w:jc w:val="right"/>
              <w:ind w:right="15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25</w:t>
            </w:r>
          </w:p>
        </w:tc>
        <w:tc>
          <w:tcPr>
            <w:tcW w:w="6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6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For the year ended December 31, 2019, the Company satisfied performance obligations related to contract assets recorded by the Company's equipment business at December 31, 2018. The Company also recorded new contract assets related to work in process for the Company's equipment business and European food business.</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the year ended December 31, 2019, the Company recognized revenue of $3 related to contract liabilities at December 31, 2018 for performance obligations satisfied during the period.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At December 31, 2019, there were 2.6 million authorized shares available for future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and Deferred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Annually, the Company awards shares of restricted stock to certain senior executives in the form of time-vested restricted stock and performance-based shares. The time-vested restricted stock vests ratably over three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performance-based shares cliff vest at the end of three years. The number of performance-based shares that will ultimately vest is based on the level of performance achieved, ranging between 0% and 200% of the shares originally awarded, and is settled</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shares of common stock. Participants who terminate employment because of disability, death or, subject to Company approval, retirement, receive accelerated vesting of their time-vested awards to the date of termination. However, restrictions lapse on performance-based awards, if at all, on the original vesting date.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issues shares of time-vesting restricted stock to U.S. employees and deferred stock to non-U.S. employees which vest ratably over three to five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A summary of restricted and deferred stock activity follows:</w:t>
            </w:r>
          </w:p>
        </w:tc>
        <w:tc>
          <w:tcPr>
            <w:tcW w:w="1640" w:type="dxa"/>
            <w:vAlign w:val="bottom"/>
          </w:tcPr>
          <w:p>
            <w:pPr>
              <w:spacing w:after="0"/>
              <w:rPr>
                <w:sz w:val="20"/>
                <w:szCs w:val="20"/>
                <w:color w:val="auto"/>
              </w:rPr>
            </w:pPr>
          </w:p>
        </w:tc>
      </w:tr>
      <w:tr>
        <w:trPr>
          <w:trHeight w:val="378"/>
        </w:trPr>
        <w:tc>
          <w:tcPr>
            <w:tcW w:w="6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r>
      <w:tr>
        <w:trPr>
          <w:trHeight w:val="27"/>
        </w:trPr>
        <w:tc>
          <w:tcPr>
            <w:tcW w:w="6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January 1, 2019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2,142,743</w:t>
            </w:r>
          </w:p>
        </w:tc>
      </w:tr>
      <w:tr>
        <w:trPr>
          <w:trHeight w:val="243"/>
        </w:trPr>
        <w:tc>
          <w:tcPr>
            <w:tcW w:w="66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Awarded:</w:t>
            </w:r>
          </w:p>
        </w:tc>
        <w:tc>
          <w:tcPr>
            <w:tcW w:w="1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406,145</w:t>
            </w:r>
          </w:p>
        </w:tc>
      </w:tr>
      <w:tr>
        <w:trPr>
          <w:trHeight w:val="243"/>
        </w:trPr>
        <w:tc>
          <w:tcPr>
            <w:tcW w:w="660" w:type="dxa"/>
            <w:vAlign w:val="bottom"/>
          </w:tcPr>
          <w:p>
            <w:pPr>
              <w:spacing w:after="0"/>
              <w:rPr>
                <w:sz w:val="21"/>
                <w:szCs w:val="21"/>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Performance-based</w:t>
            </w:r>
          </w:p>
        </w:tc>
        <w:tc>
          <w:tcPr>
            <w:tcW w:w="1640" w:type="dxa"/>
            <w:vAlign w:val="bottom"/>
          </w:tcPr>
          <w:p>
            <w:pPr>
              <w:jc w:val="right"/>
              <w:spacing w:after="0"/>
              <w:rPr>
                <w:sz w:val="20"/>
                <w:szCs w:val="20"/>
                <w:color w:val="auto"/>
              </w:rPr>
            </w:pPr>
            <w:r>
              <w:rPr>
                <w:rFonts w:ascii="Arial" w:cs="Arial" w:eastAsia="Arial" w:hAnsi="Arial"/>
                <w:sz w:val="18"/>
                <w:szCs w:val="18"/>
                <w:color w:val="auto"/>
              </w:rPr>
              <w:t>202,876</w:t>
            </w:r>
          </w:p>
        </w:tc>
      </w:tr>
      <w:tr>
        <w:trPr>
          <w:trHeight w:val="27"/>
        </w:trPr>
        <w:tc>
          <w:tcPr>
            <w:tcW w:w="6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Time-vesting</w:t>
            </w:r>
          </w:p>
        </w:tc>
        <w:tc>
          <w:tcPr>
            <w:tcW w:w="1640" w:type="dxa"/>
            <w:vAlign w:val="bottom"/>
          </w:tcPr>
          <w:p>
            <w:pPr>
              <w:jc w:val="right"/>
              <w:spacing w:after="0"/>
              <w:rPr>
                <w:sz w:val="20"/>
                <w:szCs w:val="20"/>
                <w:color w:val="auto"/>
              </w:rPr>
            </w:pPr>
            <w:r>
              <w:rPr>
                <w:rFonts w:ascii="Arial" w:cs="Arial" w:eastAsia="Arial" w:hAnsi="Arial"/>
                <w:sz w:val="18"/>
                <w:szCs w:val="18"/>
                <w:color w:val="auto"/>
              </w:rPr>
              <w:t>(387,628)</w:t>
            </w:r>
          </w:p>
        </w:tc>
      </w:tr>
      <w:tr>
        <w:trPr>
          <w:trHeight w:val="27"/>
        </w:trPr>
        <w:tc>
          <w:tcPr>
            <w:tcW w:w="6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(132,275)</w:t>
            </w:r>
          </w:p>
        </w:tc>
      </w:tr>
      <w:tr>
        <w:trPr>
          <w:trHeight w:val="243"/>
        </w:trPr>
        <w:tc>
          <w:tcPr>
            <w:tcW w:w="660" w:type="dxa"/>
            <w:vAlign w:val="bottom"/>
          </w:tcPr>
          <w:p>
            <w:pPr>
              <w:spacing w:after="0"/>
              <w:rPr>
                <w:sz w:val="21"/>
                <w:szCs w:val="21"/>
                <w:color w:val="auto"/>
              </w:rPr>
            </w:pPr>
          </w:p>
        </w:tc>
        <w:tc>
          <w:tcPr>
            <w:tcW w:w="8060" w:type="dxa"/>
            <w:vAlign w:val="bottom"/>
          </w:tcPr>
          <w:p>
            <w:pPr>
              <w:ind w:left="380"/>
              <w:spacing w:after="0"/>
              <w:rPr>
                <w:sz w:val="20"/>
                <w:szCs w:val="20"/>
                <w:color w:val="auto"/>
              </w:rPr>
            </w:pPr>
            <w:r>
              <w:rPr>
                <w:rFonts w:ascii="Arial" w:cs="Arial" w:eastAsia="Arial" w:hAnsi="Arial"/>
                <w:sz w:val="18"/>
                <w:szCs w:val="18"/>
                <w:color w:val="auto"/>
              </w:rPr>
              <w:t>Performance-based</w:t>
            </w:r>
          </w:p>
        </w:tc>
        <w:tc>
          <w:tcPr>
            <w:tcW w:w="1640" w:type="dxa"/>
            <w:vAlign w:val="bottom"/>
          </w:tcPr>
          <w:p>
            <w:pPr>
              <w:jc w:val="right"/>
              <w:spacing w:after="0"/>
              <w:rPr>
                <w:sz w:val="20"/>
                <w:szCs w:val="20"/>
                <w:color w:val="auto"/>
              </w:rPr>
            </w:pPr>
            <w:r>
              <w:rPr>
                <w:rFonts w:ascii="Arial" w:cs="Arial" w:eastAsia="Arial" w:hAnsi="Arial"/>
                <w:sz w:val="18"/>
                <w:szCs w:val="18"/>
                <w:color w:val="auto"/>
              </w:rPr>
              <w:t>(129,207)</w:t>
            </w:r>
          </w:p>
        </w:tc>
      </w:tr>
      <w:tr>
        <w:trPr>
          <w:trHeight w:val="27"/>
        </w:trPr>
        <w:tc>
          <w:tcPr>
            <w:tcW w:w="6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60" w:type="dxa"/>
            <w:vAlign w:val="bottom"/>
          </w:tcPr>
          <w:p>
            <w:pPr>
              <w:spacing w:after="0"/>
              <w:rPr>
                <w:sz w:val="22"/>
                <w:szCs w:val="22"/>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2019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2,102,654</w:t>
            </w:r>
          </w:p>
        </w:tc>
      </w:tr>
      <w:tr>
        <w:trPr>
          <w:trHeight w:val="20"/>
        </w:trPr>
        <w:tc>
          <w:tcPr>
            <w:tcW w:w="66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average grant-date fair value of restricted stock awarded in 2019, 2018 and 2017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Time-vested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46.08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51.90</w:t>
            </w: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the performance-based awards that include a market condition were calculated using a Monte Carlo valuation model and the following weighted average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6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6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21.4%</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6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December 31, 2019, unrecognized compensation cost related to outstanding restricted and deferred stock was $67. The weighted average period over which the expense is expected to be recognized is 2.7 years. The aggregate market value of the shares released on the vesting dates was $26 in 2019.</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stock options and restricted stock as calculated under the treasury stock method.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Crown Holdings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Weighted average shares outstanding (in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135.29</w:t>
            </w:r>
          </w:p>
        </w:tc>
        <w:tc>
          <w:tcPr>
            <w:tcW w:w="0" w:type="dxa"/>
            <w:vAlign w:val="bottom"/>
          </w:tcPr>
          <w:p>
            <w:pPr>
              <w:spacing w:after="0"/>
              <w:rPr>
                <w:sz w:val="1"/>
                <w:szCs w:val="1"/>
                <w:color w:val="auto"/>
              </w:rPr>
            </w:pP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Add: dilutive stock options and restricted stock</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67"/>
        </w:trPr>
        <w:tc>
          <w:tcPr>
            <w:tcW w:w="6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Contingently issuable shares excluded from the computation of diluted earnings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because the effect would have been anti-dilutive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Y.</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business is generally organized by product line and geography within four divisions: Americas, Europe, Asia Pacific and Transit Packaging. Within the Americas and European divisions, the Company has determined that it has the following reportable segments: Americas Beverage within the Americas, and European Beverage and European Food within Europe. The Company's Asia Pacific and Transit Packaging Divisions are reportable segments.</w:t>
      </w:r>
    </w:p>
    <w:p>
      <w:pPr>
        <w:spacing w:after="0" w:line="22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Non-reportable segments include the Company’s aerosol can businesses in North America and Europe, the Company's food can business in North America, the Company’s promotional packaging business in Europe and the Company’s tooling and equipment operations in the U.S. and United Kingdom.</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performance and allocates resources based on segment income. Segment income, which is not a defined term under GAAP, is defined by the Company as income from operations adjusted to exclude intangibles amortization charges, provisions for asbestos and restructuring and other, the impact of fair value adjustments related to inventory acquired in an acquisition and the timing impact of hedge ineffectiveness. Segment income should not be considered in isolation or as a substitute for net income data prepared in accordance with GAAP and may not be comparable to calculations of similarly titled measures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information about operating segments for the three years ended December 31, 2019, 2018 and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2"/>
          </w:tcPr>
          <w:p>
            <w:pPr>
              <w:ind w:left="1540"/>
              <w:spacing w:after="0"/>
              <w:rPr>
                <w:sz w:val="20"/>
                <w:szCs w:val="20"/>
                <w:color w:val="auto"/>
              </w:rPr>
            </w:pPr>
            <w:r>
              <w:rPr>
                <w:rFonts w:ascii="Arial" w:cs="Arial" w:eastAsia="Arial" w:hAnsi="Arial"/>
                <w:sz w:val="18"/>
                <w:szCs w:val="18"/>
                <w:color w:val="auto"/>
                <w:w w:val="84"/>
              </w:rPr>
              <w:t>2019</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Inter-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91"/>
        </w:trPr>
        <w:tc>
          <w:tcPr>
            <w:tcW w:w="1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External</w:t>
            </w:r>
          </w:p>
        </w:tc>
        <w:tc>
          <w:tcPr>
            <w:tcW w:w="18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segment</w:t>
            </w: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Segment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88"/>
              </w:rPr>
              <w:t>Segment</w:t>
            </w:r>
          </w:p>
        </w:tc>
      </w:tr>
      <w:tr>
        <w:trPr>
          <w:trHeight w:val="270"/>
        </w:trPr>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sales</w:t>
            </w:r>
          </w:p>
        </w:tc>
        <w:tc>
          <w:tcPr>
            <w:tcW w:w="180" w:type="dxa"/>
            <w:vAlign w:val="bottom"/>
          </w:tcPr>
          <w:p>
            <w:pPr>
              <w:spacing w:after="0"/>
              <w:rPr>
                <w:sz w:val="23"/>
                <w:szCs w:val="2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sales</w:t>
            </w:r>
          </w:p>
        </w:tc>
        <w:tc>
          <w:tcPr>
            <w:tcW w:w="14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3"/>
              </w:rPr>
              <w:t>expenditures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income</w:t>
            </w: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 Beverage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European Beverage</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190</w:t>
            </w: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European Food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194</w:t>
            </w: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Transit Packaging</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r>
      <w:tr>
        <w:trPr>
          <w:trHeight w:val="297"/>
        </w:trPr>
        <w:tc>
          <w:tcPr>
            <w:tcW w:w="34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reportable segments</w:t>
            </w:r>
          </w:p>
        </w:tc>
        <w:tc>
          <w:tcPr>
            <w:tcW w:w="18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10,317</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13,862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1,413</w:t>
            </w:r>
          </w:p>
        </w:tc>
      </w:tr>
      <w:tr>
        <w:trPr>
          <w:trHeight w:val="237"/>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Non-reportable segments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Corporate and unallocated items</w:t>
            </w:r>
          </w:p>
        </w:tc>
        <w:tc>
          <w:tcPr>
            <w:tcW w:w="18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9"/>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00" w:type="dxa"/>
            <w:vAlign w:val="bottom"/>
            <w:gridSpan w:val="2"/>
          </w:tcPr>
          <w:p>
            <w:pPr>
              <w:ind w:left="1540"/>
              <w:spacing w:after="0"/>
              <w:rPr>
                <w:sz w:val="20"/>
                <w:szCs w:val="20"/>
                <w:color w:val="auto"/>
              </w:rPr>
            </w:pPr>
            <w:r>
              <w:rPr>
                <w:rFonts w:ascii="Arial" w:cs="Arial" w:eastAsia="Arial" w:hAnsi="Arial"/>
                <w:sz w:val="18"/>
                <w:szCs w:val="18"/>
                <w:color w:val="auto"/>
                <w:w w:val="84"/>
              </w:rPr>
              <w:t>2018</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Inter-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External</w:t>
            </w:r>
          </w:p>
        </w:tc>
        <w:tc>
          <w:tcPr>
            <w:tcW w:w="16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segment</w:t>
            </w:r>
          </w:p>
        </w:tc>
        <w:tc>
          <w:tcPr>
            <w:tcW w:w="1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Segment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8"/>
              </w:rPr>
              <w:t>Segment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sales</w:t>
            </w:r>
          </w:p>
        </w:tc>
        <w:tc>
          <w:tcPr>
            <w:tcW w:w="160" w:type="dxa"/>
            <w:vAlign w:val="bottom"/>
          </w:tcPr>
          <w:p>
            <w:pPr>
              <w:spacing w:after="0"/>
              <w:rPr>
                <w:sz w:val="23"/>
                <w:szCs w:val="2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expenditures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income</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97"/>
        </w:trPr>
        <w:tc>
          <w:tcPr>
            <w:tcW w:w="34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reportable segments</w:t>
            </w:r>
          </w:p>
        </w:tc>
        <w:tc>
          <w:tcPr>
            <w:tcW w:w="16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9,869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13,858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Corporate and unallocated items</w:t>
            </w:r>
          </w:p>
        </w:tc>
        <w:tc>
          <w:tcPr>
            <w:tcW w:w="16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11,151</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15,262</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1900" w:type="dxa"/>
            <w:vAlign w:val="bottom"/>
            <w:gridSpan w:val="2"/>
          </w:tcPr>
          <w:p>
            <w:pPr>
              <w:ind w:left="1540"/>
              <w:spacing w:after="0"/>
              <w:rPr>
                <w:sz w:val="20"/>
                <w:szCs w:val="20"/>
                <w:color w:val="auto"/>
              </w:rPr>
            </w:pPr>
            <w:r>
              <w:rPr>
                <w:rFonts w:ascii="Arial" w:cs="Arial" w:eastAsia="Arial" w:hAnsi="Arial"/>
                <w:sz w:val="18"/>
                <w:szCs w:val="18"/>
                <w:color w:val="auto"/>
                <w:w w:val="84"/>
              </w:rPr>
              <w:t>2017</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Inter-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External</w:t>
            </w:r>
          </w:p>
        </w:tc>
        <w:tc>
          <w:tcPr>
            <w:tcW w:w="16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segment</w:t>
            </w:r>
          </w:p>
        </w:tc>
        <w:tc>
          <w:tcPr>
            <w:tcW w:w="1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Segment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8"/>
              </w:rPr>
              <w:t>Segment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sales</w:t>
            </w:r>
          </w:p>
        </w:tc>
        <w:tc>
          <w:tcPr>
            <w:tcW w:w="160" w:type="dxa"/>
            <w:vAlign w:val="bottom"/>
          </w:tcPr>
          <w:p>
            <w:pPr>
              <w:spacing w:after="0"/>
              <w:rPr>
                <w:sz w:val="23"/>
                <w:szCs w:val="2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expenditures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income</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Non-reportable segments</w:t>
            </w: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1,201</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1,039</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8,698</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10,663</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items include corporate and division administrative costs, technology costs, and unallocated items such as stock-based compensation.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segment income of reportable segments to income before income taxes for the three years ended December 31, 2019, 2018 and 2017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0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Crown Holdings, Inc.</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4"/>
                <w:szCs w:val="24"/>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80" w:type="dxa"/>
            <w:vAlign w:val="bottom"/>
            <w:vMerge w:val="restart"/>
          </w:tcPr>
          <w:p>
            <w:pPr>
              <w:ind w:left="40"/>
              <w:spacing w:after="0"/>
              <w:rPr>
                <w:sz w:val="20"/>
                <w:szCs w:val="20"/>
                <w:color w:val="auto"/>
              </w:rPr>
            </w:pPr>
            <w:r>
              <w:rPr>
                <w:rFonts w:ascii="Arial" w:cs="Arial" w:eastAsia="Arial" w:hAnsi="Arial"/>
                <w:sz w:val="18"/>
                <w:szCs w:val="18"/>
                <w:color w:val="auto"/>
              </w:rPr>
              <w:t>Segment income of reportable segments</w:t>
            </w:r>
          </w:p>
        </w:tc>
        <w:tc>
          <w:tcPr>
            <w:tcW w:w="1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1,413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1,345</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 of non-reportable segments</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Corporate and unallocated items</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asbestos</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early extinguishments of debt</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Fair value adjustment to inventory</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pension and postretirement</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(384)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740</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years ended December 31, 2019, 2018 and 2017, intercompany profit of $6, $7 and $8 was eliminated within segment income of non-reportable segments.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years ended December 31, 2019, 2018 and 2017, no one customer accounted for more than 10% of the Company's consolidated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Sales by major product were: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 beverage cans and ends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Metal food cans and ends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2,435</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2,452</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2,331</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 packaging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metal packaging</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4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11,151</w:t>
            </w:r>
          </w:p>
        </w:tc>
        <w:tc>
          <w:tcPr>
            <w:tcW w:w="4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8,698</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sales and long-lived asset information for the major countries in which the Company operates. Long-lived assets includes property, plant and equipment.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4"/>
          </w:tcPr>
          <w:p>
            <w:pPr>
              <w:jc w:val="right"/>
              <w:ind w:right="310"/>
              <w:spacing w:after="0"/>
              <w:rPr>
                <w:sz w:val="20"/>
                <w:szCs w:val="20"/>
                <w:color w:val="auto"/>
              </w:rPr>
            </w:pPr>
            <w:r>
              <w:rPr>
                <w:rFonts w:ascii="Arial" w:cs="Arial" w:eastAsia="Arial" w:hAnsi="Arial"/>
                <w:sz w:val="18"/>
                <w:szCs w:val="18"/>
                <w:color w:val="auto"/>
              </w:rPr>
              <w:t>Long-Lived Assets</w:t>
            </w:r>
          </w:p>
        </w:tc>
      </w:tr>
      <w:tr>
        <w:trPr>
          <w:trHeight w:val="27"/>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Mexico</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5,287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1,782</w:t>
            </w: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11,151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35"/>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Z.</w:t>
      </w:r>
      <w:r>
        <w:rPr>
          <w:sz w:val="20"/>
          <w:szCs w:val="20"/>
          <w:color w:val="auto"/>
        </w:rPr>
        <w:tab/>
      </w:r>
      <w:r>
        <w:rPr>
          <w:rFonts w:ascii="Arial" w:cs="Arial" w:eastAsia="Arial" w:hAnsi="Arial"/>
          <w:sz w:val="16"/>
          <w:szCs w:val="16"/>
          <w:b w:val="1"/>
          <w:bCs w:val="1"/>
          <w:color w:val="auto"/>
        </w:rPr>
        <w:t>Condensed Combining Financial Information</w:t>
      </w:r>
    </w:p>
    <w:p>
      <w:pPr>
        <w:spacing w:after="0" w:line="310"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Crown Cork &amp; Seal Company, Inc. (Issuer), a wholly owned subsidiary, has $350 principal amount of 7.375% senior notes due 2026 and $40 principal amount of 7.5% senior notes due 2096 outstanding that are fully and unconditionally guaranteed by Crown Holdings, Inc. (Parent). No other subsidiary guarantees the debt. The following condensed combining financial statements:</w:t>
      </w:r>
    </w:p>
    <w:p>
      <w:pPr>
        <w:spacing w:after="0" w:line="181" w:lineRule="exact"/>
        <w:rPr>
          <w:sz w:val="20"/>
          <w:szCs w:val="20"/>
          <w:color w:val="auto"/>
        </w:rPr>
      </w:pPr>
    </w:p>
    <w:p>
      <w:pPr>
        <w:ind w:left="720" w:hanging="63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Statements of Comprehensive Income and Cash Flows for the years ended December 31, 2019, 2018, 2017, and</w:t>
      </w:r>
    </w:p>
    <w:p>
      <w:pPr>
        <w:spacing w:after="0" w:line="23" w:lineRule="exact"/>
        <w:rPr>
          <w:rFonts w:ascii="Arial" w:cs="Arial" w:eastAsia="Arial" w:hAnsi="Arial"/>
          <w:sz w:val="18"/>
          <w:szCs w:val="18"/>
          <w:color w:val="auto"/>
        </w:rPr>
      </w:pPr>
    </w:p>
    <w:p>
      <w:pPr>
        <w:ind w:left="720" w:hanging="63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Balance Sheets as of December 31, 2019 and December 31, 2018</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w w:val="94"/>
              </w:rPr>
              <w:t>Cost of products sold, excluding depreciation and amortization</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Equity in net earnings of affiliates</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4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4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w w:val="94"/>
              </w:rPr>
              <w:t>Comprehensive income attributable to noncontrolling interests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9040" w:type="dxa"/>
            <w:vAlign w:val="bottom"/>
            <w:gridSpan w:val="11"/>
          </w:tcPr>
          <w:p>
            <w:pPr>
              <w:jc w:val="center"/>
              <w:ind w:left="2290"/>
              <w:spacing w:after="0"/>
              <w:rPr>
                <w:sz w:val="20"/>
                <w:szCs w:val="20"/>
                <w:color w:val="auto"/>
              </w:rPr>
            </w:pPr>
            <w:r>
              <w:rPr>
                <w:rFonts w:ascii="Arial" w:cs="Arial" w:eastAsia="Arial" w:hAnsi="Arial"/>
                <w:sz w:val="18"/>
                <w:szCs w:val="18"/>
                <w:b w:val="1"/>
                <w:bCs w:val="1"/>
                <w:color w:val="auto"/>
              </w:rPr>
              <w:t>CONDENSED COMBINING STATEMENT OF COMPREHENSIVE INCOME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gridSpan w:val="6"/>
          </w:tcPr>
          <w:p>
            <w:pPr>
              <w:jc w:val="center"/>
              <w:ind w:left="403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w w:val="94"/>
              </w:rPr>
              <w:t>Cost of products sold, excluding depreciation and amortization</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Equity in net earnings of affiliates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365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in net earnings of affiliates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 right-of-use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Crown Holdings shareholders’ equity</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90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91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9"/>
              </w:rPr>
              <w:t>Acquisition of businesses, net of cash acquired</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Payments of finance leases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9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Contribution from noncontrolling interests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7"/>
              </w:rPr>
              <w:t>Net change in cash, cash equivalents, and restricted</w:t>
            </w: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Cash, cash equivalents, and restricted cash at January 1</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980" w:type="dxa"/>
            <w:vAlign w:val="bottom"/>
            <w:tcBorders>
              <w:top w:val="single" w:sz="8" w:color="auto"/>
            </w:tcBorders>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92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Parent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Acquisition of businesses,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Net investment hedge settlements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7"/>
              </w:rPr>
              <w:t>Net change in cash, cash equivalents, and restricted</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Cash, cash equivalents, and restricted cash at January 1</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1020" w:type="dxa"/>
            <w:vAlign w:val="bottom"/>
            <w:tcBorders>
              <w:top w:val="single" w:sz="8" w:color="auto"/>
            </w:tcBorders>
            <w:vMerge w:val="restart"/>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93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40" w:type="dxa"/>
            <w:vAlign w:val="bottom"/>
            <w:tcBorders>
              <w:top w:val="single" w:sz="8" w:color="auto"/>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7"/>
              </w:rPr>
              <w:t>Net change in cash, cash equivalents, and restricted</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94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Cash, cash equivalents, and restricted cash at January 1</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940" w:type="dxa"/>
            <w:vAlign w:val="bottom"/>
            <w:tcBorders>
              <w:top w:val="single" w:sz="8" w:color="auto"/>
            </w:tcBorders>
            <w:vMerge w:val="restart"/>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Crown Americas, LLC, Crown Americas Capital Corp. II, Crown Americas Capital Corp. III and Crown Americas Capital Corp. V (collectively, the Issuers), wholly owned subsidiaries of the Company, have outstanding $1,000 principal amount of 4.5% senior notes due 2023, $400 principal amount of 4.25% senior notes due 2026, and $875 principal amount of 4.75% senior notes due 2026 which are fully and unconditionally guaranteed by Crown Holdings, Inc. (Parent) and substantially all subsidiaries in the United States. The guarantors are wholly owned by the Company and the guarantees are made on a joint and several basis. The following condensed combining financial statements:</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Statements of Comprehensive Income and Cash Flows for the years ended December 31, 2018, 2018, 2016,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Balance Sheets as of December 31, 2019 and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51"/>
              <w:spacing w:after="0"/>
              <w:rPr>
                <w:sz w:val="20"/>
                <w:szCs w:val="20"/>
                <w:color w:val="auto"/>
              </w:rPr>
            </w:pPr>
            <w:r>
              <w:rPr>
                <w:rFonts w:ascii="Arial" w:cs="Arial" w:eastAsia="Arial" w:hAnsi="Arial"/>
                <w:sz w:val="18"/>
                <w:szCs w:val="18"/>
                <w:color w:val="auto"/>
                <w:w w:val="79"/>
              </w:rPr>
              <w:t>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60" w:top="121"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Crown Holdings shareholders’ equity</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4,209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6"/>
              </w:rPr>
              <w:t>Acquisition of businesses, net of cash acquired</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finance leases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from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equivalents, and restricted cash</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change in cash, cash equivalents, and restricted</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January 1</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9"/>
              </w:rPr>
              <w:t>Cash, cash equivalents, and restricted cash at</w:t>
            </w:r>
          </w:p>
        </w:tc>
        <w:tc>
          <w:tcPr>
            <w:tcW w:w="800" w:type="dxa"/>
            <w:vAlign w:val="bottom"/>
            <w:vMerge w:val="restart"/>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80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provided by/(used for) operating activities</w:t>
            </w: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Acquisition of businesses, net of cash acquired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 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Capital contribution</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4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4"/>
              </w:rPr>
              <w:t>Net change in cash, cash equivalents, and restricted</w:t>
            </w: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8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w:t>
            </w:r>
          </w:p>
        </w:tc>
        <w:tc>
          <w:tcPr>
            <w:tcW w:w="8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9"/>
              </w:rPr>
              <w:t>Cash, cash equivalents, and restricted cash at</w:t>
            </w:r>
          </w:p>
        </w:tc>
        <w:tc>
          <w:tcPr>
            <w:tcW w:w="840" w:type="dxa"/>
            <w:vAlign w:val="bottom"/>
            <w:tcBorders>
              <w:top w:val="single" w:sz="8" w:color="auto"/>
            </w:tcBorders>
            <w:vMerge w:val="restart"/>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provided by/(used for) operating activities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4"/>
              </w:rPr>
              <w:t>Net change in cash, cash equivalents, and restricted</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9"/>
              </w:rPr>
              <w:t>Cash, cash equivalents, and restricted cash at</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Data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3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r>
      <w:tr>
        <w:trPr>
          <w:trHeight w:val="270"/>
        </w:trPr>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 xml:space="preserve">First </w:t>
            </w:r>
            <w:r>
              <w:rPr>
                <w:rFonts w:ascii="Arial" w:cs="Arial" w:eastAsia="Arial" w:hAnsi="Arial"/>
                <w:sz w:val="12"/>
                <w:szCs w:val="12"/>
                <w:color w:val="auto"/>
              </w:rPr>
              <w:t>(1)</w:t>
            </w:r>
          </w:p>
        </w:tc>
        <w:tc>
          <w:tcPr>
            <w:tcW w:w="14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 xml:space="preserve">Second </w:t>
            </w:r>
            <w:r>
              <w:rPr>
                <w:rFonts w:ascii="Arial" w:cs="Arial" w:eastAsia="Arial" w:hAnsi="Arial"/>
                <w:sz w:val="12"/>
                <w:szCs w:val="12"/>
                <w:color w:val="auto"/>
              </w:rPr>
              <w:t>(2)</w:t>
            </w:r>
          </w:p>
        </w:tc>
        <w:tc>
          <w:tcPr>
            <w:tcW w:w="16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 xml:space="preserve">Third </w:t>
            </w:r>
            <w:r>
              <w:rPr>
                <w:rFonts w:ascii="Arial" w:cs="Arial" w:eastAsia="Arial" w:hAnsi="Arial"/>
                <w:sz w:val="12"/>
                <w:szCs w:val="12"/>
                <w:color w:val="auto"/>
              </w:rPr>
              <w:t>(3)</w:t>
            </w:r>
          </w:p>
        </w:tc>
        <w:tc>
          <w:tcPr>
            <w:tcW w:w="140" w:type="dxa"/>
            <w:vAlign w:val="bottom"/>
          </w:tcPr>
          <w:p>
            <w:pPr>
              <w:spacing w:after="0"/>
              <w:rPr>
                <w:sz w:val="23"/>
                <w:szCs w:val="23"/>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 xml:space="preserve">Fourth </w:t>
            </w:r>
            <w:r>
              <w:rPr>
                <w:rFonts w:ascii="Arial" w:cs="Arial" w:eastAsia="Arial" w:hAnsi="Arial"/>
                <w:sz w:val="12"/>
                <w:szCs w:val="12"/>
                <w:color w:val="auto"/>
              </w:rPr>
              <w:t>(4)</w:t>
            </w:r>
          </w:p>
        </w:tc>
        <w:tc>
          <w:tcPr>
            <w:tcW w:w="180" w:type="dxa"/>
            <w:vAlign w:val="bottom"/>
          </w:tcPr>
          <w:p>
            <w:pPr>
              <w:spacing w:after="0"/>
              <w:rPr>
                <w:sz w:val="23"/>
                <w:szCs w:val="23"/>
                <w:color w:val="auto"/>
              </w:rPr>
            </w:pPr>
          </w:p>
        </w:tc>
        <w:tc>
          <w:tcPr>
            <w:tcW w:w="840" w:type="dxa"/>
            <w:vAlign w:val="bottom"/>
            <w:gridSpan w:val="2"/>
          </w:tcPr>
          <w:p>
            <w:pPr>
              <w:ind w:left="60"/>
              <w:spacing w:after="0" w:line="270" w:lineRule="exact"/>
              <w:rPr>
                <w:sz w:val="20"/>
                <w:szCs w:val="20"/>
                <w:color w:val="auto"/>
              </w:rPr>
            </w:pPr>
            <w:r>
              <w:rPr>
                <w:rFonts w:ascii="Arial" w:cs="Arial" w:eastAsia="Arial" w:hAnsi="Arial"/>
                <w:sz w:val="14"/>
                <w:szCs w:val="14"/>
                <w:color w:val="auto"/>
              </w:rPr>
              <w:t xml:space="preserve">First </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 xml:space="preserve">Second </w:t>
            </w:r>
            <w:r>
              <w:rPr>
                <w:rFonts w:ascii="Arial" w:cs="Arial" w:eastAsia="Arial" w:hAnsi="Arial"/>
                <w:sz w:val="12"/>
                <w:szCs w:val="12"/>
                <w:color w:val="auto"/>
              </w:rPr>
              <w:t>(6)</w:t>
            </w:r>
          </w:p>
        </w:tc>
        <w:tc>
          <w:tcPr>
            <w:tcW w:w="16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 xml:space="preserve">Third </w:t>
            </w:r>
            <w:r>
              <w:rPr>
                <w:rFonts w:ascii="Arial" w:cs="Arial" w:eastAsia="Arial" w:hAnsi="Arial"/>
                <w:sz w:val="12"/>
                <w:szCs w:val="12"/>
                <w:color w:val="auto"/>
              </w:rPr>
              <w:t>(7)</w:t>
            </w:r>
          </w:p>
        </w:tc>
        <w:tc>
          <w:tcPr>
            <w:tcW w:w="16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w w:val="94"/>
              </w:rPr>
              <w:t xml:space="preserve">Fourth </w:t>
            </w:r>
            <w:r>
              <w:rPr>
                <w:rFonts w:ascii="Arial" w:cs="Arial" w:eastAsia="Arial" w:hAnsi="Arial"/>
                <w:sz w:val="12"/>
                <w:szCs w:val="12"/>
                <w:color w:val="auto"/>
                <w:w w:val="94"/>
              </w:rPr>
              <w:t>(8)</w:t>
            </w:r>
          </w:p>
        </w:tc>
      </w:tr>
      <w:tr>
        <w:trPr>
          <w:trHeight w:val="244"/>
        </w:trPr>
        <w:tc>
          <w:tcPr>
            <w:tcW w:w="3360" w:type="dxa"/>
            <w:vAlign w:val="bottom"/>
            <w:tcBorders>
              <w:top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2,734</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390</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r>
      <w:tr>
        <w:trPr>
          <w:trHeight w:val="229"/>
        </w:trPr>
        <w:tc>
          <w:tcPr>
            <w:tcW w:w="3360" w:type="dxa"/>
            <w:vAlign w:val="bottom"/>
          </w:tcPr>
          <w:p>
            <w:pPr>
              <w:ind w:left="40"/>
              <w:spacing w:after="0"/>
              <w:rPr>
                <w:sz w:val="20"/>
                <w:szCs w:val="20"/>
                <w:color w:val="auto"/>
              </w:rPr>
            </w:pPr>
            <w:r>
              <w:rPr>
                <w:rFonts w:ascii="Arial" w:cs="Arial" w:eastAsia="Arial" w:hAnsi="Arial"/>
                <w:sz w:val="18"/>
                <w:szCs w:val="18"/>
                <w:color w:val="auto"/>
              </w:rPr>
              <w:t>Net income (loss) attributable to Crown</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3360" w:type="dxa"/>
            <w:vAlign w:val="bottom"/>
          </w:tcPr>
          <w:p>
            <w:pPr>
              <w:ind w:left="40"/>
              <w:spacing w:after="0"/>
              <w:rPr>
                <w:sz w:val="20"/>
                <w:szCs w:val="20"/>
                <w:color w:val="auto"/>
              </w:rPr>
            </w:pPr>
            <w:r>
              <w:rPr>
                <w:rFonts w:ascii="Arial" w:cs="Arial" w:eastAsia="Arial" w:hAnsi="Arial"/>
                <w:sz w:val="18"/>
                <w:szCs w:val="18"/>
                <w:color w:val="auto"/>
              </w:rPr>
              <w:t>Holdings</w:t>
            </w:r>
          </w:p>
        </w:tc>
        <w:tc>
          <w:tcPr>
            <w:tcW w:w="16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53</w:t>
            </w:r>
          </w:p>
        </w:tc>
      </w:tr>
      <w:tr>
        <w:trPr>
          <w:trHeight w:val="27"/>
        </w:trPr>
        <w:tc>
          <w:tcPr>
            <w:tcW w:w="3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average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0.40</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60" w:type="dxa"/>
            <w:vAlign w:val="bottom"/>
            <w:tcBorders>
              <w:bottom w:val="single" w:sz="8" w:color="CCEEFF"/>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Average common shares outstanding:</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60" w:type="dxa"/>
            <w:vAlign w:val="bottom"/>
            <w:tcBorders>
              <w:bottom w:val="single" w:sz="8" w:color="CCEEFF"/>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43"/>
        </w:trPr>
        <w:tc>
          <w:tcPr>
            <w:tcW w:w="3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134.1</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The Company defines gross profit as net sales less cost of products sold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29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pre-tax charges of $4 for restructuring and other and $6 from early extinguishment of debt and a pension plan curtailment gain of $14.</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pre-tax gains of $45 for restructuring and other, and charges of $31 for a pension plan settlement and $15 to settle a tax contingency.</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pre-tax charges of $6 for pension plan settlements.</w:t>
      </w:r>
    </w:p>
    <w:p>
      <w:pPr>
        <w:spacing w:after="0" w:line="9" w:lineRule="exact"/>
        <w:rPr>
          <w:rFonts w:ascii="Arial" w:cs="Arial" w:eastAsia="Arial" w:hAnsi="Arial"/>
          <w:sz w:val="18"/>
          <w:szCs w:val="18"/>
          <w:color w:val="auto"/>
        </w:rPr>
      </w:pPr>
    </w:p>
    <w:p>
      <w:pPr>
        <w:ind w:left="540" w:right="60" w:hanging="316"/>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pre-tax charges of $25 for a goodwill impairment, $15 for restructuring and other and $7 for pension plan settlements. Also, includes income tax benefits of $37 primarily related to a deferred tax valuation allowance release.</w:t>
      </w: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pre-tax charges of $13 for restructuring and other and $24 for acquisition costs.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pre-tax charges of $40 for fair value adjustment to inventory and $16 for restructuring and other.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a pre-tax benefit of $1 for restructuring and other and income tax charges of $28 related to taxes on distributions of foreign earnings.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pre-tax charges of $16 for restructuring and other and $42 for pension plan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1"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II – VALUATION AND QUALIFYING ACCOUNTS AND RESERVES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33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COLUMN A</w:t>
            </w:r>
          </w:p>
        </w:tc>
        <w:tc>
          <w:tcPr>
            <w:tcW w:w="138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8"/>
              </w:rPr>
              <w:t>COLUMN B</w:t>
            </w:r>
          </w:p>
        </w:tc>
        <w:tc>
          <w:tcPr>
            <w:tcW w:w="880" w:type="dxa"/>
            <w:vAlign w:val="bottom"/>
            <w:tcBorders>
              <w:top w:val="single" w:sz="8" w:color="auto"/>
            </w:tcBorders>
          </w:tcPr>
          <w:p>
            <w:pPr>
              <w:spacing w:after="0"/>
              <w:rPr>
                <w:sz w:val="18"/>
                <w:szCs w:val="18"/>
                <w:color w:val="auto"/>
              </w:rPr>
            </w:pPr>
          </w:p>
        </w:tc>
        <w:tc>
          <w:tcPr>
            <w:tcW w:w="1840" w:type="dxa"/>
            <w:vAlign w:val="bottom"/>
            <w:tcBorders>
              <w:top w:val="single" w:sz="8" w:color="auto"/>
              <w:right w:val="single" w:sz="8" w:color="auto"/>
            </w:tcBorders>
            <w:gridSpan w:val="3"/>
          </w:tcPr>
          <w:p>
            <w:pPr>
              <w:jc w:val="center"/>
              <w:ind w:right="880"/>
              <w:spacing w:after="0"/>
              <w:rPr>
                <w:sz w:val="20"/>
                <w:szCs w:val="20"/>
                <w:color w:val="auto"/>
              </w:rPr>
            </w:pPr>
            <w:r>
              <w:rPr>
                <w:rFonts w:ascii="Arial" w:cs="Arial" w:eastAsia="Arial" w:hAnsi="Arial"/>
                <w:sz w:val="18"/>
                <w:szCs w:val="18"/>
                <w:color w:val="auto"/>
                <w:w w:val="99"/>
              </w:rPr>
              <w:t>COLUMN C</w:t>
            </w:r>
          </w:p>
        </w:tc>
        <w:tc>
          <w:tcPr>
            <w:tcW w:w="1360" w:type="dxa"/>
            <w:vAlign w:val="bottom"/>
            <w:tcBorders>
              <w:top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COLUMN D</w:t>
            </w:r>
          </w:p>
        </w:tc>
        <w:tc>
          <w:tcPr>
            <w:tcW w:w="12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COLUMN E</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7"/>
              </w:rPr>
              <w:t>COLUMN F</w:t>
            </w:r>
          </w:p>
        </w:tc>
      </w:tr>
      <w:tr>
        <w:trPr>
          <w:trHeight w:val="291"/>
        </w:trPr>
        <w:tc>
          <w:tcPr>
            <w:tcW w:w="40" w:type="dxa"/>
            <w:vAlign w:val="bottom"/>
            <w:tcBorders>
              <w:lef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7"/>
              </w:rPr>
              <w:t>Additions</w:t>
            </w:r>
          </w:p>
        </w:tc>
        <w:tc>
          <w:tcPr>
            <w:tcW w:w="8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6"/>
              </w:rPr>
              <w:t>Balance at</w:t>
            </w:r>
          </w:p>
        </w:tc>
        <w:tc>
          <w:tcPr>
            <w:tcW w:w="88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beginning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Charged to costs</w:t>
            </w:r>
          </w:p>
        </w:tc>
        <w:tc>
          <w:tcPr>
            <w:tcW w:w="13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7"/>
              </w:rPr>
              <w:t>Charged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1"/>
              </w:rPr>
              <w:t>Deductions</w:t>
            </w:r>
          </w:p>
        </w:tc>
        <w:tc>
          <w:tcPr>
            <w:tcW w:w="22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 at</w:t>
            </w:r>
          </w:p>
        </w:tc>
      </w:tr>
      <w:tr>
        <w:trPr>
          <w:trHeight w:val="230"/>
        </w:trPr>
        <w:tc>
          <w:tcPr>
            <w:tcW w:w="40" w:type="dxa"/>
            <w:vAlign w:val="bottom"/>
            <w:tcBorders>
              <w:left w:val="single" w:sz="8" w:color="auto"/>
            </w:tcBorders>
          </w:tcPr>
          <w:p>
            <w:pPr>
              <w:spacing w:after="0"/>
              <w:rPr>
                <w:sz w:val="20"/>
                <w:szCs w:val="20"/>
                <w:color w:val="auto"/>
              </w:rPr>
            </w:pPr>
          </w:p>
        </w:tc>
        <w:tc>
          <w:tcPr>
            <w:tcW w:w="3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200" w:type="dxa"/>
            <w:vAlign w:val="bottom"/>
          </w:tcPr>
          <w:p>
            <w:pPr>
              <w:spacing w:after="0"/>
              <w:rPr>
                <w:sz w:val="20"/>
                <w:szCs w:val="20"/>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period</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5"/>
              </w:rPr>
              <w:t>and expense</w:t>
            </w:r>
          </w:p>
        </w:tc>
        <w:tc>
          <w:tcPr>
            <w:tcW w:w="13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other accounts</w:t>
            </w:r>
          </w:p>
        </w:tc>
        <w:tc>
          <w:tcPr>
            <w:tcW w:w="200" w:type="dxa"/>
            <w:vAlign w:val="bottom"/>
          </w:tcPr>
          <w:p>
            <w:pPr>
              <w:spacing w:after="0"/>
              <w:rPr>
                <w:sz w:val="20"/>
                <w:szCs w:val="20"/>
                <w:color w:val="auto"/>
              </w:rPr>
            </w:pPr>
          </w:p>
        </w:tc>
        <w:tc>
          <w:tcPr>
            <w:tcW w:w="1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5"/>
              </w:rPr>
              <w:t>– write-offs</w:t>
            </w:r>
          </w:p>
        </w:tc>
        <w:tc>
          <w:tcPr>
            <w:tcW w:w="1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end of period</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 which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rPr>
              <w:t>Trade accounts receivable</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7"/>
        </w:trPr>
        <w:tc>
          <w:tcPr>
            <w:tcW w:w="2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243</w:t>
            </w: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7"/>
        </w:trPr>
        <w:tc>
          <w:tcPr>
            <w:tcW w:w="2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 which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Trade accounts receivable</w:t>
            </w:r>
          </w:p>
        </w:tc>
        <w:tc>
          <w:tcPr>
            <w:tcW w:w="2080" w:type="dxa"/>
            <w:vAlign w:val="bottom"/>
          </w:tcPr>
          <w:p>
            <w:pPr>
              <w:jc w:val="right"/>
              <w:ind w:right="530"/>
              <w:spacing w:after="0"/>
              <w:rPr>
                <w:sz w:val="20"/>
                <w:szCs w:val="20"/>
                <w:color w:val="auto"/>
              </w:rPr>
            </w:pPr>
            <w:r>
              <w:rPr>
                <w:rFonts w:ascii="Arial" w:cs="Arial" w:eastAsia="Arial" w:hAnsi="Arial"/>
                <w:sz w:val="18"/>
                <w:szCs w:val="18"/>
                <w:color w:val="auto"/>
              </w:rPr>
              <w:t>71</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7</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3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80" w:type="dxa"/>
            <w:vAlign w:val="bottom"/>
          </w:tcPr>
          <w:p>
            <w:pPr>
              <w:jc w:val="right"/>
              <w:ind w:right="530"/>
              <w:spacing w:after="0"/>
              <w:rPr>
                <w:sz w:val="20"/>
                <w:szCs w:val="20"/>
                <w:color w:val="auto"/>
              </w:rPr>
            </w:pPr>
            <w:r>
              <w:rPr>
                <w:rFonts w:ascii="Arial" w:cs="Arial" w:eastAsia="Arial" w:hAnsi="Arial"/>
                <w:sz w:val="18"/>
                <w:szCs w:val="18"/>
                <w:color w:val="auto"/>
              </w:rPr>
              <w:t>228</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76</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282</w:t>
            </w:r>
          </w:p>
        </w:tc>
      </w:tr>
      <w:tr>
        <w:trPr>
          <w:trHeight w:val="27"/>
        </w:trPr>
        <w:tc>
          <w:tcPr>
            <w:tcW w:w="3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 which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Trade accounts receivable</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76</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1280" w:type="dxa"/>
            <w:vAlign w:val="bottom"/>
          </w:tcPr>
          <w:p>
            <w:pPr>
              <w:ind w:left="6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7"/>
        </w:trPr>
        <w:tc>
          <w:tcPr>
            <w:tcW w:w="3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225</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Pr>
          <w:p>
            <w:pPr>
              <w:ind w:left="6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228</w:t>
            </w:r>
          </w:p>
        </w:tc>
      </w:tr>
      <w:tr>
        <w:trPr>
          <w:trHeight w:val="27"/>
        </w:trPr>
        <w:tc>
          <w:tcPr>
            <w:tcW w:w="3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tcBorders>
              <w:bottom w:val="single" w:sz="8" w:color="auto"/>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ectPr>
          <w:pgSz w:w="11900" w:h="16838" w:orient="portrait"/>
          <w:cols w:equalWidth="0" w:num="1">
            <w:col w:w="11420"/>
          </w:cols>
          <w:pgMar w:left="240" w:top="121"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 on internal control over financial reporting is included in Part II, Item 8 of this Annual Report on Form 10-K.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has been no change in internal control over financial reporting that occurred during the quarter ended December 31, 2019 that has materially affected, or is reasonably likely to materially affect, the Company’s internal control over financial reporting.</w:t>
      </w:r>
    </w:p>
    <w:p>
      <w:pPr>
        <w:spacing w:after="0" w:line="33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91"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“Section 16(a) Beneficial Ownership Reporting Compliance” and “Corporate Governance”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the principal executive officers of the Company, including their ages and positions.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60" w:type="dxa"/>
            <w:vAlign w:val="bottom"/>
            <w:gridSpan w:val="2"/>
          </w:tcPr>
          <w:p>
            <w:pPr>
              <w:ind w:left="1040"/>
              <w:spacing w:after="0"/>
              <w:rPr>
                <w:sz w:val="20"/>
                <w:szCs w:val="20"/>
                <w:color w:val="auto"/>
              </w:rPr>
            </w:pPr>
            <w:r>
              <w:rPr>
                <w:rFonts w:ascii="Arial" w:cs="Arial" w:eastAsia="Arial" w:hAnsi="Arial"/>
                <w:sz w:val="18"/>
                <w:szCs w:val="18"/>
                <w:b w:val="1"/>
                <w:bCs w:val="1"/>
                <w:color w:val="auto"/>
                <w:w w:val="95"/>
              </w:rPr>
              <w:t>Year Assumed</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Age</w:t>
            </w:r>
          </w:p>
        </w:tc>
        <w:tc>
          <w:tcPr>
            <w:tcW w:w="5080" w:type="dxa"/>
            <w:vAlign w:val="bottom"/>
            <w:gridSpan w:val="3"/>
          </w:tcPr>
          <w:p>
            <w:pPr>
              <w:ind w:left="2880"/>
              <w:spacing w:after="0"/>
              <w:rPr>
                <w:sz w:val="20"/>
                <w:szCs w:val="20"/>
                <w:color w:val="auto"/>
              </w:rPr>
            </w:pPr>
            <w:r>
              <w:rPr>
                <w:rFonts w:ascii="Arial" w:cs="Arial" w:eastAsia="Arial" w:hAnsi="Arial"/>
                <w:sz w:val="18"/>
                <w:szCs w:val="18"/>
                <w:b w:val="1"/>
                <w:bCs w:val="1"/>
                <w:color w:val="auto"/>
              </w:rPr>
              <w:t>Title</w:t>
            </w:r>
          </w:p>
        </w:tc>
        <w:tc>
          <w:tcPr>
            <w:tcW w:w="12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Present Title</w:t>
            </w:r>
          </w:p>
        </w:tc>
      </w:tr>
      <w:tr>
        <w:trPr>
          <w:trHeight w:val="20"/>
        </w:trPr>
        <w:tc>
          <w:tcPr>
            <w:tcW w:w="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561"/>
        </w:trPr>
        <w:tc>
          <w:tcPr>
            <w:tcW w:w="224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2016</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Gerard H. Gifford</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64</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and Chief Operating Officer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2017</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Djalma Novaes, Jr.</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Americas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2015</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Didier Sourisseau</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54</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European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2017</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Hock Huat Goh</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65</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Asia Pacific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2018</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Robert H. Bourque, Jr.</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Transit Packaging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2018</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Thomas A. Kelly</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2013</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David A. Beaver</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Vice President and Corporate Controller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2015</w:t>
            </w:r>
          </w:p>
        </w:tc>
      </w:tr>
    </w:tbl>
    <w:p>
      <w:pPr>
        <w:spacing w:after="0" w:line="39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“Executive Compensation,” “Compensation Discussion and Analysis” and “Corporate Governance”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20" w:right="640" w:hanging="1404"/>
        <w:spacing w:after="0" w:line="277" w:lineRule="auto"/>
        <w:tabs>
          <w:tab w:leader="none" w:pos="140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8"/>
          <w:szCs w:val="18"/>
          <w:u w:val="single" w:color="auto"/>
          <w:color w:val="auto"/>
        </w:rPr>
        <w:t>SECURITY OWNERSHIP OF CERTAIN BENEFICIAL OWNERS AND MANAGEMENT AND RELATED STOCKHOLDER MATTERS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required by this Item is set forth in the Company’s Proxy Statement within the sections entitled “Proxy Statement – Meeting, April 23, 2020” and “Common Stock Ownership of Certain Beneficial Owners, Directors and Executive Officers” and is incorporated herein by reference.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as of December 31, 2019 with respect to shares of the Company’s Common Stock that may be issued under its equity compensation plans:</w:t>
      </w:r>
    </w:p>
    <w:p>
      <w:pPr>
        <w:spacing w:after="0" w:line="33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4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Equity Compensation Plan Information</w:t>
            </w:r>
          </w:p>
        </w:tc>
        <w:tc>
          <w:tcPr>
            <w:tcW w:w="200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2"/>
              </w:rPr>
              <w:t>Remaining Available</w:t>
            </w:r>
          </w:p>
        </w:tc>
      </w:tr>
      <w:tr>
        <w:trPr>
          <w:trHeight w:val="216"/>
        </w:trPr>
        <w:tc>
          <w:tcPr>
            <w:tcW w:w="3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88"/>
              </w:rPr>
              <w:t>For Future Issuance</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70"/>
              <w:spacing w:after="0"/>
              <w:rPr>
                <w:sz w:val="20"/>
                <w:szCs w:val="20"/>
                <w:color w:val="auto"/>
              </w:rPr>
            </w:pPr>
            <w:r>
              <w:rPr>
                <w:rFonts w:ascii="Arial" w:cs="Arial" w:eastAsia="Arial" w:hAnsi="Arial"/>
                <w:sz w:val="18"/>
                <w:szCs w:val="18"/>
                <w:color w:val="auto"/>
                <w:w w:val="91"/>
              </w:rPr>
              <w:t>Number of Securities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94"/>
              </w:rPr>
              <w:t>Under Equity</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90"/>
              </w:rPr>
              <w:t>to be Issued Upon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Weighted average Exercise</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89"/>
              </w:rPr>
              <w:t>Compensation</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70"/>
              <w:spacing w:after="0"/>
              <w:rPr>
                <w:sz w:val="20"/>
                <w:szCs w:val="20"/>
                <w:color w:val="auto"/>
              </w:rPr>
            </w:pPr>
            <w:r>
              <w:rPr>
                <w:rFonts w:ascii="Arial" w:cs="Arial" w:eastAsia="Arial" w:hAnsi="Arial"/>
                <w:sz w:val="18"/>
                <w:szCs w:val="18"/>
                <w:color w:val="auto"/>
                <w:w w:val="91"/>
              </w:rPr>
              <w:t>Exercise of Outstanding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Price of</w:t>
            </w: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90"/>
              </w:rPr>
              <w:t>Plans (Excluding</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90"/>
              </w:rPr>
              <w:t>Options, Warrants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Outstanding Options,</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89"/>
              </w:rPr>
              <w:t>Securities Reflected</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88"/>
              </w:rPr>
              <w:t>and Rights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Warrants and Rights</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3"/>
              </w:rPr>
              <w:t>In Column (a))</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Plan category</w:t>
            </w: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(b)</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5"/>
              </w:rPr>
              <w:t>(c)</w:t>
            </w:r>
          </w:p>
        </w:tc>
      </w:tr>
      <w:tr>
        <w:trPr>
          <w:trHeight w:val="27"/>
        </w:trPr>
        <w:tc>
          <w:tcPr>
            <w:tcW w:w="3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w:t>
            </w:r>
          </w:p>
        </w:tc>
        <w:tc>
          <w:tcPr>
            <w:tcW w:w="2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approved by security holders</w:t>
            </w:r>
          </w:p>
        </w:tc>
        <w:tc>
          <w:tcPr>
            <w:tcW w:w="20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2"/>
              </w:rPr>
              <w:t>630,736</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3,436,265</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Equity compensation plans not</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3500" w:type="dxa"/>
            <w:vAlign w:val="bottom"/>
          </w:tcPr>
          <w:p>
            <w:pPr>
              <w:ind w:left="160"/>
              <w:spacing w:after="0"/>
              <w:rPr>
                <w:sz w:val="20"/>
                <w:szCs w:val="20"/>
                <w:color w:val="auto"/>
              </w:rPr>
            </w:pPr>
            <w:r>
              <w:rPr>
                <w:rFonts w:ascii="Arial" w:cs="Arial" w:eastAsia="Arial" w:hAnsi="Arial"/>
                <w:sz w:val="18"/>
                <w:szCs w:val="18"/>
                <w:color w:val="auto"/>
              </w:rPr>
              <w:t>approved by security holders</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2"/>
              </w:rPr>
              <w:t>630,736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3,436,265</w:t>
            </w:r>
          </w:p>
        </w:tc>
      </w:tr>
      <w:tr>
        <w:trPr>
          <w:trHeight w:val="20"/>
        </w:trPr>
        <w:tc>
          <w:tcPr>
            <w:tcW w:w="35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2013 Stock-Based Incentive Compensation Plan.</w:t>
      </w:r>
    </w:p>
    <w:p>
      <w:pPr>
        <w:spacing w:after="0" w:line="225"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630,736 shares of deferred stock awarded from the 2013 Stock-Based Incentive Compensation Plan during each year from 2013 through 2019. The shares are time-vesting and will be issued up to four years from their grant date. The weighted-average exercise price in the table does not include these shares.</w:t>
      </w:r>
    </w:p>
    <w:p>
      <w:pPr>
        <w:spacing w:after="0" w:line="181"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3,240,254, 747,384 and 79,363 shares available for issuance at December 31, 2019 under the 2013 Stock Based Incentive Compensation Plan, the Company’s Employee Stock Purchase Plan and the Stock Compensation Plan for Non-Employee Directors.</w:t>
      </w:r>
    </w:p>
    <w:p>
      <w:pPr>
        <w:spacing w:after="0" w:line="33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“Corporate Governance” and “Executive Compensation” and is incorporated herein by reference.</w:t>
      </w:r>
    </w:p>
    <w:p>
      <w:pPr>
        <w:spacing w:after="0" w:line="33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ACCOUNTING FEES AND SERVICES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“Principal Accounting Fees and Services”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15"/>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ind w:left="5325"/>
        <w:spacing w:after="0"/>
        <w:rPr>
          <w:sz w:val="20"/>
          <w:szCs w:val="20"/>
          <w:color w:val="auto"/>
        </w:rPr>
      </w:pPr>
      <w:r>
        <w:rPr>
          <w:rFonts w:ascii="Arial" w:cs="Arial" w:eastAsia="Arial" w:hAnsi="Arial"/>
          <w:sz w:val="18"/>
          <w:szCs w:val="18"/>
          <w:b w:val="1"/>
          <w:bCs w:val="1"/>
          <w:color w:val="auto"/>
        </w:rPr>
        <w:t>PART IV</w:t>
      </w:r>
    </w:p>
    <w:p>
      <w:pPr>
        <w:spacing w:after="0" w:line="17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198" w:lineRule="exact"/>
        <w:rPr>
          <w:sz w:val="20"/>
          <w:szCs w:val="20"/>
          <w:color w:val="auto"/>
        </w:rPr>
      </w:pPr>
    </w:p>
    <w:p>
      <w:pPr>
        <w:ind w:left="665" w:hanging="665"/>
        <w:spacing w:after="0"/>
        <w:tabs>
          <w:tab w:leader="none" w:pos="6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36" w:lineRule="exact"/>
        <w:rPr>
          <w:rFonts w:ascii="Arial" w:cs="Arial" w:eastAsia="Arial" w:hAnsi="Arial"/>
          <w:sz w:val="18"/>
          <w:szCs w:val="18"/>
          <w:color w:val="auto"/>
        </w:rPr>
      </w:pPr>
    </w:p>
    <w:p>
      <w:pPr>
        <w:ind w:left="505" w:hanging="316"/>
        <w:spacing w:after="0"/>
        <w:tabs>
          <w:tab w:leader="none" w:pos="5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Financial Statements (see Part II, Item 8)</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Shareholders' Equity for the years ended December 31, 2019, 2018 and 2017</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Supplementary Information</w:t>
      </w:r>
    </w:p>
    <w:p>
      <w:pPr>
        <w:spacing w:after="0" w:line="306" w:lineRule="exact"/>
        <w:rPr>
          <w:sz w:val="20"/>
          <w:szCs w:val="20"/>
          <w:color w:val="auto"/>
        </w:rPr>
      </w:pPr>
    </w:p>
    <w:p>
      <w:pPr>
        <w:ind w:left="225"/>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225"/>
        <w:spacing w:after="0"/>
        <w:rPr>
          <w:sz w:val="20"/>
          <w:szCs w:val="20"/>
          <w:color w:val="auto"/>
        </w:rPr>
      </w:pPr>
      <w:r>
        <w:rPr>
          <w:rFonts w:ascii="Arial" w:cs="Arial" w:eastAsia="Arial" w:hAnsi="Arial"/>
          <w:sz w:val="18"/>
          <w:szCs w:val="18"/>
          <w:color w:val="auto"/>
        </w:rPr>
        <w:t>Schedule II – Valuation and Qualifying Accounts and Reserves for the years ended December 31, 2019, 2018 and 2017</w:t>
      </w:r>
    </w:p>
    <w:p>
      <w:pPr>
        <w:spacing w:after="0" w:line="225" w:lineRule="exact"/>
        <w:rPr>
          <w:sz w:val="20"/>
          <w:szCs w:val="20"/>
          <w:color w:val="auto"/>
        </w:rPr>
      </w:pPr>
    </w:p>
    <w:p>
      <w:pPr>
        <w:ind w:left="225"/>
        <w:spacing w:after="0"/>
        <w:rPr>
          <w:sz w:val="20"/>
          <w:szCs w:val="20"/>
          <w:color w:val="auto"/>
        </w:rPr>
      </w:pPr>
      <w:r>
        <w:rPr>
          <w:rFonts w:ascii="Arial" w:cs="Arial" w:eastAsia="Arial" w:hAnsi="Arial"/>
          <w:sz w:val="16"/>
          <w:szCs w:val="16"/>
          <w:color w:val="auto"/>
        </w:rPr>
        <w:t>All other schedules have been omitted because they are not applicable or the required information is included in the Consolidated Financial Statements.</w:t>
      </w:r>
    </w:p>
    <w:p>
      <w:pPr>
        <w:spacing w:after="0" w:line="248" w:lineRule="exact"/>
        <w:rPr>
          <w:sz w:val="20"/>
          <w:szCs w:val="20"/>
          <w:color w:val="auto"/>
        </w:rPr>
      </w:pPr>
    </w:p>
    <w:p>
      <w:pPr>
        <w:ind w:left="185"/>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both"/>
        <w:ind w:left="1105" w:right="20" w:hanging="566"/>
        <w:spacing w:after="0" w:line="277" w:lineRule="auto"/>
        <w:tabs>
          <w:tab w:leader="none" w:pos="1085" w:val="left"/>
        </w:tabs>
        <w:rPr>
          <w:rFonts w:ascii="Arial" w:cs="Arial" w:eastAsia="Arial" w:hAnsi="Arial"/>
          <w:sz w:val="18"/>
          <w:szCs w:val="18"/>
          <w:u w:val="single" w:color="auto"/>
          <w:color w:val="0000FF"/>
        </w:rPr>
      </w:pPr>
      <w:r>
        <w:rPr>
          <w:rFonts w:ascii="Arial" w:cs="Arial" w:eastAsia="Arial" w:hAnsi="Arial"/>
          <w:sz w:val="18"/>
          <w:szCs w:val="18"/>
          <w:color w:val="auto"/>
        </w:rPr>
        <w:t>3.a</w:t>
      </w:r>
      <w:r>
        <w:rPr>
          <w:sz w:val="20"/>
          <w:szCs w:val="20"/>
          <w:color w:val="auto"/>
        </w:rPr>
        <w:tab/>
      </w:r>
      <w:hyperlink r:id="rId35">
        <w:r>
          <w:rPr>
            <w:rFonts w:ascii="Arial" w:cs="Arial" w:eastAsia="Arial" w:hAnsi="Arial"/>
            <w:sz w:val="18"/>
            <w:szCs w:val="18"/>
            <w:u w:val="single" w:color="auto"/>
            <w:color w:val="0000FF"/>
          </w:rPr>
          <w:t>Articles of Incorporation of Crown Holdings, Inc., as amended (incorporated by reference to Exhibit 3.a of the Registrant’s Annual Report on</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Form 10-K for the year ended December 31, 2004 (File No. 000-50189)).</w:t>
        </w:r>
      </w:hyperlink>
    </w:p>
    <w:p>
      <w:pPr>
        <w:spacing w:after="0" w:line="170" w:lineRule="exact"/>
        <w:rPr>
          <w:sz w:val="20"/>
          <w:szCs w:val="20"/>
          <w:color w:val="auto"/>
        </w:rPr>
      </w:pPr>
    </w:p>
    <w:p>
      <w:pPr>
        <w:jc w:val="both"/>
        <w:ind w:left="1105" w:hanging="566"/>
        <w:spacing w:after="0" w:line="277" w:lineRule="auto"/>
        <w:tabs>
          <w:tab w:leader="none" w:pos="1085" w:val="left"/>
        </w:tabs>
        <w:rPr>
          <w:rFonts w:ascii="Arial" w:cs="Arial" w:eastAsia="Arial" w:hAnsi="Arial"/>
          <w:sz w:val="18"/>
          <w:szCs w:val="18"/>
          <w:u w:val="single" w:color="auto"/>
          <w:color w:val="0000FF"/>
        </w:rPr>
      </w:pPr>
      <w:r>
        <w:rPr>
          <w:rFonts w:ascii="Arial" w:cs="Arial" w:eastAsia="Arial" w:hAnsi="Arial"/>
          <w:sz w:val="18"/>
          <w:szCs w:val="18"/>
          <w:color w:val="auto"/>
        </w:rPr>
        <w:t>3.b</w:t>
      </w:r>
      <w:r>
        <w:rPr>
          <w:sz w:val="20"/>
          <w:szCs w:val="20"/>
          <w:color w:val="auto"/>
        </w:rPr>
        <w:tab/>
      </w:r>
      <w:hyperlink r:id="rId36">
        <w:r>
          <w:rPr>
            <w:rFonts w:ascii="Arial" w:cs="Arial" w:eastAsia="Arial" w:hAnsi="Arial"/>
            <w:sz w:val="18"/>
            <w:szCs w:val="18"/>
            <w:u w:val="single" w:color="auto"/>
            <w:color w:val="0000FF"/>
          </w:rPr>
          <w:t>Amended and Restated By-Laws of Crown Holdings, Inc. (incorporated by reference to Exhibit 3.ii of the Registrant's Current Report on</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Form 8-K dated January 29, 2016 (File No. 000-50189)).</w:t>
        </w:r>
      </w:hyperlink>
    </w:p>
    <w:p>
      <w:pPr>
        <w:spacing w:after="0" w:line="170" w:lineRule="exact"/>
        <w:rPr>
          <w:sz w:val="20"/>
          <w:szCs w:val="20"/>
          <w:color w:val="auto"/>
        </w:rPr>
      </w:pPr>
    </w:p>
    <w:p>
      <w:pPr>
        <w:jc w:val="both"/>
        <w:ind w:left="1105" w:right="20" w:hanging="566"/>
        <w:spacing w:after="0" w:line="277" w:lineRule="auto"/>
        <w:tabs>
          <w:tab w:leader="none" w:pos="1085"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Specimen certificate of Registrant’s Common Stock (incorporated by reference to Exhibit 4.a of the Registrant’s Annual Report on Form 10-K for the year ended December 31, 1995 (File No. 1-2227)).</w:t>
      </w:r>
    </w:p>
    <w:p>
      <w:pPr>
        <w:spacing w:after="0" w:line="170" w:lineRule="exact"/>
        <w:rPr>
          <w:sz w:val="20"/>
          <w:szCs w:val="20"/>
          <w:color w:val="auto"/>
        </w:rPr>
      </w:pPr>
    </w:p>
    <w:p>
      <w:pPr>
        <w:jc w:val="both"/>
        <w:ind w:left="1105" w:hanging="566"/>
        <w:spacing w:after="0" w:line="264" w:lineRule="auto"/>
        <w:tabs>
          <w:tab w:leader="none" w:pos="1085"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w:t>
      </w:r>
    </w:p>
    <w:p>
      <w:pPr>
        <w:spacing w:after="0" w:line="181" w:lineRule="exact"/>
        <w:rPr>
          <w:sz w:val="20"/>
          <w:szCs w:val="20"/>
          <w:color w:val="auto"/>
        </w:rPr>
      </w:pPr>
    </w:p>
    <w:p>
      <w:pPr>
        <w:ind w:left="545"/>
        <w:spacing w:after="0"/>
        <w:tabs>
          <w:tab w:leader="none" w:pos="1085" w:val="left"/>
        </w:tabs>
        <w:rPr>
          <w:sz w:val="20"/>
          <w:szCs w:val="20"/>
          <w:color w:val="auto"/>
        </w:rPr>
      </w:pPr>
      <w:r>
        <w:rPr>
          <w:rFonts w:ascii="Arial" w:cs="Arial" w:eastAsia="Arial" w:hAnsi="Arial"/>
          <w:sz w:val="18"/>
          <w:szCs w:val="18"/>
          <w:color w:val="auto"/>
        </w:rPr>
        <w:t>4.c</w:t>
      </w:r>
      <w:r>
        <w:rPr>
          <w:sz w:val="20"/>
          <w:szCs w:val="20"/>
          <w:color w:val="auto"/>
        </w:rPr>
        <w:tab/>
      </w:r>
      <w:r>
        <w:rPr>
          <w:rFonts w:ascii="Arial" w:cs="Arial" w:eastAsia="Arial" w:hAnsi="Arial"/>
          <w:sz w:val="16"/>
          <w:szCs w:val="16"/>
          <w:color w:val="auto"/>
        </w:rPr>
        <w:t>Form of the Registrant's 7-3/8% Debentures Due 2026 (incorporated by reference to Exhibit 99.1 of the Registrant's Current Report on Form</w:t>
      </w:r>
    </w:p>
    <w:p>
      <w:pPr>
        <w:spacing w:after="0" w:line="23" w:lineRule="exact"/>
        <w:rPr>
          <w:sz w:val="20"/>
          <w:szCs w:val="20"/>
          <w:color w:val="auto"/>
        </w:rPr>
      </w:pPr>
    </w:p>
    <w:p>
      <w:pPr>
        <w:ind w:left="1105"/>
        <w:spacing w:after="0"/>
        <w:rPr>
          <w:sz w:val="20"/>
          <w:szCs w:val="20"/>
          <w:color w:val="auto"/>
        </w:rPr>
      </w:pPr>
      <w:r>
        <w:rPr>
          <w:rFonts w:ascii="Arial" w:cs="Arial" w:eastAsia="Arial" w:hAnsi="Arial"/>
          <w:sz w:val="18"/>
          <w:szCs w:val="18"/>
          <w:color w:val="auto"/>
        </w:rPr>
        <w:t>8-K dated December 17, 1996 (File No. 1-2227)).</w:t>
      </w:r>
    </w:p>
    <w:p>
      <w:pPr>
        <w:spacing w:after="0" w:line="211" w:lineRule="exact"/>
        <w:rPr>
          <w:sz w:val="20"/>
          <w:szCs w:val="20"/>
          <w:color w:val="auto"/>
        </w:rPr>
      </w:pPr>
    </w:p>
    <w:p>
      <w:pPr>
        <w:jc w:val="both"/>
        <w:ind w:left="1105" w:hanging="566"/>
        <w:spacing w:after="0" w:line="277" w:lineRule="auto"/>
        <w:tabs>
          <w:tab w:leader="none" w:pos="1085" w:val="left"/>
        </w:tabs>
        <w:rPr>
          <w:sz w:val="20"/>
          <w:szCs w:val="20"/>
          <w:color w:val="auto"/>
        </w:rPr>
      </w:pPr>
      <w:r>
        <w:rPr>
          <w:rFonts w:ascii="Arial" w:cs="Arial" w:eastAsia="Arial" w:hAnsi="Arial"/>
          <w:sz w:val="18"/>
          <w:szCs w:val="18"/>
          <w:color w:val="auto"/>
        </w:rPr>
        <w:t>4.d</w:t>
      </w:r>
      <w:r>
        <w:rPr>
          <w:sz w:val="20"/>
          <w:szCs w:val="20"/>
          <w:color w:val="auto"/>
        </w:rPr>
        <w:tab/>
      </w:r>
      <w:r>
        <w:rPr>
          <w:rFonts w:ascii="Arial" w:cs="Arial" w:eastAsia="Arial" w:hAnsi="Arial"/>
          <w:sz w:val="18"/>
          <w:szCs w:val="18"/>
          <w:color w:val="auto"/>
        </w:rPr>
        <w:t>Officers' Certificate for 7-3/8% Debentures Due 2026 (incorporated by reference to Exhibit 99.6 of the Registrant's Current Report on Form 8-K dated December 17, 1996 (File No. 1-2227)).</w:t>
      </w:r>
    </w:p>
    <w:p>
      <w:pPr>
        <w:spacing w:after="0" w:line="170" w:lineRule="exact"/>
        <w:rPr>
          <w:sz w:val="20"/>
          <w:szCs w:val="20"/>
          <w:color w:val="auto"/>
        </w:rPr>
      </w:pPr>
    </w:p>
    <w:p>
      <w:pPr>
        <w:ind w:left="545"/>
        <w:spacing w:after="0"/>
        <w:tabs>
          <w:tab w:leader="none" w:pos="1085" w:val="left"/>
        </w:tabs>
        <w:rPr>
          <w:sz w:val="20"/>
          <w:szCs w:val="20"/>
          <w:color w:val="auto"/>
        </w:rPr>
      </w:pPr>
      <w:r>
        <w:rPr>
          <w:rFonts w:ascii="Arial" w:cs="Arial" w:eastAsia="Arial" w:hAnsi="Arial"/>
          <w:sz w:val="18"/>
          <w:szCs w:val="18"/>
          <w:color w:val="auto"/>
        </w:rPr>
        <w:t>4.e</w:t>
      </w:r>
      <w:r>
        <w:rPr>
          <w:sz w:val="20"/>
          <w:szCs w:val="20"/>
          <w:color w:val="auto"/>
        </w:rPr>
        <w:tab/>
      </w:r>
      <w:r>
        <w:rPr>
          <w:rFonts w:ascii="Arial" w:cs="Arial" w:eastAsia="Arial" w:hAnsi="Arial"/>
          <w:sz w:val="16"/>
          <w:szCs w:val="16"/>
          <w:color w:val="auto"/>
        </w:rPr>
        <w:t>Form of the Registrant's 7-1/2% Debentures Due 2096 (incorporated by reference to Exhibit 99.2 of the Registrant's Current Report on Form</w:t>
      </w:r>
    </w:p>
    <w:p>
      <w:pPr>
        <w:spacing w:after="0" w:line="23" w:lineRule="exact"/>
        <w:rPr>
          <w:sz w:val="20"/>
          <w:szCs w:val="20"/>
          <w:color w:val="auto"/>
        </w:rPr>
      </w:pPr>
    </w:p>
    <w:p>
      <w:pPr>
        <w:ind w:left="1105"/>
        <w:spacing w:after="0"/>
        <w:rPr>
          <w:sz w:val="20"/>
          <w:szCs w:val="20"/>
          <w:color w:val="auto"/>
        </w:rPr>
      </w:pPr>
      <w:r>
        <w:rPr>
          <w:rFonts w:ascii="Arial" w:cs="Arial" w:eastAsia="Arial" w:hAnsi="Arial"/>
          <w:sz w:val="18"/>
          <w:szCs w:val="18"/>
          <w:color w:val="auto"/>
        </w:rPr>
        <w:t>8-K dated December 17, 1996 (File No. 1-2227)).</w:t>
      </w:r>
    </w:p>
    <w:p>
      <w:pPr>
        <w:spacing w:after="0" w:line="211" w:lineRule="exact"/>
        <w:rPr>
          <w:sz w:val="20"/>
          <w:szCs w:val="20"/>
          <w:color w:val="auto"/>
        </w:rPr>
      </w:pPr>
    </w:p>
    <w:p>
      <w:pPr>
        <w:jc w:val="both"/>
        <w:ind w:left="1105" w:hanging="566"/>
        <w:spacing w:after="0" w:line="277" w:lineRule="auto"/>
        <w:tabs>
          <w:tab w:leader="none" w:pos="1085"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Officers' Certificate for 7-1/2% Debentures Due 2096 (incorporated by reference to Exhibit 99.7 of the Registrant's Current Report on From 8-K dated December 17, 1996 (File No. 1-2227)).</w:t>
      </w:r>
    </w:p>
    <w:p>
      <w:pPr>
        <w:sectPr>
          <w:pgSz w:w="11900" w:h="16838" w:orient="portrait"/>
          <w:cols w:equalWidth="0" w:num="1">
            <w:col w:w="11385"/>
          </w:cols>
          <w:pgMar w:left="275" w:top="121" w:right="239" w:bottom="1440" w:gutter="0" w:footer="0" w:header="0"/>
        </w:sectPr>
      </w:pPr>
    </w:p>
    <w:p>
      <w:pPr>
        <w:spacing w:after="0" w:line="170" w:lineRule="exact"/>
        <w:rPr>
          <w:sz w:val="20"/>
          <w:szCs w:val="20"/>
          <w:color w:val="auto"/>
        </w:rPr>
      </w:pPr>
    </w:p>
    <w:p>
      <w:pPr>
        <w:jc w:val="center"/>
        <w:ind w:right="35"/>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385"/>
          </w:cols>
          <w:pgMar w:left="275" w:top="121" w:right="239" w:bottom="1440" w:gutter="0" w:footer="0" w:header="0"/>
          <w:type w:val="continuous"/>
        </w:sectPr>
      </w:pPr>
    </w:p>
    <w:bookmarkStart w:id="110" w:name="page111"/>
    <w:bookmarkEnd w:id="110"/>
    <w:p>
      <w:pPr>
        <w:ind w:left="43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4.g</w:t>
      </w:r>
      <w:r>
        <w:rPr>
          <w:sz w:val="20"/>
          <w:szCs w:val="20"/>
          <w:color w:val="auto"/>
        </w:rPr>
        <w:tab/>
      </w:r>
      <w:r>
        <w:rPr>
          <w:rFonts w:ascii="Arial" w:cs="Arial" w:eastAsia="Arial" w:hAnsi="Arial"/>
          <w:sz w:val="18"/>
          <w:szCs w:val="18"/>
          <w:color w:val="auto"/>
        </w:rPr>
        <w:t>Terms Agreement, dated December 12, 1996 (incorporated by reference to Exhibit 1.1 of the Registrant's Current Report on Form 8-K dated December 17, 1996 (File No. 1-2227)).</w:t>
      </w:r>
    </w:p>
    <w:p>
      <w:pPr>
        <w:spacing w:after="0" w:line="170"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4.h</w:t>
      </w:r>
      <w:r>
        <w:rPr>
          <w:sz w:val="20"/>
          <w:szCs w:val="20"/>
          <w:color w:val="auto"/>
        </w:rPr>
        <w:tab/>
      </w:r>
      <w:r>
        <w:rPr>
          <w:rFonts w:ascii="Arial" w:cs="Arial" w:eastAsia="Arial" w:hAnsi="Arial"/>
          <w:sz w:val="18"/>
          <w:szCs w:val="18"/>
          <w:color w:val="auto"/>
        </w:rPr>
        <w:t>Form of Bearer Security Depositary Agreement (incorporated by reference to Exhibit 4.2 of the Registrant's Registration Statement on Form S-3, dated November 26, 1996, amended December 5 and 10, 1996 (File No. 333-16869)).</w:t>
      </w:r>
    </w:p>
    <w:p>
      <w:pPr>
        <w:spacing w:after="0" w:line="170" w:lineRule="exact"/>
        <w:rPr>
          <w:sz w:val="20"/>
          <w:szCs w:val="20"/>
          <w:color w:val="auto"/>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4.i</w:t>
      </w:r>
      <w:r>
        <w:rPr>
          <w:sz w:val="20"/>
          <w:szCs w:val="20"/>
          <w:color w:val="auto"/>
        </w:rPr>
        <w:tab/>
      </w:r>
      <w:hyperlink r:id="rId37">
        <w:r>
          <w:rPr>
            <w:rFonts w:ascii="Arial" w:cs="Arial" w:eastAsia="Arial" w:hAnsi="Arial"/>
            <w:sz w:val="18"/>
            <w:szCs w:val="18"/>
            <w:u w:val="single" w:color="auto"/>
            <w:color w:val="0000FF"/>
          </w:rPr>
          <w:t>Supplemental Indenture to Indenture dated December 17, 1996, dated as of February 25, 2003, between Crown Cork &amp; Seal Company, Inc.,</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as Issuer and Guarantor, Crown Cork &amp; Seal Finance PLC, as Issuer, Crown Cork &amp; Seal Finance S.A., as Issuer, Crown Holdings, Inc., as</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Additional Guarantor and Bank One Trust Company, N.A., as Trustee (incorporated by reference to Exhibit 4.5 of the Registrant’s Current</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Report on Form 8-K dated February 26, 2003 (File No. 000-50189)).</w:t>
        </w:r>
      </w:hyperlink>
    </w:p>
    <w:p>
      <w:pPr>
        <w:spacing w:after="0" w:line="187" w:lineRule="exact"/>
        <w:rPr>
          <w:rFonts w:ascii="Arial" w:cs="Arial" w:eastAsia="Arial" w:hAnsi="Arial"/>
          <w:sz w:val="18"/>
          <w:szCs w:val="18"/>
          <w:u w:val="single" w:color="auto"/>
          <w:color w:val="0000FF"/>
        </w:rPr>
      </w:pPr>
    </w:p>
    <w:p>
      <w:pPr>
        <w:jc w:val="both"/>
        <w:ind w:left="560" w:hanging="566"/>
        <w:spacing w:after="0" w:line="312"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4.j</w:t>
      </w:r>
      <w:r>
        <w:rPr>
          <w:sz w:val="20"/>
          <w:szCs w:val="20"/>
          <w:color w:val="auto"/>
        </w:rPr>
        <w:tab/>
      </w:r>
      <w:hyperlink r:id="rId38">
        <w:r>
          <w:rPr>
            <w:rFonts w:ascii="Arial" w:cs="Arial" w:eastAsia="Arial" w:hAnsi="Arial"/>
            <w:sz w:val="16"/>
            <w:szCs w:val="16"/>
            <w:u w:val="single" w:color="auto"/>
            <w:color w:val="0000FF"/>
          </w:rPr>
          <w:t>Indenture, dated as of January 9, 2013, by and among Crown Americas LLC and Crown Americas Capital Corp. IV, as Issuers, the Guarantors</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named therein and The Bank of New York Mellon Trust Company, N.A., as Trustee, relating to the 4 1/2% Senior Notes due 2023</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(incorporated by reference to Exhibit 4.2 of the Registrant's Current Report on Form 8-K dated January 9, 2013 (File No. 000-50189)).</w:t>
        </w:r>
      </w:hyperlink>
    </w:p>
    <w:p>
      <w:pPr>
        <w:spacing w:after="0" w:line="147" w:lineRule="exact"/>
        <w:rPr>
          <w:rFonts w:ascii="Arial" w:cs="Arial" w:eastAsia="Arial" w:hAnsi="Arial"/>
          <w:sz w:val="16"/>
          <w:szCs w:val="16"/>
          <w:u w:val="single" w:color="auto"/>
          <w:color w:val="0000FF"/>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4.k</w:t>
      </w:r>
      <w:r>
        <w:rPr>
          <w:sz w:val="20"/>
          <w:szCs w:val="20"/>
          <w:color w:val="auto"/>
        </w:rPr>
        <w:tab/>
      </w:r>
      <w:hyperlink r:id="rId39">
        <w:r>
          <w:rPr>
            <w:rFonts w:ascii="Arial" w:cs="Arial" w:eastAsia="Arial" w:hAnsi="Arial"/>
            <w:sz w:val="16"/>
            <w:szCs w:val="16"/>
            <w:u w:val="single" w:color="auto"/>
            <w:color w:val="0000FF"/>
          </w:rPr>
          <w:t>Form of 4 ½% Senior Notes due 2023 (incorporated by reference to Exhibit 4.1 of the Registrant's Current Report on Form 8-K Dated January</w:t>
        </w:r>
      </w:hyperlink>
    </w:p>
    <w:p>
      <w:pPr>
        <w:spacing w:after="0" w:line="23" w:lineRule="exact"/>
        <w:rPr>
          <w:rFonts w:ascii="Arial" w:cs="Arial" w:eastAsia="Arial" w:hAnsi="Arial"/>
          <w:sz w:val="16"/>
          <w:szCs w:val="16"/>
          <w:u w:val="single" w:color="auto"/>
          <w:color w:val="0000FF"/>
        </w:rPr>
      </w:pPr>
    </w:p>
    <w:p>
      <w:pPr>
        <w:ind w:left="560"/>
        <w:spacing w:after="0"/>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15, 2013 (File No. 000-50189)).</w:t>
        </w:r>
      </w:hyperlink>
    </w:p>
    <w:p>
      <w:pPr>
        <w:spacing w:after="0" w:line="211" w:lineRule="exact"/>
        <w:rPr>
          <w:rFonts w:ascii="Arial" w:cs="Arial" w:eastAsia="Arial" w:hAnsi="Arial"/>
          <w:sz w:val="16"/>
          <w:szCs w:val="16"/>
          <w:u w:val="single" w:color="auto"/>
          <w:color w:val="0000FF"/>
        </w:rPr>
      </w:pPr>
    </w:p>
    <w:p>
      <w:pPr>
        <w:jc w:val="both"/>
        <w:ind w:left="560" w:hanging="566"/>
        <w:spacing w:after="0" w:line="273"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4.l</w:t>
      </w:r>
      <w:r>
        <w:rPr>
          <w:sz w:val="20"/>
          <w:szCs w:val="20"/>
          <w:color w:val="auto"/>
        </w:rPr>
        <w:tab/>
      </w:r>
      <w:hyperlink r:id="rId40">
        <w:r>
          <w:rPr>
            <w:rFonts w:ascii="Arial" w:cs="Arial" w:eastAsia="Arial" w:hAnsi="Arial"/>
            <w:sz w:val="17"/>
            <w:szCs w:val="17"/>
            <w:u w:val="single" w:color="auto"/>
            <w:color w:val="0000FF"/>
          </w:rPr>
          <w:t>Credit Agreement, dated as of December 19, 2013, among Crown Americas LLC, as U.S. Borrower, Crown European Holdings SA, as</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European Borrower, CROWN Metal Packaging Canada LP, as Canadian Borrower, the Subsidiary Borrowers named therein, the Company,</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Crown International Holdings, Inc. and Crown Cork &amp; Seal Company, Inc., as Parent Guarantors, Deutsche Bank AG New York Branch, as</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Administrative Agent, Deutsche Bank AG London Branch, a U.K. Administrative Agent, Deutsche Bank AG Canada Branch, as Canadian</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Administrative Agent, and various Lending Institutions (incorporated by reference to Exhibit 4 of the Registrant’s Quarterly Report on Form</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10-Q for the quarter ended June 30, 2014 (File No. 000-50189)).</w:t>
        </w:r>
      </w:hyperlink>
    </w:p>
    <w:p>
      <w:pPr>
        <w:spacing w:after="0" w:line="178" w:lineRule="exact"/>
        <w:rPr>
          <w:rFonts w:ascii="Arial" w:cs="Arial" w:eastAsia="Arial" w:hAnsi="Arial"/>
          <w:sz w:val="17"/>
          <w:szCs w:val="17"/>
          <w:u w:val="single" w:color="auto"/>
          <w:color w:val="0000FF"/>
        </w:rPr>
      </w:pPr>
    </w:p>
    <w:p>
      <w:pPr>
        <w:jc w:val="both"/>
        <w:ind w:left="560" w:hanging="566"/>
        <w:spacing w:after="0" w:line="273"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4.m</w:t>
      </w:r>
      <w:r>
        <w:rPr>
          <w:sz w:val="20"/>
          <w:szCs w:val="20"/>
          <w:color w:val="auto"/>
        </w:rPr>
        <w:tab/>
      </w:r>
      <w:hyperlink r:id="rId41">
        <w:r>
          <w:rPr>
            <w:rFonts w:ascii="Arial" w:cs="Arial" w:eastAsia="Arial" w:hAnsi="Arial"/>
            <w:sz w:val="17"/>
            <w:szCs w:val="17"/>
            <w:u w:val="single" w:color="auto"/>
            <w:color w:val="0000FF"/>
          </w:rPr>
          <w:t>First Amendment to Credit Agreement, among Crown Americas LLC, as U.S. Borrower, Crown European Holdings SA, as European</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Borrower, CROWN Metal Packaging Canada LP, as Canadian Borrower, the Subsidiary Borrowers named therein, Crown Holdings, Inc.,</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Crown International Holdings, Inc. and Crown Cork &amp; Seal Company, Inc., as Parent Guarantors, Deutsche Bank AG New York Branch, as</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Administrative Agent, Deutsche Bank AG London Branch, a U.K. Administrative Agent, Deutsche Bank AG Canada Branch, as Canadian</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Administrative Agent, and various Lending Institutions referred to therein (incorporated by reference to Exhibit 4.1 of the Registrants</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Quarterly Report on Form 10-Q for the quarter ended September 30, 2014 (File No. 000-50189)).</w:t>
        </w:r>
      </w:hyperlink>
    </w:p>
    <w:p>
      <w:pPr>
        <w:spacing w:after="0" w:line="178" w:lineRule="exact"/>
        <w:rPr>
          <w:rFonts w:ascii="Arial" w:cs="Arial" w:eastAsia="Arial" w:hAnsi="Arial"/>
          <w:sz w:val="17"/>
          <w:szCs w:val="17"/>
          <w:u w:val="single" w:color="auto"/>
          <w:color w:val="0000FF"/>
        </w:rPr>
      </w:pPr>
    </w:p>
    <w:p>
      <w:pPr>
        <w:jc w:val="both"/>
        <w:ind w:left="560" w:hanging="566"/>
        <w:spacing w:after="0" w:line="286"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4.n</w:t>
      </w:r>
      <w:r>
        <w:rPr>
          <w:sz w:val="20"/>
          <w:szCs w:val="20"/>
          <w:color w:val="auto"/>
        </w:rPr>
        <w:tab/>
      </w:r>
      <w:hyperlink r:id="rId42">
        <w:r>
          <w:rPr>
            <w:rFonts w:ascii="Arial" w:cs="Arial" w:eastAsia="Arial" w:hAnsi="Arial"/>
            <w:sz w:val="17"/>
            <w:szCs w:val="17"/>
            <w:u w:val="single" w:color="auto"/>
            <w:color w:val="0000FF"/>
          </w:rPr>
          <w:t>Indenture, dated as of July 8, 2014, by and among Crown European Holdings S.A., as Issuer, the Guarantors named therein, U.S. Bank</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National Association, as Trustee, and the other parties thereto, relating to the €650 million 4% Senior Notes due 2022 (incorporated by</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reference to Exhibit 4.1 of the Registrant's Current Report on Form 8-K dated July 11, 2014 (File No. 000-50189)).</w:t>
        </w:r>
      </w:hyperlink>
    </w:p>
    <w:p>
      <w:pPr>
        <w:spacing w:after="0" w:line="166" w:lineRule="exact"/>
        <w:rPr>
          <w:rFonts w:ascii="Arial" w:cs="Arial" w:eastAsia="Arial" w:hAnsi="Arial"/>
          <w:sz w:val="17"/>
          <w:szCs w:val="17"/>
          <w:u w:val="single" w:color="auto"/>
          <w:color w:val="0000FF"/>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4.o</w:t>
      </w:r>
      <w:r>
        <w:rPr>
          <w:sz w:val="20"/>
          <w:szCs w:val="20"/>
          <w:color w:val="auto"/>
        </w:rPr>
        <w:tab/>
      </w:r>
      <w:hyperlink r:id="rId43">
        <w:r>
          <w:rPr>
            <w:rFonts w:ascii="Arial" w:cs="Arial" w:eastAsia="Arial" w:hAnsi="Arial"/>
            <w:sz w:val="16"/>
            <w:szCs w:val="16"/>
            <w:u w:val="single" w:color="auto"/>
            <w:color w:val="0000FF"/>
          </w:rPr>
          <w:t>Form of 4% Senior Notes due 2022 (included in Exhibit 4.p)</w:t>
        </w:r>
      </w:hyperlink>
      <w:r>
        <w:rPr>
          <w:rFonts w:ascii="Arial" w:cs="Arial" w:eastAsia="Arial" w:hAnsi="Arial"/>
          <w:sz w:val="16"/>
          <w:szCs w:val="16"/>
          <w:color w:val="000000"/>
        </w:rPr>
        <w:t>.</w:t>
      </w:r>
    </w:p>
    <w:p>
      <w:pPr>
        <w:spacing w:after="0" w:line="225" w:lineRule="exact"/>
        <w:rPr>
          <w:rFonts w:ascii="Arial" w:cs="Arial" w:eastAsia="Arial" w:hAnsi="Arial"/>
          <w:sz w:val="17"/>
          <w:szCs w:val="17"/>
          <w:u w:val="single" w:color="auto"/>
          <w:color w:val="0000FF"/>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4.p</w:t>
      </w:r>
      <w:r>
        <w:rPr>
          <w:sz w:val="20"/>
          <w:szCs w:val="20"/>
          <w:color w:val="auto"/>
        </w:rPr>
        <w:tab/>
      </w:r>
      <w:hyperlink r:id="rId43">
        <w:r>
          <w:rPr>
            <w:rFonts w:ascii="Arial" w:cs="Arial" w:eastAsia="Arial" w:hAnsi="Arial"/>
            <w:sz w:val="18"/>
            <w:szCs w:val="18"/>
            <w:u w:val="single" w:color="auto"/>
            <w:color w:val="0000FF"/>
          </w:rPr>
          <w:t>Incremental Amendment No. 1, among Crown Americas LLC, as U.S. Borrower, Deutsche Bank AG New York Branch, as administrative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agent for the Term A Lenders, TD Bank, N.A., The Bank of Nova Scotia and The Bank of Tokyo-Mitsubishi UFJ, Ltd., to that certain Credit</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Agreement, dated as of December 19, 2013, as amended (incorporated by reference to Exhibit 4.u of the Registrant’s Annual Report on Form</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10-K for the year ended December 31, 2014 (File No. 000-50189)).</w:t>
        </w:r>
      </w:hyperlink>
    </w:p>
    <w:p>
      <w:pPr>
        <w:spacing w:after="0" w:line="187" w:lineRule="exact"/>
        <w:rPr>
          <w:rFonts w:ascii="Arial" w:cs="Arial" w:eastAsia="Arial" w:hAnsi="Arial"/>
          <w:sz w:val="18"/>
          <w:szCs w:val="18"/>
          <w:u w:val="single" w:color="auto"/>
          <w:color w:val="0000FF"/>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4.q</w:t>
      </w:r>
      <w:r>
        <w:rPr>
          <w:sz w:val="20"/>
          <w:szCs w:val="20"/>
          <w:color w:val="auto"/>
        </w:rPr>
        <w:tab/>
      </w:r>
      <w:hyperlink r:id="rId44">
        <w:r>
          <w:rPr>
            <w:rFonts w:ascii="Arial" w:cs="Arial" w:eastAsia="Arial" w:hAnsi="Arial"/>
            <w:sz w:val="18"/>
            <w:szCs w:val="18"/>
            <w:u w:val="single" w:color="auto"/>
            <w:color w:val="0000FF"/>
          </w:rPr>
          <w:t>Incremental Amendment No. 2, among Crown Americas LLC, as U.S. Borrower, Deutsche Bank AG New York Branch, as administrative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agent for certain Term Lenders, and the Term Loan B Lenders party thereto, to that certain Credit Agreement, dated as of December 19, 2013,</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as amended (incorporated by reference to Exhibit 4.v of the Registrant’s Annual Report on Form 10-K for the year ended December 31, 2014</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(File No. 000-50189)).</w:t>
        </w:r>
      </w:hyperlink>
    </w:p>
    <w:p>
      <w:pPr>
        <w:spacing w:after="0" w:line="187" w:lineRule="exact"/>
        <w:rPr>
          <w:rFonts w:ascii="Arial" w:cs="Arial" w:eastAsia="Arial" w:hAnsi="Arial"/>
          <w:sz w:val="18"/>
          <w:szCs w:val="18"/>
          <w:u w:val="single" w:color="auto"/>
          <w:color w:val="0000FF"/>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4.r</w:t>
      </w:r>
      <w:r>
        <w:rPr>
          <w:sz w:val="20"/>
          <w:szCs w:val="20"/>
          <w:color w:val="auto"/>
        </w:rPr>
        <w:tab/>
      </w:r>
      <w:hyperlink r:id="rId45">
        <w:r>
          <w:rPr>
            <w:rFonts w:ascii="Arial" w:cs="Arial" w:eastAsia="Arial" w:hAnsi="Arial"/>
            <w:sz w:val="18"/>
            <w:szCs w:val="18"/>
            <w:u w:val="single" w:color="auto"/>
            <w:color w:val="0000FF"/>
          </w:rPr>
          <w:t>Incremental Amendment No. 3, among Crown Americas LLC, as U.S. Borrower, Deutsche Bank AG New York Branch, as administrative</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agent for certain Term Lenders, and the Term Loan A Lenders party thereto, to that certain Credit Agreement, dated as of December 19, 2013,</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as amended ( (incorporated by reference to Exhibit 4.v of the Registrant’s Annual Report on Form 10-K for the year ended December 31,</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2015 (File No. 000-50189)).</w:t>
        </w:r>
      </w:hyperlink>
    </w:p>
    <w:p>
      <w:pPr>
        <w:spacing w:after="0" w:line="187" w:lineRule="exact"/>
        <w:rPr>
          <w:rFonts w:ascii="Arial" w:cs="Arial" w:eastAsia="Arial" w:hAnsi="Arial"/>
          <w:sz w:val="18"/>
          <w:szCs w:val="18"/>
          <w:u w:val="single" w:color="auto"/>
          <w:color w:val="0000FF"/>
        </w:rPr>
      </w:pPr>
    </w:p>
    <w:p>
      <w:pPr>
        <w:ind w:left="500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840"/>
          </w:cols>
          <w:pgMar w:left="820" w:top="121" w:right="239" w:bottom="1440" w:gutter="0" w:footer="0" w:header="0"/>
        </w:sectPr>
      </w:pPr>
    </w:p>
    <w:bookmarkStart w:id="111" w:name="page112"/>
    <w:bookmarkEnd w:id="111"/>
    <w:p>
      <w:pPr>
        <w:ind w:left="37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hanging="566"/>
        <w:spacing w:after="0" w:line="312" w:lineRule="auto"/>
        <w:rPr>
          <w:rFonts w:ascii="Arial" w:cs="Arial" w:eastAsia="Arial" w:hAnsi="Arial"/>
          <w:sz w:val="16"/>
          <w:szCs w:val="16"/>
          <w:u w:val="single" w:color="auto"/>
          <w:color w:val="0000FF"/>
        </w:rPr>
      </w:pPr>
      <w:r>
        <w:rPr>
          <w:rFonts w:ascii="Arial" w:cs="Arial" w:eastAsia="Arial" w:hAnsi="Arial"/>
          <w:sz w:val="18"/>
          <w:szCs w:val="18"/>
          <w:color w:val="auto"/>
        </w:rPr>
        <w:t>4.s</w:t>
      </w:r>
      <w:r>
        <w:rPr>
          <w:sz w:val="20"/>
          <w:szCs w:val="20"/>
          <w:color w:val="auto"/>
        </w:rPr>
        <w:t xml:space="preserve"> </w:t>
      </w:r>
      <w:hyperlink r:id="rId46">
        <w:r>
          <w:rPr>
            <w:rFonts w:ascii="Arial" w:cs="Arial" w:eastAsia="Arial" w:hAnsi="Arial"/>
            <w:sz w:val="16"/>
            <w:szCs w:val="16"/>
            <w:u w:val="single" w:color="auto"/>
            <w:color w:val="0000FF"/>
          </w:rPr>
          <w:t>Indenture, dated as of September 15, 2016, by and among Crown European Holdings, S.A., as Issuer, the Guarantors named therein, U.S..</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Bank National Association, as Trustee, and the other parties thereto, relating to the €600 million 2.625% Senior Notes due 2024 (incorporated</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by reference to Exhibit 4.1 of the Registrant's Current Report on Form 8-K dated September 19, 2016 (File No. 000-50189)).</w:t>
        </w:r>
      </w:hyperlink>
    </w:p>
    <w:p>
      <w:pPr>
        <w:spacing w:after="0" w:line="147" w:lineRule="exact"/>
        <w:rPr>
          <w:rFonts w:ascii="Arial" w:cs="Arial" w:eastAsia="Arial" w:hAnsi="Arial"/>
          <w:sz w:val="16"/>
          <w:szCs w:val="16"/>
          <w:u w:val="single" w:color="auto"/>
          <w:color w:val="0000FF"/>
        </w:rPr>
      </w:pPr>
    </w:p>
    <w:p>
      <w:pPr>
        <w:jc w:val="both"/>
        <w:ind w:hanging="566"/>
        <w:spacing w:after="0" w:line="312" w:lineRule="auto"/>
        <w:rPr>
          <w:rFonts w:ascii="Arial" w:cs="Arial" w:eastAsia="Arial" w:hAnsi="Arial"/>
          <w:sz w:val="16"/>
          <w:szCs w:val="16"/>
          <w:u w:val="single" w:color="auto"/>
          <w:color w:val="0000FF"/>
        </w:rPr>
      </w:pPr>
      <w:r>
        <w:rPr>
          <w:rFonts w:ascii="Arial" w:cs="Arial" w:eastAsia="Arial" w:hAnsi="Arial"/>
          <w:sz w:val="18"/>
          <w:szCs w:val="18"/>
          <w:color w:val="auto"/>
        </w:rPr>
        <w:t>4.t</w:t>
      </w:r>
      <w:r>
        <w:rPr>
          <w:sz w:val="20"/>
          <w:szCs w:val="20"/>
          <w:color w:val="auto"/>
        </w:rPr>
        <w:t xml:space="preserve"> </w:t>
      </w:r>
      <w:hyperlink r:id="rId47">
        <w:r>
          <w:rPr>
            <w:rFonts w:ascii="Arial" w:cs="Arial" w:eastAsia="Arial" w:hAnsi="Arial"/>
            <w:sz w:val="16"/>
            <w:szCs w:val="16"/>
            <w:u w:val="single" w:color="auto"/>
            <w:color w:val="0000FF"/>
          </w:rPr>
          <w:t>Indenture, dated as of September 15, 2016, by and among Crown Americas LLC and Crown Americas Capital Corp. V, as Issuers, the</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Guarantors named therein and U.S. Bank National Association, as Trustee, relating to the $400 million 4.250% Senior Notes due 2026</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(incorporated by reference to Exhibit 4.2 of the Registrant's Current Report on Form 8-K dated September 19, 2016 (File No. 000-50189)).</w:t>
        </w:r>
      </w:hyperlink>
    </w:p>
    <w:p>
      <w:pPr>
        <w:spacing w:after="0" w:line="147" w:lineRule="exact"/>
        <w:rPr>
          <w:rFonts w:ascii="Arial" w:cs="Arial" w:eastAsia="Arial" w:hAnsi="Arial"/>
          <w:sz w:val="16"/>
          <w:szCs w:val="16"/>
          <w:u w:val="single" w:color="auto"/>
          <w:color w:val="0000FF"/>
        </w:rPr>
      </w:pPr>
    </w:p>
    <w:p>
      <w:pPr>
        <w:jc w:val="both"/>
        <w:ind w:hanging="566"/>
        <w:spacing w:after="0" w:line="273" w:lineRule="auto"/>
        <w:rPr>
          <w:rFonts w:ascii="Arial" w:cs="Arial" w:eastAsia="Arial" w:hAnsi="Arial"/>
          <w:sz w:val="17"/>
          <w:szCs w:val="17"/>
          <w:u w:val="single" w:color="auto"/>
          <w:color w:val="0000FF"/>
        </w:rPr>
      </w:pPr>
      <w:r>
        <w:rPr>
          <w:rFonts w:ascii="Arial" w:cs="Arial" w:eastAsia="Arial" w:hAnsi="Arial"/>
          <w:sz w:val="18"/>
          <w:szCs w:val="18"/>
          <w:color w:val="auto"/>
        </w:rPr>
        <w:t>4.u</w:t>
      </w:r>
      <w:r>
        <w:rPr>
          <w:sz w:val="20"/>
          <w:szCs w:val="20"/>
          <w:color w:val="auto"/>
        </w:rPr>
        <w:t xml:space="preserve"> </w:t>
      </w:r>
      <w:hyperlink r:id="rId48">
        <w:r>
          <w:rPr>
            <w:rFonts w:ascii="Arial" w:cs="Arial" w:eastAsia="Arial" w:hAnsi="Arial"/>
            <w:sz w:val="17"/>
            <w:szCs w:val="17"/>
            <w:u w:val="single" w:color="auto"/>
            <w:color w:val="0000FF"/>
          </w:rPr>
          <w:t>Second Amendment, dated September 19, 2016, to Credit Agreement, among Crown Americas LLC, as U.S. Borrower, Crown European</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Holdings SA, as European Borrower, CROWN Metal Packaging Canada LP, as Canadian Borrower, the Subsidiary Borrowers named therein,</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the Company, Crown International Holdings, Inc. and Crown Cork &amp; Seal Company, Inc., as Parent Guarantors, Deutsche Bank AG New</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York Branch, as Administrative Agent, Deutsche Bank AG London Branch, as U.K. Administrative Agent, Deutsche Bank AG Canada</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Branch, as Canadian Administrative Agent, and various Lending Institutions referred to therein (incorporated by reference to Exhibit 4.1 of</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the Registrant's Current Report on Form 8-K dated September 23, 2016 (File No. 000-50189)).</w:t>
        </w:r>
      </w:hyperlink>
    </w:p>
    <w:p>
      <w:pPr>
        <w:spacing w:after="0" w:line="178" w:lineRule="exact"/>
        <w:rPr>
          <w:rFonts w:ascii="Arial" w:cs="Arial" w:eastAsia="Arial" w:hAnsi="Arial"/>
          <w:sz w:val="17"/>
          <w:szCs w:val="17"/>
          <w:u w:val="single" w:color="auto"/>
          <w:color w:val="0000FF"/>
        </w:rPr>
      </w:pPr>
    </w:p>
    <w:p>
      <w:pPr>
        <w:jc w:val="both"/>
        <w:ind w:hanging="566"/>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4.v</w:t>
      </w:r>
      <w:r>
        <w:rPr>
          <w:sz w:val="20"/>
          <w:szCs w:val="20"/>
          <w:color w:val="auto"/>
        </w:rPr>
        <w:t xml:space="preserve"> </w:t>
      </w:r>
      <w:hyperlink r:id="rId49">
        <w:r>
          <w:rPr>
            <w:rFonts w:ascii="Arial" w:cs="Arial" w:eastAsia="Arial" w:hAnsi="Arial"/>
            <w:sz w:val="18"/>
            <w:szCs w:val="18"/>
            <w:u w:val="single" w:color="auto"/>
            <w:color w:val="0000FF"/>
          </w:rPr>
          <w:t>Indenture, dated as of May 5, 2015, among Crown European Holdings S.A., the Guarantors (as defined therein), U.S. Bank National</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Association, as trustee, Elavon Financial Services Limited, UK Branch, as paying agent, and Elavon Financial Services Limited, as registrar</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and transfer agent (incorporated by reference to Exhibit 10.1 of the Registrant's Quarterly Report on Form 10-Q dated July 30, 2015 (File No.</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000-50189)).</w:t>
        </w:r>
      </w:hyperlink>
    </w:p>
    <w:p>
      <w:pPr>
        <w:spacing w:after="0" w:line="187" w:lineRule="exact"/>
        <w:rPr>
          <w:rFonts w:ascii="Arial" w:cs="Arial" w:eastAsia="Arial" w:hAnsi="Arial"/>
          <w:sz w:val="18"/>
          <w:szCs w:val="18"/>
          <w:u w:val="single" w:color="auto"/>
          <w:color w:val="0000FF"/>
        </w:rPr>
      </w:pPr>
    </w:p>
    <w:p>
      <w:pPr>
        <w:jc w:val="both"/>
        <w:ind w:hanging="566"/>
        <w:spacing w:after="0" w:line="297" w:lineRule="auto"/>
        <w:rPr>
          <w:rFonts w:ascii="Arial" w:cs="Arial" w:eastAsia="Arial" w:hAnsi="Arial"/>
          <w:sz w:val="16"/>
          <w:szCs w:val="16"/>
          <w:u w:val="single" w:color="auto"/>
          <w:color w:val="0000FF"/>
        </w:rPr>
      </w:pPr>
      <w:r>
        <w:rPr>
          <w:rFonts w:ascii="Arial" w:cs="Arial" w:eastAsia="Arial" w:hAnsi="Arial"/>
          <w:sz w:val="18"/>
          <w:szCs w:val="18"/>
          <w:color w:val="auto"/>
        </w:rPr>
        <w:t>4.w</w:t>
      </w:r>
      <w:r>
        <w:rPr>
          <w:sz w:val="20"/>
          <w:szCs w:val="20"/>
          <w:color w:val="auto"/>
        </w:rPr>
        <w:t xml:space="preserve"> </w:t>
      </w:r>
      <w:hyperlink r:id="rId50">
        <w:r>
          <w:rPr>
            <w:rFonts w:ascii="Arial" w:cs="Arial" w:eastAsia="Arial" w:hAnsi="Arial"/>
            <w:sz w:val="16"/>
            <w:szCs w:val="16"/>
            <w:u w:val="single" w:color="auto"/>
            <w:color w:val="0000FF"/>
          </w:rPr>
          <w:t>Amended &amp; Restated Credit Agreement, dated April 7, 2017, by and among Crown Americas LLC, Crown European Holdings S.A., Crown</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Metal Packaging Canada LP, each of the Subsidiary Borrowers from time to time party thereto, Crown Holdings, Inc., Crown Cork &amp; Seal</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Company, Inc., Crown International Holdings, Inc., each other Credit Party from time to time party thereto, Deutsche Bank AG Canada</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Branch, Deutsche Bank AG London Branch, Deutsche Bank AG New York Branch, and various Lenders referred to therein (incorporated by</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reference to Exhibit 4 of the Registrant's Quarterly Report on Form 10-Q for the quarter ended March 31, 2017 (File No. 000-50189)).</w:t>
        </w:r>
      </w:hyperlink>
    </w:p>
    <w:p>
      <w:pPr>
        <w:spacing w:after="0" w:line="158" w:lineRule="exact"/>
        <w:rPr>
          <w:rFonts w:ascii="Arial" w:cs="Arial" w:eastAsia="Arial" w:hAnsi="Arial"/>
          <w:sz w:val="16"/>
          <w:szCs w:val="16"/>
          <w:u w:val="single" w:color="auto"/>
          <w:color w:val="0000FF"/>
        </w:rPr>
      </w:pPr>
    </w:p>
    <w:p>
      <w:pPr>
        <w:jc w:val="both"/>
        <w:ind w:hanging="566"/>
        <w:spacing w:after="0" w:line="255" w:lineRule="auto"/>
        <w:rPr>
          <w:rFonts w:ascii="Arial" w:cs="Arial" w:eastAsia="Arial" w:hAnsi="Arial"/>
          <w:sz w:val="18"/>
          <w:szCs w:val="18"/>
          <w:u w:val="single" w:color="auto"/>
          <w:color w:val="0000FF"/>
        </w:rPr>
      </w:pPr>
      <w:r>
        <w:rPr>
          <w:rFonts w:ascii="Arial" w:cs="Arial" w:eastAsia="Arial" w:hAnsi="Arial"/>
          <w:sz w:val="18"/>
          <w:szCs w:val="18"/>
          <w:color w:val="auto"/>
        </w:rPr>
        <w:t>4.x</w:t>
      </w:r>
      <w:r>
        <w:rPr>
          <w:sz w:val="20"/>
          <w:szCs w:val="20"/>
          <w:color w:val="auto"/>
        </w:rPr>
        <w:t xml:space="preserve"> </w:t>
      </w:r>
      <w:hyperlink r:id="rId51">
        <w:r>
          <w:rPr>
            <w:rFonts w:ascii="Arial" w:cs="Arial" w:eastAsia="Arial" w:hAnsi="Arial"/>
            <w:sz w:val="18"/>
            <w:szCs w:val="18"/>
            <w:u w:val="single" w:color="auto"/>
            <w:color w:val="0000FF"/>
          </w:rPr>
          <w:t>First Amendment to Amended and Restated Credit Agreement, dated as of December 28, 2017, among Crown Americas LLC, Crown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European Holdings S.A., Crown Metal Packaging Canada LP, each of the Subsidiary Borrowers party thereto, Crown Holdings, Inc., Crown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Cork &amp; Seal Company, Inc. and Crown International Holdings, Inc., each other Credit Party from time to time party thereto, Deutsche Bank</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AG New York Branch, Deutsche Bank AG, London Branch, Deutsche Bank AG, Canada Branch, and various Lenders referred to therein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(incorporated by reference to Exhibit 4 of the Registrant's Annual Report on Form 10-K for the year ended December 31, 2017 (File No. 000-</w:t>
        </w:r>
      </w:hyperlink>
      <w:hyperlink r:id="rId51">
        <w:r>
          <w:rPr>
            <w:rFonts w:ascii="Arial" w:cs="Arial" w:eastAsia="Arial" w:hAnsi="Arial"/>
            <w:sz w:val="18"/>
            <w:szCs w:val="18"/>
            <w:u w:val="single" w:color="auto"/>
            <w:color w:val="0000FF"/>
          </w:rPr>
          <w:t>50189)).</w:t>
        </w:r>
      </w:hyperlink>
    </w:p>
    <w:p>
      <w:pPr>
        <w:spacing w:after="0" w:line="193" w:lineRule="exact"/>
        <w:rPr>
          <w:rFonts w:ascii="Arial" w:cs="Arial" w:eastAsia="Arial" w:hAnsi="Arial"/>
          <w:sz w:val="18"/>
          <w:szCs w:val="18"/>
          <w:u w:val="single" w:color="auto"/>
          <w:color w:val="0000FF"/>
        </w:rPr>
      </w:pPr>
    </w:p>
    <w:p>
      <w:pPr>
        <w:jc w:val="both"/>
        <w:ind w:hanging="566"/>
        <w:spacing w:after="0" w:line="276" w:lineRule="auto"/>
        <w:rPr>
          <w:rFonts w:ascii="Arial" w:cs="Arial" w:eastAsia="Arial" w:hAnsi="Arial"/>
          <w:sz w:val="17"/>
          <w:szCs w:val="17"/>
          <w:u w:val="single" w:color="auto"/>
          <w:color w:val="0000FF"/>
        </w:rPr>
      </w:pPr>
      <w:r>
        <w:rPr>
          <w:rFonts w:ascii="Arial" w:cs="Arial" w:eastAsia="Arial" w:hAnsi="Arial"/>
          <w:sz w:val="18"/>
          <w:szCs w:val="18"/>
          <w:color w:val="auto"/>
        </w:rPr>
        <w:t>4.y</w:t>
      </w:r>
      <w:r>
        <w:rPr>
          <w:sz w:val="20"/>
          <w:szCs w:val="20"/>
          <w:color w:val="auto"/>
        </w:rPr>
        <w:t xml:space="preserve"> </w:t>
      </w:r>
      <w:hyperlink r:id="rId52">
        <w:r>
          <w:rPr>
            <w:rFonts w:ascii="Arial" w:cs="Arial" w:eastAsia="Arial" w:hAnsi="Arial"/>
            <w:sz w:val="17"/>
            <w:szCs w:val="17"/>
            <w:u w:val="single" w:color="auto"/>
            <w:color w:val="0000FF"/>
          </w:rPr>
          <w:t>Incremental Amendment No. 1, dated as of January 29, 2018, among Crown Americas LLC, Crown European Holdings S.A., Crown Metal</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Packaging Canada LP, each of the Subsidiary Borrowers party thereto, Crown Holdings, Inc., Crown Cork &amp; Seal Company, Inc. and Crown</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International Holdings, Inc., each other Credit Party from time to time party thereto, Deutsche Bank AG New York Branch, Deutsche Bank</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AG, London Branch, Deutsche Bank AG, Canada Branch, and various Lenders referred to therein (incorporated by reference to Exhibit 4.1 of</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the Registrant's Annual Report on Form 10-K for the year ended December 31, 2017).</w:t>
        </w:r>
      </w:hyperlink>
    </w:p>
    <w:p>
      <w:pPr>
        <w:spacing w:after="0" w:line="173" w:lineRule="exact"/>
        <w:rPr>
          <w:rFonts w:ascii="Arial" w:cs="Arial" w:eastAsia="Arial" w:hAnsi="Arial"/>
          <w:sz w:val="17"/>
          <w:szCs w:val="17"/>
          <w:u w:val="single" w:color="auto"/>
          <w:color w:val="0000FF"/>
        </w:rPr>
      </w:pPr>
    </w:p>
    <w:p>
      <w:pPr>
        <w:jc w:val="both"/>
        <w:ind w:hanging="566"/>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4.z</w:t>
      </w:r>
      <w:r>
        <w:rPr>
          <w:sz w:val="20"/>
          <w:szCs w:val="20"/>
          <w:color w:val="auto"/>
        </w:rPr>
        <w:t xml:space="preserve"> </w:t>
      </w:r>
      <w:hyperlink r:id="rId53">
        <w:r>
          <w:rPr>
            <w:rFonts w:ascii="Arial" w:cs="Arial" w:eastAsia="Arial" w:hAnsi="Arial"/>
            <w:sz w:val="18"/>
            <w:szCs w:val="18"/>
            <w:u w:val="single" w:color="auto"/>
            <w:color w:val="0000FF"/>
          </w:rPr>
          <w:t>Indenture, dated as of January 26, 2018, by and among Crown European Holdings S.A., as Issuer, the Guarantors named therein, U.S. Bank</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National Association, as Trustee, and the other parties thereto, relating to the €335 million 2.250% Senior Notes due 2023 and the €500</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million 2.875% Senior Notes due 2026 (incorporated by reference to Exhibit 4.1 of the Registrant's Current Report on Form 8-K dated</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February 1, 2018 (File No. 000-50189)).</w:t>
        </w:r>
      </w:hyperlink>
    </w:p>
    <w:p>
      <w:pPr>
        <w:spacing w:after="0" w:line="187" w:lineRule="exact"/>
        <w:rPr>
          <w:rFonts w:ascii="Arial" w:cs="Arial" w:eastAsia="Arial" w:hAnsi="Arial"/>
          <w:sz w:val="18"/>
          <w:szCs w:val="18"/>
          <w:u w:val="single" w:color="auto"/>
          <w:color w:val="0000FF"/>
        </w:rPr>
      </w:pPr>
    </w:p>
    <w:p>
      <w:pPr>
        <w:jc w:val="both"/>
        <w:ind w:hanging="566"/>
        <w:spacing w:after="0" w:line="286" w:lineRule="auto"/>
        <w:rPr>
          <w:rFonts w:ascii="Arial" w:cs="Arial" w:eastAsia="Arial" w:hAnsi="Arial"/>
          <w:sz w:val="17"/>
          <w:szCs w:val="17"/>
          <w:u w:val="single" w:color="auto"/>
          <w:color w:val="0000FF"/>
        </w:rPr>
      </w:pPr>
      <w:r>
        <w:rPr>
          <w:rFonts w:ascii="Arial" w:cs="Arial" w:eastAsia="Arial" w:hAnsi="Arial"/>
          <w:sz w:val="18"/>
          <w:szCs w:val="18"/>
          <w:color w:val="auto"/>
        </w:rPr>
        <w:t>4.aa</w:t>
      </w:r>
      <w:r>
        <w:rPr>
          <w:sz w:val="20"/>
          <w:szCs w:val="20"/>
          <w:color w:val="auto"/>
        </w:rPr>
        <w:t xml:space="preserve"> </w:t>
      </w:r>
      <w:hyperlink r:id="rId54">
        <w:r>
          <w:rPr>
            <w:rFonts w:ascii="Arial" w:cs="Arial" w:eastAsia="Arial" w:hAnsi="Arial"/>
            <w:sz w:val="17"/>
            <w:szCs w:val="17"/>
            <w:u w:val="single" w:color="auto"/>
            <w:color w:val="0000FF"/>
          </w:rPr>
          <w:t>Indenture, dated as of January 26, 2018, by and among Crown Americas LLC and Crown Americas Capital Corp. VI, as Issuers, the</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Guarantors named therein and U.S. Bank National Association, as Trustee, relating to the $875 million 4.750% Senior Notes due 2026</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(incorporated by reference to Exhibit 4.2 of the Registrant's Current Report on Form 8-K dated February 1, 2018 (File No. 000-50189)).</w:t>
        </w:r>
      </w:hyperlink>
    </w:p>
    <w:p>
      <w:pPr>
        <w:spacing w:after="0" w:line="166" w:lineRule="exact"/>
        <w:rPr>
          <w:rFonts w:ascii="Arial" w:cs="Arial" w:eastAsia="Arial" w:hAnsi="Arial"/>
          <w:sz w:val="17"/>
          <w:szCs w:val="17"/>
          <w:u w:val="single" w:color="auto"/>
          <w:color w:val="0000FF"/>
        </w:rPr>
      </w:pPr>
    </w:p>
    <w:p>
      <w:pPr>
        <w:jc w:val="both"/>
        <w:ind w:right="20" w:hanging="566"/>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4.bb</w:t>
      </w:r>
      <w:r>
        <w:rPr>
          <w:sz w:val="20"/>
          <w:szCs w:val="20"/>
          <w:color w:val="auto"/>
        </w:rPr>
        <w:t xml:space="preserve"> </w:t>
      </w:r>
      <w:hyperlink r:id="rId55">
        <w:r>
          <w:rPr>
            <w:rFonts w:ascii="Arial" w:cs="Arial" w:eastAsia="Arial" w:hAnsi="Arial"/>
            <w:sz w:val="18"/>
            <w:szCs w:val="18"/>
            <w:u w:val="single" w:color="auto"/>
            <w:color w:val="0000FF"/>
          </w:rPr>
          <w:t>Registration Rights Agreement, dated as of January 26, 2018, by and among Crown Holdings, Inc., Crown Americas LLC and Crown</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Americas Capital Corp. VI, Citigroup Global Markets Inc., as representative of the initial</w:t>
        </w:r>
      </w:hyperlink>
    </w:p>
    <w:p>
      <w:pPr>
        <w:spacing w:after="0" w:line="17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280"/>
          </w:cols>
          <w:pgMar w:left="1380" w:top="121" w:right="239" w:bottom="1440" w:gutter="0" w:footer="0" w:header="0"/>
        </w:sectPr>
      </w:pPr>
    </w:p>
    <w:bookmarkStart w:id="112" w:name="page113"/>
    <w:bookmarkEnd w:id="112"/>
    <w:p>
      <w:pPr>
        <w:jc w:val="center"/>
        <w:ind w:right="4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ind w:left="640"/>
        <w:spacing w:after="0" w:line="277"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purchasers, and the Guarantors (as defined therein), relating to the $875 million 4.750% Senior Notes due 2026 (incorporated by reference to</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Exhibit 4.3 of the Registrant's Current Report on Form 8-K dated February 1, 2018 (File No. 000-50189)).</w:t>
        </w:r>
      </w:hyperlink>
    </w:p>
    <w:p>
      <w:pPr>
        <w:spacing w:after="0" w:line="170" w:lineRule="exact"/>
        <w:rPr>
          <w:sz w:val="20"/>
          <w:szCs w:val="20"/>
          <w:color w:val="auto"/>
        </w:rPr>
      </w:pPr>
    </w:p>
    <w:p>
      <w:pPr>
        <w:jc w:val="both"/>
        <w:ind w:left="640" w:hanging="566"/>
        <w:spacing w:after="0" w:line="293" w:lineRule="auto"/>
        <w:tabs>
          <w:tab w:leader="none" w:pos="620" w:val="left"/>
        </w:tabs>
        <w:rPr>
          <w:rFonts w:ascii="Arial" w:cs="Arial" w:eastAsia="Arial" w:hAnsi="Arial"/>
          <w:sz w:val="16"/>
          <w:szCs w:val="16"/>
          <w:u w:val="single" w:color="auto"/>
          <w:color w:val="0000FF"/>
        </w:rPr>
      </w:pPr>
      <w:r>
        <w:rPr>
          <w:rFonts w:ascii="Arial" w:cs="Arial" w:eastAsia="Arial" w:hAnsi="Arial"/>
          <w:sz w:val="18"/>
          <w:szCs w:val="18"/>
          <w:color w:val="auto"/>
        </w:rPr>
        <w:t>4.cc</w:t>
      </w:r>
      <w:r>
        <w:rPr>
          <w:sz w:val="20"/>
          <w:szCs w:val="20"/>
          <w:color w:val="auto"/>
        </w:rPr>
        <w:tab/>
      </w:r>
      <w:hyperlink r:id="rId52">
        <w:r>
          <w:rPr>
            <w:rFonts w:ascii="Arial" w:cs="Arial" w:eastAsia="Arial" w:hAnsi="Arial"/>
            <w:sz w:val="16"/>
            <w:szCs w:val="16"/>
            <w:u w:val="single" w:color="auto"/>
            <w:color w:val="0000FF"/>
          </w:rPr>
          <w:t>Second Amendment to Amended and Restated Credit Agreement, First Amendment to the U.S. Guarantee Agreement and First Amendment</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to U.S. Indemnity, Subrogation and Contribution Agreement, dated as of March 23, 2018, among Crown Americas LLC, Crown European</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Holdings S.A., Crown Metal Packaging Canada LP, each of the Subsidiary Borrowers from time to time party thereto, Crown Holdings, Inc.,</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Crown Cork &amp; Seal Company, Inc. and Crown International Holdings, Inc., each other Credit Party from time to time party thereto, Deutsche</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Bank AG New York Branch, Deutsche Bank AG, London Branch, Deutsche Bank AG, Canada Branch, and various Lenders referred to</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therein (incorporated by reference to Exhibit 4.cc of the Registrant's Annual Report on Form 10-K for the year ended December 31, 2018).</w:t>
        </w:r>
      </w:hyperlink>
    </w:p>
    <w:p>
      <w:pPr>
        <w:spacing w:after="0" w:line="165" w:lineRule="exact"/>
        <w:rPr>
          <w:rFonts w:ascii="Arial" w:cs="Arial" w:eastAsia="Arial" w:hAnsi="Arial"/>
          <w:sz w:val="16"/>
          <w:szCs w:val="16"/>
          <w:u w:val="single" w:color="auto"/>
          <w:color w:val="0000FF"/>
        </w:rPr>
      </w:pPr>
    </w:p>
    <w:p>
      <w:pPr>
        <w:jc w:val="both"/>
        <w:ind w:left="640" w:hanging="566"/>
        <w:spacing w:after="0" w:line="255"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4.dd</w:t>
      </w:r>
      <w:r>
        <w:rPr>
          <w:sz w:val="20"/>
          <w:szCs w:val="20"/>
          <w:color w:val="auto"/>
        </w:rPr>
        <w:tab/>
      </w:r>
      <w:hyperlink r:id="rId56">
        <w:r>
          <w:rPr>
            <w:rFonts w:ascii="Arial" w:cs="Arial" w:eastAsia="Arial" w:hAnsi="Arial"/>
            <w:sz w:val="18"/>
            <w:szCs w:val="18"/>
            <w:u w:val="single" w:color="auto"/>
            <w:color w:val="0000FF"/>
          </w:rPr>
          <w:t>Incremental Amendment No. 2 and Third Amendment to Amended and Restated Credit Agreement, dated as of December 13, 2019, among</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Crown Americas LLC, Crown European Holdings S.A., Crown Metal Packaging Canada LP, each of the Subsidiary Borrowers from time to</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time party thereto, Crown Holdings, Inc., Crown Cork &amp; Seal Company, Inc., and Crown International Holdings, Inc., each other Credit Party</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from time to time party thereto, Deutsche Bank AG New York Branch, Deutsche Bank AG London Branch, Deutsche Bank AG, Canada</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Branch, and the various Lenders referred to therein (incorporated by reference to Exhibit 4.1 of the Registrant's Current Report on Form 8-</w:t>
        </w:r>
      </w:hyperlink>
      <w:hyperlink r:id="rId56">
        <w:r>
          <w:rPr>
            <w:rFonts w:ascii="Arial" w:cs="Arial" w:eastAsia="Arial" w:hAnsi="Arial"/>
            <w:sz w:val="18"/>
            <w:szCs w:val="18"/>
            <w:u w:val="single" w:color="auto"/>
            <w:color w:val="0000FF"/>
          </w:rPr>
          <w:t>K/A dated February 28, 2020 (File No. 000-50189)).</w:t>
        </w:r>
      </w:hyperlink>
    </w:p>
    <w:p>
      <w:pPr>
        <w:spacing w:after="0" w:line="193" w:lineRule="exact"/>
        <w:rPr>
          <w:rFonts w:ascii="Arial" w:cs="Arial" w:eastAsia="Arial" w:hAnsi="Arial"/>
          <w:sz w:val="18"/>
          <w:szCs w:val="18"/>
          <w:u w:val="single" w:color="auto"/>
          <w:color w:val="0000FF"/>
        </w:rPr>
      </w:pPr>
    </w:p>
    <w:p>
      <w:pPr>
        <w:jc w:val="both"/>
        <w:ind w:left="640" w:right="20" w:hanging="566"/>
        <w:spacing w:after="0" w:line="286" w:lineRule="auto"/>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4.ee</w:t>
      </w:r>
      <w:r>
        <w:rPr>
          <w:sz w:val="20"/>
          <w:szCs w:val="20"/>
          <w:color w:val="auto"/>
        </w:rPr>
        <w:tab/>
      </w:r>
      <w:hyperlink r:id="rId57">
        <w:r>
          <w:rPr>
            <w:rFonts w:ascii="Arial" w:cs="Arial" w:eastAsia="Arial" w:hAnsi="Arial"/>
            <w:sz w:val="17"/>
            <w:szCs w:val="17"/>
            <w:u w:val="single" w:color="auto"/>
            <w:color w:val="0000FF"/>
          </w:rPr>
          <w:t>Indenture, dated as of October 31, 2019, by and among Crown European Holdings S.A., as Issuer, the Guarantors named therein, U.S. Bank</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National Association, as Trustee, and the other parties thereto, relating to the €550 million 0.750% Senior Notes due 2023 (incorporated by</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reference to Exhibit 4.1 of the Registrant's Current Report on Form 8-K dated November 4, 2019 (File No. 000-50189)).</w:t>
        </w:r>
      </w:hyperlink>
    </w:p>
    <w:p>
      <w:pPr>
        <w:spacing w:after="0" w:line="166" w:lineRule="exact"/>
        <w:rPr>
          <w:rFonts w:ascii="Arial" w:cs="Arial" w:eastAsia="Arial" w:hAnsi="Arial"/>
          <w:sz w:val="17"/>
          <w:szCs w:val="17"/>
          <w:u w:val="single" w:color="auto"/>
          <w:color w:val="0000FF"/>
        </w:rPr>
      </w:pPr>
    </w:p>
    <w:p>
      <w:pPr>
        <w:ind w:left="80"/>
        <w:spacing w:after="0"/>
        <w:tabs>
          <w:tab w:leader="none" w:pos="620" w:val="left"/>
        </w:tabs>
        <w:rPr>
          <w:rFonts w:ascii="Arial" w:cs="Arial" w:eastAsia="Arial" w:hAnsi="Arial"/>
          <w:sz w:val="16"/>
          <w:szCs w:val="16"/>
          <w:u w:val="single" w:color="auto"/>
          <w:color w:val="0000FF"/>
        </w:rPr>
      </w:pPr>
      <w:r>
        <w:rPr>
          <w:rFonts w:ascii="Arial" w:cs="Arial" w:eastAsia="Arial" w:hAnsi="Arial"/>
          <w:sz w:val="18"/>
          <w:szCs w:val="18"/>
          <w:color w:val="auto"/>
        </w:rPr>
        <w:t>4.ff</w:t>
      </w:r>
      <w:r>
        <w:rPr>
          <w:sz w:val="20"/>
          <w:szCs w:val="20"/>
          <w:color w:val="auto"/>
        </w:rPr>
        <w:tab/>
      </w:r>
      <w:hyperlink w:anchor="page118">
        <w:r>
          <w:rPr>
            <w:rFonts w:ascii="Arial" w:cs="Arial" w:eastAsia="Arial" w:hAnsi="Arial"/>
            <w:sz w:val="16"/>
            <w:szCs w:val="16"/>
            <w:u w:val="single" w:color="auto"/>
            <w:color w:val="0000FF"/>
          </w:rPr>
          <w:t>Description of the Registrant's Securities.</w:t>
        </w:r>
      </w:hyperlink>
    </w:p>
    <w:p>
      <w:pPr>
        <w:spacing w:after="0" w:line="225" w:lineRule="exact"/>
        <w:rPr>
          <w:rFonts w:ascii="Arial" w:cs="Arial" w:eastAsia="Arial" w:hAnsi="Arial"/>
          <w:sz w:val="17"/>
          <w:szCs w:val="17"/>
          <w:u w:val="single" w:color="auto"/>
          <w:color w:val="0000FF"/>
        </w:rPr>
      </w:pPr>
    </w:p>
    <w:p>
      <w:pPr>
        <w:jc w:val="both"/>
        <w:ind w:left="640" w:hanging="566"/>
        <w:spacing w:after="0" w:line="277" w:lineRule="auto"/>
        <w:tabs>
          <w:tab w:leader="none" w:pos="620" w:val="left"/>
        </w:tabs>
        <w:rPr>
          <w:sz w:val="20"/>
          <w:szCs w:val="20"/>
          <w:color w:val="auto"/>
        </w:rPr>
      </w:pPr>
      <w:r>
        <w:rPr>
          <w:rFonts w:ascii="Arial" w:cs="Arial" w:eastAsia="Arial" w:hAnsi="Arial"/>
          <w:sz w:val="18"/>
          <w:szCs w:val="18"/>
          <w:color w:val="auto"/>
        </w:rPr>
        <w:t>4.gg</w:t>
        <w:tab/>
        <w:t>Other long-term agreements of the Registrant are not filed pursuant to Item 601(b)(4)(iii)(A) of Regulation S-K, and the Registrant agrees to furnish copies of such agreements to the Securities and Exchange Commission upon its requests.</w:t>
      </w:r>
    </w:p>
    <w:p>
      <w:pPr>
        <w:spacing w:after="0" w:line="170" w:lineRule="exact"/>
        <w:rPr>
          <w:rFonts w:ascii="Arial" w:cs="Arial" w:eastAsia="Arial" w:hAnsi="Arial"/>
          <w:sz w:val="17"/>
          <w:szCs w:val="17"/>
          <w:u w:val="single" w:color="auto"/>
          <w:color w:val="0000FF"/>
        </w:rPr>
      </w:pPr>
    </w:p>
    <w:p>
      <w:pPr>
        <w:spacing w:after="0"/>
        <w:tabs>
          <w:tab w:leader="none" w:pos="4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6"/>
          <w:szCs w:val="16"/>
          <w:color w:val="auto"/>
        </w:rPr>
        <w:t>Employment Contracts:</w:t>
      </w:r>
    </w:p>
    <w:p>
      <w:pPr>
        <w:spacing w:after="0" w:line="225" w:lineRule="exact"/>
        <w:rPr>
          <w:rFonts w:ascii="Arial" w:cs="Arial" w:eastAsia="Arial" w:hAnsi="Arial"/>
          <w:sz w:val="17"/>
          <w:szCs w:val="17"/>
          <w:u w:val="single" w:color="auto"/>
          <w:color w:val="0000FF"/>
        </w:rPr>
      </w:pPr>
    </w:p>
    <w:p>
      <w:pPr>
        <w:ind w:left="1120" w:hanging="478"/>
        <w:spacing w:after="0" w:line="277" w:lineRule="auto"/>
        <w:tabs>
          <w:tab w:leader="none" w:pos="1082" w:val="left"/>
        </w:tabs>
        <w:numPr>
          <w:ilvl w:val="0"/>
          <w:numId w:val="22"/>
        </w:numPr>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Employment Agreement, dated December 30, 2015, between Crown Holdings, Inc. and Timothy J. Donahue (incorporated by reference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to Exhibit 10.1 of the Registrant’s Current Report on Form 8-K dated January 5, 2016 (File No. 000-50189)).</w:t>
        </w:r>
      </w:hyperlink>
    </w:p>
    <w:p>
      <w:pPr>
        <w:spacing w:after="0" w:line="170" w:lineRule="exact"/>
        <w:rPr>
          <w:rFonts w:ascii="Arial" w:cs="Arial" w:eastAsia="Arial" w:hAnsi="Arial"/>
          <w:sz w:val="18"/>
          <w:szCs w:val="18"/>
          <w:u w:val="single" w:color="auto"/>
          <w:color w:val="0000FF"/>
        </w:rPr>
      </w:pPr>
    </w:p>
    <w:p>
      <w:pPr>
        <w:jc w:val="both"/>
        <w:ind w:left="1120" w:hanging="478"/>
        <w:spacing w:after="0" w:line="264" w:lineRule="auto"/>
        <w:tabs>
          <w:tab w:leader="none" w:pos="1120" w:val="left"/>
        </w:tabs>
        <w:numPr>
          <w:ilvl w:val="0"/>
          <w:numId w:val="22"/>
        </w:numPr>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First amendment to the employment contract, effective June 1, 2012, between Crown Holdings, Inc. and Gerard Gifford, dated as of</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July 24, 2013 (incorporated by reference to Exhibit 10.3 of the Registrant's Quarterly Report on Form 10-Q for the quarter ended June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30, 2013 (File No 000-50189)).</w:t>
        </w:r>
      </w:hyperlink>
    </w:p>
    <w:p>
      <w:pPr>
        <w:spacing w:after="0" w:line="181" w:lineRule="exact"/>
        <w:rPr>
          <w:rFonts w:ascii="Arial" w:cs="Arial" w:eastAsia="Arial" w:hAnsi="Arial"/>
          <w:sz w:val="18"/>
          <w:szCs w:val="18"/>
          <w:u w:val="single" w:color="auto"/>
          <w:color w:val="0000FF"/>
        </w:rPr>
      </w:pPr>
    </w:p>
    <w:p>
      <w:pPr>
        <w:ind w:left="1120" w:hanging="478"/>
        <w:spacing w:after="0" w:line="342" w:lineRule="auto"/>
        <w:tabs>
          <w:tab w:leader="none" w:pos="1120" w:val="left"/>
        </w:tabs>
        <w:numPr>
          <w:ilvl w:val="0"/>
          <w:numId w:val="22"/>
        </w:numPr>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Executive Employment Agreement, effective June 1, 2012, between Crown Holdings, Inc. and Gerard Gifford (incorporated by</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reference to Exhibit 10.1 of the Registrant's Quarterly Report on Form 10-Q for the quarter ended June 30, 2012 (File No 000-50189)).</w:t>
        </w:r>
      </w:hyperlink>
    </w:p>
    <w:p>
      <w:pPr>
        <w:spacing w:after="0" w:line="123" w:lineRule="exact"/>
        <w:rPr>
          <w:rFonts w:ascii="Arial" w:cs="Arial" w:eastAsia="Arial" w:hAnsi="Arial"/>
          <w:sz w:val="16"/>
          <w:szCs w:val="16"/>
          <w:u w:val="single" w:color="auto"/>
          <w:color w:val="0000FF"/>
        </w:rPr>
      </w:pPr>
    </w:p>
    <w:p>
      <w:pPr>
        <w:ind w:left="1120" w:hanging="478"/>
        <w:spacing w:after="0" w:line="277" w:lineRule="auto"/>
        <w:tabs>
          <w:tab w:leader="none" w:pos="1120" w:val="left"/>
        </w:tabs>
        <w:numPr>
          <w:ilvl w:val="0"/>
          <w:numId w:val="22"/>
        </w:numPr>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Employment contract between Crown Holdings, Inc. and Thomas A. Kelly, dated July 24, 2013 (incorporated by reference to Exhibit</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10 of the Registrant’s Quarterly Report on Form 10-Q for the quarter ended June 30, 2013 (File No. 000-50189)).</w:t>
        </w:r>
      </w:hyperlink>
    </w:p>
    <w:p>
      <w:pPr>
        <w:spacing w:after="0" w:line="170" w:lineRule="exact"/>
        <w:rPr>
          <w:rFonts w:ascii="Arial" w:cs="Arial" w:eastAsia="Arial" w:hAnsi="Arial"/>
          <w:sz w:val="18"/>
          <w:szCs w:val="18"/>
          <w:u w:val="single" w:color="auto"/>
          <w:color w:val="0000FF"/>
        </w:rPr>
      </w:pPr>
    </w:p>
    <w:p>
      <w:pPr>
        <w:ind w:left="1120" w:hanging="478"/>
        <w:spacing w:after="0" w:line="308" w:lineRule="auto"/>
        <w:tabs>
          <w:tab w:leader="none" w:pos="1120" w:val="left"/>
        </w:tabs>
        <w:numPr>
          <w:ilvl w:val="0"/>
          <w:numId w:val="22"/>
        </w:numPr>
        <w:rPr>
          <w:rFonts w:ascii="Arial" w:cs="Arial" w:eastAsia="Arial" w:hAnsi="Arial"/>
          <w:sz w:val="17"/>
          <w:szCs w:val="17"/>
          <w:u w:val="single" w:color="auto"/>
          <w:color w:val="0000FF"/>
        </w:rPr>
      </w:pPr>
      <w:hyperlink r:id="rId62">
        <w:r>
          <w:rPr>
            <w:rFonts w:ascii="Arial" w:cs="Arial" w:eastAsia="Arial" w:hAnsi="Arial"/>
            <w:sz w:val="17"/>
            <w:szCs w:val="17"/>
            <w:u w:val="single" w:color="auto"/>
            <w:color w:val="0000FF"/>
          </w:rPr>
          <w:t>Employment contract between Crown Holdings, Inc. and Djalma Novaes Jr., dated February 26, 2015 (incorporated by reference to</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Exhibit 10.c(11) of the Registrant’s Annual Report on Form 10-K for the year ended December 31, 2014 (File No. 000-50189)).</w:t>
        </w:r>
      </w:hyperlink>
    </w:p>
    <w:p>
      <w:pPr>
        <w:spacing w:after="0" w:line="146" w:lineRule="exact"/>
        <w:rPr>
          <w:rFonts w:ascii="Arial" w:cs="Arial" w:eastAsia="Arial" w:hAnsi="Arial"/>
          <w:sz w:val="17"/>
          <w:szCs w:val="17"/>
          <w:u w:val="single" w:color="auto"/>
          <w:color w:val="0000FF"/>
        </w:rPr>
      </w:pPr>
    </w:p>
    <w:p>
      <w:pPr>
        <w:jc w:val="both"/>
        <w:ind w:left="1120" w:right="20" w:hanging="478"/>
        <w:spacing w:after="0" w:line="264" w:lineRule="auto"/>
        <w:tabs>
          <w:tab w:leader="none" w:pos="1120" w:val="left"/>
        </w:tabs>
        <w:numPr>
          <w:ilvl w:val="0"/>
          <w:numId w:val="22"/>
        </w:numPr>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Executive Employment Agreement, effective May 1, 2016, between Crown Holdings, Inc. and Robert Bourque, Jr. (incorporated by</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reference to Exhibit 10.2 of the Registrant’s Quarterly Report on Form 10-Q for the quarter ended March 31, 2016 (File No. 000-</w:t>
        </w:r>
      </w:hyperlink>
      <w:hyperlink r:id="rId63">
        <w:r>
          <w:rPr>
            <w:rFonts w:ascii="Arial" w:cs="Arial" w:eastAsia="Arial" w:hAnsi="Arial"/>
            <w:sz w:val="18"/>
            <w:szCs w:val="18"/>
            <w:u w:val="single" w:color="auto"/>
            <w:color w:val="0000FF"/>
          </w:rPr>
          <w:t>50189)).</w:t>
        </w:r>
      </w:hyperlink>
    </w:p>
    <w:p>
      <w:pPr>
        <w:spacing w:after="0" w:line="397" w:lineRule="exact"/>
        <w:rPr>
          <w:rFonts w:ascii="Arial" w:cs="Arial" w:eastAsia="Arial" w:hAnsi="Arial"/>
          <w:sz w:val="18"/>
          <w:szCs w:val="18"/>
          <w:u w:val="single" w:color="auto"/>
          <w:color w:val="0000FF"/>
        </w:rPr>
      </w:pPr>
    </w:p>
    <w:p>
      <w:pPr>
        <w:jc w:val="center"/>
        <w:ind w:right="4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20"/>
          </w:cols>
          <w:pgMar w:left="740" w:top="121" w:right="239" w:bottom="1440" w:gutter="0" w:footer="0" w:header="0"/>
        </w:sectPr>
      </w:pPr>
    </w:p>
    <w:bookmarkStart w:id="113" w:name="page114"/>
    <w:bookmarkEnd w:id="113"/>
    <w:p>
      <w:pPr>
        <w:ind w:left="43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left="1040" w:hanging="478"/>
        <w:spacing w:after="0" w:line="264" w:lineRule="auto"/>
        <w:tabs>
          <w:tab w:leader="none" w:pos="1040" w:val="left"/>
        </w:tabs>
        <w:numPr>
          <w:ilvl w:val="0"/>
          <w:numId w:val="23"/>
        </w:numPr>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Employment contract between Crown Holdings, Inc. and Didier Sourisseau, effective April 1, 2017 (incorporated by reference to</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Exhibit 10.a of the Registrant's Quarterly Report on Form 10-Q for the quarter ended March 31, 2017) (File No. 000-50189)).31, 2008</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(File No. 000-50189)).</w:t>
        </w:r>
      </w:hyperlink>
    </w:p>
    <w:p>
      <w:pPr>
        <w:spacing w:after="0" w:line="181" w:lineRule="exact"/>
        <w:rPr>
          <w:rFonts w:ascii="Arial" w:cs="Arial" w:eastAsia="Arial" w:hAnsi="Arial"/>
          <w:sz w:val="18"/>
          <w:szCs w:val="18"/>
          <w:u w:val="single" w:color="auto"/>
          <w:color w:val="0000FF"/>
        </w:rPr>
      </w:pPr>
    </w:p>
    <w:p>
      <w:pPr>
        <w:ind w:left="560" w:right="20" w:hanging="566"/>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10.b</w:t>
      </w:r>
      <w:r>
        <w:rPr>
          <w:sz w:val="20"/>
          <w:szCs w:val="20"/>
          <w:color w:val="auto"/>
        </w:rPr>
        <w:tab/>
      </w:r>
      <w:hyperlink r:id="rId66">
        <w:r>
          <w:rPr>
            <w:rFonts w:ascii="Arial" w:cs="Arial" w:eastAsia="Arial" w:hAnsi="Arial"/>
            <w:sz w:val="18"/>
            <w:szCs w:val="18"/>
            <w:u w:val="single" w:color="auto"/>
            <w:color w:val="0000FF"/>
          </w:rPr>
          <w:t>Crown Holdings, Inc. Economic Profit Incentive Plan, effective as of January 1, 2018 (incorporated by reference to Exhibit 10.b of the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Registrant's Annual Report on Form 10-K for the year ended December 31, 2018 (File No. 000-50189).</w:t>
        </w:r>
      </w:hyperlink>
    </w:p>
    <w:p>
      <w:pPr>
        <w:spacing w:after="0" w:line="170"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10.c</w:t>
      </w:r>
      <w:r>
        <w:rPr>
          <w:sz w:val="20"/>
          <w:szCs w:val="20"/>
          <w:color w:val="auto"/>
        </w:rPr>
        <w:tab/>
      </w:r>
      <w:hyperlink r:id="rId67">
        <w:r>
          <w:rPr>
            <w:rFonts w:ascii="Arial" w:cs="Arial" w:eastAsia="Arial" w:hAnsi="Arial"/>
            <w:sz w:val="16"/>
            <w:szCs w:val="16"/>
            <w:u w:val="single" w:color="auto"/>
            <w:color w:val="0000FF"/>
          </w:rPr>
          <w:t>Crown Holdings, Inc. Senior Executive Retirement Plan, as amended and restated as of January 1, 2008 (incorporated by reference to Exhibit</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10.l of the Registrant’s Annual Report on Form 10-K for the year ended December 31, 2007 (File No. 000-50189)).</w:t>
        </w:r>
      </w:hyperlink>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6"/>
          <w:szCs w:val="16"/>
          <w:color w:val="auto"/>
        </w:rPr>
        <w:t>Senior Executive Retirement Agreements:</w:t>
      </w:r>
    </w:p>
    <w:p>
      <w:pPr>
        <w:spacing w:after="0" w:line="225" w:lineRule="exact"/>
        <w:rPr>
          <w:sz w:val="20"/>
          <w:szCs w:val="20"/>
          <w:color w:val="auto"/>
        </w:rPr>
      </w:pPr>
    </w:p>
    <w:p>
      <w:pPr>
        <w:jc w:val="both"/>
        <w:ind w:left="1040" w:hanging="478"/>
        <w:spacing w:after="0" w:line="264" w:lineRule="auto"/>
        <w:tabs>
          <w:tab w:leader="none" w:pos="1061" w:val="left"/>
        </w:tabs>
        <w:numPr>
          <w:ilvl w:val="0"/>
          <w:numId w:val="24"/>
        </w:numPr>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Senior Executive Retirement Agreement between Crown Holdings, Inc. and Timothy J. Donahue, dated May 3, 2007 (incorporated by</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reference to Exhibit 10.4(e) of the Registrant’s Quarterly Report on Form 10-Q for the quarter ended March 31, 2007 (File No. 000-</w:t>
        </w:r>
      </w:hyperlink>
      <w:hyperlink r:id="rId68">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ind w:left="1040" w:hanging="478"/>
        <w:spacing w:after="0" w:line="342" w:lineRule="auto"/>
        <w:tabs>
          <w:tab w:leader="none" w:pos="1040" w:val="left"/>
        </w:tabs>
        <w:numPr>
          <w:ilvl w:val="0"/>
          <w:numId w:val="24"/>
        </w:numPr>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Senior Executive Retirement Agreement, effective June 1, 2012, between Crown Holdings, Inc. and Gerard Gifford (incorporated by</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reference to Exhibit 10.2 of the Registrant's Quarterly Report on Form 10-Q for the quarter ended June 30, 2012 (File No 000-50189)).</w:t>
        </w:r>
      </w:hyperlink>
    </w:p>
    <w:p>
      <w:pPr>
        <w:spacing w:after="0" w:line="123" w:lineRule="exact"/>
        <w:rPr>
          <w:rFonts w:ascii="Arial" w:cs="Arial" w:eastAsia="Arial" w:hAnsi="Arial"/>
          <w:sz w:val="16"/>
          <w:szCs w:val="16"/>
          <w:u w:val="single" w:color="auto"/>
          <w:color w:val="0000FF"/>
        </w:rPr>
      </w:pPr>
    </w:p>
    <w:p>
      <w:pPr>
        <w:jc w:val="both"/>
        <w:ind w:left="1040" w:hanging="478"/>
        <w:spacing w:after="0" w:line="264" w:lineRule="auto"/>
        <w:tabs>
          <w:tab w:leader="none" w:pos="1040" w:val="left"/>
        </w:tabs>
        <w:numPr>
          <w:ilvl w:val="0"/>
          <w:numId w:val="24"/>
        </w:numPr>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Amendment No. 1 to the Senior Executive Retirement Agreement, effective June 1, 2012, between Crown Holdings, Inc. and Gerard</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Gifford dated December 28, 2012 (incorporated by reference to Exhibit 10.m(7) of the Registrant’s Annual Report on Form 10-K for</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the year ended December 31, 2012 (File No. 000-50189)).</w:t>
        </w:r>
      </w:hyperlink>
    </w:p>
    <w:p>
      <w:pPr>
        <w:spacing w:after="0" w:line="181" w:lineRule="exact"/>
        <w:rPr>
          <w:rFonts w:ascii="Arial" w:cs="Arial" w:eastAsia="Arial" w:hAnsi="Arial"/>
          <w:sz w:val="18"/>
          <w:szCs w:val="18"/>
          <w:u w:val="single" w:color="auto"/>
          <w:color w:val="0000FF"/>
        </w:rPr>
      </w:pPr>
    </w:p>
    <w:p>
      <w:pPr>
        <w:ind w:left="1040" w:hanging="478"/>
        <w:spacing w:after="0" w:line="342" w:lineRule="auto"/>
        <w:tabs>
          <w:tab w:leader="none" w:pos="1040" w:val="left"/>
        </w:tabs>
        <w:numPr>
          <w:ilvl w:val="0"/>
          <w:numId w:val="24"/>
        </w:numPr>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Senior Executive Retirement Agreement, effective July 24, 2013, between Crown Holdings, Inc. and Thomas A. Kelly (incorporated by</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reference to Exhibit 10.2 of the Registrant's Quarterly Report on Form 10-Q for the quarter ended June 30, 2013 (File No 000-50189)).</w:t>
        </w:r>
      </w:hyperlink>
    </w:p>
    <w:p>
      <w:pPr>
        <w:spacing w:after="0" w:line="123" w:lineRule="exact"/>
        <w:rPr>
          <w:rFonts w:ascii="Arial" w:cs="Arial" w:eastAsia="Arial" w:hAnsi="Arial"/>
          <w:sz w:val="16"/>
          <w:szCs w:val="16"/>
          <w:u w:val="single" w:color="auto"/>
          <w:color w:val="0000FF"/>
        </w:rPr>
      </w:pPr>
    </w:p>
    <w:p>
      <w:pPr>
        <w:jc w:val="both"/>
        <w:ind w:left="1040" w:hanging="478"/>
        <w:spacing w:after="0" w:line="264" w:lineRule="auto"/>
        <w:tabs>
          <w:tab w:leader="none" w:pos="1040" w:val="left"/>
        </w:tabs>
        <w:numPr>
          <w:ilvl w:val="0"/>
          <w:numId w:val="24"/>
        </w:numPr>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Senior Executive Retirement Agreement between Crown Holdings, Inc. and Djalma Novaes Jr., dated February 26, 2015 (incorporated</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by reference to Exhibit 10.f(9) of the Registrant’s Annual Report on Form 10-K for the year ended December 31, 2014 (File No. 000-</w:t>
        </w:r>
      </w:hyperlink>
      <w:hyperlink r:id="rId72">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1040" w:hanging="478"/>
        <w:spacing w:after="0" w:line="264" w:lineRule="auto"/>
        <w:tabs>
          <w:tab w:leader="none" w:pos="1040" w:val="left"/>
        </w:tabs>
        <w:numPr>
          <w:ilvl w:val="0"/>
          <w:numId w:val="24"/>
        </w:numPr>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Senior Executive Retirement Agreement, effective May 1, 2016, between Crown Holdings, Inc. and Robert Bourque, Jr. (incorporated</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by reference to Exhibit 10.3 of the Registrant’s Quarterly Report on Form 10-Q for the quarter ended March 31, 2016 (File No. 000-</w:t>
        </w:r>
      </w:hyperlink>
      <w:hyperlink r:id="rId73">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1040" w:right="20" w:hanging="478"/>
        <w:spacing w:after="0" w:line="264" w:lineRule="auto"/>
        <w:tabs>
          <w:tab w:leader="none" w:pos="1040" w:val="left"/>
        </w:tabs>
        <w:numPr>
          <w:ilvl w:val="0"/>
          <w:numId w:val="24"/>
        </w:numPr>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Amendment No. 2 to the Senior Executive Retirement Agreement, effective as of May 17, 2016, between Crown Holdings, Inc. and</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Gerard Gifford (incorporated by reference to Exhibit 10.1 of the Registrant’s Current Report on Form 8-K dated May 18, 2016 (File</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No. 000-50189)).</w:t>
        </w:r>
      </w:hyperlink>
    </w:p>
    <w:p>
      <w:pPr>
        <w:spacing w:after="0" w:line="181" w:lineRule="exact"/>
        <w:rPr>
          <w:rFonts w:ascii="Arial" w:cs="Arial" w:eastAsia="Arial" w:hAnsi="Arial"/>
          <w:sz w:val="18"/>
          <w:szCs w:val="18"/>
          <w:u w:val="single" w:color="auto"/>
          <w:color w:val="0000FF"/>
        </w:rPr>
      </w:pPr>
    </w:p>
    <w:p>
      <w:pPr>
        <w:jc w:val="both"/>
        <w:ind w:left="1040" w:hanging="478"/>
        <w:spacing w:after="0" w:line="264" w:lineRule="auto"/>
        <w:tabs>
          <w:tab w:leader="none" w:pos="1040" w:val="left"/>
        </w:tabs>
        <w:numPr>
          <w:ilvl w:val="0"/>
          <w:numId w:val="24"/>
        </w:numPr>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Senior Executive Retirement Agreement between Crown Holdings, Inc. and Didier Sourisseau, effective April 1, 2017 (incorporated by</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reference to Exhibit 10.b of the Registrant's Quarterly Report on Form 10-Q for the quarter ended March 31, 2017) (File No. 000-</w:t>
        </w:r>
      </w:hyperlink>
      <w:hyperlink r:id="rId75">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1040" w:hanging="478"/>
        <w:spacing w:after="0" w:line="264" w:lineRule="auto"/>
        <w:tabs>
          <w:tab w:leader="none" w:pos="1040" w:val="left"/>
        </w:tabs>
        <w:numPr>
          <w:ilvl w:val="0"/>
          <w:numId w:val="24"/>
        </w:numPr>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Amended and Restated Senior Executive Retirement Agreement, effective as of June 1, 2017, between Crown Holdings, Inc. and</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Gerard Gifford (incorporated by reference to Exhibit 10.c of the Registrant's Quarterly Report on Form 10-Q for the quarter ended</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March 31, 2017) (File No. 000-50189)).</w:t>
        </w:r>
      </w:hyperlink>
    </w:p>
    <w:p>
      <w:pPr>
        <w:spacing w:after="0" w:line="181" w:lineRule="exact"/>
        <w:rPr>
          <w:rFonts w:ascii="Arial" w:cs="Arial" w:eastAsia="Arial" w:hAnsi="Arial"/>
          <w:sz w:val="18"/>
          <w:szCs w:val="18"/>
          <w:u w:val="single" w:color="auto"/>
          <w:color w:val="0000FF"/>
        </w:rPr>
      </w:pPr>
    </w:p>
    <w:p>
      <w:pPr>
        <w:jc w:val="both"/>
        <w:ind w:left="560" w:hanging="566"/>
        <w:spacing w:after="0" w:line="342"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10.e</w:t>
      </w:r>
      <w:r>
        <w:rPr>
          <w:sz w:val="20"/>
          <w:szCs w:val="20"/>
          <w:color w:val="auto"/>
        </w:rPr>
        <w:tab/>
      </w:r>
      <w:hyperlink r:id="rId77">
        <w:r>
          <w:rPr>
            <w:rFonts w:ascii="Arial" w:cs="Arial" w:eastAsia="Arial" w:hAnsi="Arial"/>
            <w:sz w:val="16"/>
            <w:szCs w:val="16"/>
            <w:u w:val="single" w:color="auto"/>
            <w:color w:val="0000FF"/>
          </w:rPr>
          <w:t>Form of Agreement for Restricted Stock Awards under Crown Holdings, Inc. 2006 Stock-Based Incentive Compensation Plan (incorporated</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by reference to Exhibit 10.dd of the Registrant’s Annual Report on Form 10-K for the year ended December 31, 2006 (File No. 000-50189)).</w:t>
        </w:r>
      </w:hyperlink>
    </w:p>
    <w:p>
      <w:pPr>
        <w:spacing w:after="0" w:line="124" w:lineRule="exact"/>
        <w:rPr>
          <w:sz w:val="20"/>
          <w:szCs w:val="20"/>
          <w:color w:val="auto"/>
        </w:rPr>
      </w:pPr>
    </w:p>
    <w:p>
      <w:pPr>
        <w:jc w:val="both"/>
        <w:ind w:left="560" w:hanging="566"/>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10.f</w:t>
      </w:r>
      <w:r>
        <w:rPr>
          <w:sz w:val="20"/>
          <w:szCs w:val="20"/>
          <w:color w:val="auto"/>
        </w:rPr>
        <w:tab/>
      </w:r>
      <w:hyperlink r:id="rId78">
        <w:r>
          <w:rPr>
            <w:rFonts w:ascii="Arial" w:cs="Arial" w:eastAsia="Arial" w:hAnsi="Arial"/>
            <w:sz w:val="18"/>
            <w:szCs w:val="18"/>
            <w:u w:val="single" w:color="auto"/>
            <w:color w:val="0000FF"/>
          </w:rPr>
          <w:t>Crown Holdings, Inc. 2004 Stock-Based Incentive Compensation Plan, dated as of April 22, 2004 (incorporated by reference to the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Registrant’s Definitive Proxy Statement on Schedule 14A, filed with the Securities and Exchange Commission on March 19, 2004 (File No.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000-50189)).</w:t>
        </w:r>
      </w:hyperlink>
    </w:p>
    <w:p>
      <w:pPr>
        <w:spacing w:after="0" w:line="397" w:lineRule="exact"/>
        <w:rPr>
          <w:rFonts w:ascii="Arial" w:cs="Arial" w:eastAsia="Arial" w:hAnsi="Arial"/>
          <w:sz w:val="18"/>
          <w:szCs w:val="18"/>
          <w:u w:val="single" w:color="auto"/>
          <w:color w:val="0000FF"/>
        </w:rPr>
      </w:pPr>
    </w:p>
    <w:p>
      <w:pPr>
        <w:ind w:left="500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840"/>
          </w:cols>
          <w:pgMar w:left="820" w:top="121" w:right="239" w:bottom="1440" w:gutter="0" w:footer="0" w:header="0"/>
        </w:sectPr>
      </w:pPr>
    </w:p>
    <w:bookmarkStart w:id="114" w:name="page115"/>
    <w:bookmarkEnd w:id="114"/>
    <w:p>
      <w:pPr>
        <w:ind w:left="4325"/>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left="565" w:hanging="566"/>
        <w:spacing w:after="0" w:line="342" w:lineRule="auto"/>
        <w:tabs>
          <w:tab w:leader="none" w:pos="544" w:val="left"/>
        </w:tabs>
        <w:rPr>
          <w:rFonts w:ascii="Arial" w:cs="Arial" w:eastAsia="Arial" w:hAnsi="Arial"/>
          <w:sz w:val="16"/>
          <w:szCs w:val="16"/>
          <w:u w:val="single" w:color="auto"/>
          <w:color w:val="0000FF"/>
        </w:rPr>
      </w:pPr>
      <w:r>
        <w:rPr>
          <w:rFonts w:ascii="Arial" w:cs="Arial" w:eastAsia="Arial" w:hAnsi="Arial"/>
          <w:sz w:val="18"/>
          <w:szCs w:val="18"/>
          <w:color w:val="auto"/>
        </w:rPr>
        <w:t>10.g</w:t>
      </w:r>
      <w:r>
        <w:rPr>
          <w:sz w:val="20"/>
          <w:szCs w:val="20"/>
          <w:color w:val="auto"/>
        </w:rPr>
        <w:tab/>
      </w:r>
      <w:hyperlink r:id="rId79">
        <w:r>
          <w:rPr>
            <w:rFonts w:ascii="Arial" w:cs="Arial" w:eastAsia="Arial" w:hAnsi="Arial"/>
            <w:sz w:val="16"/>
            <w:szCs w:val="16"/>
            <w:u w:val="single" w:color="auto"/>
            <w:color w:val="0000FF"/>
          </w:rPr>
          <w:t>Amendment No. 1, effective December 14, 2006, to the Crown Holdings, Inc. 2004 Stock-Based Incentive Compensation Plan (incorporated</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by reference to Exhibit 10.ff of the Registrant’s Annual Report on Form 10-K for the year ended December 31, 2006 (File No. 000-50189)).</w:t>
        </w:r>
      </w:hyperlink>
    </w:p>
    <w:p>
      <w:pPr>
        <w:spacing w:after="0" w:line="124" w:lineRule="exact"/>
        <w:rPr>
          <w:sz w:val="20"/>
          <w:szCs w:val="20"/>
          <w:color w:val="auto"/>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10.h</w:t>
      </w:r>
      <w:r>
        <w:rPr>
          <w:sz w:val="20"/>
          <w:szCs w:val="20"/>
          <w:color w:val="auto"/>
        </w:rPr>
        <w:tab/>
      </w:r>
      <w:hyperlink r:id="rId80">
        <w:r>
          <w:rPr>
            <w:rFonts w:ascii="Arial" w:cs="Arial" w:eastAsia="Arial" w:hAnsi="Arial"/>
            <w:sz w:val="18"/>
            <w:szCs w:val="18"/>
            <w:u w:val="single" w:color="auto"/>
            <w:color w:val="0000FF"/>
          </w:rPr>
          <w:t>Form of Agreement for Non-Qualified Stock Option Awards under Crown Holdings, Inc. 2004 Stock-Based Incentive Compensation Plan</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(incorporated by reference to Exhibit 10.6 of the Registrant’s Quarterly Report on Form 10-Q for the quarter ended September 30, 2004 (File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No. 000-51089)).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308" w:lineRule="auto"/>
        <w:tabs>
          <w:tab w:leader="none" w:pos="544" w:val="left"/>
        </w:tabs>
        <w:rPr>
          <w:rFonts w:ascii="Arial" w:cs="Arial" w:eastAsia="Arial" w:hAnsi="Arial"/>
          <w:sz w:val="17"/>
          <w:szCs w:val="17"/>
          <w:u w:val="single" w:color="auto"/>
          <w:color w:val="0000FF"/>
        </w:rPr>
      </w:pPr>
      <w:r>
        <w:rPr>
          <w:rFonts w:ascii="Arial" w:cs="Arial" w:eastAsia="Arial" w:hAnsi="Arial"/>
          <w:sz w:val="18"/>
          <w:szCs w:val="18"/>
          <w:color w:val="auto"/>
        </w:rPr>
        <w:t>10.i</w:t>
      </w:r>
      <w:r>
        <w:rPr>
          <w:sz w:val="20"/>
          <w:szCs w:val="20"/>
          <w:color w:val="auto"/>
        </w:rPr>
        <w:tab/>
      </w:r>
      <w:hyperlink r:id="rId81">
        <w:r>
          <w:rPr>
            <w:rFonts w:ascii="Arial" w:cs="Arial" w:eastAsia="Arial" w:hAnsi="Arial"/>
            <w:sz w:val="17"/>
            <w:szCs w:val="17"/>
            <w:u w:val="single" w:color="auto"/>
            <w:color w:val="0000FF"/>
          </w:rPr>
          <w:t>Crown Holdings, Inc. Deferred Compensation Plan for Directors, as Amended and Restated, effective January 1, 2008 (incorporated by</w:t>
        </w:r>
      </w:hyperlink>
      <w:r>
        <w:rPr>
          <w:rFonts w:ascii="Arial" w:cs="Arial" w:eastAsia="Arial" w:hAnsi="Arial"/>
          <w:sz w:val="17"/>
          <w:szCs w:val="17"/>
          <w:u w:val="single" w:color="auto"/>
          <w:color w:val="0000FF"/>
        </w:rPr>
        <w:t xml:space="preserve"> </w:t>
      </w:r>
      <w:hyperlink r:id="rId81">
        <w:r>
          <w:rPr>
            <w:rFonts w:ascii="Arial" w:cs="Arial" w:eastAsia="Arial" w:hAnsi="Arial"/>
            <w:sz w:val="17"/>
            <w:szCs w:val="17"/>
            <w:u w:val="single" w:color="auto"/>
            <w:color w:val="0000FF"/>
          </w:rPr>
          <w:t>reference to Exhibit 10.w of the Registrant’s Annual Report on Form 10-K for the year ended December 31, 2008 (File No. 000-50189)).</w:t>
        </w:r>
      </w:hyperlink>
    </w:p>
    <w:p>
      <w:pPr>
        <w:spacing w:after="0" w:line="147" w:lineRule="exact"/>
        <w:rPr>
          <w:sz w:val="20"/>
          <w:szCs w:val="20"/>
          <w:color w:val="auto"/>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10.j</w:t>
      </w:r>
      <w:r>
        <w:rPr>
          <w:sz w:val="20"/>
          <w:szCs w:val="20"/>
          <w:color w:val="auto"/>
        </w:rPr>
        <w:tab/>
      </w:r>
      <w:hyperlink r:id="rId78">
        <w:r>
          <w:rPr>
            <w:rFonts w:ascii="Arial" w:cs="Arial" w:eastAsia="Arial" w:hAnsi="Arial"/>
            <w:sz w:val="18"/>
            <w:szCs w:val="18"/>
            <w:u w:val="single" w:color="auto"/>
            <w:color w:val="0000FF"/>
          </w:rPr>
          <w:t>Crown Holdings, Inc. Stock Compensation Plan for Non-Employee Directors, dated as of April 22, 2004 (incorporated by reference to the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Registrant’s Definitive Proxy Statement on Schedule 14A, filed with the Securities and Exchange Commission on March 19, 2004 (File No.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000-50189)).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10.k</w:t>
      </w:r>
      <w:r>
        <w:rPr>
          <w:sz w:val="20"/>
          <w:szCs w:val="20"/>
          <w:color w:val="auto"/>
        </w:rPr>
        <w:tab/>
      </w:r>
      <w:hyperlink r:id="rId82">
        <w:r>
          <w:rPr>
            <w:rFonts w:ascii="Arial" w:cs="Arial" w:eastAsia="Arial" w:hAnsi="Arial"/>
            <w:sz w:val="18"/>
            <w:szCs w:val="18"/>
            <w:u w:val="single" w:color="auto"/>
            <w:color w:val="0000FF"/>
          </w:rPr>
          <w:t>Amendment No. 1, effective April 1, 2005, to the Crown Holdings, Inc. Stock Compensation Plan for Non-Employee Directors, dated as of</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April 22, 2004 (incorporated by reference to Exhibit 10 to the Registrant’s Quarterly Report on Form 10-Q for the quarter ended March 31,</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2005 (File No. 000-50189)).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308" w:lineRule="auto"/>
        <w:tabs>
          <w:tab w:leader="none" w:pos="544" w:val="left"/>
        </w:tabs>
        <w:rPr>
          <w:rFonts w:ascii="Arial" w:cs="Arial" w:eastAsia="Arial" w:hAnsi="Arial"/>
          <w:sz w:val="17"/>
          <w:szCs w:val="17"/>
          <w:u w:val="single" w:color="auto"/>
          <w:color w:val="0000FF"/>
        </w:rPr>
      </w:pPr>
      <w:r>
        <w:rPr>
          <w:rFonts w:ascii="Arial" w:cs="Arial" w:eastAsia="Arial" w:hAnsi="Arial"/>
          <w:sz w:val="18"/>
          <w:szCs w:val="18"/>
          <w:color w:val="auto"/>
        </w:rPr>
        <w:t>10.l</w:t>
      </w:r>
      <w:r>
        <w:rPr>
          <w:sz w:val="20"/>
          <w:szCs w:val="20"/>
          <w:color w:val="auto"/>
        </w:rPr>
        <w:tab/>
      </w:r>
      <w:hyperlink r:id="rId83">
        <w:r>
          <w:rPr>
            <w:rFonts w:ascii="Arial" w:cs="Arial" w:eastAsia="Arial" w:hAnsi="Arial"/>
            <w:sz w:val="17"/>
            <w:szCs w:val="17"/>
            <w:u w:val="single" w:color="auto"/>
            <w:color w:val="0000FF"/>
          </w:rPr>
          <w:t>Crown Holdings, Inc. 2006 Stock-Based Incentive Compensation Plan (incorporated by reference to the Registrant’s Definitive Proxy</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Statement on Schedule 14A, filed with the Securities and Exchange Commission on March 24, 2006 (File No. 000-50189)).</w:t>
        </w:r>
      </w:hyperlink>
    </w:p>
    <w:p>
      <w:pPr>
        <w:spacing w:after="0" w:line="147" w:lineRule="exact"/>
        <w:rPr>
          <w:sz w:val="20"/>
          <w:szCs w:val="20"/>
          <w:color w:val="auto"/>
        </w:rPr>
      </w:pPr>
    </w:p>
    <w:p>
      <w:pPr>
        <w:jc w:val="both"/>
        <w:ind w:left="565" w:hanging="566"/>
        <w:spacing w:after="0" w:line="342" w:lineRule="auto"/>
        <w:tabs>
          <w:tab w:leader="none" w:pos="544" w:val="left"/>
        </w:tabs>
        <w:rPr>
          <w:rFonts w:ascii="Arial" w:cs="Arial" w:eastAsia="Arial" w:hAnsi="Arial"/>
          <w:sz w:val="16"/>
          <w:szCs w:val="16"/>
          <w:u w:val="single" w:color="auto"/>
          <w:color w:val="0000FF"/>
        </w:rPr>
      </w:pPr>
      <w:r>
        <w:rPr>
          <w:rFonts w:ascii="Arial" w:cs="Arial" w:eastAsia="Arial" w:hAnsi="Arial"/>
          <w:sz w:val="18"/>
          <w:szCs w:val="18"/>
          <w:color w:val="auto"/>
        </w:rPr>
        <w:t>10.m</w:t>
      </w:r>
      <w:r>
        <w:rPr>
          <w:sz w:val="20"/>
          <w:szCs w:val="20"/>
          <w:color w:val="auto"/>
        </w:rPr>
        <w:tab/>
      </w:r>
      <w:hyperlink r:id="rId84">
        <w:r>
          <w:rPr>
            <w:rFonts w:ascii="Arial" w:cs="Arial" w:eastAsia="Arial" w:hAnsi="Arial"/>
            <w:sz w:val="16"/>
            <w:szCs w:val="16"/>
            <w:u w:val="single" w:color="auto"/>
            <w:color w:val="0000FF"/>
          </w:rPr>
          <w:t>Amendment No. 1, effective December 14, 2006, to the Crown Holdings, Inc. 2006 Stock-Based Incentive Compensation Plan (incorporated</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by reference to Exhibit 10.pp of the Registrant’s Annual Report on Form 10-K for the year ended December 31, 2006 (File No. 000-50189)).</w:t>
        </w:r>
      </w:hyperlink>
    </w:p>
    <w:p>
      <w:pPr>
        <w:spacing w:after="0" w:line="124" w:lineRule="exact"/>
        <w:rPr>
          <w:sz w:val="20"/>
          <w:szCs w:val="20"/>
          <w:color w:val="auto"/>
        </w:rPr>
      </w:pPr>
    </w:p>
    <w:p>
      <w:pPr>
        <w:jc w:val="both"/>
        <w:ind w:left="565" w:hanging="566"/>
        <w:spacing w:after="0" w:line="308" w:lineRule="auto"/>
        <w:tabs>
          <w:tab w:leader="none" w:pos="544" w:val="left"/>
        </w:tabs>
        <w:rPr>
          <w:rFonts w:ascii="Arial" w:cs="Arial" w:eastAsia="Arial" w:hAnsi="Arial"/>
          <w:sz w:val="17"/>
          <w:szCs w:val="17"/>
          <w:u w:val="single" w:color="auto"/>
          <w:color w:val="0000FF"/>
        </w:rPr>
      </w:pPr>
      <w:r>
        <w:rPr>
          <w:rFonts w:ascii="Arial" w:cs="Arial" w:eastAsia="Arial" w:hAnsi="Arial"/>
          <w:sz w:val="18"/>
          <w:szCs w:val="18"/>
          <w:color w:val="auto"/>
        </w:rPr>
        <w:t>10.n</w:t>
      </w:r>
      <w:r>
        <w:rPr>
          <w:sz w:val="20"/>
          <w:szCs w:val="20"/>
          <w:color w:val="auto"/>
        </w:rPr>
        <w:tab/>
      </w:r>
      <w:hyperlink r:id="rId85">
        <w:r>
          <w:rPr>
            <w:rFonts w:ascii="Arial" w:cs="Arial" w:eastAsia="Arial" w:hAnsi="Arial"/>
            <w:sz w:val="17"/>
            <w:szCs w:val="17"/>
            <w:u w:val="single" w:color="auto"/>
            <w:color w:val="0000FF"/>
          </w:rPr>
          <w:t>Amendment No. 2, effective July 28, 2010, to the Crown Holdings, Inc. 2006 Stock-Based Incentive Compensation Plan (incorporated by</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reference to Exhibit 10.1 of the Registrant’s Quarterly Report on Form 10-Q for the quarter ended June 30, 2010 (File No. 000-50189)).</w:t>
        </w:r>
      </w:hyperlink>
    </w:p>
    <w:p>
      <w:pPr>
        <w:spacing w:after="0" w:line="147" w:lineRule="exact"/>
        <w:rPr>
          <w:sz w:val="20"/>
          <w:szCs w:val="20"/>
          <w:color w:val="auto"/>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10.o</w:t>
      </w:r>
      <w:r>
        <w:rPr>
          <w:sz w:val="20"/>
          <w:szCs w:val="20"/>
          <w:color w:val="auto"/>
        </w:rPr>
        <w:tab/>
      </w:r>
      <w:hyperlink r:id="rId86">
        <w:r>
          <w:rPr>
            <w:rFonts w:ascii="Arial" w:cs="Arial" w:eastAsia="Arial" w:hAnsi="Arial"/>
            <w:sz w:val="18"/>
            <w:szCs w:val="18"/>
            <w:u w:val="single" w:color="auto"/>
            <w:color w:val="0000FF"/>
          </w:rPr>
          <w:t>Form of Agreement for Non-Qualified Stock Option Awards under Crown Holdings, Inc. 2006 Stock-Based Incentive Compensation Plan</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(incorporated by reference to Exhibit 10.2 of the Registrant’s Quarterly Report on Form 10-Q for the quarter ended March 31, 2007 (File No.</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000-50189)).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308" w:lineRule="auto"/>
        <w:tabs>
          <w:tab w:leader="none" w:pos="544" w:val="left"/>
        </w:tabs>
        <w:rPr>
          <w:rFonts w:ascii="Arial" w:cs="Arial" w:eastAsia="Arial" w:hAnsi="Arial"/>
          <w:sz w:val="17"/>
          <w:szCs w:val="17"/>
          <w:u w:val="single" w:color="auto"/>
          <w:color w:val="0000FF"/>
        </w:rPr>
      </w:pPr>
      <w:r>
        <w:rPr>
          <w:rFonts w:ascii="Arial" w:cs="Arial" w:eastAsia="Arial" w:hAnsi="Arial"/>
          <w:sz w:val="18"/>
          <w:szCs w:val="18"/>
          <w:color w:val="auto"/>
        </w:rPr>
        <w:t>10.p</w:t>
      </w:r>
      <w:r>
        <w:rPr>
          <w:sz w:val="20"/>
          <w:szCs w:val="20"/>
          <w:color w:val="auto"/>
        </w:rPr>
        <w:tab/>
      </w:r>
      <w:hyperlink r:id="rId87">
        <w:r>
          <w:rPr>
            <w:rFonts w:ascii="Arial" w:cs="Arial" w:eastAsia="Arial" w:hAnsi="Arial"/>
            <w:sz w:val="17"/>
            <w:szCs w:val="17"/>
            <w:u w:val="single" w:color="auto"/>
            <w:color w:val="0000FF"/>
          </w:rPr>
          <w:t>Crown Holdings, Inc. 2013 Stock-Based Incentive Compensation Plan (incorporated by reference to the Registrant's Definitive Proxy</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Statement on Schedule 14A, filed with the Securities and Exchange Commission on March 18, 2013 (File No. 000-50189)).</w:t>
        </w:r>
      </w:hyperlink>
    </w:p>
    <w:p>
      <w:pPr>
        <w:spacing w:after="0" w:line="147" w:lineRule="exact"/>
        <w:rPr>
          <w:sz w:val="20"/>
          <w:szCs w:val="20"/>
          <w:color w:val="auto"/>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10.q</w:t>
      </w:r>
      <w:r>
        <w:rPr>
          <w:sz w:val="20"/>
          <w:szCs w:val="20"/>
          <w:color w:val="auto"/>
        </w:rPr>
        <w:tab/>
      </w:r>
      <w:hyperlink r:id="rId88">
        <w:r>
          <w:rPr>
            <w:rFonts w:ascii="Arial" w:cs="Arial" w:eastAsia="Arial" w:hAnsi="Arial"/>
            <w:sz w:val="18"/>
            <w:szCs w:val="18"/>
            <w:u w:val="single" w:color="auto"/>
            <w:color w:val="0000FF"/>
          </w:rPr>
          <w:t>Form of Agreement for Restricted Stock Awards under Crown Holdings, Inc. 2013 Stock-Based Incentive Compensation Plan (incorporated</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by reference to Exhibit 10.1 of the Registrant’s Quarterly Report on Form 10-Q for the quarter ended September 30, 2013 (File No. 000-</w:t>
        </w:r>
      </w:hyperlink>
      <w:hyperlink r:id="rId88">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342" w:lineRule="auto"/>
        <w:tabs>
          <w:tab w:leader="none" w:pos="544" w:val="left"/>
        </w:tabs>
        <w:rPr>
          <w:rFonts w:ascii="Arial" w:cs="Arial" w:eastAsia="Arial" w:hAnsi="Arial"/>
          <w:sz w:val="16"/>
          <w:szCs w:val="16"/>
          <w:u w:val="single" w:color="auto"/>
          <w:color w:val="0000FF"/>
        </w:rPr>
      </w:pPr>
      <w:r>
        <w:rPr>
          <w:rFonts w:ascii="Arial" w:cs="Arial" w:eastAsia="Arial" w:hAnsi="Arial"/>
          <w:sz w:val="18"/>
          <w:szCs w:val="18"/>
          <w:color w:val="auto"/>
        </w:rPr>
        <w:t>10.r</w:t>
      </w:r>
      <w:r>
        <w:rPr>
          <w:sz w:val="20"/>
          <w:szCs w:val="20"/>
          <w:color w:val="auto"/>
        </w:rPr>
        <w:tab/>
      </w:r>
      <w:hyperlink r:id="rId89">
        <w:r>
          <w:rPr>
            <w:rFonts w:ascii="Arial" w:cs="Arial" w:eastAsia="Arial" w:hAnsi="Arial"/>
            <w:sz w:val="16"/>
            <w:szCs w:val="16"/>
            <w:u w:val="single" w:color="auto"/>
            <w:color w:val="0000FF"/>
          </w:rPr>
          <w:t>Form of Agreement for Deferred Stock Awards under Crown Holdings, Inc. 2013 Stock-Based Incentive Compensation Plan (incorporated by</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reference to Exhibit 10.2 of the Registrant’s Quarterly Report on Form 10-Q for the quarter ended September 30, 2013 (File No. 000-50189)).</w:t>
        </w:r>
      </w:hyperlink>
    </w:p>
    <w:p>
      <w:pPr>
        <w:spacing w:after="0" w:line="124" w:lineRule="exact"/>
        <w:rPr>
          <w:sz w:val="20"/>
          <w:szCs w:val="20"/>
          <w:color w:val="auto"/>
        </w:rPr>
      </w:pPr>
    </w:p>
    <w:p>
      <w:pPr>
        <w:jc w:val="both"/>
        <w:ind w:left="565" w:hanging="566"/>
        <w:spacing w:after="0" w:line="277"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10.s</w:t>
      </w:r>
      <w:r>
        <w:rPr>
          <w:sz w:val="20"/>
          <w:szCs w:val="20"/>
          <w:color w:val="auto"/>
        </w:rPr>
        <w:tab/>
      </w:r>
      <w:hyperlink r:id="rId90">
        <w:r>
          <w:rPr>
            <w:rFonts w:ascii="Arial" w:cs="Arial" w:eastAsia="Arial" w:hAnsi="Arial"/>
            <w:sz w:val="18"/>
            <w:szCs w:val="18"/>
            <w:u w:val="single" w:color="auto"/>
            <w:color w:val="0000FF"/>
          </w:rPr>
          <w:t>Crown Cork &amp; Seal Company, Inc. Restoration Plan, dated July 28, 2010 (incorporated by reference to Exhibit 10.3 of the Registrant's</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Quarterly Report on Form 10-Q for the quarter ended June 30, 2012 (File No. 000-50189)).</w:t>
        </w:r>
      </w:hyperlink>
    </w:p>
    <w:p>
      <w:pPr>
        <w:spacing w:after="0" w:line="170" w:lineRule="exact"/>
        <w:rPr>
          <w:sz w:val="20"/>
          <w:szCs w:val="20"/>
          <w:color w:val="auto"/>
        </w:rPr>
      </w:pPr>
    </w:p>
    <w:p>
      <w:pPr>
        <w:ind w:left="5"/>
        <w:spacing w:after="0"/>
        <w:tabs>
          <w:tab w:leader="none" w:pos="544" w:val="left"/>
        </w:tabs>
        <w:rPr>
          <w:rFonts w:ascii="Arial" w:cs="Arial" w:eastAsia="Arial" w:hAnsi="Arial"/>
          <w:sz w:val="16"/>
          <w:szCs w:val="16"/>
          <w:u w:val="single" w:color="auto"/>
          <w:color w:val="0000FF"/>
        </w:rPr>
      </w:pPr>
      <w:r>
        <w:rPr>
          <w:rFonts w:ascii="Arial" w:cs="Arial" w:eastAsia="Arial" w:hAnsi="Arial"/>
          <w:sz w:val="18"/>
          <w:szCs w:val="18"/>
          <w:color w:val="auto"/>
        </w:rPr>
        <w:t>10.t</w:t>
      </w:r>
      <w:r>
        <w:rPr>
          <w:sz w:val="20"/>
          <w:szCs w:val="20"/>
          <w:color w:val="auto"/>
        </w:rPr>
        <w:tab/>
      </w:r>
      <w:hyperlink r:id="rId91">
        <w:r>
          <w:rPr>
            <w:rFonts w:ascii="Arial" w:cs="Arial" w:eastAsia="Arial" w:hAnsi="Arial"/>
            <w:sz w:val="16"/>
            <w:szCs w:val="16"/>
            <w:u w:val="single" w:color="auto"/>
            <w:color w:val="0000FF"/>
          </w:rPr>
          <w:t>Amendment No. 1, effective July 1, 2011, to the Crown Cork &amp; Seal Company, Inc. Restoration Plan (incorporated by reference to Exhibit</w:t>
        </w:r>
      </w:hyperlink>
    </w:p>
    <w:p>
      <w:pPr>
        <w:spacing w:after="0" w:line="23" w:lineRule="exact"/>
        <w:rPr>
          <w:sz w:val="20"/>
          <w:szCs w:val="20"/>
          <w:color w:val="auto"/>
        </w:rPr>
      </w:pPr>
    </w:p>
    <w:p>
      <w:pPr>
        <w:ind w:left="565"/>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10.4 of the Registrant's Quarterly Report on Form 10-Q for the quarter ended June 30, 2012 (File No. 000-50189)).</w:t>
        </w:r>
      </w:hyperlink>
    </w:p>
    <w:p>
      <w:pPr>
        <w:spacing w:after="0" w:line="211"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Exhibits 10.c through 10.t are management contracts or compensatory plans or arrangements required to be filed as exhibits pursuant to Item 14(c) of this Report.</w:t>
      </w:r>
    </w:p>
    <w:p>
      <w:pPr>
        <w:spacing w:after="0" w:line="170" w:lineRule="exact"/>
        <w:rPr>
          <w:sz w:val="20"/>
          <w:szCs w:val="20"/>
          <w:color w:val="auto"/>
        </w:rPr>
      </w:pPr>
    </w:p>
    <w:p>
      <w:pPr>
        <w:ind w:left="565" w:hanging="565"/>
        <w:spacing w:after="0"/>
        <w:tabs>
          <w:tab w:leader="none" w:pos="565" w:val="left"/>
        </w:tabs>
        <w:numPr>
          <w:ilvl w:val="0"/>
          <w:numId w:val="25"/>
        </w:numPr>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Subsidiaries of Registrant.</w:t>
        </w:r>
      </w:hyperlink>
    </w:p>
    <w:p>
      <w:pPr>
        <w:spacing w:after="0" w:line="225"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845"/>
          </w:cols>
          <w:pgMar w:left="815" w:top="121" w:right="23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00" w:hanging="565"/>
        <w:spacing w:after="0"/>
        <w:tabs>
          <w:tab w:leader="none" w:pos="1100" w:val="left"/>
        </w:tabs>
        <w:numPr>
          <w:ilvl w:val="0"/>
          <w:numId w:val="26"/>
        </w:numPr>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Consent of Independent Registered Public Accounting Firm.</w:t>
        </w:r>
      </w:hyperlink>
    </w:p>
    <w:p>
      <w:pPr>
        <w:spacing w:after="0" w:line="225" w:lineRule="exact"/>
        <w:rPr>
          <w:sz w:val="20"/>
          <w:szCs w:val="20"/>
          <w:color w:val="auto"/>
        </w:rPr>
      </w:pPr>
    </w:p>
    <w:p>
      <w:pPr>
        <w:ind w:left="1100" w:hanging="566"/>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28">
        <w:r>
          <w:rPr>
            <w:rFonts w:ascii="Arial" w:cs="Arial" w:eastAsia="Arial" w:hAnsi="Arial"/>
            <w:sz w:val="18"/>
            <w:szCs w:val="18"/>
            <w:u w:val="single" w:color="auto"/>
            <w:color w:val="0000FF"/>
          </w:rPr>
          <w:t>Certification of Chief Executive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128">
        <w:r>
          <w:rPr>
            <w:rFonts w:ascii="Arial" w:cs="Arial" w:eastAsia="Arial" w:hAnsi="Arial"/>
            <w:sz w:val="18"/>
            <w:szCs w:val="18"/>
            <w:u w:val="single" w:color="auto"/>
            <w:color w:val="0000FF"/>
          </w:rPr>
          <w:t>pursuant to Section 302 of the Sarbanes-Oxley Act of 2002.</w:t>
        </w:r>
      </w:hyperlink>
    </w:p>
    <w:p>
      <w:pPr>
        <w:spacing w:after="0" w:line="170" w:lineRule="exact"/>
        <w:rPr>
          <w:sz w:val="20"/>
          <w:szCs w:val="20"/>
          <w:color w:val="auto"/>
        </w:rPr>
      </w:pPr>
    </w:p>
    <w:p>
      <w:pPr>
        <w:ind w:left="1100" w:hanging="566"/>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29">
        <w:r>
          <w:rPr>
            <w:rFonts w:ascii="Arial" w:cs="Arial" w:eastAsia="Arial" w:hAnsi="Arial"/>
            <w:sz w:val="18"/>
            <w:szCs w:val="18"/>
            <w:u w:val="single" w:color="auto"/>
            <w:color w:val="0000FF"/>
          </w:rPr>
          <w:t>Certification of Chief Financial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pursuant to Section 302 of the Sarbanes-Oxley Act of 2002.</w:t>
        </w:r>
      </w:hyperlink>
    </w:p>
    <w:p>
      <w:pPr>
        <w:spacing w:after="0" w:line="170" w:lineRule="exact"/>
        <w:rPr>
          <w:sz w:val="20"/>
          <w:szCs w:val="20"/>
          <w:color w:val="auto"/>
        </w:rPr>
      </w:pPr>
    </w:p>
    <w:p>
      <w:pPr>
        <w:jc w:val="both"/>
        <w:ind w:left="1100" w:hanging="565"/>
        <w:spacing w:after="0" w:line="264" w:lineRule="auto"/>
        <w:tabs>
          <w:tab w:leader="none" w:pos="1100" w:val="left"/>
        </w:tabs>
        <w:numPr>
          <w:ilvl w:val="0"/>
          <w:numId w:val="27"/>
        </w:numPr>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130">
        <w:r>
          <w:rPr>
            <w:rFonts w:ascii="Arial" w:cs="Arial" w:eastAsia="Arial" w:hAnsi="Arial"/>
            <w:sz w:val="18"/>
            <w:szCs w:val="18"/>
            <w:u w:val="single" w:color="auto"/>
            <w:color w:val="0000FF"/>
          </w:rPr>
          <w:t>Timothy J. Donahue, President and Chief Executive Officer of Crown Holdings, Inc. and Thomas A. Kelly, Senior Vice President and Chief</w:t>
        </w:r>
      </w:hyperlink>
      <w:r>
        <w:rPr>
          <w:rFonts w:ascii="Arial" w:cs="Arial" w:eastAsia="Arial" w:hAnsi="Arial"/>
          <w:sz w:val="18"/>
          <w:szCs w:val="18"/>
          <w:u w:val="single" w:color="auto"/>
          <w:color w:val="0000FF"/>
        </w:rPr>
        <w:t xml:space="preserve"> </w:t>
      </w:r>
      <w:hyperlink w:anchor="page130">
        <w:r>
          <w:rPr>
            <w:rFonts w:ascii="Arial" w:cs="Arial" w:eastAsia="Arial" w:hAnsi="Arial"/>
            <w:sz w:val="18"/>
            <w:szCs w:val="18"/>
            <w:u w:val="single" w:color="auto"/>
            <w:color w:val="0000FF"/>
          </w:rPr>
          <w:t>Financial Officer of Crown Holdings, Inc.</w:t>
        </w:r>
      </w:hyperlink>
    </w:p>
    <w:p>
      <w:pPr>
        <w:spacing w:after="0" w:line="181" w:lineRule="exact"/>
        <w:rPr>
          <w:rFonts w:ascii="Arial" w:cs="Arial" w:eastAsia="Arial" w:hAnsi="Arial"/>
          <w:sz w:val="18"/>
          <w:szCs w:val="18"/>
          <w:u w:val="single" w:color="auto"/>
          <w:color w:val="0000FF"/>
        </w:rPr>
      </w:pPr>
    </w:p>
    <w:p>
      <w:pPr>
        <w:jc w:val="both"/>
        <w:ind w:left="1100" w:hanging="565"/>
        <w:spacing w:after="0" w:line="293"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Annual Report on Form 10-K for the year ended December 31, 2018 formatted in Inline XBRL (eXtensible Business Reporting Language): (i) Consolidated Statements of Operations for the twelve months ended December 31, 2018, 2017 and 2016, (ii) Consolidated Statements of Comprehensive Income for the twelve months ended December 31, 2018, 2017 and 2016; (iii) Consolidated Balance Sheets as of December 31, 2018 and December 31, 2017, (iv) Consolidated Statements of Cash Flows for the twelve months ended December 31, 2018, 2017 and 2016, (v) Consolidated Statements of Changes in Shareholders' Equity for the twelve months ended December 31, 2018, 2017 and 2016 and (vi) Notes to Consolidated Financial Statements.</w:t>
      </w:r>
    </w:p>
    <w:p>
      <w:pPr>
        <w:spacing w:after="0" w:line="165" w:lineRule="exact"/>
        <w:rPr>
          <w:rFonts w:ascii="Arial" w:cs="Arial" w:eastAsia="Arial" w:hAnsi="Arial"/>
          <w:sz w:val="18"/>
          <w:szCs w:val="18"/>
          <w:u w:val="single" w:color="auto"/>
          <w:color w:val="0000FF"/>
        </w:rPr>
      </w:pPr>
    </w:p>
    <w:p>
      <w:pPr>
        <w:ind w:left="1100" w:hanging="565"/>
        <w:spacing w:after="0" w:line="277"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 the XBRL document.</w:t>
      </w:r>
    </w:p>
    <w:p>
      <w:pPr>
        <w:spacing w:after="0" w:line="333" w:lineRule="exact"/>
        <w:rPr>
          <w:rFonts w:ascii="Arial" w:cs="Arial" w:eastAsia="Arial" w:hAnsi="Arial"/>
          <w:sz w:val="18"/>
          <w:szCs w:val="18"/>
          <w:u w:val="single" w:color="auto"/>
          <w:color w:val="0000FF"/>
        </w:rPr>
      </w:pPr>
    </w:p>
    <w:p>
      <w:pPr>
        <w:spacing w:after="0"/>
        <w:tabs>
          <w:tab w:leader="none" w:pos="132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36"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8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658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Vice President and Corporate Controller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2"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4"/>
          <w:szCs w:val="14"/>
          <w:color w:val="auto"/>
        </w:rPr>
        <w:t>KNOW ALL MEN BY THESE PRESENTS, that each person whose signature appears below constitutes and appoints Timothy J. Donahue, Thomas A. Kelly and William T. Gallagher,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2019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spacing w:after="0" w:line="154" w:lineRule="exact"/>
        <w:rPr>
          <w:sz w:val="20"/>
          <w:szCs w:val="20"/>
          <w:color w:val="auto"/>
        </w:rPr>
      </w:pPr>
    </w:p>
    <w:p>
      <w:pPr>
        <w:jc w:val="both"/>
        <w:spacing w:after="0" w:line="33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 above.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SIGNATURE</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3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 Timothy J. Donahue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0" w:type="dxa"/>
            <w:vAlign w:val="bottom"/>
            <w:gridSpan w:val="4"/>
            <w:vMerge w:val="restart"/>
          </w:tcPr>
          <w:p>
            <w:pPr>
              <w:spacing w:after="0"/>
              <w:rPr>
                <w:sz w:val="20"/>
                <w:szCs w:val="20"/>
                <w:color w:val="auto"/>
              </w:rPr>
            </w:pPr>
            <w:r>
              <w:rPr>
                <w:rFonts w:ascii="Arial" w:cs="Arial" w:eastAsia="Arial" w:hAnsi="Arial"/>
                <w:sz w:val="18"/>
                <w:szCs w:val="18"/>
                <w:color w:val="auto"/>
                <w:w w:val="96"/>
              </w:rPr>
              <w:t>Director, President and Chief Executive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340" w:type="dxa"/>
            <w:vAlign w:val="bottom"/>
          </w:tcPr>
          <w:p>
            <w:pPr>
              <w:spacing w:after="0"/>
              <w:rPr>
                <w:sz w:val="20"/>
                <w:szCs w:val="20"/>
                <w:color w:val="auto"/>
              </w:rPr>
            </w:pPr>
          </w:p>
        </w:tc>
        <w:tc>
          <w:tcPr>
            <w:tcW w:w="36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 Thomas A. Kelly</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0" w:type="dxa"/>
            <w:vAlign w:val="bottom"/>
            <w:gridSpan w:val="4"/>
            <w:vMerge w:val="restart"/>
          </w:tcPr>
          <w:p>
            <w:pPr>
              <w:spacing w:after="0"/>
              <w:rPr>
                <w:sz w:val="20"/>
                <w:szCs w:val="20"/>
                <w:color w:val="auto"/>
              </w:rPr>
            </w:pPr>
            <w:r>
              <w:rPr>
                <w:rFonts w:ascii="Arial" w:cs="Arial" w:eastAsia="Arial" w:hAnsi="Arial"/>
                <w:sz w:val="18"/>
                <w:szCs w:val="18"/>
                <w:color w:val="auto"/>
                <w:w w:val="91"/>
              </w:rPr>
              <w:t>Senior Vice President and Chief Financial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Thomas A. Kelly</w:t>
            </w:r>
          </w:p>
        </w:tc>
        <w:tc>
          <w:tcPr>
            <w:tcW w:w="340" w:type="dxa"/>
            <w:vAlign w:val="bottom"/>
          </w:tcPr>
          <w:p>
            <w:pPr>
              <w:spacing w:after="0"/>
              <w:rPr>
                <w:sz w:val="20"/>
                <w:szCs w:val="20"/>
                <w:color w:val="auto"/>
              </w:rPr>
            </w:pPr>
          </w:p>
        </w:tc>
        <w:tc>
          <w:tcPr>
            <w:tcW w:w="36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 David A. Beaver</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0" w:type="dxa"/>
            <w:vAlign w:val="bottom"/>
            <w:gridSpan w:val="4"/>
            <w:vMerge w:val="restart"/>
          </w:tcPr>
          <w:p>
            <w:pPr>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David A. Beaver</w:t>
            </w:r>
          </w:p>
        </w:tc>
        <w:tc>
          <w:tcPr>
            <w:tcW w:w="340" w:type="dxa"/>
            <w:vAlign w:val="bottom"/>
          </w:tcPr>
          <w:p>
            <w:pPr>
              <w:spacing w:after="0"/>
              <w:rPr>
                <w:sz w:val="20"/>
                <w:szCs w:val="20"/>
                <w:color w:val="auto"/>
              </w:rPr>
            </w:pPr>
          </w:p>
        </w:tc>
        <w:tc>
          <w:tcPr>
            <w:tcW w:w="36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8"/>
          <w:szCs w:val="18"/>
          <w:color w:val="auto"/>
        </w:rPr>
        <w:t>/s/ John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W. Conway, Chairman of the Board</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H. Fearon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H. Fearon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Andrea J. Funk</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Hagge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Hagge</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Rose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3190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G. Little</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Hans J. Löliger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Hans J. Löliger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James H. Miller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Josef M.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Josef M. Müller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B. Craig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 Craig Owens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 Caesar F. Sweitzer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53975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Caesar F. Sweitzer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Jim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Jim L. Turner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William S. Urkiel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William S. Urkiel</w:t>
      </w:r>
    </w:p>
    <w:p>
      <w:pPr>
        <w:spacing w:after="0" w:line="969" w:lineRule="exact"/>
        <w:rPr>
          <w:sz w:val="20"/>
          <w:szCs w:val="20"/>
          <w:color w:val="auto"/>
        </w:rPr>
      </w:pPr>
    </w:p>
    <w:p>
      <w:pPr>
        <w:sectPr>
          <w:pgSz w:w="11900" w:h="16838" w:orient="portrait"/>
          <w:cols w:equalWidth="0" w:num="2">
            <w:col w:w="5600" w:space="720"/>
            <w:col w:w="5100"/>
          </w:cols>
          <w:pgMar w:left="240" w:top="121"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jc w:val="center"/>
        <w:ind w:left="400"/>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summary is based on relevant portions of the Pennsylvania Business Corporation Law (the “PBCL”) and on the Articles of Incorporation (our “Charter”) and Amended and Restated By-Laws (our “By-Laws”) of Crown Holdings Inc. (“we,” “our,” or the “Company”). This summary is not necessarily complete and is subject to, and qualified in its entirety by, our Charter and By-Laws, included as exhibits to the Annual Report on Form 10-K of which this Exhibit 4.(ff) is also included, and the relevant portions of the PBCL.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authorized stock consists of 500,000,000 shares of common stock, par value $5.00 per share (“Common Stock”), and 30,000,000 of shares of preferred stock, without par value (“Preferred Stock”). Our Common Stock is listed on the New York Stock Exchange under ticker symbol “CCK”. As of February 27, 2020, there were 135,753,410 shares of Common Stock and no shares of Preferred Stock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terms of our Charter, except as may otherwise be required by law or as may be otherwise provided for in a resolution of the Board of Directors of the Company (the “Board”) fixing voting rights relating to Preferred Stock pursuant to our Charter, the holders of Common Stock possess the exclusive voting powers of the Company. At every meeting of the our shareholders, the holders of record of shares of Common Stock entitled to vote thereat shall be entitled to one vote for each share held. The holders of Common Stock shall not be entitled to cumulative voting in the election of directors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of shares of Common Stock will be entitled to receive such dividends as may be declared by the Board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any liquidation, dissolution or winding up of the Company, whether voluntary or involuntary, after our debts and obligations with respect to any issued and outstanding shares of Preferred Stock shall have been paid or provided for, all of our remaining assets shall belong to and shall be distributed ratably among the holders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have no preemptive, exchange, conversion or redemption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our Charter, the unissued shares of Preferred Stock may be divided and issued at any time from time to time in one or more classes or series of a class as may be designated by the Board. The Board has the full authority permitted by law to fix by resolution the designations, number and voting rights, preferences, privileges, limitations, restrictions, conversions rights and other special or relative rights, if any, of any class or any series of any class of the Preferred Stock that may be desired; provided, however, that the shares of any such class or series of a class shall not be entitled to more than one vote per share when voting as a class with holders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PBCL Anti-Takeover Statutes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governed by a set of interrelated provisions of the PBCL which are designed to support the validity of actions taken by the Board in response to takeover bids. These provisions may have the effect of making more difficult and thereby discouraging attempts to acquire control of our company in a transaction that the Board determines not to be in the best interests of our company.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Transactions with Interested Shareholders</w:t>
      </w:r>
      <w:r>
        <w:rPr>
          <w:rFonts w:ascii="Arial" w:cs="Arial" w:eastAsia="Arial" w:hAnsi="Arial"/>
          <w:sz w:val="18"/>
          <w:szCs w:val="18"/>
          <w:color w:val="auto"/>
        </w:rPr>
        <w:t>: We are subject to Section 2538 of Subchapter D of Chapter 25 of the PBCL which requires certain transactions with an “interested shareholder” to be approved by a majority of disinterested shareholders. Section</w:t>
      </w:r>
    </w:p>
    <w:p>
      <w:pPr>
        <w:sectPr>
          <w:pgSz w:w="11900" w:h="16838" w:orient="portrait"/>
          <w:cols w:equalWidth="0" w:num="1">
            <w:col w:w="11420"/>
          </w:cols>
          <w:pgMar w:left="240" w:top="553" w:right="239" w:bottom="1440" w:gutter="0" w:footer="0" w:header="0"/>
        </w:sectPr>
      </w:pPr>
    </w:p>
    <w:bookmarkStart w:id="118" w:name="page119"/>
    <w:bookmarkEnd w:id="118"/>
    <w:p>
      <w:pPr>
        <w:jc w:val="both"/>
        <w:spacing w:after="0" w:line="277" w:lineRule="auto"/>
        <w:rPr>
          <w:sz w:val="20"/>
          <w:szCs w:val="20"/>
          <w:color w:val="auto"/>
        </w:rPr>
      </w:pPr>
      <w:r>
        <w:rPr>
          <w:rFonts w:ascii="Arial" w:cs="Arial" w:eastAsia="Arial" w:hAnsi="Arial"/>
          <w:sz w:val="18"/>
          <w:szCs w:val="18"/>
          <w:color w:val="auto"/>
        </w:rPr>
        <w:t>2538 defines “interested shareholder” generally to include any shareholder who is a party to the transaction or who is treated differently than other shareholders and affiliates of the corporation.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Affiliated Transactions Statute</w:t>
      </w:r>
      <w:r>
        <w:rPr>
          <w:rFonts w:ascii="Arial" w:cs="Arial" w:eastAsia="Arial" w:hAnsi="Arial"/>
          <w:sz w:val="16"/>
          <w:szCs w:val="16"/>
          <w:color w:val="auto"/>
        </w:rPr>
        <w:t>: We are subject to Subchapter F of Chapter 25 of the PBCL which effectively prohibits business combinations involving us and an “interested shareholder” for a period of five years after the date of the transaction in which the person became an interested shareholder, unless either the business combination or the interested shareholder’s acquisition of 20% of the outstanding voting stock is approved by the Board, in each case, prior to the date on which the shareholder first became an interested shareholder, or the business combination is approved by a specified vote of shareholders. “Interested shareholder” is defined generally as any beneficial owner of at least 20% of our outstanding voting stock. Under certain circumstances, Subchapter F of Chapter 25 of the PBCL makes it more difficult for an interested shareholder to effect various business combinations with us.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Disgorgement</w:t>
      </w:r>
      <w:r>
        <w:rPr>
          <w:rFonts w:ascii="Arial" w:cs="Arial" w:eastAsia="Arial" w:hAnsi="Arial"/>
          <w:sz w:val="17"/>
          <w:szCs w:val="17"/>
          <w:color w:val="auto"/>
        </w:rPr>
        <w:t>: We are subject to Subchapter H of Chapter 25 of the PBCL which requires any person or group that publicly announces that it may acquire control of a public company, or that acquires or publicly discloses an intent to acquire 20% or more of the voting power of a public company, to disgorge to the company any profits that it receives from sales of the company’s equity securities purchased over the prior 24 or subsequent 18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Charter and By-Laws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provisions our Articles and By-Laws may make it more difficult for third parties to acquire control of us. These provisions, described below, are expected to discourage coercive takeover practices and inadequate takeover bids. They are also designed, in part, to encourage persons seeking to acquire control of the Company to first negotiate with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Authority to Issue Additional Shares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Charter provides that we may issue additional shares of Common Stock without other authority, consent or vote of our shareholders of any class or classes. In addition, the shares of Preferred Stock may be issued at any time or from time to time and the Board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shares Common Stock. One of the effects of the existence of authorized but unissued shares of Common Stock or Preferred Stock may be to enable the Board to render it more difficult or to discourage an attempt to obtain control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Calling of Special Meetings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provide that special meetings of shareholders may be called by the Board and that, except as provided by law, the shareholders shall not be entitled to call a special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Authority to Fill Board of Directors Vacancies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By-Laws provide that vacancies in the Board of Directors occurring during the year shall be filled for the unexpired terms by a majority of the remaining members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 Notice Provisions for Shareholder Nominations and Shareholder Proposals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By-Laws establish advance notice procedures with respect to the proposal of business by a shareholder to be considered at an annual meeting of shareholders and the nomination by a shareholder of candidates for election as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Indemnification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include provisions permitted under the PBCL relating to the liability of our directors and officers. These provisions provide that a director shall not be personally liable for monetary damages for any action taken, or any failure to take any action, unless the director has breached or failed to perform the duties of his or her office under the PBCL and the breach or failure to perform constitutes self-dealing, willful misconduct or recklessness. Our By-Laws also include provisions indemnifying our directors and officers to the fullest extent permitted by Pennsylvania law and providing for advancement of expenses incurred by a director or officer in defending a legal proceeding subject to the provisions of applicable law, upon receipt of an undertaking by or on behalf of the person to repay such amount if it shall ultimately be determined that such person is not entitled to be indemnified.</w:t>
      </w:r>
    </w:p>
    <w:p>
      <w:pPr>
        <w:sectPr>
          <w:pgSz w:w="11900" w:h="16838" w:orient="portrait"/>
          <w:cols w:equalWidth="0" w:num="1">
            <w:col w:w="11420"/>
          </w:cols>
          <w:pgMar w:left="240" w:top="557"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Crown Cork &amp; Seal Company, Inc. (“Crown Cork”), a subsidiary of the Company, currently has two series of debentures outstanding, both of which are listed on the New York Stock Exchange. The outstanding debentures were issued under the indenture among Crown Cork, Crown Cork &amp; Seal Finance PLC, Crown Cork &amp; Seal Finance S.A. and The Bank of New York, as trustee, dated as of December 17, 1996. Both series of notes are redeemable at a price equal to the greater of (i) 100% of the principal amount and (ii) the sum of the present values of the remaining scheduled payments thereon, plus accrued interest.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two series of notes outstanding as of December 31, 2019:</w:t>
      </w:r>
    </w:p>
    <w:p>
      <w:pPr>
        <w:spacing w:after="0" w:line="355" w:lineRule="exact"/>
        <w:rPr>
          <w:sz w:val="20"/>
          <w:szCs w:val="20"/>
          <w:color w:val="auto"/>
        </w:rPr>
      </w:pPr>
    </w:p>
    <w:tbl>
      <w:tblPr>
        <w:tblLayout w:type="fixed"/>
        <w:tblInd w:w="930" w:type="dxa"/>
        <w:tblCellMar>
          <w:top w:w="0" w:type="dxa"/>
          <w:left w:w="0" w:type="dxa"/>
          <w:bottom w:w="0" w:type="dxa"/>
          <w:right w:w="0" w:type="dxa"/>
        </w:tblCellMar>
      </w:tblPr>
      <w:tr>
        <w:trPr>
          <w:trHeight w:val="238"/>
        </w:trPr>
        <w:tc>
          <w:tcPr>
            <w:tcW w:w="29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Title of class</w:t>
            </w:r>
          </w:p>
        </w:tc>
        <w:tc>
          <w:tcPr>
            <w:tcW w:w="96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Ticker</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 Principal</w:t>
            </w:r>
          </w:p>
        </w:tc>
        <w:tc>
          <w:tcPr>
            <w:tcW w:w="1540" w:type="dxa"/>
            <w:vAlign w:val="bottom"/>
            <w:tcBorders>
              <w:top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Interest Rate</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126"/>
        </w:trPr>
        <w:tc>
          <w:tcPr>
            <w:tcW w:w="2900" w:type="dxa"/>
            <w:vAlign w:val="bottom"/>
            <w:tcBorders>
              <w:left w:val="single" w:sz="8" w:color="auto"/>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Amount (in millions)</w:t>
            </w:r>
          </w:p>
        </w:tc>
        <w:tc>
          <w:tcPr>
            <w:tcW w:w="15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 3/8% Debentures Due 2026</w:t>
            </w:r>
          </w:p>
        </w:tc>
        <w:tc>
          <w:tcPr>
            <w:tcW w:w="9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CCK26</w:t>
            </w:r>
          </w:p>
        </w:tc>
        <w:tc>
          <w:tcPr>
            <w:tcW w:w="240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color w:val="auto"/>
              </w:rPr>
              <w:t>$350</w:t>
            </w:r>
          </w:p>
        </w:tc>
        <w:tc>
          <w:tcPr>
            <w:tcW w:w="15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7.375%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December 2026</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 1/2% Debentures Due 2096</w:t>
            </w:r>
          </w:p>
        </w:tc>
        <w:tc>
          <w:tcPr>
            <w:tcW w:w="9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CCK96</w:t>
            </w:r>
          </w:p>
        </w:tc>
        <w:tc>
          <w:tcPr>
            <w:tcW w:w="2400" w:type="dxa"/>
            <w:vAlign w:val="bottom"/>
            <w:tcBorders>
              <w:right w:val="single" w:sz="8" w:color="auto"/>
            </w:tcBorders>
          </w:tcPr>
          <w:p>
            <w:pPr>
              <w:jc w:val="right"/>
              <w:ind w:right="990"/>
              <w:spacing w:after="0"/>
              <w:rPr>
                <w:sz w:val="20"/>
                <w:szCs w:val="20"/>
                <w:color w:val="auto"/>
              </w:rPr>
            </w:pPr>
            <w:r>
              <w:rPr>
                <w:rFonts w:ascii="Arial" w:cs="Arial" w:eastAsia="Arial" w:hAnsi="Arial"/>
                <w:sz w:val="18"/>
                <w:szCs w:val="18"/>
                <w:color w:val="auto"/>
              </w:rPr>
              <w:t>$40</w:t>
            </w:r>
          </w:p>
        </w:tc>
        <w:tc>
          <w:tcPr>
            <w:tcW w:w="154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7.50%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December 2096</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indenture under which the outstanding debentures were issued provides certain protections for the holders of such debentures.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Conveyance, Transfer or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exceptions, the indenture contains a restriction on the ability of Crown Cork to undergo a consolidation or merger, or to transfer or lease substantially all of its properties and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Subject to certain exceptions, the indenture contains a covenant prohibiting Crown Cork and certain “restricted subsidiaries” from selling any “principal property” to a person or entity and then subsequently entering into an arrangement with such person or entity that provides for the leasing by Crown Cork or any of its restricted subsidiaries, as lessee, of such principal property. “Principal property” is defined in the indenture as any single manufacturing or processing plant or warehouse (excluding any equipment or personalty located therein), other than any such plant or warehouse or portion thereof that the Board reasonably determines is not of material importance to the business conducted by Crown Cork and its subsidiaries as an entirety. The indenture defines “restricted subsidiary” to mean any subsidiary that owns, operates or leases one or more principal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certain exceptions, the indenture contains a covenant restricting Crown Cork and its restricted subsidiaries under such indentures or agreements from creating or assuming any mortgage, security interest, pledge or lien upon any principal property (as defined above) or any shares of capital stock or evidences of indebtedness for borrowed money issued by any such restricted subsidiary and owned by Crown Cork or any such restricted subsidiary without concurrently providing that the outstanding debentures shall be secured equally and ratably. The foregoing covenant shall not apply to the extent that the amount of indebtedness secured by liens on principal properties and restricted</w:t>
      </w:r>
    </w:p>
    <w:p>
      <w:pPr>
        <w:sectPr>
          <w:pgSz w:w="11900" w:h="16838" w:orient="portrait"/>
          <w:cols w:equalWidth="0" w:num="1">
            <w:col w:w="11420"/>
          </w:cols>
          <w:pgMar w:left="240" w:top="553" w:right="2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25"/>
          <w:szCs w:val="25"/>
          <w:b w:val="1"/>
          <w:bCs w:val="1"/>
          <w:color w:val="auto"/>
        </w:rPr>
        <w:t>Crown Holdings, Inc.</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Exhibit 21 - Subsidiaries of Registrant</w:t>
      </w: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20" w:type="dxa"/>
            <w:vAlign w:val="bottom"/>
            <w:tcBorders>
              <w:top w:val="single" w:sz="8" w:color="auto"/>
              <w:lef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20" w:type="dxa"/>
            <w:vAlign w:val="bottom"/>
            <w:tcBorders>
              <w:lef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3720" w:type="dxa"/>
            <w:vAlign w:val="bottom"/>
            <w:tcBorders>
              <w:left w:val="single" w:sz="8" w:color="auto"/>
            </w:tcBorders>
          </w:tcPr>
          <w:p>
            <w:pPr>
              <w:spacing w:after="0"/>
              <w:rPr>
                <w:sz w:val="18"/>
                <w:szCs w:val="18"/>
                <w:color w:val="auto"/>
              </w:rPr>
            </w:pPr>
          </w:p>
        </w:tc>
        <w:tc>
          <w:tcPr>
            <w:tcW w:w="430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2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Pennsylvania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Pennsylvania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Pennsylvania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III</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and Seal Receivables II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Receivables III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Investment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Michigan</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Ohio</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Crownway Insurance Company</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Vermont</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Australia Pty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Australia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Austria GmbH</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3"/>
              </w:rPr>
              <w:t>Austria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(Barbados)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Barbados</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Belgium BVBA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België NV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Mima Films Sprl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Shippers Europe S.p.r.l.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BVBA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549" w:right="299" w:bottom="1440" w:gutter="0" w:footer="0" w:header="0"/>
        </w:sectPr>
      </w:pPr>
    </w:p>
    <w:bookmarkStart w:id="121" w:name="page122"/>
    <w:bookmarkEnd w:id="1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20" w:type="dxa"/>
            <w:vAlign w:val="bottom"/>
            <w:tcBorders>
              <w:top w:val="single" w:sz="8" w:color="auto"/>
              <w:lef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20" w:type="dxa"/>
            <w:vAlign w:val="bottom"/>
            <w:tcBorders>
              <w:lef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3720" w:type="dxa"/>
            <w:vAlign w:val="bottom"/>
            <w:tcBorders>
              <w:left w:val="single" w:sz="8" w:color="auto"/>
            </w:tcBorders>
          </w:tcPr>
          <w:p>
            <w:pPr>
              <w:spacing w:after="0"/>
              <w:rPr>
                <w:sz w:val="18"/>
                <w:szCs w:val="18"/>
                <w:color w:val="auto"/>
              </w:rPr>
            </w:pPr>
          </w:p>
        </w:tc>
        <w:tc>
          <w:tcPr>
            <w:tcW w:w="430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2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Brasil Holdings Ltda.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5"/>
              </w:rPr>
              <w:t>Brazil</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Embalagens Métalicas da Amazonia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5"/>
              </w:rPr>
              <w:t>Brazil</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Brasileira Ltda.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5"/>
              </w:rPr>
              <w:t>Brazil</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Asia Pacific Investments (T) Limited</w:t>
            </w: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3"/>
              </w:rPr>
              <w:t>British Virgin Islands</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Haloila Bulgaria EOOD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Bulgaria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(Cambodia)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Cambodia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Sihanoukville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Cambodia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Khmer Beverage Cans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Cambodia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Canada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LP</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Canada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Canada ULC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Canada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CMB Machinery and Technology (Shanghai)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Beijing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Hangzhou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Heshan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Huizhou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Putian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Shanghai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Ziyang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Heshan Trading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Continental Can Co.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Crown Easy-Opening End Co.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(Qingdao)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(Shanghai)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Colombiana,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2"/>
              </w:rPr>
              <w:t>Colombia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Colombia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2"/>
              </w:rPr>
              <w:t>Colombia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Bates Cargo-Pak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Bates Cargo-Pak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Lachenmeier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Denmark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Liljendals Bruk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Finland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Oy M. Haloila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Finland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Butimove</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France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France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Developpement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Emballage France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European Holdings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Services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687" w:right="299" w:bottom="1440" w:gutter="0" w:footer="0" w:header="0"/>
        </w:sectPr>
      </w:pPr>
    </w:p>
    <w:bookmarkStart w:id="122" w:name="page123"/>
    <w:bookmarkEnd w:id="1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20" w:type="dxa"/>
            <w:vAlign w:val="bottom"/>
            <w:tcBorders>
              <w:top w:val="single" w:sz="8" w:color="auto"/>
              <w:lef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20" w:type="dxa"/>
            <w:vAlign w:val="bottom"/>
            <w:tcBorders>
              <w:lef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rPr>
              <w:t>INCORPORATION</w:t>
            </w:r>
          </w:p>
        </w:tc>
      </w:tr>
      <w:tr>
        <w:trPr>
          <w:trHeight w:val="212"/>
        </w:trPr>
        <w:tc>
          <w:tcPr>
            <w:tcW w:w="3720" w:type="dxa"/>
            <w:vAlign w:val="bottom"/>
            <w:tcBorders>
              <w:left w:val="single" w:sz="8" w:color="auto"/>
            </w:tcBorders>
          </w:tcPr>
          <w:p>
            <w:pPr>
              <w:spacing w:after="0"/>
              <w:rPr>
                <w:sz w:val="18"/>
                <w:szCs w:val="18"/>
                <w:color w:val="auto"/>
              </w:rPr>
            </w:pPr>
          </w:p>
        </w:tc>
        <w:tc>
          <w:tcPr>
            <w:tcW w:w="430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32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 ORGANIZATION</w:t>
            </w:r>
          </w:p>
        </w:tc>
      </w:tr>
      <w:tr>
        <w:trPr>
          <w:trHeight w:val="48"/>
        </w:trPr>
        <w:tc>
          <w:tcPr>
            <w:tcW w:w="372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Gunther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Litec France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Mima Packaging Systems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Nordic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Scybele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Civile Immobilière des Baquets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Societe Civile Immobiliere Rousseau-Ivry</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de Participations CarnaudMetalbox</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France Holdings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Germany GmbH &amp; Co. KG</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Vermögensverwaltung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Deutschland Holdings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Germany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Mezger Heftsysteme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Quandel Verpackungs- und Foerdertechnik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 Packaging GmbH &amp; Co. KG</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SMB Schwede Maschinenbau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SMP Schwede Maschinenbau Weischlitz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Germany Service Management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Packaging Systems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Cans Ghana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6"/>
              </w:rPr>
              <w:t>Ghana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Hellas Can Packaging SA</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5"/>
              </w:rPr>
              <w:t>Greece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Hong Kong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China Holdings (Hong Kong)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Investment (H.K.)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Hong Kong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Hungary Kft</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9"/>
              </w:rPr>
              <w:t>Hungary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Magyarorszag Csomagoloipari KFT</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9"/>
              </w:rPr>
              <w:t>Hungary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India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2"/>
              </w:rPr>
              <w:t>India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Stopak India Pvt. Ltd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2"/>
              </w:rPr>
              <w:t>India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PT CROWN Beverage Cans Indonesia</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Indonesia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Ireland Ltd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Ireland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Packaging Ireland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Ireland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Italy Srl</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8"/>
              </w:rPr>
              <w:t>Italy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Italia Srl</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8"/>
              </w:rPr>
              <w:t>Italy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Imballaggi Italia Srl</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8"/>
              </w:rPr>
              <w:t>Italy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687" w:right="299" w:bottom="1440" w:gutter="0" w:footer="0" w:header="0"/>
        </w:sectPr>
      </w:pPr>
    </w:p>
    <w:bookmarkStart w:id="123" w:name="page124"/>
    <w:bookmarkEnd w:id="1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40" w:type="dxa"/>
            <w:vAlign w:val="bottom"/>
            <w:tcBorders>
              <w:top w:val="single" w:sz="8" w:color="auto"/>
              <w:left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74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4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8020" w:type="dxa"/>
            <w:vAlign w:val="bottom"/>
            <w:tcBorders>
              <w:left w:val="single" w:sz="8" w:color="auto"/>
              <w:right w:val="single" w:sz="8" w:color="auto"/>
            </w:tcBorders>
            <w:gridSpan w:val="3"/>
          </w:tcPr>
          <w:p>
            <w:pPr>
              <w:ind w:left="3740"/>
              <w:spacing w:after="0"/>
              <w:rPr>
                <w:sz w:val="20"/>
                <w:szCs w:val="20"/>
                <w:color w:val="auto"/>
              </w:rPr>
            </w:pPr>
            <w:r>
              <w:rPr>
                <w:rFonts w:ascii="Arial" w:cs="Arial" w:eastAsia="Arial" w:hAnsi="Arial"/>
                <w:sz w:val="18"/>
                <w:szCs w:val="18"/>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40" w:type="dxa"/>
            <w:vAlign w:val="bottom"/>
            <w:tcBorders>
              <w:left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Italy Finance srl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8"/>
              </w:rPr>
              <w:t>Italy</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Srl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8"/>
              </w:rPr>
              <w:t>Italy</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SIEM</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0"/>
              </w:rPr>
              <w:t>Ivory Coast</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Jamaica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Jamaica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Kabushiki Kaisha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0"/>
              </w:rPr>
              <w:t>Japan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Middle East Can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4"/>
              </w:rPr>
              <w:t>Jordan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Systems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Kenya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Luxembourg Holdings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 S.à.r.l.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III S.à.r.l.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Mima Films S.a.r.l.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Lux S.a.r.l.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Lux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Industrial Packaging S.a.r.l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Société Malgache d'Emballages Métalliques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Madagascar</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Malaysia Sdn Bhd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Malaysia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(Malaysia) Sdn. Bhd.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Malaysia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Cierres Hermeticos,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Envases Mexico,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Famosa,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Mexican Holdings, S. de R.L.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Fabricas Monterrey,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Glass &amp; Silice,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Prolatamex,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Mexico, R.L.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 Del Istmo,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Silices De Veracruz, S.A. DE C. 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Vichisa,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Maroc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Morocco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Aerosols &amp; Promotional Nederland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Netherlands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Overseas Investments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Nederland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Dacro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Interstrap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Netherlands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Netherlands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V.A.C.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687" w:right="299" w:bottom="1440" w:gutter="0" w:footer="0" w:header="0"/>
        </w:sectPr>
      </w:pPr>
    </w:p>
    <w:bookmarkStart w:id="124" w:name="page125"/>
    <w:bookmarkEnd w:id="1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40" w:type="dxa"/>
            <w:vAlign w:val="bottom"/>
            <w:tcBorders>
              <w:top w:val="single" w:sz="8" w:color="auto"/>
              <w:left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74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4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8020" w:type="dxa"/>
            <w:vAlign w:val="bottom"/>
            <w:tcBorders>
              <w:left w:val="single" w:sz="8" w:color="auto"/>
              <w:right w:val="single" w:sz="8" w:color="auto"/>
            </w:tcBorders>
            <w:gridSpan w:val="3"/>
          </w:tcPr>
          <w:p>
            <w:pPr>
              <w:ind w:left="3740"/>
              <w:spacing w:after="0"/>
              <w:rPr>
                <w:sz w:val="20"/>
                <w:szCs w:val="20"/>
                <w:color w:val="auto"/>
              </w:rPr>
            </w:pPr>
            <w:r>
              <w:rPr>
                <w:rFonts w:ascii="Arial" w:cs="Arial" w:eastAsia="Arial" w:hAnsi="Arial"/>
                <w:sz w:val="18"/>
                <w:szCs w:val="18"/>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40" w:type="dxa"/>
            <w:vAlign w:val="bottom"/>
            <w:tcBorders>
              <w:left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NZ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9"/>
              </w:rPr>
              <w:t>New Zealand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NZ</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9"/>
              </w:rPr>
              <w:t>New Zealand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Norsk Signode 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Norway</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Canadian Holdings ULC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Nova Scotia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Polska Sp. z.o.o.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Poland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Polska Sp.z.o.o.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Poland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Polska sp. Z.o.o.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Poland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de Portugal Embalagens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Portugal</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Embalagem L.d.a.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Portugal</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Kuban</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4"/>
              </w:rPr>
              <w:t>Russia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Arabia Can Company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0"/>
              </w:rPr>
              <w:t>Saudi Arabia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Senegal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Senegal</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Asia Pacific Holdings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Singapore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Speciality Packaging Investment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Singapore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Investments Holdings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Multi-Packaging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Slovakia s.r.o.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Slovakia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Globoplastt s.r.o.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Slovakia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Korea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South Korea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Services Iberia, S.L.U.</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Espana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Closures Spain,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 España, S.A.U.</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Spain,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Espana,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Warehouse Automation Iberia,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Angleboard Sweden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Josef Kihlberg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Sweden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Sweden Holdings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GmbH</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Switzerland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GmbH</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Switzerland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Caretex Asia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AP (Thailand)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and Closures (Thailand)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(Hat Yai)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(Nakhon Pathom)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687" w:right="299" w:bottom="1440" w:gutter="0" w:footer="0" w:header="0"/>
        </w:sectPr>
      </w:pPr>
    </w:p>
    <w:bookmarkStart w:id="125" w:name="page126"/>
    <w:bookmarkEnd w:id="125"/>
    <w:p>
      <w:pPr>
        <w:spacing w:after="0" w:line="1" w:lineRule="exact"/>
        <w:rPr>
          <w:sz w:val="20"/>
          <w:szCs w:val="20"/>
          <w:color w:val="auto"/>
        </w:rPr>
      </w:pPr>
    </w:p>
    <w:tbl>
      <w:tblPr>
        <w:tblLayout w:type="fixed"/>
        <w:tblInd w:w="218" w:type="dxa"/>
        <w:tblCellMar>
          <w:top w:w="0" w:type="dxa"/>
          <w:left w:w="0" w:type="dxa"/>
          <w:bottom w:w="0" w:type="dxa"/>
          <w:right w:w="0" w:type="dxa"/>
        </w:tblCellMar>
      </w:tblPr>
      <w:tr>
        <w:trPr>
          <w:trHeight w:val="247"/>
        </w:trPr>
        <w:tc>
          <w:tcPr>
            <w:tcW w:w="3520" w:type="dxa"/>
            <w:vAlign w:val="bottom"/>
            <w:tcBorders>
              <w:top w:val="single" w:sz="8" w:color="auto"/>
              <w:left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540" w:type="dxa"/>
            <w:vAlign w:val="bottom"/>
            <w:tcBorders>
              <w:top w:val="single" w:sz="8" w:color="auto"/>
              <w:right w:val="single" w:sz="8" w:color="auto"/>
            </w:tcBorders>
          </w:tcPr>
          <w:p>
            <w:pPr>
              <w:spacing w:after="0"/>
              <w:rPr>
                <w:sz w:val="21"/>
                <w:szCs w:val="21"/>
                <w:color w:val="auto"/>
              </w:rPr>
            </w:pPr>
          </w:p>
        </w:tc>
        <w:tc>
          <w:tcPr>
            <w:tcW w:w="310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52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Borders>
              <w:right w:val="single" w:sz="8" w:color="auto"/>
            </w:tcBorders>
          </w:tcPr>
          <w:p>
            <w:pPr>
              <w:spacing w:after="0"/>
              <w:rPr>
                <w:sz w:val="19"/>
                <w:szCs w:val="19"/>
                <w:color w:val="auto"/>
              </w:rPr>
            </w:pPr>
          </w:p>
        </w:tc>
        <w:tc>
          <w:tcPr>
            <w:tcW w:w="3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352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310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354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Food Packaging (Thailand) Public Company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1"/>
              </w:rPr>
              <w:t>Thailand</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TCP Beverage Cans Company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1"/>
              </w:rPr>
              <w:t>Thailand</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Systems (Thailand)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1"/>
              </w:rPr>
              <w:t>Thailand</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Trinidad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Trinidad</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Maghreb Can</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Tunisia</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Bevcan Türkiye Ambalaj Sanayi Ve Ticaret Limited Sirketi</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Turkey</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Foodcan Turkey Ambalaj Sanayi Ve Ticaret Limited Sirketi</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Turkey</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Form Koruyucu Ambalaj Sanayi Ve Ticaret Limited Sirketi</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Turkey</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Emirates Company Limited</w:t>
            </w:r>
          </w:p>
        </w:tc>
        <w:tc>
          <w:tcPr>
            <w:tcW w:w="3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1"/>
              </w:rPr>
              <w:t>United Arab Emirates</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CarnaudMetalbox Engineering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CarnaudMetalbox Group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CarnaudMetalbox Overseas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Aerosols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Commercial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Distribution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Manufacturing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Promotional Packaging UK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UK Holdings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SPG Packaging UK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Strapex Holdings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Danang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(Dong Nai)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Hanoi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Saigon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list includes only consolidated subsidiaries which are directly owned or indirectly owned by the Registrant.</w:t>
      </w:r>
    </w:p>
    <w:p>
      <w:pPr>
        <w:spacing w:after="0" w:line="23" w:lineRule="exact"/>
        <w:rPr>
          <w:rFonts w:ascii="Arial" w:cs="Arial" w:eastAsia="Arial" w:hAnsi="Arial"/>
          <w:sz w:val="18"/>
          <w:szCs w:val="18"/>
          <w:color w:val="auto"/>
        </w:rPr>
      </w:pPr>
    </w:p>
    <w:p>
      <w:pPr>
        <w:ind w:left="328" w:right="40" w:hanging="328"/>
        <w:spacing w:after="0" w:line="255"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sectPr>
          <w:pgSz w:w="11900" w:h="16838" w:orient="portrait"/>
          <w:cols w:equalWidth="0" w:num="1">
            <w:col w:w="10908"/>
          </w:cols>
          <w:pgMar w:left="572" w:top="687" w:right="41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23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35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We hereby consent to the incorporation by reference in the Registration Statements on Form S-8 (Nos. 333-188568, 333-166764, 333-140992, 333-140991, and 333-230008) of Crown Holdings, Inc. of our report dated February 28, 2020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February 28, 2020</w:t>
      </w:r>
    </w:p>
    <w:p>
      <w:pPr>
        <w:sectPr>
          <w:pgSz w:w="11900" w:h="16838" w:orient="portrait"/>
          <w:cols w:equalWidth="0" w:num="1">
            <w:col w:w="11420"/>
          </w:cols>
          <w:pgMar w:left="240" w:top="77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38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60" w:val="left"/>
          <w:tab w:leader="none" w:pos="7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February 28, 2020</w:t>
      </w:r>
      <w:r>
        <w:rPr>
          <w:sz w:val="20"/>
          <w:szCs w:val="20"/>
          <w:color w:val="auto"/>
        </w:rPr>
        <w:tab/>
      </w:r>
      <w:r>
        <w:rPr>
          <w:rFonts w:ascii="Arial" w:cs="Arial" w:eastAsia="Arial" w:hAnsi="Arial"/>
          <w:sz w:val="16"/>
          <w:szCs w:val="16"/>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31750</wp:posOffset>
            </wp:positionV>
            <wp:extent cx="2101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Timothy J. Donahue</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38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60" w:val="left"/>
          <w:tab w:leader="none" w:pos="7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February 28, 2020</w:t>
      </w:r>
      <w:r>
        <w:rPr>
          <w:sz w:val="20"/>
          <w:szCs w:val="20"/>
          <w:color w:val="auto"/>
        </w:rPr>
        <w:tab/>
      </w:r>
      <w:r>
        <w:rPr>
          <w:rFonts w:ascii="Arial" w:cs="Arial" w:eastAsia="Arial" w:hAnsi="Arial"/>
          <w:sz w:val="17"/>
          <w:szCs w:val="17"/>
          <w:color w:val="auto"/>
        </w:rPr>
        <w:t>/s/ Thomas 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31750</wp:posOffset>
            </wp:positionV>
            <wp:extent cx="2101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Thomas A. Kelly</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37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In connection with the Annual Report of Crown Holdings, Inc. (the “Company”) on Form 10-K for the period ending December 31, 2019 (the “Report”), each of the undersigned officers certify, pursuant to 18 U.S.C. § 1350, as adopted pursuant to § 906 of the Sarbanes-Oxley Act of 2002, that:</w:t>
      </w:r>
    </w:p>
    <w:p>
      <w:pPr>
        <w:spacing w:after="0" w:line="1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position and results of operations of the Company.</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6180" w:type="dxa"/>
            <w:vAlign w:val="bottom"/>
            <w:gridSpan w:val="2"/>
          </w:tcPr>
          <w:p>
            <w:pPr>
              <w:spacing w:after="0"/>
              <w:rPr>
                <w:sz w:val="20"/>
                <w:szCs w:val="20"/>
                <w:color w:val="auto"/>
              </w:rPr>
            </w:pPr>
            <w:r>
              <w:rPr>
                <w:rFonts w:ascii="Arial" w:cs="Arial" w:eastAsia="Arial" w:hAnsi="Arial"/>
                <w:sz w:val="18"/>
                <w:szCs w:val="18"/>
                <w:color w:val="auto"/>
              </w:rPr>
              <w:t>February 28, 2020</w:t>
            </w:r>
          </w:p>
        </w:tc>
        <w:tc>
          <w:tcPr>
            <w:tcW w:w="3300" w:type="dxa"/>
            <w:vAlign w:val="bottom"/>
          </w:tcPr>
          <w:p>
            <w:pPr>
              <w:ind w:left="20"/>
              <w:spacing w:after="0"/>
              <w:rPr>
                <w:sz w:val="20"/>
                <w:szCs w:val="20"/>
                <w:color w:val="auto"/>
              </w:rPr>
            </w:pPr>
            <w:r>
              <w:rPr>
                <w:rFonts w:ascii="Arial" w:cs="Arial" w:eastAsia="Arial" w:hAnsi="Arial"/>
                <w:sz w:val="18"/>
                <w:szCs w:val="18"/>
                <w:color w:val="auto"/>
              </w:rPr>
              <w:t>/s/ Timothy J. Donahue</w:t>
            </w:r>
          </w:p>
        </w:tc>
      </w:tr>
      <w:tr>
        <w:trPr>
          <w:trHeight w:val="48"/>
        </w:trPr>
        <w:tc>
          <w:tcPr>
            <w:tcW w:w="8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37"/>
        </w:trPr>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Timothy J. Donahue</w:t>
            </w:r>
          </w:p>
        </w:tc>
      </w:tr>
      <w:tr>
        <w:trPr>
          <w:trHeight w:val="270"/>
        </w:trPr>
        <w:tc>
          <w:tcPr>
            <w:tcW w:w="8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54"/>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6180" w:type="dxa"/>
            <w:vAlign w:val="bottom"/>
            <w:gridSpan w:val="2"/>
          </w:tcPr>
          <w:p>
            <w:pPr>
              <w:spacing w:after="0"/>
              <w:rPr>
                <w:sz w:val="20"/>
                <w:szCs w:val="20"/>
                <w:color w:val="auto"/>
              </w:rPr>
            </w:pPr>
            <w:r>
              <w:rPr>
                <w:rFonts w:ascii="Arial" w:cs="Arial" w:eastAsia="Arial" w:hAnsi="Arial"/>
                <w:sz w:val="18"/>
                <w:szCs w:val="18"/>
                <w:color w:val="auto"/>
              </w:rPr>
              <w:t>February 28, 2020</w:t>
            </w:r>
          </w:p>
        </w:tc>
        <w:tc>
          <w:tcPr>
            <w:tcW w:w="3300" w:type="dxa"/>
            <w:vAlign w:val="bottom"/>
          </w:tcPr>
          <w:p>
            <w:pPr>
              <w:ind w:left="20"/>
              <w:spacing w:after="0"/>
              <w:rPr>
                <w:sz w:val="20"/>
                <w:szCs w:val="20"/>
                <w:color w:val="auto"/>
              </w:rPr>
            </w:pPr>
            <w:r>
              <w:rPr>
                <w:rFonts w:ascii="Arial" w:cs="Arial" w:eastAsia="Arial" w:hAnsi="Arial"/>
                <w:sz w:val="18"/>
                <w:szCs w:val="18"/>
                <w:color w:val="auto"/>
              </w:rPr>
              <w:t>/s/ Thomas A. Kelly</w:t>
            </w:r>
          </w:p>
        </w:tc>
      </w:tr>
      <w:tr>
        <w:trPr>
          <w:trHeight w:val="48"/>
        </w:trPr>
        <w:tc>
          <w:tcPr>
            <w:tcW w:w="8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37"/>
        </w:trPr>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A. Kelly</w:t>
            </w:r>
          </w:p>
        </w:tc>
      </w:tr>
      <w:tr>
        <w:trPr>
          <w:trHeight w:val="270"/>
        </w:trPr>
        <w:tc>
          <w:tcPr>
            <w:tcW w:w="8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Letter"/>
      <w:start w:val="1"/>
    </w:lvl>
    <w:lvl w:ilvl="1">
      <w:lvlJc w:val="left"/>
      <w:lvlText w:val="(%2)"/>
      <w:numFmt w:val="lowerLetter"/>
      <w:start w:val="1"/>
    </w:lvl>
  </w:abstractNum>
  <w:abstractNum w:abstractNumId="9">
    <w:nsid w:val="333AB105"/>
    <w:multiLevelType w:val="hybridMultilevel"/>
    <w:lvl w:ilvl="0">
      <w:lvlJc w:val="left"/>
      <w:lvlText w:val="(%1)"/>
      <w:numFmt w:val="lowerLetter"/>
      <w:start w:val="2"/>
    </w:lvl>
    <w:lvl w:ilvl="1">
      <w:lvlJc w:val="left"/>
      <w:lvlText w:val="(%2)"/>
      <w:numFmt w:val="lowerLetter"/>
      <w:start w:val="3"/>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Roman"/>
      <w:start w:val="3"/>
    </w:lvl>
  </w:abstractNum>
  <w:abstractNum w:abstractNumId="12">
    <w:nsid w:val="2D1D5AE9"/>
    <w:multiLevelType w:val="hybridMultilevel"/>
    <w:lvl w:ilvl="0">
      <w:lvlJc w:val="left"/>
      <w:lvlText w:val="&amp;"/>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upperLetter"/>
      <w:start w:val="16"/>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Letter"/>
      <w:start w:val="1"/>
    </w:lvl>
    <w:lvl w:ilvl="1">
      <w:lvlJc w:val="left"/>
      <w:lvlText w:val="(%2)"/>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7"/>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21"/>
    </w:lvl>
  </w:abstractNum>
  <w:abstractNum w:abstractNumId="25">
    <w:nsid w:val="3A95F874"/>
    <w:multiLevelType w:val="hybridMultilevel"/>
    <w:lvl w:ilvl="0">
      <w:lvlJc w:val="left"/>
      <w:lvlText w:val="%1"/>
      <w:numFmt w:val="decimal"/>
      <w:start w:val="23"/>
    </w:lvl>
  </w:abstractNum>
  <w:abstractNum w:abstractNumId="26">
    <w:nsid w:val="8138641"/>
    <w:multiLevelType w:val="hybridMultilevel"/>
    <w:lvl w:ilvl="0">
      <w:lvlJc w:val="left"/>
      <w:lvlText w:val="%1"/>
      <w:numFmt w:val="decimal"/>
      <w:start w:val="32"/>
    </w:lvl>
  </w:abstractNum>
  <w:abstractNum w:abstractNumId="27">
    <w:nsid w:val="1E7FF521"/>
    <w:multiLevelType w:val="hybridMultilevel"/>
    <w:lvl w:ilvl="0">
      <w:lvlJc w:val="left"/>
      <w:lvlText w:val="%1"/>
      <w:numFmt w:val="decimal"/>
      <w:start w:val="101"/>
    </w:lvl>
  </w:abstractNum>
  <w:abstractNum w:abstractNumId="28">
    <w:nsid w:val="7C3DBD3D"/>
    <w:multiLevelType w:val="hybridMultilevel"/>
    <w:lvl w:ilvl="0">
      <w:lvlJc w:val="left"/>
      <w:lvlText w:val="%1"/>
      <w:numFmt w:val="decimal"/>
      <w:start w:val="104"/>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92" Type="http://schemas.openxmlformats.org/officeDocument/2006/relationships/image" Target="media/image28.png"/><Relationship Id="rId93" Type="http://schemas.openxmlformats.org/officeDocument/2006/relationships/image" Target="media/image29.png"/><Relationship Id="rId94" Type="http://schemas.openxmlformats.org/officeDocument/2006/relationships/image" Target="media/image30.png"/><Relationship Id="rId95" Type="http://schemas.openxmlformats.org/officeDocument/2006/relationships/image" Target="media/image31.png"/><Relationship Id="rId96" Type="http://schemas.openxmlformats.org/officeDocument/2006/relationships/image" Target="media/image32.png"/><Relationship Id="rId97" Type="http://schemas.openxmlformats.org/officeDocument/2006/relationships/image" Target="media/image33.png"/><Relationship Id="rId98" Type="http://schemas.openxmlformats.org/officeDocument/2006/relationships/image" Target="media/image34.png"/><Relationship Id="rId99" Type="http://schemas.openxmlformats.org/officeDocument/2006/relationships/image" Target="media/image35.png"/><Relationship Id="rId100" Type="http://schemas.openxmlformats.org/officeDocument/2006/relationships/image" Target="media/image36.png"/><Relationship Id="rId101" Type="http://schemas.openxmlformats.org/officeDocument/2006/relationships/image" Target="media/image37.png"/><Relationship Id="rId102" Type="http://schemas.openxmlformats.org/officeDocument/2006/relationships/image" Target="media/image38.png"/><Relationship Id="rId103" Type="http://schemas.openxmlformats.org/officeDocument/2006/relationships/image" Target="media/image39.png"/><Relationship Id="rId104" Type="http://schemas.openxmlformats.org/officeDocument/2006/relationships/image" Target="media/image40.png"/><Relationship Id="rId105" Type="http://schemas.openxmlformats.org/officeDocument/2006/relationships/image" Target="media/image41.png"/><Relationship Id="rId106" Type="http://schemas.openxmlformats.org/officeDocument/2006/relationships/image" Target="media/image42.png"/><Relationship Id="rId107" Type="http://schemas.openxmlformats.org/officeDocument/2006/relationships/image" Target="media/image43.png"/><Relationship Id="rId35" Type="http://schemas.openxmlformats.org/officeDocument/2006/relationships/hyperlink" Target="http://www.sec.gov/Archives/edgar/data/1219601/000121960105000069/ex3a2004.htm" TargetMode="External"/><Relationship Id="rId36" Type="http://schemas.openxmlformats.org/officeDocument/2006/relationships/hyperlink" Target="http://www.sec.gov/Archives/edgar/data/1219601/000121960116000043/ex3ii.htm" TargetMode="External"/><Relationship Id="rId37" Type="http://schemas.openxmlformats.org/officeDocument/2006/relationships/hyperlink" Target="http://www.sec.gov/Archives/edgar/data/1219601/000095016803000549/dex45.htm" TargetMode="External"/><Relationship Id="rId38" Type="http://schemas.openxmlformats.org/officeDocument/2006/relationships/hyperlink" Target="http://www.sec.gov/Archives/edgar/data/1219601/000119312513010869/d465899dex42.htm" TargetMode="External"/><Relationship Id="rId39" Type="http://schemas.openxmlformats.org/officeDocument/2006/relationships/hyperlink" Target="http://www.sec.gov/Archives/edgar/data/1219601/000119312513016125/d468305dex41.htm" TargetMode="External"/><Relationship Id="rId40" Type="http://schemas.openxmlformats.org/officeDocument/2006/relationships/hyperlink" Target="http://www.sec.gov/Archives/edgar/data/1219601/000121960114000027/ex4.htm" TargetMode="External"/><Relationship Id="rId41" Type="http://schemas.openxmlformats.org/officeDocument/2006/relationships/hyperlink" Target="http://www.sec.gov/Archives/edgar/data/1219601/000121960114000036/ex41.htm" TargetMode="External"/><Relationship Id="rId42" Type="http://schemas.openxmlformats.org/officeDocument/2006/relationships/hyperlink" Target="http://www.sec.gov/Archives/edgar/data/1219601/000119312514266345/d755738dex41.htm" TargetMode="External"/><Relationship Id="rId43" Type="http://schemas.openxmlformats.org/officeDocument/2006/relationships/hyperlink" Target="http://www.sec.gov/Archives/edgar/data/1219601/000121960115000009/ex4udec2014.htm" TargetMode="External"/><Relationship Id="rId44" Type="http://schemas.openxmlformats.org/officeDocument/2006/relationships/hyperlink" Target="http://www.sec.gov/Archives/edgar/data/1219601/000121960115000009/ex4vdec2014.htm" TargetMode="External"/><Relationship Id="rId45" Type="http://schemas.openxmlformats.org/officeDocument/2006/relationships/hyperlink" Target="http://www.sec.gov/Archives/edgar/data/1219601/000121960116000052/ex4v.htm" TargetMode="External"/><Relationship Id="rId46" Type="http://schemas.openxmlformats.org/officeDocument/2006/relationships/hyperlink" Target="http://www.sec.gov/Archives/edgar/data/1219601/000119312516712850/d213162dex41.htm" TargetMode="External"/><Relationship Id="rId47" Type="http://schemas.openxmlformats.org/officeDocument/2006/relationships/hyperlink" Target="http://www.sec.gov/Archives/edgar/data/1219601/000119312516712850/d213162dex42.htm" TargetMode="External"/><Relationship Id="rId48" Type="http://schemas.openxmlformats.org/officeDocument/2006/relationships/hyperlink" Target="http://www.sec.gov/Archives/edgar/data/1219601/000121960116000070/exhibit41.htm" TargetMode="External"/><Relationship Id="rId49" Type="http://schemas.openxmlformats.org/officeDocument/2006/relationships/hyperlink" Target="http://www.sec.gov/Archives/edgar/data/1219601/000121960115000034/ex10.htm" TargetMode="External"/><Relationship Id="rId50" Type="http://schemas.openxmlformats.org/officeDocument/2006/relationships/hyperlink" Target="http://www.sec.gov/Archives/edgar/data/1219601/000121960117000016/ex4march2017.htm" TargetMode="External"/><Relationship Id="rId51" Type="http://schemas.openxmlformats.org/officeDocument/2006/relationships/hyperlink" Target="http://www.sec.gov/Archives/edgar/data/1219601/000121960118000009/ex4dec2017.htm" TargetMode="External"/><Relationship Id="rId52" Type="http://schemas.openxmlformats.org/officeDocument/2006/relationships/hyperlink" Target="http://www.sec.gov/Archives/edgar/data/1219601/000121960119000005/ex4dec2018.htm" TargetMode="External"/><Relationship Id="rId53" Type="http://schemas.openxmlformats.org/officeDocument/2006/relationships/hyperlink" Target="http://www.sec.gov/Archives/edgar/data/1219601/000119312518029266/d470596dex41.htm" TargetMode="External"/><Relationship Id="rId54" Type="http://schemas.openxmlformats.org/officeDocument/2006/relationships/hyperlink" Target="http://www.sec.gov/Archives/edgar/data/1219601/000119312518029266/d470596dex42.htm" TargetMode="External"/><Relationship Id="rId55" Type="http://schemas.openxmlformats.org/officeDocument/2006/relationships/hyperlink" Target="http://www.sec.gov/Archives/edgar/data/1219601/000119312518029266/d470596dex43.htm" TargetMode="External"/><Relationship Id="rId56" Type="http://schemas.openxmlformats.org/officeDocument/2006/relationships/hyperlink" Target="http://www.sec.gov/Archives/edgar/data/1219601/000119312520053971/d896926dex41.htm" TargetMode="External"/><Relationship Id="rId57" Type="http://schemas.openxmlformats.org/officeDocument/2006/relationships/hyperlink" Target="http://www.sec.gov/Archives/edgar/data/1219601/000119312519283489/d794572dex41.htm" TargetMode="External"/><Relationship Id="rId58" Type="http://schemas.openxmlformats.org/officeDocument/2006/relationships/hyperlink" Target="http://www.sec.gov/Archives/edgar/data/1219601/000121960116000041/ex101.htm" TargetMode="External"/><Relationship Id="rId59" Type="http://schemas.openxmlformats.org/officeDocument/2006/relationships/hyperlink" Target="http://www.sec.gov/Archives/edgar/data/1219601/000121960113000032/ex103june2013.htm" TargetMode="External"/><Relationship Id="rId60" Type="http://schemas.openxmlformats.org/officeDocument/2006/relationships/hyperlink" Target="http://www.sec.gov/Archives/edgar/data/1219601/000121960112000033/ex101a.htm" TargetMode="External"/><Relationship Id="rId61" Type="http://schemas.openxmlformats.org/officeDocument/2006/relationships/hyperlink" Target="http://www.sec.gov/Archives/edgar/data/1219601/000121960113000032/ex10june2013.htm" TargetMode="External"/><Relationship Id="rId62" Type="http://schemas.openxmlformats.org/officeDocument/2006/relationships/hyperlink" Target="http://www.sec.gov/Archives/edgar/data/1219601/000121960115000009/ex10c11dec2014.htm" TargetMode="External"/><Relationship Id="rId63" Type="http://schemas.openxmlformats.org/officeDocument/2006/relationships/hyperlink" Target="http://www.sec.gov/Archives/edgar/data/1219601/000121960116000056/ex102-1q2016.htm" TargetMode="External"/><Relationship Id="rId64" Type="http://schemas.openxmlformats.org/officeDocument/2006/relationships/hyperlink" Target="http://www.sec.gov/Archives/edgar/data/1219601/000121960117000016/ex10amarch2017.htm" TargetMode="External"/><Relationship Id="rId65" Type="http://schemas.openxmlformats.org/officeDocument/2006/relationships/hyperlink" Target="http://www.sec.gov/Archives/edgar/data/1219601/000121960109000010/exhibit10i-2008.htm" TargetMode="External"/><Relationship Id="rId66" Type="http://schemas.openxmlformats.org/officeDocument/2006/relationships/hyperlink" Target="http://www.sec.gov/Archives/edgar/data/1219601/000121960119000005/ex10bdec2018.htm" TargetMode="External"/><Relationship Id="rId67" Type="http://schemas.openxmlformats.org/officeDocument/2006/relationships/hyperlink" Target="http://www.sec.gov/Archives/edgar/data/1219601/000121960108000009/ex10l.htm" TargetMode="External"/><Relationship Id="rId68" Type="http://schemas.openxmlformats.org/officeDocument/2006/relationships/hyperlink" Target="http://www.sec.gov/Archives/edgar/data/1219601/000121960107000020/ex104emarch07.htm" TargetMode="External"/><Relationship Id="rId69" Type="http://schemas.openxmlformats.org/officeDocument/2006/relationships/hyperlink" Target="http://www.sec.gov/Archives/edgar/data/1219601/000121960112000033/ex102.htm" TargetMode="External"/><Relationship Id="rId70" Type="http://schemas.openxmlformats.org/officeDocument/2006/relationships/hyperlink" Target="http://www.sec.gov/Archives/edgar/data/1219601/000121960113000007/ex10m7dec2012.htm" TargetMode="External"/><Relationship Id="rId71" Type="http://schemas.openxmlformats.org/officeDocument/2006/relationships/hyperlink" Target="http://www.sec.gov/Archives/edgar/data/1219601/000121960113000032/ex102june2013.htm" TargetMode="External"/><Relationship Id="rId72" Type="http://schemas.openxmlformats.org/officeDocument/2006/relationships/hyperlink" Target="http://www.sec.gov/Archives/edgar/data/1219601/000121960115000009/ex10f9dec2014.htm" TargetMode="External"/><Relationship Id="rId73" Type="http://schemas.openxmlformats.org/officeDocument/2006/relationships/hyperlink" Target="http://www.sec.gov/Archives/edgar/data/1219601/000121960116000056/ex103-1q2016.htm" TargetMode="External"/><Relationship Id="rId74" Type="http://schemas.openxmlformats.org/officeDocument/2006/relationships/hyperlink" Target="http://www.sec.gov/Archives/edgar/data/1219601/000121960116000058/ex101may2016.htm" TargetMode="External"/><Relationship Id="rId75" Type="http://schemas.openxmlformats.org/officeDocument/2006/relationships/hyperlink" Target="http://www.sec.gov/Archives/edgar/data/1219601/000121960117000016/ex10bmarch2017.htm" TargetMode="External"/><Relationship Id="rId76" Type="http://schemas.openxmlformats.org/officeDocument/2006/relationships/hyperlink" Target="http://www.sec.gov/Archives/edgar/data/1219601/000121960117000016/ex10cmarch2017.htm" TargetMode="External"/><Relationship Id="rId77" Type="http://schemas.openxmlformats.org/officeDocument/2006/relationships/hyperlink" Target="http://www.sec.gov/Archives/edgar/data/1219601/000121960107000007/exhibit10dd-2006.htm" TargetMode="External"/><Relationship Id="rId78" Type="http://schemas.openxmlformats.org/officeDocument/2006/relationships/hyperlink" Target="http://www.sec.gov/Archives/edgar/data/1219601/000095015904000314/crownproxy.txt" TargetMode="External"/><Relationship Id="rId79" Type="http://schemas.openxmlformats.org/officeDocument/2006/relationships/hyperlink" Target="http://www.sec.gov/Archives/edgar/data/1219601/000121960107000007/exhibit10ff-2006.htm" TargetMode="External"/><Relationship Id="rId80" Type="http://schemas.openxmlformats.org/officeDocument/2006/relationships/hyperlink" Target="http://www.sec.gov/Archives/edgar/data/1219601/000121960104000206/ex106sep04.htm" TargetMode="External"/><Relationship Id="rId81" Type="http://schemas.openxmlformats.org/officeDocument/2006/relationships/hyperlink" Target="http://www.sec.gov/Archives/edgar/data/1219601/000121960109000010/exhibit10w-2008.htm" TargetMode="External"/><Relationship Id="rId82" Type="http://schemas.openxmlformats.org/officeDocument/2006/relationships/hyperlink" Target="http://www.sec.gov/Archives/edgar/data/1219601/000121960105000075/ex10q1-2005.htm" TargetMode="External"/><Relationship Id="rId83" Type="http://schemas.openxmlformats.org/officeDocument/2006/relationships/hyperlink" Target="http://www.sec.gov/Archives/edgar/data/1219601/000095015906000473/chproxy.htm" TargetMode="External"/><Relationship Id="rId84" Type="http://schemas.openxmlformats.org/officeDocument/2006/relationships/hyperlink" Target="http://www.sec.gov/Archives/edgar/data/1219601/000121960107000007/exhibit10pp-2006.htm" TargetMode="External"/><Relationship Id="rId85" Type="http://schemas.openxmlformats.org/officeDocument/2006/relationships/hyperlink" Target="http://www.sec.gov/Archives/edgar/data/1219601/000119312510181200/dex101.htm" TargetMode="External"/><Relationship Id="rId86" Type="http://schemas.openxmlformats.org/officeDocument/2006/relationships/hyperlink" Target="http://www.sec.gov/Archives/edgar/data/1219601/000121960107000020/ex102march07.htm" TargetMode="External"/><Relationship Id="rId87" Type="http://schemas.openxmlformats.org/officeDocument/2006/relationships/hyperlink" Target="http://www.sec.gov/Archives/edgar/data/1219601/000095015913000173/crownproxy.htm" TargetMode="External"/><Relationship Id="rId88" Type="http://schemas.openxmlformats.org/officeDocument/2006/relationships/hyperlink" Target="http://www.sec.gov/Archives/edgar/data/1219601/000121960113000045/ex10sept2013.htm" TargetMode="External"/><Relationship Id="rId89" Type="http://schemas.openxmlformats.org/officeDocument/2006/relationships/hyperlink" Target="http://www.sec.gov/Archives/edgar/data/1219601/000121960113000045/ex102sept2013.htm" TargetMode="External"/><Relationship Id="rId90" Type="http://schemas.openxmlformats.org/officeDocument/2006/relationships/hyperlink" Target="http://www.sec.gov/Archives/edgar/data/1219601/000121960112000033/ex103.htm" TargetMode="External"/><Relationship Id="rId91" Type="http://schemas.openxmlformats.org/officeDocument/2006/relationships/hyperlink" Target="http://www.sec.gov/Archives/edgar/data/1219601/000121960112000033/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2020-02-28T12:20:02Z</dcterms:created>
  <dcterms:modified xsi:type="dcterms:W3CDTF">2020-02-28T12:20:02Z</dcterms:modified>
</cp:coreProperties>
</file>