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Crown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228368106</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228368106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99,555</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33,589</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12,609,000</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120,031</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12,729,031</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9.39%</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Crown Holdings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One Crown Way</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Philadelphia, Pennsylvania 19154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228368106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12,729,031</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99,555</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33,589</w:t>
      </w:r>
    </w:p>
    <w:p>
      <w:pPr>
        <w:spacing w:after="0" w:line="223" w:lineRule="exact"/>
        <w:rPr>
          <w:rFonts w:ascii="Arial" w:cs="Arial" w:eastAsia="Arial" w:hAnsi="Arial"/>
          <w:sz w:val="17"/>
          <w:szCs w:val="17"/>
          <w:color w:val="auto"/>
        </w:rPr>
      </w:pPr>
    </w:p>
    <w:p>
      <w:pPr>
        <w:ind w:left="220" w:right="61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12,609,000 (iv) shared power to dispose or to direct the disposition of: 120,031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55,832 shares or 0.04% of the Common Stock outstanding of the Company as a result of its serving as investment manager of collective trust accounts.</w:t>
      </w:r>
    </w:p>
    <w:p>
      <w:pPr>
        <w:spacing w:after="0" w:line="17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107,922 shares or 0.07% of the Common Stock outstanding of the Company as a result of its serving as investment manager of Australian investment offerings.</w:t>
      </w:r>
    </w:p>
    <w:sectPr>
      <w:pgSz w:w="11900" w:h="16838" w:orient="portrait"/>
      <w:cols w:equalWidth="0" w:num="1">
        <w:col w:w="11120"/>
      </w:cols>
      <w:pgMar w:left="240" w:top="68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2020-02-12T06:59:17Z</dcterms:created>
  <dcterms:modified xsi:type="dcterms:W3CDTF">2020-02-12T06:59:17Z</dcterms:modified>
</cp:coreProperties>
</file>