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Bourque Robert H Jr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770 TOWNSHIP LINE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9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CROWN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CCK</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65"/>
        <w:spacing w:after="0"/>
        <w:rPr>
          <w:sz w:val="20"/>
          <w:szCs w:val="20"/>
          <w:color w:val="auto"/>
        </w:rPr>
      </w:pPr>
      <w:r>
        <w:rPr>
          <w:rFonts w:ascii="Arial" w:cs="Arial" w:eastAsia="Arial" w:hAnsi="Arial"/>
          <w:sz w:val="17"/>
          <w:szCs w:val="17"/>
          <w:color w:val="0000FF"/>
        </w:rPr>
        <w:t>President - Transit Packaging</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YARDLEY</w:t>
            </w:r>
          </w:p>
        </w:tc>
        <w:tc>
          <w:tcPr>
            <w:tcW w:w="1020" w:type="dxa"/>
            <w:vAlign w:val="bottom"/>
          </w:tcPr>
          <w:p>
            <w:pPr>
              <w:ind w:left="200"/>
              <w:spacing w:after="0"/>
              <w:rPr>
                <w:sz w:val="20"/>
                <w:szCs w:val="20"/>
                <w:color w:val="auto"/>
              </w:rPr>
            </w:pPr>
            <w:r>
              <w:rPr>
                <w:rFonts w:ascii="Arial" w:cs="Arial" w:eastAsia="Arial" w:hAnsi="Arial"/>
                <w:sz w:val="17"/>
                <w:szCs w:val="17"/>
                <w:color w:val="0000FF"/>
              </w:rPr>
              <w:t>PA</w:t>
            </w:r>
          </w:p>
        </w:tc>
        <w:tc>
          <w:tcPr>
            <w:tcW w:w="1600" w:type="dxa"/>
            <w:vAlign w:val="bottom"/>
          </w:tcPr>
          <w:p>
            <w:pPr>
              <w:ind w:left="400"/>
              <w:spacing w:after="0"/>
              <w:rPr>
                <w:sz w:val="20"/>
                <w:szCs w:val="20"/>
                <w:color w:val="auto"/>
              </w:rPr>
            </w:pPr>
            <w:r>
              <w:rPr>
                <w:rFonts w:ascii="Arial" w:cs="Arial" w:eastAsia="Arial" w:hAnsi="Arial"/>
                <w:sz w:val="17"/>
                <w:szCs w:val="17"/>
                <w:color w:val="0000FF"/>
              </w:rPr>
              <w:t>19067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785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785620"/>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36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49"/>
              <w:spacing w:after="0"/>
              <w:rPr>
                <w:sz w:val="20"/>
                <w:szCs w:val="20"/>
                <w:color w:val="auto"/>
              </w:rPr>
            </w:pPr>
            <w:r>
              <w:rPr>
                <w:rFonts w:ascii="Arial" w:cs="Arial" w:eastAsia="Arial" w:hAnsi="Arial"/>
                <w:sz w:val="17"/>
                <w:szCs w:val="17"/>
                <w:color w:val="0000FF"/>
                <w:w w:val="93"/>
              </w:rPr>
              <w:t>01/08/2021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9,462</w:t>
            </w:r>
            <w:r>
              <w:rPr>
                <w:rFonts w:ascii="Arial" w:cs="Arial" w:eastAsia="Arial" w:hAnsi="Arial"/>
                <w:sz w:val="22"/>
                <w:szCs w:val="22"/>
                <w:color w:val="008000"/>
                <w:w w:val="85"/>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63,378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69"/>
              <w:spacing w:after="0"/>
              <w:rPr>
                <w:sz w:val="20"/>
                <w:szCs w:val="20"/>
                <w:color w:val="auto"/>
              </w:rPr>
            </w:pPr>
            <w:r>
              <w:rPr>
                <w:rFonts w:ascii="Arial" w:cs="Arial" w:eastAsia="Arial" w:hAnsi="Arial"/>
                <w:sz w:val="17"/>
                <w:szCs w:val="17"/>
                <w:color w:val="0000FF"/>
                <w:w w:val="91"/>
              </w:rPr>
              <w:t>01/11/2021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1,573</w:t>
            </w:r>
            <w:r>
              <w:rPr>
                <w:rFonts w:ascii="Arial" w:cs="Arial" w:eastAsia="Arial" w:hAnsi="Arial"/>
                <w:sz w:val="22"/>
                <w:szCs w:val="22"/>
                <w:color w:val="008000"/>
                <w:w w:val="85"/>
                <w:vertAlign w:val="superscript"/>
              </w:rPr>
              <w:t>(2)</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64,951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69"/>
              <w:spacing w:after="0"/>
              <w:rPr>
                <w:sz w:val="20"/>
                <w:szCs w:val="20"/>
                <w:color w:val="auto"/>
              </w:rPr>
            </w:pPr>
            <w:r>
              <w:rPr>
                <w:rFonts w:ascii="Arial" w:cs="Arial" w:eastAsia="Arial" w:hAnsi="Arial"/>
                <w:sz w:val="17"/>
                <w:szCs w:val="17"/>
                <w:color w:val="0000FF"/>
                <w:w w:val="91"/>
              </w:rPr>
              <w:t>01/11/2021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3,294</w:t>
            </w:r>
            <w:r>
              <w:rPr>
                <w:rFonts w:ascii="Arial" w:cs="Arial" w:eastAsia="Arial" w:hAnsi="Arial"/>
                <w:sz w:val="22"/>
                <w:szCs w:val="22"/>
                <w:color w:val="008000"/>
                <w:w w:val="85"/>
                <w:vertAlign w:val="superscript"/>
              </w:rPr>
              <w:t>(3)</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249"/>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68,245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5"/>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69"/>
              <w:spacing w:after="0"/>
              <w:rPr>
                <w:sz w:val="20"/>
                <w:szCs w:val="20"/>
                <w:color w:val="auto"/>
              </w:rPr>
            </w:pPr>
            <w:r>
              <w:rPr>
                <w:rFonts w:ascii="Arial" w:cs="Arial" w:eastAsia="Arial" w:hAnsi="Arial"/>
                <w:sz w:val="17"/>
                <w:szCs w:val="17"/>
                <w:color w:val="0000FF"/>
                <w:w w:val="91"/>
              </w:rPr>
              <w:t>01/11/2021</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4,968</w:t>
            </w:r>
            <w:r>
              <w:rPr>
                <w:rFonts w:ascii="Arial" w:cs="Arial" w:eastAsia="Arial" w:hAnsi="Arial"/>
                <w:sz w:val="22"/>
                <w:szCs w:val="22"/>
                <w:color w:val="008000"/>
                <w:w w:val="85"/>
                <w:vertAlign w:val="superscript"/>
              </w:rPr>
              <w:t>(4)</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100.04</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63,277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43"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was granted 9,462 shares of Restricted Common Stock under the 2013 Stock-Based Compensation Plan. 3,250 time-vested restricted shares vest over a three year period as follows: 1,084 time-vested restricted shares on January 10, 2022 and 1,083 time-vested restricted shares on January 09, 2023 and January 8, 2024, respectively. 2,962 performance-based restricted shares are targeted to vest on January 8, 2024 based on the Company's Total Shareholder Return versus a defined peer group of companies, with the final number of performance-based vested shares varying from 0 to 200% of 2,962. 3,250 performance-based restricted shares are targeted to vest on January 8, 2024 based on the Return on Invested Capital achieved by the Company compared to the ROIC target, with the final number of performance-based vested shares varying from 0 to 200% of 3,250.</w:t>
      </w:r>
    </w:p>
    <w:p>
      <w:pPr>
        <w:spacing w:after="0" w:line="29" w:lineRule="exact"/>
        <w:rPr>
          <w:rFonts w:ascii="Arial" w:cs="Arial" w:eastAsia="Arial" w:hAnsi="Arial"/>
          <w:sz w:val="13"/>
          <w:szCs w:val="13"/>
          <w:color w:val="008000"/>
        </w:rPr>
      </w:pPr>
    </w:p>
    <w:p>
      <w:pPr>
        <w:ind w:left="40" w:right="54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additional performance-based shares of Restricted Common Stock that vested on January 11, 2021 whose grant was originally reported on a Form 4 filed with the U.S. Securities and Exchange Commission on August 9, 2018 (the "Original Form 4"). As reported on the Original Form 4, such performance-based shares were originally granted to the Reporting Person based on the Company's Total Shareholder Return versus a defined group of companies with the final number of performance-based vested shares varying from 0 to 200% of 1,573.</w:t>
      </w:r>
    </w:p>
    <w:p>
      <w:pPr>
        <w:spacing w:after="0" w:line="8" w:lineRule="exact"/>
        <w:rPr>
          <w:rFonts w:ascii="Arial" w:cs="Arial" w:eastAsia="Arial" w:hAnsi="Arial"/>
          <w:sz w:val="12"/>
          <w:szCs w:val="12"/>
          <w:color w:val="008000"/>
        </w:rPr>
      </w:pPr>
    </w:p>
    <w:p>
      <w:pPr>
        <w:ind w:left="40" w:right="50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additional performance-based shares of Restricted Common Stock that vested on January 11, 2021 whose grant was originally reported on a Form 4 filed with the U.S. Securities and Exchange Commission on January 8, 2018 (the "Original Form 4"). As reported on the Original Form 4, such performance-based shares were originally granted to the Reporting Person based on the Company's Total Shareholder Return versus a defined group of companies with the final number of performance-based vested shares varying from 0 to 200% of 3,294.</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transferred to the Company for tax withholding in connection with vesting of restricted stock.</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Rosemary M. Haselroth, by</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01/12/2021</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6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72913"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2021-01-12T14:15:39Z</dcterms:created>
  <dcterms:modified xsi:type="dcterms:W3CDTF">2021-01-12T14:15:39Z</dcterms:modified>
</cp:coreProperties>
</file>