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t>UNITED STATES</w:t>
      </w:r>
    </w:p>
    <w:p>
      <w:pPr>
        <w:spacing w:after="0" w:line="2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16"/>
          <w:szCs w:val="16"/>
          <w:b w:val="1"/>
          <w:bCs w:val="1"/>
          <w:color w:val="auto"/>
        </w:rPr>
        <w:t>WASHINGTON, DC 20549</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10-Q</w:t>
      </w:r>
    </w:p>
    <w:p>
      <w:pPr>
        <w:spacing w:after="0" w:line="49" w:lineRule="exact"/>
        <w:rPr>
          <w:sz w:val="24"/>
          <w:szCs w:val="24"/>
          <w:color w:val="auto"/>
        </w:rPr>
      </w:pPr>
    </w:p>
    <w:p>
      <w:pPr>
        <w:ind w:left="480" w:right="320" w:hanging="454"/>
        <w:spacing w:after="0" w:line="235" w:lineRule="auto"/>
        <w:tabs>
          <w:tab w:leader="none" w:pos="48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9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 THE QUARTERLY PERIOD ENDED June 30, 2023</w:t>
      </w:r>
    </w:p>
    <w:p>
      <w:pPr>
        <w:spacing w:after="0" w:line="233" w:lineRule="exact"/>
        <w:rPr>
          <w:sz w:val="24"/>
          <w:szCs w:val="24"/>
          <w:color w:val="auto"/>
        </w:rPr>
      </w:pPr>
    </w:p>
    <w:p>
      <w:pPr>
        <w:ind w:left="480" w:right="280" w:hanging="454"/>
        <w:spacing w:after="0" w:line="235" w:lineRule="auto"/>
        <w:tabs>
          <w:tab w:leader="none" w:pos="48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99" w:lineRule="exact"/>
        <w:rPr>
          <w:sz w:val="24"/>
          <w:szCs w:val="24"/>
          <w:color w:val="auto"/>
        </w:rPr>
      </w:pPr>
    </w:p>
    <w:p>
      <w:pPr>
        <w:ind w:left="2920"/>
        <w:spacing w:after="0"/>
        <w:rPr>
          <w:sz w:val="20"/>
          <w:szCs w:val="20"/>
          <w:color w:val="auto"/>
        </w:rPr>
      </w:pPr>
      <w:r>
        <w:rPr>
          <w:rFonts w:ascii="Arial" w:cs="Arial" w:eastAsia="Arial" w:hAnsi="Arial"/>
          <w:sz w:val="22"/>
          <w:szCs w:val="22"/>
          <w:b w:val="1"/>
          <w:bCs w:val="1"/>
          <w:color w:val="auto"/>
        </w:rPr>
        <w:t>FOR THE TRANSITION PERIOD FROM ____ TO ____</w:t>
      </w:r>
    </w:p>
    <w:p>
      <w:pPr>
        <w:spacing w:after="0" w:line="251"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COMMISSION FILE NUMBER 000-50189</w:t>
      </w:r>
    </w:p>
    <w:p>
      <w:pPr>
        <w:spacing w:after="0" w:line="77"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CROWN HOLDINGS, INC.</w:t>
      </w:r>
    </w:p>
    <w:p>
      <w:pPr>
        <w:spacing w:after="0" w:line="41"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(Exact name of registrant as specified in its charter)</w:t>
      </w:r>
    </w:p>
    <w:p>
      <w:pPr>
        <w:spacing w:after="0" w:line="45" w:lineRule="exact"/>
        <w:rPr>
          <w:sz w:val="24"/>
          <w:szCs w:val="24"/>
          <w:color w:val="auto"/>
        </w:rPr>
      </w:pPr>
    </w:p>
    <w:tbl>
      <w:tblPr>
        <w:tblLayout w:type="fixed"/>
        <w:tblInd w:w="0" w:type="dxa"/>
        <w:tblCellMar>
          <w:top w:w="0" w:type="dxa"/>
          <w:left w:w="0" w:type="dxa"/>
          <w:bottom w:w="0" w:type="dxa"/>
          <w:right w:w="0" w:type="dxa"/>
        </w:tblCellMar>
      </w:tblPr>
      <w:tr>
        <w:trPr>
          <w:trHeight w:val="225"/>
        </w:trPr>
        <w:tc>
          <w:tcPr>
            <w:tcW w:w="3040" w:type="dxa"/>
            <w:vAlign w:val="bottom"/>
          </w:tcPr>
          <w:p>
            <w:pPr>
              <w:jc w:val="center"/>
              <w:ind w:left="1140"/>
              <w:spacing w:after="0"/>
              <w:rPr>
                <w:sz w:val="20"/>
                <w:szCs w:val="20"/>
                <w:color w:val="auto"/>
              </w:rPr>
            </w:pPr>
            <w:r>
              <w:rPr>
                <w:rFonts w:ascii="Arial" w:cs="Arial" w:eastAsia="Arial" w:hAnsi="Arial"/>
                <w:sz w:val="18"/>
                <w:szCs w:val="18"/>
                <w:b w:val="1"/>
                <w:bCs w:val="1"/>
                <w:color w:val="auto"/>
                <w:w w:val="88"/>
              </w:rPr>
              <w:t>Pennsylvania</w:t>
            </w:r>
          </w:p>
        </w:tc>
        <w:tc>
          <w:tcPr>
            <w:tcW w:w="12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1960" w:type="dxa"/>
            <w:vAlign w:val="bottom"/>
          </w:tcPr>
          <w:p>
            <w:pPr>
              <w:jc w:val="right"/>
              <w:ind w:right="521"/>
              <w:spacing w:after="0"/>
              <w:rPr>
                <w:sz w:val="20"/>
                <w:szCs w:val="20"/>
                <w:color w:val="auto"/>
              </w:rPr>
            </w:pPr>
            <w:r>
              <w:rPr>
                <w:rFonts w:ascii="Arial" w:cs="Arial" w:eastAsia="Arial" w:hAnsi="Arial"/>
                <w:sz w:val="18"/>
                <w:szCs w:val="18"/>
                <w:b w:val="1"/>
                <w:bCs w:val="1"/>
                <w:color w:val="auto"/>
              </w:rPr>
              <w:t>75-3099507</w:t>
            </w:r>
          </w:p>
        </w:tc>
      </w:tr>
      <w:tr>
        <w:trPr>
          <w:trHeight w:val="148"/>
        </w:trPr>
        <w:tc>
          <w:tcPr>
            <w:tcW w:w="3040" w:type="dxa"/>
            <w:vAlign w:val="bottom"/>
          </w:tcPr>
          <w:p>
            <w:pPr>
              <w:jc w:val="center"/>
              <w:ind w:left="1140"/>
              <w:spacing w:after="0" w:line="149" w:lineRule="exact"/>
              <w:rPr>
                <w:sz w:val="20"/>
                <w:szCs w:val="20"/>
                <w:color w:val="auto"/>
              </w:rPr>
            </w:pPr>
            <w:r>
              <w:rPr>
                <w:rFonts w:ascii="Arial" w:cs="Arial" w:eastAsia="Arial" w:hAnsi="Arial"/>
                <w:sz w:val="14"/>
                <w:szCs w:val="14"/>
                <w:b w:val="1"/>
                <w:bCs w:val="1"/>
                <w:color w:val="auto"/>
                <w:w w:val="92"/>
              </w:rPr>
              <w:t>(State or other jurisdiction of</w:t>
            </w:r>
          </w:p>
        </w:tc>
        <w:tc>
          <w:tcPr>
            <w:tcW w:w="1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1960" w:type="dxa"/>
            <w:vAlign w:val="bottom"/>
          </w:tcPr>
          <w:p>
            <w:pPr>
              <w:jc w:val="center"/>
              <w:ind w:right="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43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incorporation or organization)</w:t>
            </w:r>
          </w:p>
        </w:tc>
        <w:tc>
          <w:tcPr>
            <w:tcW w:w="74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1960" w:type="dxa"/>
            <w:vAlign w:val="bottom"/>
          </w:tcPr>
          <w:p>
            <w:pPr>
              <w:jc w:val="center"/>
              <w:ind w:right="21"/>
              <w:spacing w:after="0"/>
              <w:rPr>
                <w:sz w:val="20"/>
                <w:szCs w:val="20"/>
                <w:color w:val="auto"/>
              </w:rPr>
            </w:pPr>
            <w:r>
              <w:rPr>
                <w:rFonts w:ascii="Arial" w:cs="Arial" w:eastAsia="Arial" w:hAnsi="Arial"/>
                <w:sz w:val="14"/>
                <w:szCs w:val="14"/>
                <w:b w:val="1"/>
                <w:bCs w:val="1"/>
                <w:color w:val="auto"/>
                <w:w w:val="96"/>
              </w:rPr>
              <w:t>Identification No.)</w:t>
            </w:r>
          </w:p>
        </w:tc>
      </w:tr>
      <w:tr>
        <w:trPr>
          <w:trHeight w:val="512"/>
        </w:trPr>
        <w:tc>
          <w:tcPr>
            <w:tcW w:w="430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14025 Riveredge Drive, Suite 300</w:t>
            </w:r>
          </w:p>
        </w:tc>
        <w:tc>
          <w:tcPr>
            <w:tcW w:w="740" w:type="dxa"/>
            <w:vAlign w:val="bottom"/>
          </w:tcPr>
          <w:p>
            <w:pPr>
              <w:ind w:left="160"/>
              <w:spacing w:after="0"/>
              <w:rPr>
                <w:sz w:val="20"/>
                <w:szCs w:val="20"/>
                <w:color w:val="auto"/>
              </w:rPr>
            </w:pPr>
            <w:r>
              <w:rPr>
                <w:rFonts w:ascii="Arial" w:cs="Arial" w:eastAsia="Arial" w:hAnsi="Arial"/>
                <w:sz w:val="18"/>
                <w:szCs w:val="18"/>
                <w:b w:val="1"/>
                <w:bCs w:val="1"/>
                <w:color w:val="auto"/>
                <w:w w:val="96"/>
              </w:rPr>
              <w:t>Tampa</w:t>
            </w:r>
          </w:p>
        </w:tc>
        <w:tc>
          <w:tcPr>
            <w:tcW w:w="2760" w:type="dxa"/>
            <w:vAlign w:val="bottom"/>
          </w:tcPr>
          <w:p>
            <w:pPr>
              <w:ind w:left="680"/>
              <w:spacing w:after="0"/>
              <w:rPr>
                <w:sz w:val="20"/>
                <w:szCs w:val="20"/>
                <w:color w:val="auto"/>
              </w:rPr>
            </w:pPr>
            <w:r>
              <w:rPr>
                <w:rFonts w:ascii="Arial" w:cs="Arial" w:eastAsia="Arial" w:hAnsi="Arial"/>
                <w:sz w:val="18"/>
                <w:szCs w:val="18"/>
                <w:b w:val="1"/>
                <w:bCs w:val="1"/>
                <w:color w:val="auto"/>
              </w:rPr>
              <w:t>FL</w:t>
            </w:r>
          </w:p>
        </w:tc>
        <w:tc>
          <w:tcPr>
            <w:tcW w:w="1960" w:type="dxa"/>
            <w:vAlign w:val="bottom"/>
          </w:tcPr>
          <w:p>
            <w:pPr>
              <w:jc w:val="right"/>
              <w:ind w:right="721"/>
              <w:spacing w:after="0"/>
              <w:rPr>
                <w:sz w:val="20"/>
                <w:szCs w:val="20"/>
                <w:color w:val="auto"/>
              </w:rPr>
            </w:pPr>
            <w:r>
              <w:rPr>
                <w:rFonts w:ascii="Arial" w:cs="Arial" w:eastAsia="Arial" w:hAnsi="Arial"/>
                <w:sz w:val="18"/>
                <w:szCs w:val="18"/>
                <w:b w:val="1"/>
                <w:bCs w:val="1"/>
                <w:color w:val="auto"/>
              </w:rPr>
              <w:t>33637</w:t>
            </w:r>
          </w:p>
        </w:tc>
      </w:tr>
      <w:tr>
        <w:trPr>
          <w:trHeight w:val="190"/>
        </w:trPr>
        <w:tc>
          <w:tcPr>
            <w:tcW w:w="43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74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1960" w:type="dxa"/>
            <w:vAlign w:val="bottom"/>
          </w:tcPr>
          <w:p>
            <w:pPr>
              <w:jc w:val="center"/>
              <w:ind w:right="21"/>
              <w:spacing w:after="0"/>
              <w:rPr>
                <w:sz w:val="20"/>
                <w:szCs w:val="20"/>
                <w:color w:val="auto"/>
              </w:rPr>
            </w:pPr>
            <w:r>
              <w:rPr>
                <w:rFonts w:ascii="Arial" w:cs="Arial" w:eastAsia="Arial" w:hAnsi="Arial"/>
                <w:sz w:val="14"/>
                <w:szCs w:val="14"/>
                <w:b w:val="1"/>
                <w:bCs w:val="1"/>
                <w:color w:val="auto"/>
                <w:w w:val="95"/>
              </w:rPr>
              <w:t>(Zip Code)</w:t>
            </w:r>
          </w:p>
        </w:tc>
      </w:tr>
      <w:tr>
        <w:trPr>
          <w:trHeight w:val="367"/>
        </w:trPr>
        <w:tc>
          <w:tcPr>
            <w:tcW w:w="30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760" w:type="dxa"/>
            <w:vAlign w:val="bottom"/>
          </w:tcPr>
          <w:p>
            <w:pPr>
              <w:jc w:val="right"/>
              <w:ind w:right="1570"/>
              <w:spacing w:after="0"/>
              <w:rPr>
                <w:sz w:val="20"/>
                <w:szCs w:val="20"/>
                <w:color w:val="auto"/>
              </w:rPr>
            </w:pPr>
            <w:r>
              <w:rPr>
                <w:rFonts w:ascii="Arial" w:cs="Arial" w:eastAsia="Arial" w:hAnsi="Arial"/>
                <w:sz w:val="18"/>
                <w:szCs w:val="18"/>
                <w:b w:val="1"/>
                <w:bCs w:val="1"/>
                <w:color w:val="auto"/>
                <w:w w:val="96"/>
              </w:rPr>
              <w:t>215-698-5100</w:t>
            </w:r>
          </w:p>
        </w:tc>
        <w:tc>
          <w:tcPr>
            <w:tcW w:w="1960" w:type="dxa"/>
            <w:vAlign w:val="bottom"/>
          </w:tcPr>
          <w:p>
            <w:pPr>
              <w:spacing w:after="0"/>
              <w:rPr>
                <w:sz w:val="24"/>
                <w:szCs w:val="24"/>
                <w:color w:val="auto"/>
              </w:rPr>
            </w:pPr>
          </w:p>
        </w:tc>
      </w:tr>
      <w:tr>
        <w:trPr>
          <w:trHeight w:val="179"/>
        </w:trPr>
        <w:tc>
          <w:tcPr>
            <w:tcW w:w="3040" w:type="dxa"/>
            <w:vAlign w:val="bottom"/>
          </w:tcPr>
          <w:p>
            <w:pPr>
              <w:spacing w:after="0"/>
              <w:rPr>
                <w:sz w:val="15"/>
                <w:szCs w:val="15"/>
                <w:color w:val="auto"/>
              </w:rPr>
            </w:pPr>
          </w:p>
        </w:tc>
        <w:tc>
          <w:tcPr>
            <w:tcW w:w="4760" w:type="dxa"/>
            <w:vAlign w:val="bottom"/>
            <w:gridSpan w:val="3"/>
          </w:tcPr>
          <w:p>
            <w:pPr>
              <w:ind w:left="980"/>
              <w:spacing w:after="0"/>
              <w:rPr>
                <w:sz w:val="20"/>
                <w:szCs w:val="20"/>
                <w:color w:val="auto"/>
              </w:rPr>
            </w:pPr>
            <w:r>
              <w:rPr>
                <w:rFonts w:ascii="Arial" w:cs="Arial" w:eastAsia="Arial" w:hAnsi="Arial"/>
                <w:sz w:val="14"/>
                <w:szCs w:val="14"/>
                <w:b w:val="1"/>
                <w:bCs w:val="1"/>
                <w:color w:val="auto"/>
              </w:rPr>
              <w:t>(registrant’s telephone number, including area code)</w:t>
            </w:r>
          </w:p>
        </w:tc>
        <w:tc>
          <w:tcPr>
            <w:tcW w:w="1960" w:type="dxa"/>
            <w:vAlign w:val="bottom"/>
          </w:tcPr>
          <w:p>
            <w:pPr>
              <w:spacing w:after="0"/>
              <w:rPr>
                <w:sz w:val="15"/>
                <w:szCs w:val="15"/>
                <w:color w:val="auto"/>
              </w:rPr>
            </w:pPr>
          </w:p>
        </w:tc>
      </w:tr>
      <w:tr>
        <w:trPr>
          <w:trHeight w:val="182"/>
        </w:trPr>
        <w:tc>
          <w:tcPr>
            <w:tcW w:w="30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500" w:type="dxa"/>
            <w:vAlign w:val="bottom"/>
            <w:gridSpan w:val="2"/>
          </w:tcPr>
          <w:p>
            <w:pPr>
              <w:jc w:val="right"/>
              <w:ind w:right="1370"/>
              <w:spacing w:after="0"/>
              <w:rPr>
                <w:sz w:val="20"/>
                <w:szCs w:val="20"/>
                <w:color w:val="auto"/>
              </w:rPr>
            </w:pPr>
            <w:r>
              <w:rPr>
                <w:rFonts w:ascii="Arial" w:cs="Arial" w:eastAsia="Arial" w:hAnsi="Arial"/>
                <w:sz w:val="14"/>
                <w:szCs w:val="14"/>
                <w:color w:val="auto"/>
              </w:rPr>
              <w:t>____________________</w:t>
            </w:r>
          </w:p>
        </w:tc>
        <w:tc>
          <w:tcPr>
            <w:tcW w:w="1960" w:type="dxa"/>
            <w:vAlign w:val="bottom"/>
          </w:tcPr>
          <w:p>
            <w:pPr>
              <w:spacing w:after="0"/>
              <w:rPr>
                <w:sz w:val="15"/>
                <w:szCs w:val="15"/>
                <w:color w:val="auto"/>
              </w:rPr>
            </w:pPr>
          </w:p>
        </w:tc>
      </w:tr>
      <w:tr>
        <w:trPr>
          <w:trHeight w:val="289"/>
        </w:trPr>
        <w:tc>
          <w:tcPr>
            <w:tcW w:w="7800" w:type="dxa"/>
            <w:vAlign w:val="bottom"/>
            <w:gridSpan w:val="4"/>
          </w:tcPr>
          <w:p>
            <w:pPr>
              <w:spacing w:after="0"/>
              <w:rPr>
                <w:sz w:val="20"/>
                <w:szCs w:val="20"/>
                <w:color w:val="auto"/>
              </w:rPr>
            </w:pPr>
            <w:r>
              <w:rPr>
                <w:rFonts w:ascii="Arial" w:cs="Arial" w:eastAsia="Arial" w:hAnsi="Arial"/>
                <w:sz w:val="16"/>
                <w:szCs w:val="16"/>
                <w:b w:val="1"/>
                <w:bCs w:val="1"/>
                <w:color w:val="auto"/>
              </w:rPr>
              <w:t>SECURITIES REGISTERED PURSUANT TO SECTION 12(b) OF THE ACT:</w:t>
            </w:r>
          </w:p>
        </w:tc>
        <w:tc>
          <w:tcPr>
            <w:tcW w:w="1960" w:type="dxa"/>
            <w:vAlign w:val="bottom"/>
          </w:tcPr>
          <w:p>
            <w:pPr>
              <w:spacing w:after="0"/>
              <w:rPr>
                <w:sz w:val="24"/>
                <w:szCs w:val="24"/>
                <w:color w:val="auto"/>
              </w:rPr>
            </w:pPr>
          </w:p>
        </w:tc>
      </w:tr>
      <w:tr>
        <w:trPr>
          <w:trHeight w:val="327"/>
        </w:trPr>
        <w:tc>
          <w:tcPr>
            <w:tcW w:w="30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Title of each class</w:t>
            </w:r>
          </w:p>
        </w:tc>
        <w:tc>
          <w:tcPr>
            <w:tcW w:w="12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Trading Symbols</w:t>
            </w:r>
          </w:p>
        </w:tc>
        <w:tc>
          <w:tcPr>
            <w:tcW w:w="3500" w:type="dxa"/>
            <w:vAlign w:val="bottom"/>
            <w:tcBorders>
              <w:bottom w:val="single" w:sz="8" w:color="auto"/>
            </w:tcBorders>
            <w:gridSpan w:val="2"/>
          </w:tcPr>
          <w:p>
            <w:pPr>
              <w:ind w:left="260"/>
              <w:spacing w:after="0"/>
              <w:rPr>
                <w:sz w:val="20"/>
                <w:szCs w:val="20"/>
                <w:color w:val="auto"/>
              </w:rPr>
            </w:pPr>
            <w:r>
              <w:rPr>
                <w:rFonts w:ascii="Arial" w:cs="Arial" w:eastAsia="Arial" w:hAnsi="Arial"/>
                <w:sz w:val="16"/>
                <w:szCs w:val="16"/>
                <w:color w:val="auto"/>
              </w:rPr>
              <w:t>Name of each exchange on which registered</w:t>
            </w:r>
          </w:p>
        </w:tc>
        <w:tc>
          <w:tcPr>
            <w:tcW w:w="1960" w:type="dxa"/>
            <w:vAlign w:val="bottom"/>
            <w:tcBorders>
              <w:bottom w:val="single" w:sz="8" w:color="auto"/>
            </w:tcBorders>
          </w:tcPr>
          <w:p>
            <w:pPr>
              <w:spacing w:after="0"/>
              <w:rPr>
                <w:sz w:val="24"/>
                <w:szCs w:val="24"/>
                <w:color w:val="auto"/>
              </w:rPr>
            </w:pPr>
          </w:p>
        </w:tc>
      </w:tr>
      <w:tr>
        <w:trPr>
          <w:trHeight w:val="206"/>
        </w:trPr>
        <w:tc>
          <w:tcPr>
            <w:tcW w:w="3040" w:type="dxa"/>
            <w:vAlign w:val="bottom"/>
          </w:tcPr>
          <w:p>
            <w:pPr>
              <w:ind w:left="20"/>
              <w:spacing w:after="0"/>
              <w:rPr>
                <w:sz w:val="20"/>
                <w:szCs w:val="20"/>
                <w:color w:val="auto"/>
              </w:rPr>
            </w:pPr>
            <w:r>
              <w:rPr>
                <w:rFonts w:ascii="Arial" w:cs="Arial" w:eastAsia="Arial" w:hAnsi="Arial"/>
                <w:sz w:val="16"/>
                <w:szCs w:val="16"/>
                <w:color w:val="auto"/>
              </w:rPr>
              <w:t>Common Stock $5.00 Par Value</w:t>
            </w:r>
          </w:p>
        </w:tc>
        <w:tc>
          <w:tcPr>
            <w:tcW w:w="1260" w:type="dxa"/>
            <w:vAlign w:val="bottom"/>
          </w:tcPr>
          <w:p>
            <w:pPr>
              <w:spacing w:after="0"/>
              <w:rPr>
                <w:sz w:val="20"/>
                <w:szCs w:val="20"/>
                <w:color w:val="auto"/>
              </w:rPr>
            </w:pPr>
            <w:r>
              <w:rPr>
                <w:rFonts w:ascii="Arial" w:cs="Arial" w:eastAsia="Arial" w:hAnsi="Arial"/>
                <w:sz w:val="16"/>
                <w:szCs w:val="16"/>
                <w:color w:val="auto"/>
              </w:rPr>
              <w:t>CCK</w:t>
            </w:r>
          </w:p>
        </w:tc>
        <w:tc>
          <w:tcPr>
            <w:tcW w:w="3500" w:type="dxa"/>
            <w:vAlign w:val="bottom"/>
            <w:gridSpan w:val="2"/>
          </w:tcPr>
          <w:p>
            <w:pPr>
              <w:ind w:left="260"/>
              <w:spacing w:after="0"/>
              <w:rPr>
                <w:sz w:val="20"/>
                <w:szCs w:val="20"/>
                <w:color w:val="auto"/>
              </w:rPr>
            </w:pPr>
            <w:r>
              <w:rPr>
                <w:rFonts w:ascii="Arial" w:cs="Arial" w:eastAsia="Arial" w:hAnsi="Arial"/>
                <w:sz w:val="16"/>
                <w:szCs w:val="16"/>
                <w:color w:val="auto"/>
              </w:rPr>
              <w:t>New York Stock Exchange</w:t>
            </w:r>
          </w:p>
        </w:tc>
        <w:tc>
          <w:tcPr>
            <w:tcW w:w="1960" w:type="dxa"/>
            <w:vAlign w:val="bottom"/>
          </w:tcPr>
          <w:p>
            <w:pPr>
              <w:spacing w:after="0"/>
              <w:rPr>
                <w:sz w:val="17"/>
                <w:szCs w:val="17"/>
                <w:color w:val="auto"/>
              </w:rPr>
            </w:pPr>
          </w:p>
        </w:tc>
      </w:tr>
      <w:tr>
        <w:trPr>
          <w:trHeight w:val="216"/>
        </w:trPr>
        <w:tc>
          <w:tcPr>
            <w:tcW w:w="3040" w:type="dxa"/>
            <w:vAlign w:val="bottom"/>
          </w:tcPr>
          <w:p>
            <w:pPr>
              <w:ind w:left="20"/>
              <w:spacing w:after="0"/>
              <w:rPr>
                <w:sz w:val="20"/>
                <w:szCs w:val="20"/>
                <w:color w:val="auto"/>
              </w:rPr>
            </w:pPr>
            <w:r>
              <w:rPr>
                <w:rFonts w:ascii="Arial" w:cs="Arial" w:eastAsia="Arial" w:hAnsi="Arial"/>
                <w:sz w:val="16"/>
                <w:szCs w:val="16"/>
                <w:color w:val="auto"/>
              </w:rPr>
              <w:t>7 3/8% Debentures Due 2026</w:t>
            </w:r>
          </w:p>
        </w:tc>
        <w:tc>
          <w:tcPr>
            <w:tcW w:w="1260" w:type="dxa"/>
            <w:vAlign w:val="bottom"/>
          </w:tcPr>
          <w:p>
            <w:pPr>
              <w:spacing w:after="0"/>
              <w:rPr>
                <w:sz w:val="20"/>
                <w:szCs w:val="20"/>
                <w:color w:val="auto"/>
              </w:rPr>
            </w:pPr>
            <w:r>
              <w:rPr>
                <w:rFonts w:ascii="Arial" w:cs="Arial" w:eastAsia="Arial" w:hAnsi="Arial"/>
                <w:sz w:val="16"/>
                <w:szCs w:val="16"/>
                <w:color w:val="auto"/>
              </w:rPr>
              <w:t>CCK26</w:t>
            </w:r>
          </w:p>
        </w:tc>
        <w:tc>
          <w:tcPr>
            <w:tcW w:w="3500" w:type="dxa"/>
            <w:vAlign w:val="bottom"/>
            <w:gridSpan w:val="2"/>
          </w:tcPr>
          <w:p>
            <w:pPr>
              <w:ind w:left="260"/>
              <w:spacing w:after="0"/>
              <w:rPr>
                <w:sz w:val="20"/>
                <w:szCs w:val="20"/>
                <w:color w:val="auto"/>
              </w:rPr>
            </w:pPr>
            <w:r>
              <w:rPr>
                <w:rFonts w:ascii="Arial" w:cs="Arial" w:eastAsia="Arial" w:hAnsi="Arial"/>
                <w:sz w:val="16"/>
                <w:szCs w:val="16"/>
                <w:color w:val="auto"/>
              </w:rPr>
              <w:t>New York Stock Exchange</w:t>
            </w:r>
          </w:p>
        </w:tc>
        <w:tc>
          <w:tcPr>
            <w:tcW w:w="1960" w:type="dxa"/>
            <w:vAlign w:val="bottom"/>
          </w:tcPr>
          <w:p>
            <w:pPr>
              <w:spacing w:after="0"/>
              <w:rPr>
                <w:sz w:val="18"/>
                <w:szCs w:val="18"/>
                <w:color w:val="auto"/>
              </w:rPr>
            </w:pPr>
          </w:p>
        </w:tc>
      </w:tr>
      <w:tr>
        <w:trPr>
          <w:trHeight w:val="216"/>
        </w:trPr>
        <w:tc>
          <w:tcPr>
            <w:tcW w:w="3040" w:type="dxa"/>
            <w:vAlign w:val="bottom"/>
          </w:tcPr>
          <w:p>
            <w:pPr>
              <w:ind w:left="20"/>
              <w:spacing w:after="0"/>
              <w:rPr>
                <w:sz w:val="20"/>
                <w:szCs w:val="20"/>
                <w:color w:val="auto"/>
              </w:rPr>
            </w:pPr>
            <w:r>
              <w:rPr>
                <w:rFonts w:ascii="Arial" w:cs="Arial" w:eastAsia="Arial" w:hAnsi="Arial"/>
                <w:sz w:val="16"/>
                <w:szCs w:val="16"/>
                <w:color w:val="auto"/>
              </w:rPr>
              <w:t>7 1/2% Debentures Due 2096</w:t>
            </w:r>
          </w:p>
        </w:tc>
        <w:tc>
          <w:tcPr>
            <w:tcW w:w="1260" w:type="dxa"/>
            <w:vAlign w:val="bottom"/>
          </w:tcPr>
          <w:p>
            <w:pPr>
              <w:spacing w:after="0"/>
              <w:rPr>
                <w:sz w:val="20"/>
                <w:szCs w:val="20"/>
                <w:color w:val="auto"/>
              </w:rPr>
            </w:pPr>
            <w:r>
              <w:rPr>
                <w:rFonts w:ascii="Arial" w:cs="Arial" w:eastAsia="Arial" w:hAnsi="Arial"/>
                <w:sz w:val="16"/>
                <w:szCs w:val="16"/>
                <w:color w:val="auto"/>
              </w:rPr>
              <w:t>CCK96</w:t>
            </w:r>
          </w:p>
        </w:tc>
        <w:tc>
          <w:tcPr>
            <w:tcW w:w="3500" w:type="dxa"/>
            <w:vAlign w:val="bottom"/>
            <w:gridSpan w:val="2"/>
          </w:tcPr>
          <w:p>
            <w:pPr>
              <w:ind w:left="260"/>
              <w:spacing w:after="0"/>
              <w:rPr>
                <w:sz w:val="20"/>
                <w:szCs w:val="20"/>
                <w:color w:val="auto"/>
              </w:rPr>
            </w:pPr>
            <w:r>
              <w:rPr>
                <w:rFonts w:ascii="Arial" w:cs="Arial" w:eastAsia="Arial" w:hAnsi="Arial"/>
                <w:sz w:val="16"/>
                <w:szCs w:val="16"/>
                <w:color w:val="auto"/>
              </w:rPr>
              <w:t>New York Stock Exchange</w:t>
            </w:r>
          </w:p>
        </w:tc>
        <w:tc>
          <w:tcPr>
            <w:tcW w:w="1960" w:type="dxa"/>
            <w:vAlign w:val="bottom"/>
          </w:tcPr>
          <w:p>
            <w:pPr>
              <w:spacing w:after="0"/>
              <w:rPr>
                <w:sz w:val="18"/>
                <w:szCs w:val="18"/>
                <w:color w:val="auto"/>
              </w:rPr>
            </w:pPr>
          </w:p>
        </w:tc>
      </w:tr>
    </w:tbl>
    <w:p>
      <w:pPr>
        <w:spacing w:after="0" w:line="104" w:lineRule="exact"/>
        <w:rPr>
          <w:sz w:val="24"/>
          <w:szCs w:val="24"/>
          <w:color w:val="auto"/>
        </w:rPr>
      </w:pPr>
    </w:p>
    <w:p>
      <w:pPr>
        <w:jc w:val="both"/>
        <w:spacing w:after="0" w:line="208"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33" w:lineRule="exact"/>
        <w:rPr>
          <w:sz w:val="24"/>
          <w:szCs w:val="24"/>
          <w:color w:val="auto"/>
        </w:rPr>
      </w:pPr>
    </w:p>
    <w:p>
      <w:pPr>
        <w:jc w:val="both"/>
        <w:spacing w:after="0" w:line="211"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and posted pursuant to Rule 405 of Regulation S-T (§ 232.405 of this chapter) during the preceding 12 months (or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119" w:lineRule="exact"/>
        <w:rPr>
          <w:sz w:val="24"/>
          <w:szCs w:val="24"/>
          <w:color w:val="auto"/>
        </w:rPr>
      </w:pPr>
    </w:p>
    <w:p>
      <w:pPr>
        <w:jc w:val="both"/>
        <w:spacing w:after="0" w:line="259"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ectPr>
          <w:pgSz w:w="11900" w:h="16838" w:orient="portrait"/>
          <w:cols w:equalWidth="0" w:num="1">
            <w:col w:w="11240"/>
          </w:cols>
          <w:pgMar w:left="320" w:top="1003" w:right="339" w:bottom="1440" w:gutter="0" w:footer="0" w:header="0"/>
        </w:sectPr>
      </w:pPr>
    </w:p>
    <w:p>
      <w:pPr>
        <w:spacing w:after="0" w:line="39" w:lineRule="exact"/>
        <w:rPr>
          <w:sz w:val="24"/>
          <w:szCs w:val="24"/>
          <w:color w:val="auto"/>
        </w:rPr>
      </w:pPr>
    </w:p>
    <w:p>
      <w:pPr>
        <w:ind w:left="20"/>
        <w:spacing w:after="0"/>
        <w:rPr>
          <w:sz w:val="20"/>
          <w:szCs w:val="20"/>
          <w:color w:val="auto"/>
        </w:rPr>
      </w:pPr>
      <w:r>
        <w:rPr>
          <w:rFonts w:ascii="Arial" w:cs="Arial" w:eastAsia="Arial" w:hAnsi="Arial"/>
          <w:sz w:val="14"/>
          <w:szCs w:val="14"/>
          <w:color w:val="auto"/>
        </w:rPr>
        <w:t>Large Accelerated Filer</w:t>
      </w:r>
    </w:p>
    <w:p>
      <w:pPr>
        <w:spacing w:after="0" w:line="20" w:lineRule="exact"/>
        <w:rPr>
          <w:sz w:val="24"/>
          <w:szCs w:val="24"/>
          <w:color w:val="auto"/>
        </w:rPr>
      </w:pPr>
      <w:r>
        <w:rPr>
          <w:sz w:val="24"/>
          <w:szCs w:val="24"/>
          <w:color w:val="auto"/>
        </w:rPr>
        <w:br w:type="column"/>
      </w:r>
    </w:p>
    <w:p>
      <w:pPr>
        <w:spacing w:after="0" w:line="123"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9" w:lineRule="exact"/>
        <w:rPr>
          <w:sz w:val="24"/>
          <w:szCs w:val="24"/>
          <w:color w:val="auto"/>
        </w:rPr>
      </w:pPr>
    </w:p>
    <w:p>
      <w:pPr>
        <w:spacing w:after="0"/>
        <w:rPr>
          <w:sz w:val="20"/>
          <w:szCs w:val="20"/>
          <w:color w:val="auto"/>
        </w:rPr>
      </w:pPr>
      <w:r>
        <w:rPr>
          <w:rFonts w:ascii="Arial" w:cs="Arial" w:eastAsia="Arial" w:hAnsi="Arial"/>
          <w:sz w:val="15"/>
          <w:szCs w:val="15"/>
          <w:color w:val="auto"/>
        </w:rPr>
        <w:t>Accelerated filer</w:t>
      </w:r>
    </w:p>
    <w:p>
      <w:pPr>
        <w:spacing w:after="0" w:line="20" w:lineRule="exact"/>
        <w:rPr>
          <w:sz w:val="24"/>
          <w:szCs w:val="24"/>
          <w:color w:val="auto"/>
        </w:rPr>
      </w:pPr>
      <w:r>
        <w:rPr>
          <w:sz w:val="24"/>
          <w:szCs w:val="24"/>
          <w:color w:val="auto"/>
        </w:rPr>
        <w:br w:type="column"/>
      </w:r>
    </w:p>
    <w:p>
      <w:pPr>
        <w:spacing w:after="0" w:line="123" w:lineRule="exact"/>
        <w:rPr>
          <w:sz w:val="20"/>
          <w:szCs w:val="20"/>
          <w:color w:val="auto"/>
        </w:rPr>
      </w:pPr>
      <w:r>
        <w:rPr>
          <w:rFonts w:ascii="MS PGothic" w:cs="MS PGothic" w:eastAsia="MS PGothic" w:hAnsi="MS PGothic"/>
          <w:sz w:val="14"/>
          <w:szCs w:val="14"/>
          <w:color w:val="auto"/>
        </w:rPr>
        <w:t>☐</w:t>
      </w:r>
    </w:p>
    <w:p>
      <w:pPr>
        <w:spacing w:after="0" w:line="129" w:lineRule="exact"/>
        <w:rPr>
          <w:sz w:val="24"/>
          <w:szCs w:val="24"/>
          <w:color w:val="auto"/>
        </w:rPr>
      </w:pPr>
    </w:p>
    <w:p>
      <w:pPr>
        <w:sectPr>
          <w:pgSz w:w="11900" w:h="16838" w:orient="portrait"/>
          <w:cols w:equalWidth="0" w:num="4">
            <w:col w:w="1560" w:space="640"/>
            <w:col w:w="4640" w:space="720"/>
            <w:col w:w="2480" w:space="720"/>
            <w:col w:w="480"/>
          </w:cols>
          <w:pgMar w:left="320" w:top="1003" w:right="339" w:bottom="1440" w:gutter="0" w:footer="0" w:header="0"/>
          <w:type w:val="continuous"/>
        </w:sectPr>
      </w:pPr>
    </w:p>
    <w:p>
      <w:pPr>
        <w:spacing w:after="0" w:line="38" w:lineRule="exact"/>
        <w:rPr>
          <w:sz w:val="24"/>
          <w:szCs w:val="24"/>
          <w:color w:val="auto"/>
        </w:rPr>
      </w:pPr>
    </w:p>
    <w:p>
      <w:pPr>
        <w:ind w:left="20"/>
        <w:spacing w:after="0"/>
        <w:rPr>
          <w:sz w:val="20"/>
          <w:szCs w:val="20"/>
          <w:color w:val="auto"/>
        </w:rPr>
      </w:pPr>
      <w:r>
        <w:rPr>
          <w:rFonts w:ascii="Arial" w:cs="Arial" w:eastAsia="Arial" w:hAnsi="Arial"/>
          <w:sz w:val="14"/>
          <w:szCs w:val="14"/>
          <w:color w:val="auto"/>
        </w:rPr>
        <w:t>Non-accelerated filer</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8" w:lineRule="exact"/>
        <w:rPr>
          <w:sz w:val="24"/>
          <w:szCs w:val="24"/>
          <w:color w:val="auto"/>
        </w:rPr>
      </w:pPr>
    </w:p>
    <w:p>
      <w:pPr>
        <w:spacing w:after="0"/>
        <w:rPr>
          <w:sz w:val="20"/>
          <w:szCs w:val="20"/>
          <w:color w:val="auto"/>
        </w:rPr>
      </w:pPr>
      <w:r>
        <w:rPr>
          <w:rFonts w:ascii="Arial" w:cs="Arial" w:eastAsia="Arial" w:hAnsi="Arial"/>
          <w:sz w:val="14"/>
          <w:szCs w:val="14"/>
          <w:color w:val="auto"/>
        </w:rPr>
        <w:t>Smaller reporting company</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168" w:lineRule="exact"/>
        <w:rPr>
          <w:sz w:val="24"/>
          <w:szCs w:val="24"/>
          <w:color w:val="auto"/>
        </w:rPr>
      </w:pPr>
    </w:p>
    <w:p>
      <w:pPr>
        <w:sectPr>
          <w:pgSz w:w="11900" w:h="16838" w:orient="portrait"/>
          <w:cols w:equalWidth="0" w:num="4">
            <w:col w:w="1480" w:space="720"/>
            <w:col w:w="4640" w:space="720"/>
            <w:col w:w="2480" w:space="720"/>
            <w:col w:w="480"/>
          </w:cols>
          <w:pgMar w:left="320" w:top="1003" w:right="339" w:bottom="1440" w:gutter="0" w:footer="0" w:header="0"/>
          <w:type w:val="continuous"/>
        </w:sectPr>
      </w:pPr>
    </w:p>
    <w:p>
      <w:pPr>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59" w:lineRule="exact"/>
        <w:rPr>
          <w:sz w:val="24"/>
          <w:szCs w:val="24"/>
          <w:color w:val="auto"/>
        </w:rPr>
      </w:pPr>
    </w:p>
    <w:p>
      <w:pPr>
        <w:spacing w:after="0" w:line="193"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 w:lineRule="exact"/>
        <w:rPr>
          <w:sz w:val="24"/>
          <w:szCs w:val="24"/>
          <w:color w:val="auto"/>
        </w:rPr>
      </w:pPr>
    </w:p>
    <w:p>
      <w:pPr>
        <w:spacing w:after="0" w:line="184" w:lineRule="exact"/>
        <w:tabs>
          <w:tab w:leader="none" w:pos="7080" w:val="left"/>
          <w:tab w:leader="none" w:pos="7720" w:val="left"/>
        </w:tabs>
        <w:rPr>
          <w:sz w:val="20"/>
          <w:szCs w:val="20"/>
          <w:color w:val="auto"/>
        </w:rPr>
      </w:pPr>
      <w:r>
        <w:rPr>
          <w:rFonts w:ascii="Arial" w:cs="Arial" w:eastAsia="Arial" w:hAnsi="Arial"/>
          <w:sz w:val="16"/>
          <w:szCs w:val="16"/>
          <w:color w:val="auto"/>
        </w:rPr>
        <w:t>Indicate by check mark whether the registrant is a shell company (as defined in Exchange Act Rule 12b-2).</w:t>
        <w:tab/>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240" w:lineRule="exact"/>
        <w:rPr>
          <w:sz w:val="24"/>
          <w:szCs w:val="24"/>
          <w:color w:val="auto"/>
        </w:rPr>
      </w:pPr>
    </w:p>
    <w:p>
      <w:pPr>
        <w:spacing w:after="0"/>
        <w:rPr>
          <w:sz w:val="20"/>
          <w:szCs w:val="20"/>
          <w:color w:val="auto"/>
        </w:rPr>
      </w:pPr>
      <w:r>
        <w:rPr>
          <w:rFonts w:ascii="Arial" w:cs="Arial" w:eastAsia="Arial" w:hAnsi="Arial"/>
          <w:sz w:val="16"/>
          <w:szCs w:val="16"/>
          <w:color w:val="auto"/>
        </w:rPr>
        <w:t>There were 120,649,369 shares of Common Stock outstanding as of July 27,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553720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580" w:type="dxa"/>
            <w:vAlign w:val="bottom"/>
            <w:gridSpan w:val="19"/>
          </w:tcPr>
          <w:p>
            <w:pPr>
              <w:ind w:left="120"/>
              <w:spacing w:after="0"/>
              <w:rPr>
                <w:sz w:val="20"/>
                <w:szCs w:val="20"/>
                <w:color w:val="auto"/>
              </w:rPr>
            </w:pPr>
            <w:r>
              <w:rPr>
                <w:rFonts w:ascii="Arial" w:cs="Arial" w:eastAsia="Arial" w:hAnsi="Arial"/>
                <w:sz w:val="18"/>
                <w:szCs w:val="18"/>
                <w:color w:val="auto"/>
              </w:rPr>
              <w:t>TABLE OF CONTENTS</w:t>
            </w: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w w:val="86"/>
              </w:rPr>
              <w:t>Page Number</w:t>
            </w:r>
          </w:p>
        </w:tc>
        <w:tc>
          <w:tcPr>
            <w:tcW w:w="6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5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Borders>
              <w:bottom w:val="single" w:sz="8" w:color="auto"/>
            </w:tcBorders>
            <w:vMerge w:val="continue"/>
          </w:tcPr>
          <w:p>
            <w:pPr>
              <w:spacing w:after="0"/>
              <w:rPr>
                <w:sz w:val="18"/>
                <w:szCs w:val="18"/>
                <w:color w:val="auto"/>
              </w:rPr>
            </w:pPr>
          </w:p>
        </w:tc>
        <w:tc>
          <w:tcPr>
            <w:tcW w:w="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20" w:type="dxa"/>
            <w:vAlign w:val="bottom"/>
          </w:tcPr>
          <w:p>
            <w:pPr>
              <w:ind w:left="20"/>
              <w:spacing w:after="0"/>
              <w:rPr>
                <w:sz w:val="20"/>
                <w:szCs w:val="20"/>
                <w:color w:val="auto"/>
              </w:rPr>
            </w:pPr>
            <w:r>
              <w:rPr>
                <w:rFonts w:ascii="Arial" w:cs="Arial" w:eastAsia="Arial" w:hAnsi="Arial"/>
                <w:sz w:val="18"/>
                <w:szCs w:val="18"/>
                <w:color w:val="auto"/>
              </w:rPr>
              <w:t>PART I.</w:t>
            </w:r>
          </w:p>
        </w:tc>
        <w:tc>
          <w:tcPr>
            <w:tcW w:w="260" w:type="dxa"/>
            <w:vAlign w:val="bottom"/>
          </w:tcPr>
          <w:p>
            <w:pPr>
              <w:spacing w:after="0"/>
              <w:rPr>
                <w:sz w:val="19"/>
                <w:szCs w:val="19"/>
                <w:color w:val="auto"/>
              </w:rPr>
            </w:pPr>
          </w:p>
        </w:tc>
        <w:tc>
          <w:tcPr>
            <w:tcW w:w="1580" w:type="dxa"/>
            <w:vAlign w:val="bottom"/>
            <w:tcBorders>
              <w:bottom w:val="single" w:sz="8" w:color="0000FF"/>
            </w:tcBorders>
            <w:gridSpan w:val="6"/>
          </w:tcPr>
          <w:p>
            <w:pPr>
              <w:spacing w:after="0"/>
              <w:rPr>
                <w:sz w:val="20"/>
                <w:szCs w:val="20"/>
                <w:color w:val="auto"/>
              </w:rPr>
            </w:pPr>
            <w:r>
              <w:rPr>
                <w:rFonts w:ascii="Arial" w:cs="Arial" w:eastAsia="Arial" w:hAnsi="Arial"/>
                <w:sz w:val="18"/>
                <w:szCs w:val="18"/>
                <w:color w:val="0000FF"/>
                <w:w w:val="93"/>
              </w:rPr>
              <w:t>Financial Information</w:t>
            </w:r>
          </w:p>
        </w:tc>
        <w:tc>
          <w:tcPr>
            <w:tcW w:w="7440" w:type="dxa"/>
            <w:vAlign w:val="bottom"/>
            <w:gridSpan w:val="30"/>
          </w:tcPr>
          <w:p>
            <w:pPr>
              <w:spacing w:after="0"/>
              <w:rPr>
                <w:sz w:val="19"/>
                <w:szCs w:val="19"/>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9"/>
        </w:trPr>
        <w:tc>
          <w:tcPr>
            <w:tcW w:w="920" w:type="dxa"/>
            <w:vAlign w:val="bottom"/>
          </w:tcPr>
          <w:p>
            <w:pPr>
              <w:ind w:left="20"/>
              <w:spacing w:after="0"/>
              <w:rPr>
                <w:sz w:val="20"/>
                <w:szCs w:val="20"/>
                <w:color w:val="auto"/>
              </w:rPr>
            </w:pPr>
            <w:r>
              <w:rPr>
                <w:rFonts w:ascii="Arial" w:cs="Arial" w:eastAsia="Arial" w:hAnsi="Arial"/>
                <w:sz w:val="18"/>
                <w:szCs w:val="18"/>
                <w:color w:val="auto"/>
              </w:rPr>
              <w:t>Item 1.</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20" w:type="dxa"/>
            <w:vAlign w:val="bottom"/>
            <w:tcBorders>
              <w:bottom w:val="single" w:sz="8" w:color="0000FF"/>
            </w:tcBorders>
            <w:gridSpan w:val="6"/>
          </w:tcPr>
          <w:p>
            <w:pPr>
              <w:spacing w:after="0"/>
              <w:rPr>
                <w:sz w:val="20"/>
                <w:szCs w:val="20"/>
                <w:color w:val="auto"/>
              </w:rPr>
            </w:pPr>
            <w:r>
              <w:rPr>
                <w:rFonts w:ascii="Arial" w:cs="Arial" w:eastAsia="Arial" w:hAnsi="Arial"/>
                <w:sz w:val="18"/>
                <w:szCs w:val="18"/>
                <w:color w:val="0000FF"/>
                <w:w w:val="89"/>
              </w:rPr>
              <w:t>Financial Statements</w:t>
            </w:r>
          </w:p>
        </w:tc>
        <w:tc>
          <w:tcPr>
            <w:tcW w:w="7180" w:type="dxa"/>
            <w:vAlign w:val="bottom"/>
            <w:gridSpan w:val="29"/>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100" w:type="dxa"/>
            <w:vAlign w:val="bottom"/>
            <w:tcBorders>
              <w:bottom w:val="single" w:sz="8" w:color="0000FF"/>
            </w:tcBorders>
            <w:gridSpan w:val="31"/>
          </w:tcPr>
          <w:p>
            <w:pPr>
              <w:spacing w:after="0"/>
              <w:rPr>
                <w:sz w:val="20"/>
                <w:szCs w:val="20"/>
                <w:color w:val="auto"/>
              </w:rPr>
            </w:pPr>
            <w:r>
              <w:rPr>
                <w:rFonts w:ascii="Arial" w:cs="Arial" w:eastAsia="Arial" w:hAnsi="Arial"/>
                <w:sz w:val="18"/>
                <w:szCs w:val="18"/>
                <w:color w:val="0000FF"/>
                <w:w w:val="88"/>
              </w:rPr>
              <w:t>Consolidated Statements of Operations for the three and six months ended June 30, 2023 and 2022</w:t>
            </w:r>
          </w:p>
        </w:tc>
        <w:tc>
          <w:tcPr>
            <w:tcW w:w="1260" w:type="dxa"/>
            <w:vAlign w:val="bottom"/>
            <w:gridSpan w:val="3"/>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360" w:type="dxa"/>
            <w:vAlign w:val="bottom"/>
            <w:gridSpan w:val="34"/>
          </w:tcPr>
          <w:p>
            <w:pPr>
              <w:spacing w:after="0"/>
              <w:rPr>
                <w:sz w:val="20"/>
                <w:szCs w:val="20"/>
                <w:color w:val="auto"/>
              </w:rPr>
            </w:pPr>
            <w:r>
              <w:rPr>
                <w:rFonts w:ascii="Arial" w:cs="Arial" w:eastAsia="Arial" w:hAnsi="Arial"/>
                <w:sz w:val="18"/>
                <w:szCs w:val="18"/>
                <w:color w:val="0000FF"/>
                <w:w w:val="92"/>
              </w:rPr>
              <w:t>Consolidated Statements of Comprehensive Income for the three and six months ended June 30, 2023 and 2022</w:t>
            </w:r>
          </w:p>
        </w:tc>
        <w:tc>
          <w:tcPr>
            <w:tcW w:w="980" w:type="dxa"/>
            <w:vAlign w:val="bottom"/>
          </w:tcPr>
          <w:p>
            <w:pPr>
              <w:jc w:val="right"/>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20" w:type="dxa"/>
            <w:vAlign w:val="bottom"/>
            <w:tcBorders>
              <w:top w:val="single" w:sz="8" w:color="0000FF"/>
            </w:tcBorders>
            <w:gridSpan w:val="32"/>
          </w:tcPr>
          <w:p>
            <w:pPr>
              <w:spacing w:after="0"/>
              <w:rPr>
                <w:sz w:val="20"/>
                <w:szCs w:val="20"/>
                <w:color w:val="auto"/>
              </w:rPr>
            </w:pPr>
            <w:r>
              <w:rPr>
                <w:rFonts w:ascii="Arial" w:cs="Arial" w:eastAsia="Arial" w:hAnsi="Arial"/>
                <w:sz w:val="18"/>
                <w:szCs w:val="18"/>
                <w:color w:val="0000FF"/>
              </w:rPr>
              <w:t>Consolidated Balance Sheets as of June 30, 2023 and December 31, 2022</w:t>
            </w:r>
          </w:p>
        </w:tc>
        <w:tc>
          <w:tcPr>
            <w:tcW w:w="340" w:type="dxa"/>
            <w:vAlign w:val="bottom"/>
            <w:gridSpan w:val="2"/>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360" w:type="dxa"/>
            <w:vAlign w:val="bottom"/>
            <w:gridSpan w:val="34"/>
          </w:tcPr>
          <w:p>
            <w:pPr>
              <w:spacing w:after="0"/>
              <w:rPr>
                <w:sz w:val="20"/>
                <w:szCs w:val="20"/>
                <w:color w:val="auto"/>
              </w:rPr>
            </w:pPr>
            <w:r>
              <w:rPr>
                <w:rFonts w:ascii="Arial" w:cs="Arial" w:eastAsia="Arial" w:hAnsi="Arial"/>
                <w:sz w:val="18"/>
                <w:szCs w:val="18"/>
                <w:color w:val="0000FF"/>
              </w:rPr>
              <w:t>Consolidated Statements of Cash Flows for the six months ended June 30, 2023 and 2022</w:t>
            </w:r>
          </w:p>
        </w:tc>
        <w:tc>
          <w:tcPr>
            <w:tcW w:w="980" w:type="dxa"/>
            <w:vAlign w:val="bottom"/>
          </w:tcPr>
          <w:p>
            <w:pPr>
              <w:jc w:val="right"/>
              <w:spacing w:after="0"/>
              <w:rPr>
                <w:sz w:val="20"/>
                <w:szCs w:val="20"/>
                <w:color w:val="auto"/>
              </w:rPr>
            </w:pPr>
            <w:r>
              <w:rPr>
                <w:rFonts w:ascii="Arial" w:cs="Arial" w:eastAsia="Arial" w:hAnsi="Arial"/>
                <w:sz w:val="18"/>
                <w:szCs w:val="18"/>
                <w:color w:val="auto"/>
              </w:rPr>
              <w:t>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380" w:type="dxa"/>
            <w:vAlign w:val="bottom"/>
            <w:gridSpan w:val="3"/>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9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360" w:type="dxa"/>
            <w:vAlign w:val="bottom"/>
            <w:gridSpan w:val="34"/>
          </w:tcPr>
          <w:p>
            <w:pPr>
              <w:spacing w:after="0"/>
              <w:rPr>
                <w:sz w:val="20"/>
                <w:szCs w:val="20"/>
                <w:color w:val="auto"/>
              </w:rPr>
            </w:pPr>
            <w:r>
              <w:rPr>
                <w:rFonts w:ascii="Arial" w:cs="Arial" w:eastAsia="Arial" w:hAnsi="Arial"/>
                <w:sz w:val="18"/>
                <w:szCs w:val="18"/>
                <w:color w:val="0000FF"/>
                <w:w w:val="90"/>
              </w:rPr>
              <w:t>Consolidated Statements of Changes in Shareholders' Equity for the three and six months ended June 30, 2023 and</w:t>
            </w: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920" w:type="dxa"/>
            <w:vAlign w:val="bottom"/>
          </w:tcPr>
          <w:p>
            <w:pPr>
              <w:spacing w:after="0"/>
              <w:rPr>
                <w:sz w:val="13"/>
                <w:szCs w:val="13"/>
                <w:color w:val="auto"/>
              </w:rPr>
            </w:pPr>
          </w:p>
        </w:tc>
        <w:tc>
          <w:tcPr>
            <w:tcW w:w="580" w:type="dxa"/>
            <w:vAlign w:val="bottom"/>
            <w:gridSpan w:val="2"/>
          </w:tcPr>
          <w:p>
            <w:pPr>
              <w:spacing w:after="0"/>
              <w:rPr>
                <w:sz w:val="13"/>
                <w:szCs w:val="13"/>
                <w:color w:val="auto"/>
              </w:rPr>
            </w:pPr>
          </w:p>
        </w:tc>
        <w:tc>
          <w:tcPr>
            <w:tcW w:w="340" w:type="dxa"/>
            <w:vAlign w:val="bottom"/>
          </w:tcPr>
          <w:p>
            <w:pPr>
              <w:spacing w:after="0"/>
              <w:rPr>
                <w:sz w:val="13"/>
                <w:szCs w:val="13"/>
                <w:color w:val="auto"/>
              </w:rPr>
            </w:pPr>
          </w:p>
        </w:tc>
        <w:tc>
          <w:tcPr>
            <w:tcW w:w="360" w:type="dxa"/>
            <w:vAlign w:val="bottom"/>
            <w:tcBorders>
              <w:top w:val="single" w:sz="8" w:color="0000FF"/>
              <w:bottom w:val="single" w:sz="8" w:color="0000FF"/>
            </w:tcBorders>
          </w:tcPr>
          <w:p>
            <w:pPr>
              <w:spacing w:after="0" w:line="156" w:lineRule="exact"/>
              <w:rPr>
                <w:sz w:val="20"/>
                <w:szCs w:val="20"/>
                <w:color w:val="auto"/>
              </w:rPr>
            </w:pPr>
            <w:r>
              <w:rPr>
                <w:rFonts w:ascii="Arial" w:cs="Arial" w:eastAsia="Arial" w:hAnsi="Arial"/>
                <w:sz w:val="18"/>
                <w:szCs w:val="18"/>
                <w:color w:val="0000FF"/>
                <w:w w:val="84"/>
              </w:rPr>
              <w:t>2022</w:t>
            </w:r>
          </w:p>
        </w:tc>
        <w:tc>
          <w:tcPr>
            <w:tcW w:w="60" w:type="dxa"/>
            <w:vAlign w:val="bottom"/>
            <w:tcBorders>
              <w:top w:val="single" w:sz="8" w:color="0000FF"/>
            </w:tcBorders>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48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4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540" w:type="dxa"/>
            <w:vAlign w:val="bottom"/>
            <w:tcBorders>
              <w:top w:val="single" w:sz="8" w:color="0000FF"/>
            </w:tcBorders>
          </w:tcPr>
          <w:p>
            <w:pPr>
              <w:spacing w:after="0"/>
              <w:rPr>
                <w:sz w:val="13"/>
                <w:szCs w:val="13"/>
                <w:color w:val="auto"/>
              </w:rPr>
            </w:pPr>
          </w:p>
        </w:tc>
        <w:tc>
          <w:tcPr>
            <w:tcW w:w="820" w:type="dxa"/>
            <w:vAlign w:val="bottom"/>
            <w:tcBorders>
              <w:top w:val="single" w:sz="8" w:color="0000FF"/>
            </w:tcBorders>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660" w:type="dxa"/>
            <w:vAlign w:val="bottom"/>
            <w:tcBorders>
              <w:top w:val="single" w:sz="8" w:color="0000FF"/>
            </w:tcBorders>
          </w:tcPr>
          <w:p>
            <w:pPr>
              <w:spacing w:after="0"/>
              <w:rPr>
                <w:sz w:val="13"/>
                <w:szCs w:val="13"/>
                <w:color w:val="auto"/>
              </w:rPr>
            </w:pPr>
          </w:p>
        </w:tc>
        <w:tc>
          <w:tcPr>
            <w:tcW w:w="920" w:type="dxa"/>
            <w:vAlign w:val="bottom"/>
            <w:tcBorders>
              <w:top w:val="single" w:sz="8" w:color="0000FF"/>
            </w:tcBorders>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360" w:type="dxa"/>
            <w:vAlign w:val="bottom"/>
            <w:gridSpan w:val="34"/>
          </w:tcPr>
          <w:p>
            <w:pPr>
              <w:spacing w:after="0"/>
              <w:rPr>
                <w:sz w:val="20"/>
                <w:szCs w:val="20"/>
                <w:color w:val="auto"/>
              </w:rPr>
            </w:pPr>
            <w:r>
              <w:rPr>
                <w:rFonts w:ascii="Arial" w:cs="Arial" w:eastAsia="Arial" w:hAnsi="Arial"/>
                <w:sz w:val="18"/>
                <w:szCs w:val="18"/>
                <w:color w:val="0000FF"/>
              </w:rPr>
              <w:t>Notes to Consolidated Financial Statements</w:t>
            </w:r>
          </w:p>
        </w:tc>
        <w:tc>
          <w:tcPr>
            <w:tcW w:w="980" w:type="dxa"/>
            <w:vAlign w:val="bottom"/>
          </w:tcPr>
          <w:p>
            <w:pPr>
              <w:jc w:val="right"/>
              <w:spacing w:after="0"/>
              <w:rPr>
                <w:sz w:val="20"/>
                <w:szCs w:val="20"/>
                <w:color w:val="auto"/>
              </w:rPr>
            </w:pPr>
            <w:r>
              <w:rPr>
                <w:rFonts w:ascii="Arial" w:cs="Arial" w:eastAsia="Arial" w:hAnsi="Arial"/>
                <w:sz w:val="18"/>
                <w:szCs w:val="18"/>
                <w:color w:val="auto"/>
              </w:rPr>
              <w:t>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8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9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0" w:type="dxa"/>
            <w:vAlign w:val="bottom"/>
            <w:tcBorders>
              <w:bottom w:val="single" w:sz="8" w:color="0000FF"/>
            </w:tcBorders>
            <w:gridSpan w:val="17"/>
          </w:tcPr>
          <w:p>
            <w:pPr>
              <w:spacing w:after="0"/>
              <w:rPr>
                <w:sz w:val="20"/>
                <w:szCs w:val="20"/>
                <w:color w:val="auto"/>
              </w:rPr>
            </w:pPr>
            <w:r>
              <w:rPr>
                <w:rFonts w:ascii="Arial" w:cs="Arial" w:eastAsia="Arial" w:hAnsi="Arial"/>
                <w:sz w:val="18"/>
                <w:szCs w:val="18"/>
                <w:color w:val="0000FF"/>
                <w:w w:val="91"/>
              </w:rPr>
              <w:t>Note A. Statement of Information Furnished</w:t>
            </w:r>
          </w:p>
        </w:tc>
        <w:tc>
          <w:tcPr>
            <w:tcW w:w="4740" w:type="dxa"/>
            <w:vAlign w:val="bottom"/>
            <w:gridSpan w:val="15"/>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300" w:type="dxa"/>
            <w:vAlign w:val="bottom"/>
            <w:tcBorders>
              <w:bottom w:val="single" w:sz="8" w:color="0000FF"/>
            </w:tcBorders>
            <w:gridSpan w:val="23"/>
          </w:tcPr>
          <w:p>
            <w:pPr>
              <w:spacing w:after="0"/>
              <w:rPr>
                <w:sz w:val="20"/>
                <w:szCs w:val="20"/>
                <w:color w:val="auto"/>
              </w:rPr>
            </w:pPr>
            <w:r>
              <w:rPr>
                <w:rFonts w:ascii="Arial" w:cs="Arial" w:eastAsia="Arial" w:hAnsi="Arial"/>
                <w:sz w:val="18"/>
                <w:szCs w:val="18"/>
                <w:color w:val="0000FF"/>
                <w:w w:val="90"/>
              </w:rPr>
              <w:t>Note B. Recent Accounting and Reporting Pronouncements</w:t>
            </w:r>
          </w:p>
        </w:tc>
        <w:tc>
          <w:tcPr>
            <w:tcW w:w="3640" w:type="dxa"/>
            <w:vAlign w:val="bottom"/>
            <w:gridSpan w:val="9"/>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940" w:type="dxa"/>
            <w:vAlign w:val="bottom"/>
            <w:gridSpan w:val="32"/>
          </w:tcPr>
          <w:p>
            <w:pPr>
              <w:spacing w:after="0"/>
              <w:rPr>
                <w:sz w:val="20"/>
                <w:szCs w:val="20"/>
                <w:color w:val="auto"/>
              </w:rPr>
            </w:pPr>
            <w:r>
              <w:rPr>
                <w:rFonts w:ascii="Arial" w:cs="Arial" w:eastAsia="Arial" w:hAnsi="Arial"/>
                <w:sz w:val="18"/>
                <w:szCs w:val="18"/>
                <w:color w:val="0000FF"/>
              </w:rPr>
              <w:t>Note C. Cash, Cash Equivalents, and Restricted Cash</w:t>
            </w:r>
          </w:p>
        </w:tc>
        <w:tc>
          <w:tcPr>
            <w:tcW w:w="980" w:type="dxa"/>
            <w:vAlign w:val="bottom"/>
          </w:tcPr>
          <w:p>
            <w:pPr>
              <w:jc w:val="right"/>
              <w:spacing w:after="0"/>
              <w:rPr>
                <w:sz w:val="20"/>
                <w:szCs w:val="20"/>
                <w:color w:val="auto"/>
              </w:rPr>
            </w:pPr>
            <w:r>
              <w:rPr>
                <w:rFonts w:ascii="Arial" w:cs="Arial" w:eastAsia="Arial" w:hAnsi="Arial"/>
                <w:sz w:val="18"/>
                <w:szCs w:val="18"/>
                <w:color w:val="auto"/>
              </w:rPr>
              <w:t>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840" w:type="dxa"/>
            <w:vAlign w:val="bottom"/>
            <w:tcBorders>
              <w:top w:val="single" w:sz="8" w:color="0000FF"/>
            </w:tcBorders>
            <w:gridSpan w:val="22"/>
          </w:tcPr>
          <w:p>
            <w:pPr>
              <w:spacing w:after="0"/>
              <w:rPr>
                <w:sz w:val="20"/>
                <w:szCs w:val="20"/>
                <w:color w:val="auto"/>
              </w:rPr>
            </w:pPr>
            <w:r>
              <w:rPr>
                <w:rFonts w:ascii="Arial" w:cs="Arial" w:eastAsia="Arial" w:hAnsi="Arial"/>
                <w:sz w:val="18"/>
                <w:szCs w:val="18"/>
                <w:color w:val="0000FF"/>
              </w:rPr>
              <w:t>Note D. Receivables</w:t>
            </w:r>
          </w:p>
        </w:tc>
        <w:tc>
          <w:tcPr>
            <w:tcW w:w="4100" w:type="dxa"/>
            <w:vAlign w:val="bottom"/>
            <w:gridSpan w:val="10"/>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80" w:type="dxa"/>
            <w:vAlign w:val="bottom"/>
            <w:tcBorders>
              <w:top w:val="single" w:sz="8" w:color="0000FF"/>
            </w:tcBorders>
            <w:gridSpan w:val="8"/>
          </w:tcPr>
          <w:p>
            <w:pPr>
              <w:spacing w:after="0"/>
              <w:rPr>
                <w:sz w:val="20"/>
                <w:szCs w:val="20"/>
                <w:color w:val="auto"/>
              </w:rPr>
            </w:pPr>
            <w:r>
              <w:rPr>
                <w:rFonts w:ascii="Arial" w:cs="Arial" w:eastAsia="Arial" w:hAnsi="Arial"/>
                <w:sz w:val="18"/>
                <w:szCs w:val="18"/>
                <w:color w:val="0000FF"/>
                <w:w w:val="95"/>
              </w:rPr>
              <w:t>Note E. Inventories</w:t>
            </w:r>
          </w:p>
        </w:tc>
        <w:tc>
          <w:tcPr>
            <w:tcW w:w="6460" w:type="dxa"/>
            <w:vAlign w:val="bottom"/>
            <w:gridSpan w:val="24"/>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0" w:type="dxa"/>
            <w:vAlign w:val="bottom"/>
            <w:gridSpan w:val="5"/>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20" w:type="dxa"/>
            <w:vAlign w:val="bottom"/>
            <w:tcBorders>
              <w:bottom w:val="single" w:sz="8" w:color="0000FF"/>
            </w:tcBorders>
            <w:gridSpan w:val="10"/>
          </w:tcPr>
          <w:p>
            <w:pPr>
              <w:spacing w:after="0"/>
              <w:rPr>
                <w:sz w:val="20"/>
                <w:szCs w:val="20"/>
                <w:color w:val="auto"/>
              </w:rPr>
            </w:pPr>
            <w:r>
              <w:rPr>
                <w:rFonts w:ascii="Arial" w:cs="Arial" w:eastAsia="Arial" w:hAnsi="Arial"/>
                <w:sz w:val="18"/>
                <w:szCs w:val="18"/>
                <w:color w:val="0000FF"/>
                <w:w w:val="89"/>
              </w:rPr>
              <w:t>Note F. Intangible Assets</w:t>
            </w:r>
          </w:p>
        </w:tc>
        <w:tc>
          <w:tcPr>
            <w:tcW w:w="6120" w:type="dxa"/>
            <w:vAlign w:val="bottom"/>
            <w:gridSpan w:val="22"/>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360" w:type="dxa"/>
            <w:vAlign w:val="bottom"/>
            <w:tcBorders>
              <w:bottom w:val="single" w:sz="8" w:color="0000FF"/>
            </w:tcBorders>
            <w:gridSpan w:val="13"/>
          </w:tcPr>
          <w:p>
            <w:pPr>
              <w:spacing w:after="0"/>
              <w:rPr>
                <w:sz w:val="20"/>
                <w:szCs w:val="20"/>
                <w:color w:val="auto"/>
              </w:rPr>
            </w:pPr>
            <w:r>
              <w:rPr>
                <w:rFonts w:ascii="Arial" w:cs="Arial" w:eastAsia="Arial" w:hAnsi="Arial"/>
                <w:sz w:val="18"/>
                <w:szCs w:val="18"/>
                <w:color w:val="0000FF"/>
                <w:w w:val="90"/>
              </w:rPr>
              <w:t>Note G. Restructuring and Other</w:t>
            </w:r>
          </w:p>
        </w:tc>
        <w:tc>
          <w:tcPr>
            <w:tcW w:w="5580" w:type="dxa"/>
            <w:vAlign w:val="bottom"/>
            <w:gridSpan w:val="19"/>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940" w:type="dxa"/>
            <w:vAlign w:val="bottom"/>
            <w:gridSpan w:val="32"/>
          </w:tcPr>
          <w:p>
            <w:pPr>
              <w:spacing w:after="0"/>
              <w:rPr>
                <w:sz w:val="20"/>
                <w:szCs w:val="20"/>
                <w:color w:val="auto"/>
              </w:rPr>
            </w:pPr>
            <w:r>
              <w:rPr>
                <w:rFonts w:ascii="Arial" w:cs="Arial" w:eastAsia="Arial" w:hAnsi="Arial"/>
                <w:sz w:val="18"/>
                <w:szCs w:val="18"/>
                <w:color w:val="0000FF"/>
              </w:rPr>
              <w:t>Note H. Asbestos-Related Liabilities</w:t>
            </w:r>
          </w:p>
        </w:tc>
        <w:tc>
          <w:tcPr>
            <w:tcW w:w="980" w:type="dxa"/>
            <w:vAlign w:val="bottom"/>
          </w:tcPr>
          <w:p>
            <w:pPr>
              <w:jc w:val="right"/>
              <w:spacing w:after="0"/>
              <w:rPr>
                <w:sz w:val="20"/>
                <w:szCs w:val="20"/>
                <w:color w:val="auto"/>
              </w:rPr>
            </w:pPr>
            <w:r>
              <w:rPr>
                <w:rFonts w:ascii="Arial" w:cs="Arial" w:eastAsia="Arial" w:hAnsi="Arial"/>
                <w:sz w:val="18"/>
                <w:szCs w:val="18"/>
                <w:color w:val="auto"/>
              </w:rPr>
              <w:t>10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80" w:type="dxa"/>
            <w:vAlign w:val="bottom"/>
            <w:gridSpan w:val="3"/>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80" w:type="dxa"/>
            <w:vAlign w:val="bottom"/>
            <w:gridSpan w:val="3"/>
            <w:shd w:val="clear" w:color="auto" w:fill="0000FF"/>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0" w:type="dxa"/>
            <w:vAlign w:val="bottom"/>
            <w:gridSpan w:val="5"/>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500" w:type="dxa"/>
            <w:vAlign w:val="bottom"/>
            <w:tcBorders>
              <w:bottom w:val="single" w:sz="8" w:color="0000FF"/>
            </w:tcBorders>
            <w:gridSpan w:val="18"/>
          </w:tcPr>
          <w:p>
            <w:pPr>
              <w:spacing w:after="0"/>
              <w:rPr>
                <w:sz w:val="20"/>
                <w:szCs w:val="20"/>
                <w:color w:val="auto"/>
              </w:rPr>
            </w:pPr>
            <w:r>
              <w:rPr>
                <w:rFonts w:ascii="Arial" w:cs="Arial" w:eastAsia="Arial" w:hAnsi="Arial"/>
                <w:sz w:val="18"/>
                <w:szCs w:val="18"/>
                <w:color w:val="0000FF"/>
                <w:w w:val="92"/>
              </w:rPr>
              <w:t>Note I. Commitments and Contingent Liabilities</w:t>
            </w:r>
          </w:p>
        </w:tc>
        <w:tc>
          <w:tcPr>
            <w:tcW w:w="4440" w:type="dxa"/>
            <w:vAlign w:val="bottom"/>
            <w:gridSpan w:val="14"/>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940" w:type="dxa"/>
            <w:vAlign w:val="bottom"/>
            <w:gridSpan w:val="32"/>
          </w:tcPr>
          <w:p>
            <w:pPr>
              <w:spacing w:after="0"/>
              <w:rPr>
                <w:sz w:val="20"/>
                <w:szCs w:val="20"/>
                <w:color w:val="auto"/>
              </w:rPr>
            </w:pPr>
            <w:r>
              <w:rPr>
                <w:rFonts w:ascii="Arial" w:cs="Arial" w:eastAsia="Arial" w:hAnsi="Arial"/>
                <w:sz w:val="18"/>
                <w:szCs w:val="18"/>
                <w:color w:val="0000FF"/>
              </w:rPr>
              <w:t>Note J. Derivative and Other Financial Instruments</w:t>
            </w:r>
          </w:p>
        </w:tc>
        <w:tc>
          <w:tcPr>
            <w:tcW w:w="980" w:type="dxa"/>
            <w:vAlign w:val="bottom"/>
          </w:tcPr>
          <w:p>
            <w:pPr>
              <w:jc w:val="right"/>
              <w:spacing w:after="0"/>
              <w:rPr>
                <w:sz w:val="20"/>
                <w:szCs w:val="20"/>
                <w:color w:val="auto"/>
              </w:rPr>
            </w:pPr>
            <w:r>
              <w:rPr>
                <w:rFonts w:ascii="Arial" w:cs="Arial" w:eastAsia="Arial" w:hAnsi="Arial"/>
                <w:sz w:val="18"/>
                <w:szCs w:val="18"/>
                <w:color w:val="auto"/>
              </w:rPr>
              <w:t>13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80" w:type="dxa"/>
            <w:vAlign w:val="bottom"/>
            <w:tcBorders>
              <w:top w:val="single" w:sz="8" w:color="0000FF"/>
            </w:tcBorders>
            <w:gridSpan w:val="21"/>
          </w:tcPr>
          <w:p>
            <w:pPr>
              <w:spacing w:after="0"/>
              <w:rPr>
                <w:sz w:val="20"/>
                <w:szCs w:val="20"/>
                <w:color w:val="auto"/>
              </w:rPr>
            </w:pPr>
            <w:r>
              <w:rPr>
                <w:rFonts w:ascii="Arial" w:cs="Arial" w:eastAsia="Arial" w:hAnsi="Arial"/>
                <w:sz w:val="18"/>
                <w:szCs w:val="18"/>
                <w:color w:val="0000FF"/>
              </w:rPr>
              <w:t>Note K. Debt</w:t>
            </w:r>
          </w:p>
        </w:tc>
        <w:tc>
          <w:tcPr>
            <w:tcW w:w="4260" w:type="dxa"/>
            <w:vAlign w:val="bottom"/>
            <w:gridSpan w:val="11"/>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0" w:type="dxa"/>
            <w:vAlign w:val="bottom"/>
            <w:gridSpan w:val="7"/>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20" w:type="dxa"/>
            <w:vAlign w:val="bottom"/>
            <w:gridSpan w:val="6"/>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940" w:type="dxa"/>
            <w:vAlign w:val="bottom"/>
            <w:gridSpan w:val="32"/>
          </w:tcPr>
          <w:p>
            <w:pPr>
              <w:spacing w:after="0"/>
              <w:rPr>
                <w:sz w:val="20"/>
                <w:szCs w:val="20"/>
                <w:color w:val="auto"/>
              </w:rPr>
            </w:pPr>
            <w:r>
              <w:rPr>
                <w:rFonts w:ascii="Arial" w:cs="Arial" w:eastAsia="Arial" w:hAnsi="Arial"/>
                <w:sz w:val="18"/>
                <w:szCs w:val="18"/>
                <w:color w:val="0000FF"/>
              </w:rPr>
              <w:t>Note L. Pension and Other Postretirement Benefits</w:t>
            </w:r>
          </w:p>
        </w:tc>
        <w:tc>
          <w:tcPr>
            <w:tcW w:w="980" w:type="dxa"/>
            <w:vAlign w:val="bottom"/>
          </w:tcPr>
          <w:p>
            <w:pPr>
              <w:jc w:val="right"/>
              <w:spacing w:after="0"/>
              <w:rPr>
                <w:sz w:val="20"/>
                <w:szCs w:val="20"/>
                <w:color w:val="auto"/>
              </w:rPr>
            </w:pPr>
            <w:r>
              <w:rPr>
                <w:rFonts w:ascii="Arial" w:cs="Arial" w:eastAsia="Arial" w:hAnsi="Arial"/>
                <w:sz w:val="18"/>
                <w:szCs w:val="18"/>
                <w:color w:val="auto"/>
              </w:rPr>
              <w:t>20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660" w:type="dxa"/>
            <w:vAlign w:val="bottom"/>
            <w:tcBorders>
              <w:top w:val="single" w:sz="8" w:color="0000FF"/>
            </w:tcBorders>
            <w:gridSpan w:val="20"/>
          </w:tcPr>
          <w:p>
            <w:pPr>
              <w:spacing w:after="0"/>
              <w:rPr>
                <w:sz w:val="20"/>
                <w:szCs w:val="20"/>
                <w:color w:val="auto"/>
              </w:rPr>
            </w:pPr>
            <w:r>
              <w:rPr>
                <w:rFonts w:ascii="Arial" w:cs="Arial" w:eastAsia="Arial" w:hAnsi="Arial"/>
                <w:sz w:val="18"/>
                <w:szCs w:val="18"/>
                <w:color w:val="0000FF"/>
              </w:rPr>
              <w:t>Note M. Capital Stock</w:t>
            </w:r>
          </w:p>
        </w:tc>
        <w:tc>
          <w:tcPr>
            <w:tcW w:w="4280" w:type="dxa"/>
            <w:vAlign w:val="bottom"/>
            <w:gridSpan w:val="12"/>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80" w:type="dxa"/>
            <w:vAlign w:val="bottom"/>
            <w:gridSpan w:val="4"/>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80" w:type="dxa"/>
            <w:vAlign w:val="bottom"/>
            <w:gridSpan w:val="3"/>
            <w:shd w:val="clear" w:color="auto" w:fill="0000FF"/>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0" w:type="dxa"/>
            <w:vAlign w:val="bottom"/>
            <w:gridSpan w:val="7"/>
          </w:tcPr>
          <w:p>
            <w:pPr>
              <w:spacing w:after="0" w:line="20" w:lineRule="exact"/>
              <w:rPr>
                <w:sz w:val="1"/>
                <w:szCs w:val="1"/>
                <w:color w:val="auto"/>
              </w:rPr>
            </w:pPr>
          </w:p>
        </w:tc>
        <w:tc>
          <w:tcPr>
            <w:tcW w:w="2120" w:type="dxa"/>
            <w:vAlign w:val="bottom"/>
            <w:gridSpan w:val="7"/>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920" w:type="dxa"/>
            <w:vAlign w:val="bottom"/>
            <w:tcBorders>
              <w:bottom w:val="single" w:sz="8" w:color="0000FF"/>
            </w:tcBorders>
            <w:gridSpan w:val="27"/>
          </w:tcPr>
          <w:p>
            <w:pPr>
              <w:spacing w:after="0"/>
              <w:rPr>
                <w:sz w:val="20"/>
                <w:szCs w:val="20"/>
                <w:color w:val="auto"/>
              </w:rPr>
            </w:pPr>
            <w:r>
              <w:rPr>
                <w:rFonts w:ascii="Arial" w:cs="Arial" w:eastAsia="Arial" w:hAnsi="Arial"/>
                <w:sz w:val="18"/>
                <w:szCs w:val="18"/>
                <w:color w:val="0000FF"/>
                <w:w w:val="91"/>
              </w:rPr>
              <w:t>Note N. Accumulated Other Comprehensive Loss Attributable to Crown Holdings</w:t>
            </w:r>
          </w:p>
        </w:tc>
        <w:tc>
          <w:tcPr>
            <w:tcW w:w="2020" w:type="dxa"/>
            <w:vAlign w:val="bottom"/>
            <w:gridSpan w:val="5"/>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940" w:type="dxa"/>
            <w:vAlign w:val="bottom"/>
            <w:gridSpan w:val="32"/>
          </w:tcPr>
          <w:p>
            <w:pPr>
              <w:spacing w:after="0"/>
              <w:rPr>
                <w:sz w:val="20"/>
                <w:szCs w:val="20"/>
                <w:color w:val="auto"/>
              </w:rPr>
            </w:pPr>
            <w:r>
              <w:rPr>
                <w:rFonts w:ascii="Arial" w:cs="Arial" w:eastAsia="Arial" w:hAnsi="Arial"/>
                <w:sz w:val="18"/>
                <w:szCs w:val="18"/>
                <w:color w:val="0000FF"/>
              </w:rPr>
              <w:t>Note O. Revenue</w:t>
            </w:r>
          </w:p>
        </w:tc>
        <w:tc>
          <w:tcPr>
            <w:tcW w:w="980" w:type="dxa"/>
            <w:vAlign w:val="bottom"/>
          </w:tcPr>
          <w:p>
            <w:pPr>
              <w:jc w:val="right"/>
              <w:spacing w:after="0"/>
              <w:rPr>
                <w:sz w:val="20"/>
                <w:szCs w:val="20"/>
                <w:color w:val="auto"/>
              </w:rPr>
            </w:pPr>
            <w:r>
              <w:rPr>
                <w:rFonts w:ascii="Arial" w:cs="Arial" w:eastAsia="Arial" w:hAnsi="Arial"/>
                <w:sz w:val="18"/>
                <w:szCs w:val="18"/>
                <w:color w:val="auto"/>
              </w:rPr>
              <w:t>21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80" w:type="dxa"/>
            <w:vAlign w:val="bottom"/>
            <w:gridSpan w:val="4"/>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700" w:type="dxa"/>
            <w:vAlign w:val="bottom"/>
            <w:gridSpan w:val="5"/>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0" w:type="dxa"/>
            <w:vAlign w:val="bottom"/>
            <w:gridSpan w:val="7"/>
          </w:tcPr>
          <w:p>
            <w:pPr>
              <w:spacing w:after="0" w:line="20" w:lineRule="exact"/>
              <w:rPr>
                <w:sz w:val="1"/>
                <w:szCs w:val="1"/>
                <w:color w:val="auto"/>
              </w:rPr>
            </w:pPr>
          </w:p>
        </w:tc>
        <w:tc>
          <w:tcPr>
            <w:tcW w:w="2120" w:type="dxa"/>
            <w:vAlign w:val="bottom"/>
            <w:gridSpan w:val="7"/>
          </w:tcPr>
          <w:p>
            <w:pPr>
              <w:spacing w:after="0" w:line="20" w:lineRule="exact"/>
              <w:rPr>
                <w:sz w:val="1"/>
                <w:szCs w:val="1"/>
                <w:color w:val="auto"/>
              </w:rPr>
            </w:pPr>
          </w:p>
        </w:tc>
        <w:tc>
          <w:tcPr>
            <w:tcW w:w="2260" w:type="dxa"/>
            <w:vAlign w:val="bottom"/>
            <w:gridSpan w:val="6"/>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9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940" w:type="dxa"/>
            <w:vAlign w:val="bottom"/>
            <w:gridSpan w:val="32"/>
          </w:tcPr>
          <w:p>
            <w:pPr>
              <w:spacing w:after="0"/>
              <w:rPr>
                <w:sz w:val="20"/>
                <w:szCs w:val="20"/>
                <w:color w:val="auto"/>
              </w:rPr>
            </w:pPr>
            <w:r>
              <w:rPr>
                <w:rFonts w:ascii="Arial" w:cs="Arial" w:eastAsia="Arial" w:hAnsi="Arial"/>
                <w:sz w:val="18"/>
                <w:szCs w:val="18"/>
                <w:color w:val="0000FF"/>
              </w:rPr>
              <w:t>Note P. Earnings Per Share</w:t>
            </w:r>
          </w:p>
        </w:tc>
        <w:tc>
          <w:tcPr>
            <w:tcW w:w="980" w:type="dxa"/>
            <w:vAlign w:val="bottom"/>
          </w:tcPr>
          <w:p>
            <w:pPr>
              <w:jc w:val="right"/>
              <w:spacing w:after="0"/>
              <w:rPr>
                <w:sz w:val="20"/>
                <w:szCs w:val="20"/>
                <w:color w:val="auto"/>
              </w:rPr>
            </w:pPr>
            <w:r>
              <w:rPr>
                <w:rFonts w:ascii="Arial" w:cs="Arial" w:eastAsia="Arial" w:hAnsi="Arial"/>
                <w:sz w:val="18"/>
                <w:szCs w:val="18"/>
                <w:color w:val="auto"/>
              </w:rPr>
              <w:t>22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80" w:type="dxa"/>
            <w:vAlign w:val="bottom"/>
            <w:gridSpan w:val="4"/>
            <w:shd w:val="clear" w:color="auto" w:fill="0000FF"/>
          </w:tcPr>
          <w:p>
            <w:pPr>
              <w:spacing w:after="0" w:line="20" w:lineRule="exact"/>
              <w:rPr>
                <w:sz w:val="1"/>
                <w:szCs w:val="1"/>
                <w:color w:val="auto"/>
              </w:rPr>
            </w:pPr>
          </w:p>
        </w:tc>
        <w:tc>
          <w:tcPr>
            <w:tcW w:w="920" w:type="dxa"/>
            <w:vAlign w:val="bottom"/>
            <w:gridSpan w:val="6"/>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0" w:type="dxa"/>
            <w:vAlign w:val="bottom"/>
            <w:gridSpan w:val="7"/>
          </w:tcPr>
          <w:p>
            <w:pPr>
              <w:spacing w:after="0" w:line="20" w:lineRule="exact"/>
              <w:rPr>
                <w:sz w:val="1"/>
                <w:szCs w:val="1"/>
                <w:color w:val="auto"/>
              </w:rPr>
            </w:pPr>
          </w:p>
        </w:tc>
        <w:tc>
          <w:tcPr>
            <w:tcW w:w="2120" w:type="dxa"/>
            <w:vAlign w:val="bottom"/>
            <w:gridSpan w:val="7"/>
          </w:tcPr>
          <w:p>
            <w:pPr>
              <w:spacing w:after="0" w:line="20" w:lineRule="exact"/>
              <w:rPr>
                <w:sz w:val="1"/>
                <w:szCs w:val="1"/>
                <w:color w:val="auto"/>
              </w:rPr>
            </w:pPr>
          </w:p>
        </w:tc>
        <w:tc>
          <w:tcPr>
            <w:tcW w:w="2260" w:type="dxa"/>
            <w:vAlign w:val="bottom"/>
            <w:gridSpan w:val="6"/>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160" w:type="dxa"/>
            <w:vAlign w:val="bottom"/>
            <w:tcBorders>
              <w:bottom w:val="single" w:sz="8" w:color="0000FF"/>
            </w:tcBorders>
            <w:gridSpan w:val="12"/>
          </w:tcPr>
          <w:p>
            <w:pPr>
              <w:spacing w:after="0"/>
              <w:rPr>
                <w:sz w:val="20"/>
                <w:szCs w:val="20"/>
                <w:color w:val="auto"/>
              </w:rPr>
            </w:pPr>
            <w:r>
              <w:rPr>
                <w:rFonts w:ascii="Arial" w:cs="Arial" w:eastAsia="Arial" w:hAnsi="Arial"/>
                <w:sz w:val="18"/>
                <w:szCs w:val="18"/>
                <w:color w:val="0000FF"/>
                <w:w w:val="91"/>
              </w:rPr>
              <w:t>Note Q. Segment Information</w:t>
            </w:r>
          </w:p>
        </w:tc>
        <w:tc>
          <w:tcPr>
            <w:tcW w:w="5780" w:type="dxa"/>
            <w:vAlign w:val="bottom"/>
            <w:gridSpan w:val="20"/>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920" w:type="dxa"/>
            <w:vAlign w:val="bottom"/>
          </w:tcPr>
          <w:p>
            <w:pPr>
              <w:ind w:left="20"/>
              <w:spacing w:after="0"/>
              <w:rPr>
                <w:sz w:val="20"/>
                <w:szCs w:val="20"/>
                <w:color w:val="auto"/>
              </w:rPr>
            </w:pPr>
            <w:r>
              <w:rPr>
                <w:rFonts w:ascii="Arial" w:cs="Arial" w:eastAsia="Arial" w:hAnsi="Arial"/>
                <w:sz w:val="18"/>
                <w:szCs w:val="18"/>
                <w:color w:val="auto"/>
              </w:rPr>
              <w:t>Item 2.</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40" w:type="dxa"/>
            <w:vAlign w:val="bottom"/>
            <w:tcBorders>
              <w:bottom w:val="single" w:sz="8" w:color="0000FF"/>
            </w:tcBorders>
            <w:gridSpan w:val="29"/>
          </w:tcPr>
          <w:p>
            <w:pPr>
              <w:spacing w:after="0"/>
              <w:rPr>
                <w:sz w:val="20"/>
                <w:szCs w:val="20"/>
                <w:color w:val="auto"/>
              </w:rPr>
            </w:pPr>
            <w:r>
              <w:rPr>
                <w:rFonts w:ascii="Arial" w:cs="Arial" w:eastAsia="Arial" w:hAnsi="Arial"/>
                <w:sz w:val="18"/>
                <w:szCs w:val="18"/>
                <w:color w:val="0000FF"/>
                <w:w w:val="90"/>
              </w:rPr>
              <w:t>Management's Discussion and Analysis of Financial Condition and Results of Operations</w:t>
            </w:r>
          </w:p>
        </w:tc>
        <w:tc>
          <w:tcPr>
            <w:tcW w:w="2260" w:type="dxa"/>
            <w:vAlign w:val="bottom"/>
            <w:gridSpan w:val="6"/>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20" w:type="dxa"/>
            <w:vAlign w:val="bottom"/>
          </w:tcPr>
          <w:p>
            <w:pPr>
              <w:ind w:left="20"/>
              <w:spacing w:after="0"/>
              <w:rPr>
                <w:sz w:val="20"/>
                <w:szCs w:val="20"/>
                <w:color w:val="auto"/>
              </w:rPr>
            </w:pPr>
            <w:r>
              <w:rPr>
                <w:rFonts w:ascii="Arial" w:cs="Arial" w:eastAsia="Arial" w:hAnsi="Arial"/>
                <w:sz w:val="18"/>
                <w:szCs w:val="18"/>
                <w:color w:val="auto"/>
              </w:rPr>
              <w:t>Item 3.</w:t>
            </w: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320" w:type="dxa"/>
            <w:vAlign w:val="bottom"/>
            <w:tcBorders>
              <w:bottom w:val="single" w:sz="8" w:color="0000FF"/>
            </w:tcBorders>
            <w:gridSpan w:val="22"/>
          </w:tcPr>
          <w:p>
            <w:pPr>
              <w:spacing w:after="0"/>
              <w:rPr>
                <w:sz w:val="20"/>
                <w:szCs w:val="20"/>
                <w:color w:val="auto"/>
              </w:rPr>
            </w:pPr>
            <w:r>
              <w:rPr>
                <w:rFonts w:ascii="Arial" w:cs="Arial" w:eastAsia="Arial" w:hAnsi="Arial"/>
                <w:sz w:val="18"/>
                <w:szCs w:val="18"/>
                <w:color w:val="0000FF"/>
                <w:w w:val="91"/>
              </w:rPr>
              <w:t>Quantitative and Qualitative Disclosures about Market Risk</w:t>
            </w:r>
          </w:p>
        </w:tc>
        <w:tc>
          <w:tcPr>
            <w:tcW w:w="4380" w:type="dxa"/>
            <w:vAlign w:val="bottom"/>
            <w:gridSpan w:val="13"/>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920" w:type="dxa"/>
            <w:vAlign w:val="bottom"/>
          </w:tcPr>
          <w:p>
            <w:pPr>
              <w:ind w:left="20"/>
              <w:spacing w:after="0"/>
              <w:rPr>
                <w:sz w:val="20"/>
                <w:szCs w:val="20"/>
                <w:color w:val="auto"/>
              </w:rPr>
            </w:pPr>
            <w:r>
              <w:rPr>
                <w:rFonts w:ascii="Arial" w:cs="Arial" w:eastAsia="Arial" w:hAnsi="Arial"/>
                <w:sz w:val="18"/>
                <w:szCs w:val="18"/>
                <w:color w:val="auto"/>
              </w:rPr>
              <w:t>Item 4.</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80" w:type="dxa"/>
            <w:vAlign w:val="bottom"/>
            <w:tcBorders>
              <w:bottom w:val="single" w:sz="8" w:color="0000FF"/>
            </w:tcBorders>
            <w:gridSpan w:val="8"/>
          </w:tcPr>
          <w:p>
            <w:pPr>
              <w:spacing w:after="0"/>
              <w:rPr>
                <w:sz w:val="20"/>
                <w:szCs w:val="20"/>
                <w:color w:val="auto"/>
              </w:rPr>
            </w:pPr>
            <w:r>
              <w:rPr>
                <w:rFonts w:ascii="Arial" w:cs="Arial" w:eastAsia="Arial" w:hAnsi="Arial"/>
                <w:sz w:val="18"/>
                <w:szCs w:val="18"/>
                <w:color w:val="0000FF"/>
                <w:w w:val="88"/>
              </w:rPr>
              <w:t>Controls and Procedures</w:t>
            </w:r>
          </w:p>
        </w:tc>
        <w:tc>
          <w:tcPr>
            <w:tcW w:w="6920" w:type="dxa"/>
            <w:vAlign w:val="bottom"/>
            <w:gridSpan w:val="27"/>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80"/>
        </w:trPr>
        <w:tc>
          <w:tcPr>
            <w:tcW w:w="920" w:type="dxa"/>
            <w:vAlign w:val="bottom"/>
          </w:tcPr>
          <w:p>
            <w:pPr>
              <w:ind w:left="20"/>
              <w:spacing w:after="0"/>
              <w:rPr>
                <w:sz w:val="20"/>
                <w:szCs w:val="20"/>
                <w:color w:val="auto"/>
              </w:rPr>
            </w:pPr>
            <w:r>
              <w:rPr>
                <w:rFonts w:ascii="Arial" w:cs="Arial" w:eastAsia="Arial" w:hAnsi="Arial"/>
                <w:sz w:val="18"/>
                <w:szCs w:val="18"/>
                <w:color w:val="auto"/>
              </w:rPr>
              <w:t>PART II.</w:t>
            </w:r>
          </w:p>
        </w:tc>
        <w:tc>
          <w:tcPr>
            <w:tcW w:w="9280" w:type="dxa"/>
            <w:vAlign w:val="bottom"/>
            <w:gridSpan w:val="37"/>
          </w:tcPr>
          <w:p>
            <w:pPr>
              <w:ind w:left="260"/>
              <w:spacing w:after="0"/>
              <w:rPr>
                <w:sz w:val="20"/>
                <w:szCs w:val="20"/>
                <w:color w:val="auto"/>
              </w:rPr>
            </w:pPr>
            <w:r>
              <w:rPr>
                <w:rFonts w:ascii="Arial" w:cs="Arial" w:eastAsia="Arial" w:hAnsi="Arial"/>
                <w:sz w:val="18"/>
                <w:szCs w:val="18"/>
                <w:color w:val="0000FF"/>
              </w:rPr>
              <w:t>Other Information</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1243"/>
        </w:trPr>
        <w:tc>
          <w:tcPr>
            <w:tcW w:w="9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320" w:type="dxa"/>
            <w:vAlign w:val="bottom"/>
            <w:tcBorders>
              <w:top w:val="single" w:sz="8" w:color="0000FF"/>
              <w:bottom w:val="single" w:sz="8" w:color="9A9A9A"/>
            </w:tcBorders>
          </w:tcPr>
          <w:p>
            <w:pPr>
              <w:spacing w:after="0"/>
              <w:rPr>
                <w:sz w:val="24"/>
                <w:szCs w:val="24"/>
                <w:color w:val="auto"/>
              </w:rPr>
            </w:pPr>
          </w:p>
        </w:tc>
        <w:tc>
          <w:tcPr>
            <w:tcW w:w="340" w:type="dxa"/>
            <w:vAlign w:val="bottom"/>
            <w:tcBorders>
              <w:top w:val="single" w:sz="8" w:color="0000FF"/>
              <w:bottom w:val="single" w:sz="8" w:color="9A9A9A"/>
            </w:tcBorders>
          </w:tcPr>
          <w:p>
            <w:pPr>
              <w:spacing w:after="0"/>
              <w:rPr>
                <w:sz w:val="24"/>
                <w:szCs w:val="24"/>
                <w:color w:val="auto"/>
              </w:rPr>
            </w:pPr>
          </w:p>
        </w:tc>
        <w:tc>
          <w:tcPr>
            <w:tcW w:w="360" w:type="dxa"/>
            <w:vAlign w:val="bottom"/>
            <w:tcBorders>
              <w:top w:val="single" w:sz="8" w:color="0000FF"/>
              <w:bottom w:val="single" w:sz="8" w:color="9A9A9A"/>
            </w:tcBorders>
          </w:tcPr>
          <w:p>
            <w:pPr>
              <w:spacing w:after="0"/>
              <w:rPr>
                <w:sz w:val="24"/>
                <w:szCs w:val="24"/>
                <w:color w:val="auto"/>
              </w:rPr>
            </w:pPr>
          </w:p>
        </w:tc>
        <w:tc>
          <w:tcPr>
            <w:tcW w:w="60" w:type="dxa"/>
            <w:vAlign w:val="bottom"/>
            <w:tcBorders>
              <w:top w:val="single" w:sz="8" w:color="0000FF"/>
              <w:bottom w:val="single" w:sz="8" w:color="9A9A9A"/>
            </w:tcBorders>
          </w:tcPr>
          <w:p>
            <w:pPr>
              <w:spacing w:after="0"/>
              <w:rPr>
                <w:sz w:val="24"/>
                <w:szCs w:val="24"/>
                <w:color w:val="auto"/>
              </w:rPr>
            </w:pPr>
          </w:p>
        </w:tc>
        <w:tc>
          <w:tcPr>
            <w:tcW w:w="240" w:type="dxa"/>
            <w:vAlign w:val="bottom"/>
            <w:tcBorders>
              <w:top w:val="single" w:sz="8" w:color="0000FF"/>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18" w:right="339" w:bottom="1440" w:gutter="0" w:footer="0" w:header="0"/>
        </w:sectPr>
      </w:pPr>
    </w:p>
    <w:bookmarkStart w:id="2" w:name="page3"/>
    <w:bookmarkEnd w:id="2"/>
    <w:tbl>
      <w:tblPr>
        <w:tblLayout w:type="fixed"/>
        <w:tblInd w:w="160" w:type="dxa"/>
        <w:tblCellMar>
          <w:top w:w="0" w:type="dxa"/>
          <w:left w:w="0" w:type="dxa"/>
          <w:bottom w:w="0" w:type="dxa"/>
          <w:right w:w="0" w:type="dxa"/>
        </w:tblCellMar>
      </w:tblPr>
      <w:tr>
        <w:trPr>
          <w:trHeight w:val="234"/>
        </w:trPr>
        <w:tc>
          <w:tcPr>
            <w:tcW w:w="3360" w:type="dxa"/>
            <w:vAlign w:val="bottom"/>
          </w:tcPr>
          <w:p>
            <w:pPr>
              <w:spacing w:after="0"/>
              <w:rPr>
                <w:sz w:val="20"/>
                <w:szCs w:val="20"/>
                <w:color w:val="auto"/>
              </w:rPr>
            </w:pPr>
          </w:p>
        </w:tc>
        <w:tc>
          <w:tcPr>
            <w:tcW w:w="2940" w:type="dxa"/>
            <w:vAlign w:val="bottom"/>
            <w:gridSpan w:val="2"/>
          </w:tcPr>
          <w:p>
            <w:pPr>
              <w:jc w:val="center"/>
              <w:ind w:left="1170"/>
              <w:spacing w:after="0"/>
              <w:rPr>
                <w:sz w:val="20"/>
                <w:szCs w:val="20"/>
                <w:color w:val="auto"/>
              </w:rPr>
            </w:pPr>
            <w:r>
              <w:rPr>
                <w:rFonts w:ascii="Arial" w:cs="Arial" w:eastAsia="Arial" w:hAnsi="Arial"/>
                <w:sz w:val="18"/>
                <w:szCs w:val="18"/>
                <w:b w:val="1"/>
                <w:bCs w:val="1"/>
                <w:color w:val="auto"/>
                <w:w w:val="91"/>
              </w:rPr>
              <w:t>Crown Holdings, Inc.</w:t>
            </w:r>
          </w:p>
        </w:tc>
        <w:tc>
          <w:tcPr>
            <w:tcW w:w="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45"/>
        </w:trPr>
        <w:tc>
          <w:tcPr>
            <w:tcW w:w="3360" w:type="dxa"/>
            <w:vAlign w:val="bottom"/>
          </w:tcPr>
          <w:p>
            <w:pPr>
              <w:spacing w:after="0"/>
              <w:rPr>
                <w:sz w:val="24"/>
                <w:szCs w:val="24"/>
                <w:color w:val="auto"/>
              </w:rPr>
            </w:pPr>
          </w:p>
        </w:tc>
        <w:tc>
          <w:tcPr>
            <w:tcW w:w="3900" w:type="dxa"/>
            <w:vAlign w:val="bottom"/>
            <w:gridSpan w:val="4"/>
          </w:tcPr>
          <w:p>
            <w:pPr>
              <w:jc w:val="center"/>
              <w:ind w:left="230"/>
              <w:spacing w:after="0"/>
              <w:rPr>
                <w:sz w:val="20"/>
                <w:szCs w:val="20"/>
                <w:color w:val="auto"/>
              </w:rPr>
            </w:pPr>
            <w:r>
              <w:rPr>
                <w:rFonts w:ascii="Arial" w:cs="Arial" w:eastAsia="Arial" w:hAnsi="Arial"/>
                <w:sz w:val="18"/>
                <w:szCs w:val="18"/>
                <w:b w:val="1"/>
                <w:bCs w:val="1"/>
                <w:color w:val="auto"/>
              </w:rPr>
              <w:t>PART I – FINANCIAL INFORMATION</w:t>
            </w: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0"/>
        </w:trPr>
        <w:tc>
          <w:tcPr>
            <w:tcW w:w="3360" w:type="dxa"/>
            <w:vAlign w:val="bottom"/>
          </w:tcPr>
          <w:p>
            <w:pPr>
              <w:spacing w:after="0"/>
              <w:rPr>
                <w:sz w:val="24"/>
                <w:szCs w:val="24"/>
                <w:color w:val="auto"/>
              </w:rPr>
            </w:pPr>
          </w:p>
        </w:tc>
        <w:tc>
          <w:tcPr>
            <w:tcW w:w="4220" w:type="dxa"/>
            <w:vAlign w:val="bottom"/>
            <w:gridSpan w:val="5"/>
          </w:tcPr>
          <w:p>
            <w:pPr>
              <w:jc w:val="center"/>
              <w:spacing w:after="0"/>
              <w:rPr>
                <w:sz w:val="20"/>
                <w:szCs w:val="20"/>
                <w:color w:val="auto"/>
              </w:rPr>
            </w:pPr>
            <w:r>
              <w:rPr>
                <w:rFonts w:ascii="Arial" w:cs="Arial" w:eastAsia="Arial" w:hAnsi="Arial"/>
                <w:sz w:val="18"/>
                <w:szCs w:val="18"/>
                <w:b w:val="1"/>
                <w:bCs w:val="1"/>
                <w:color w:val="auto"/>
                <w:w w:val="98"/>
              </w:rPr>
              <w:t>CONSOLIDATED STATEMENTS OF OPERATIONS</w:t>
            </w: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360" w:type="dxa"/>
            <w:vAlign w:val="bottom"/>
          </w:tcPr>
          <w:p>
            <w:pPr>
              <w:spacing w:after="0"/>
              <w:rPr>
                <w:sz w:val="18"/>
                <w:szCs w:val="18"/>
                <w:color w:val="auto"/>
              </w:rPr>
            </w:pPr>
          </w:p>
        </w:tc>
        <w:tc>
          <w:tcPr>
            <w:tcW w:w="3900" w:type="dxa"/>
            <w:vAlign w:val="bottom"/>
            <w:gridSpan w:val="4"/>
          </w:tcPr>
          <w:p>
            <w:pPr>
              <w:jc w:val="center"/>
              <w:ind w:left="230"/>
              <w:spacing w:after="0"/>
              <w:rPr>
                <w:sz w:val="20"/>
                <w:szCs w:val="20"/>
                <w:color w:val="auto"/>
              </w:rPr>
            </w:pPr>
            <w:r>
              <w:rPr>
                <w:rFonts w:ascii="Arial" w:cs="Arial" w:eastAsia="Arial" w:hAnsi="Arial"/>
                <w:sz w:val="18"/>
                <w:szCs w:val="18"/>
                <w:b w:val="1"/>
                <w:bCs w:val="1"/>
                <w:color w:val="auto"/>
                <w:w w:val="89"/>
              </w:rPr>
              <w:t>(In millions except per share data)</w:t>
            </w: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360" w:type="dxa"/>
            <w:vAlign w:val="bottom"/>
          </w:tcPr>
          <w:p>
            <w:pPr>
              <w:spacing w:after="0"/>
              <w:rPr>
                <w:sz w:val="20"/>
                <w:szCs w:val="20"/>
                <w:color w:val="auto"/>
              </w:rPr>
            </w:pPr>
          </w:p>
        </w:tc>
        <w:tc>
          <w:tcPr>
            <w:tcW w:w="2940" w:type="dxa"/>
            <w:vAlign w:val="bottom"/>
            <w:gridSpan w:val="2"/>
          </w:tcPr>
          <w:p>
            <w:pPr>
              <w:jc w:val="center"/>
              <w:ind w:left="1170"/>
              <w:spacing w:after="0"/>
              <w:rPr>
                <w:sz w:val="20"/>
                <w:szCs w:val="20"/>
                <w:color w:val="auto"/>
              </w:rPr>
            </w:pPr>
            <w:r>
              <w:rPr>
                <w:rFonts w:ascii="Arial" w:cs="Arial" w:eastAsia="Arial" w:hAnsi="Arial"/>
                <w:sz w:val="18"/>
                <w:szCs w:val="18"/>
                <w:b w:val="1"/>
                <w:bCs w:val="1"/>
                <w:color w:val="auto"/>
                <w:w w:val="91"/>
              </w:rPr>
              <w:t>(Unaudited)</w:t>
            </w:r>
          </w:p>
        </w:tc>
        <w:tc>
          <w:tcPr>
            <w:tcW w:w="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3360" w:type="dxa"/>
            <w:vAlign w:val="bottom"/>
          </w:tcPr>
          <w:p>
            <w:pPr>
              <w:spacing w:after="0"/>
              <w:rPr>
                <w:sz w:val="21"/>
                <w:szCs w:val="21"/>
                <w:color w:val="auto"/>
              </w:rPr>
            </w:pPr>
          </w:p>
        </w:tc>
        <w:tc>
          <w:tcPr>
            <w:tcW w:w="26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960" w:type="dxa"/>
            <w:vAlign w:val="bottom"/>
            <w:gridSpan w:val="4"/>
          </w:tcPr>
          <w:p>
            <w:pPr>
              <w:jc w:val="right"/>
              <w:ind w:right="210"/>
              <w:spacing w:after="0"/>
              <w:rPr>
                <w:sz w:val="20"/>
                <w:szCs w:val="20"/>
                <w:color w:val="auto"/>
              </w:rPr>
            </w:pPr>
            <w:r>
              <w:rPr>
                <w:rFonts w:ascii="Arial" w:cs="Arial" w:eastAsia="Arial" w:hAnsi="Arial"/>
                <w:sz w:val="18"/>
                <w:szCs w:val="18"/>
                <w:b w:val="1"/>
                <w:bCs w:val="1"/>
                <w:color w:val="auto"/>
                <w:w w:val="92"/>
              </w:rPr>
              <w:t>Three Months Ended</w:t>
            </w:r>
          </w:p>
        </w:tc>
        <w:tc>
          <w:tcPr>
            <w:tcW w:w="4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20" w:type="dxa"/>
            <w:vAlign w:val="bottom"/>
            <w:gridSpan w:val="4"/>
          </w:tcPr>
          <w:p>
            <w:pPr>
              <w:jc w:val="right"/>
              <w:ind w:right="33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41"/>
        </w:trPr>
        <w:tc>
          <w:tcPr>
            <w:tcW w:w="336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8"/>
                <w:szCs w:val="18"/>
                <w:b w:val="1"/>
                <w:bCs w:val="1"/>
                <w:color w:val="auto"/>
              </w:rPr>
              <w:t>June 30,</w:t>
            </w:r>
          </w:p>
        </w:tc>
        <w:tc>
          <w:tcPr>
            <w:tcW w:w="680" w:type="dxa"/>
            <w:vAlign w:val="bottom"/>
            <w:tcBorders>
              <w:bottom w:val="single" w:sz="8" w:color="auto"/>
            </w:tcBorders>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7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360" w:type="dxa"/>
            <w:vAlign w:val="bottom"/>
            <w:tcBorders>
              <w:bottom w:val="single" w:sz="8" w:color="CCEEFF"/>
            </w:tcBorders>
          </w:tcPr>
          <w:p>
            <w:pPr>
              <w:spacing w:after="0"/>
              <w:rPr>
                <w:sz w:val="19"/>
                <w:szCs w:val="19"/>
                <w:color w:val="auto"/>
              </w:rPr>
            </w:pPr>
          </w:p>
        </w:tc>
        <w:tc>
          <w:tcPr>
            <w:tcW w:w="26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94"/>
              </w:rPr>
              <w:t>2023</w:t>
            </w:r>
          </w:p>
        </w:tc>
        <w:tc>
          <w:tcPr>
            <w:tcW w:w="2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84"/>
              </w:rPr>
              <w:t>2022</w:t>
            </w:r>
          </w:p>
        </w:tc>
        <w:tc>
          <w:tcPr>
            <w:tcW w:w="4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2023</w:t>
            </w:r>
          </w:p>
        </w:tc>
        <w:tc>
          <w:tcPr>
            <w:tcW w:w="2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99"/>
              </w:rPr>
              <w:t>2022</w:t>
            </w:r>
          </w:p>
        </w:tc>
        <w:tc>
          <w:tcPr>
            <w:tcW w:w="0" w:type="dxa"/>
            <w:vAlign w:val="bottom"/>
          </w:tcPr>
          <w:p>
            <w:pPr>
              <w:spacing w:after="0"/>
              <w:rPr>
                <w:sz w:val="1"/>
                <w:szCs w:val="1"/>
                <w:color w:val="auto"/>
              </w:rPr>
            </w:pPr>
          </w:p>
        </w:tc>
      </w:tr>
      <w:tr>
        <w:trPr>
          <w:trHeight w:val="223"/>
        </w:trPr>
        <w:tc>
          <w:tcPr>
            <w:tcW w:w="3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sales</w:t>
            </w:r>
          </w:p>
        </w:tc>
        <w:tc>
          <w:tcPr>
            <w:tcW w:w="26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3,109</w:t>
            </w:r>
          </w:p>
        </w:tc>
        <w:tc>
          <w:tcPr>
            <w:tcW w:w="24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3,510</w:t>
            </w:r>
          </w:p>
        </w:tc>
        <w:tc>
          <w:tcPr>
            <w:tcW w:w="4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6,083</w:t>
            </w:r>
          </w:p>
        </w:tc>
        <w:tc>
          <w:tcPr>
            <w:tcW w:w="24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6,672</w:t>
            </w:r>
          </w:p>
        </w:tc>
        <w:tc>
          <w:tcPr>
            <w:tcW w:w="0" w:type="dxa"/>
            <w:vAlign w:val="bottom"/>
          </w:tcPr>
          <w:p>
            <w:pPr>
              <w:spacing w:after="0"/>
              <w:rPr>
                <w:sz w:val="1"/>
                <w:szCs w:val="1"/>
                <w:color w:val="auto"/>
              </w:rPr>
            </w:pPr>
          </w:p>
        </w:tc>
      </w:tr>
      <w:tr>
        <w:trPr>
          <w:trHeight w:val="230"/>
        </w:trPr>
        <w:tc>
          <w:tcPr>
            <w:tcW w:w="6300" w:type="dxa"/>
            <w:vAlign w:val="bottom"/>
            <w:gridSpan w:val="3"/>
          </w:tcPr>
          <w:p>
            <w:pPr>
              <w:ind w:left="340"/>
              <w:spacing w:after="0"/>
              <w:rPr>
                <w:sz w:val="20"/>
                <w:szCs w:val="20"/>
                <w:color w:val="auto"/>
              </w:rPr>
            </w:pPr>
            <w:r>
              <w:rPr>
                <w:rFonts w:ascii="Arial" w:cs="Arial" w:eastAsia="Arial" w:hAnsi="Arial"/>
                <w:sz w:val="18"/>
                <w:szCs w:val="18"/>
                <w:color w:val="auto"/>
              </w:rPr>
              <w:t>Cost of products sold, excluding depreciation and amortization</w:t>
            </w:r>
          </w:p>
        </w:tc>
        <w:tc>
          <w:tcPr>
            <w:tcW w:w="720" w:type="dxa"/>
            <w:vAlign w:val="bottom"/>
          </w:tcPr>
          <w:p>
            <w:pPr>
              <w:jc w:val="right"/>
              <w:spacing w:after="0"/>
              <w:rPr>
                <w:sz w:val="20"/>
                <w:szCs w:val="20"/>
                <w:color w:val="auto"/>
              </w:rPr>
            </w:pPr>
            <w:r>
              <w:rPr>
                <w:rFonts w:ascii="Arial" w:cs="Arial" w:eastAsia="Arial" w:hAnsi="Arial"/>
                <w:sz w:val="18"/>
                <w:szCs w:val="18"/>
                <w:color w:val="auto"/>
              </w:rPr>
              <w:t>2,463</w:t>
            </w: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2,861</w:t>
            </w: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4,874</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5,408</w:t>
            </w:r>
          </w:p>
        </w:tc>
        <w:tc>
          <w:tcPr>
            <w:tcW w:w="0" w:type="dxa"/>
            <w:vAlign w:val="bottom"/>
          </w:tcPr>
          <w:p>
            <w:pPr>
              <w:spacing w:after="0"/>
              <w:rPr>
                <w:sz w:val="1"/>
                <w:szCs w:val="1"/>
                <w:color w:val="auto"/>
              </w:rPr>
            </w:pPr>
          </w:p>
        </w:tc>
      </w:tr>
      <w:tr>
        <w:trPr>
          <w:trHeight w:val="236"/>
        </w:trPr>
        <w:tc>
          <w:tcPr>
            <w:tcW w:w="33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Depreciation and amortization</w:t>
            </w:r>
          </w:p>
        </w:tc>
        <w:tc>
          <w:tcPr>
            <w:tcW w:w="26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2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4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w:t>
            </w:r>
          </w:p>
        </w:tc>
        <w:tc>
          <w:tcPr>
            <w:tcW w:w="2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0" w:type="dxa"/>
            <w:vAlign w:val="bottom"/>
          </w:tcPr>
          <w:p>
            <w:pPr>
              <w:spacing w:after="0"/>
              <w:rPr>
                <w:sz w:val="1"/>
                <w:szCs w:val="1"/>
                <w:color w:val="auto"/>
              </w:rPr>
            </w:pPr>
          </w:p>
        </w:tc>
      </w:tr>
      <w:tr>
        <w:trPr>
          <w:trHeight w:val="230"/>
        </w:trPr>
        <w:tc>
          <w:tcPr>
            <w:tcW w:w="3360" w:type="dxa"/>
            <w:vAlign w:val="bottom"/>
          </w:tcPr>
          <w:p>
            <w:pPr>
              <w:ind w:left="340"/>
              <w:spacing w:after="0"/>
              <w:rPr>
                <w:sz w:val="20"/>
                <w:szCs w:val="20"/>
                <w:color w:val="auto"/>
              </w:rPr>
            </w:pPr>
            <w:r>
              <w:rPr>
                <w:rFonts w:ascii="Arial" w:cs="Arial" w:eastAsia="Arial" w:hAnsi="Arial"/>
                <w:sz w:val="18"/>
                <w:szCs w:val="18"/>
                <w:color w:val="auto"/>
              </w:rPr>
              <w:t>Selling and administrative expense</w:t>
            </w:r>
          </w:p>
        </w:tc>
        <w:tc>
          <w:tcPr>
            <w:tcW w:w="26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148</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140</w:t>
            </w: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308</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297</w:t>
            </w:r>
          </w:p>
        </w:tc>
        <w:tc>
          <w:tcPr>
            <w:tcW w:w="0" w:type="dxa"/>
            <w:vAlign w:val="bottom"/>
          </w:tcPr>
          <w:p>
            <w:pPr>
              <w:spacing w:after="0"/>
              <w:rPr>
                <w:sz w:val="1"/>
                <w:szCs w:val="1"/>
                <w:color w:val="auto"/>
              </w:rPr>
            </w:pPr>
          </w:p>
        </w:tc>
      </w:tr>
      <w:tr>
        <w:trPr>
          <w:trHeight w:val="243"/>
        </w:trPr>
        <w:tc>
          <w:tcPr>
            <w:tcW w:w="33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Restructuring and other, net</w:t>
            </w:r>
          </w:p>
        </w:tc>
        <w:tc>
          <w:tcPr>
            <w:tcW w:w="268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4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44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4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23"/>
        </w:trPr>
        <w:tc>
          <w:tcPr>
            <w:tcW w:w="3360" w:type="dxa"/>
            <w:vAlign w:val="bottom"/>
          </w:tcPr>
          <w:p>
            <w:pPr>
              <w:ind w:left="20"/>
              <w:spacing w:after="0"/>
              <w:rPr>
                <w:sz w:val="20"/>
                <w:szCs w:val="20"/>
                <w:color w:val="auto"/>
              </w:rPr>
            </w:pPr>
            <w:r>
              <w:rPr>
                <w:rFonts w:ascii="Arial" w:cs="Arial" w:eastAsia="Arial" w:hAnsi="Arial"/>
                <w:sz w:val="18"/>
                <w:szCs w:val="18"/>
                <w:b w:val="1"/>
                <w:bCs w:val="1"/>
                <w:color w:val="auto"/>
              </w:rPr>
              <w:t>Income from operations</w:t>
            </w:r>
          </w:p>
        </w:tc>
        <w:tc>
          <w:tcPr>
            <w:tcW w:w="26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367</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466</w:t>
            </w: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636</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810</w:t>
            </w:r>
          </w:p>
        </w:tc>
        <w:tc>
          <w:tcPr>
            <w:tcW w:w="0" w:type="dxa"/>
            <w:vAlign w:val="bottom"/>
          </w:tcPr>
          <w:p>
            <w:pPr>
              <w:spacing w:after="0"/>
              <w:rPr>
                <w:sz w:val="1"/>
                <w:szCs w:val="1"/>
                <w:color w:val="auto"/>
              </w:rPr>
            </w:pPr>
          </w:p>
        </w:tc>
      </w:tr>
      <w:tr>
        <w:trPr>
          <w:trHeight w:val="229"/>
        </w:trPr>
        <w:tc>
          <w:tcPr>
            <w:tcW w:w="33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pension and postretirement</w:t>
            </w:r>
          </w:p>
        </w:tc>
        <w:tc>
          <w:tcPr>
            <w:tcW w:w="26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4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37"/>
        </w:trPr>
        <w:tc>
          <w:tcPr>
            <w:tcW w:w="3360" w:type="dxa"/>
            <w:vAlign w:val="bottom"/>
          </w:tcPr>
          <w:p>
            <w:pPr>
              <w:ind w:left="340"/>
              <w:spacing w:after="0"/>
              <w:rPr>
                <w:sz w:val="20"/>
                <w:szCs w:val="20"/>
                <w:color w:val="auto"/>
              </w:rPr>
            </w:pPr>
            <w:r>
              <w:rPr>
                <w:rFonts w:ascii="Arial" w:cs="Arial" w:eastAsia="Arial" w:hAnsi="Arial"/>
                <w:sz w:val="18"/>
                <w:szCs w:val="18"/>
                <w:color w:val="auto"/>
              </w:rPr>
              <w:t>Interest expense</w:t>
            </w:r>
          </w:p>
        </w:tc>
        <w:tc>
          <w:tcPr>
            <w:tcW w:w="2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110</w:t>
            </w: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64</w:t>
            </w: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212</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36"/>
        </w:trPr>
        <w:tc>
          <w:tcPr>
            <w:tcW w:w="33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income</w:t>
            </w:r>
          </w:p>
        </w:tc>
        <w:tc>
          <w:tcPr>
            <w:tcW w:w="26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4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30"/>
        </w:trPr>
        <w:tc>
          <w:tcPr>
            <w:tcW w:w="3360" w:type="dxa"/>
            <w:vAlign w:val="bottom"/>
          </w:tcPr>
          <w:p>
            <w:pPr>
              <w:ind w:left="340"/>
              <w:spacing w:after="0"/>
              <w:rPr>
                <w:sz w:val="20"/>
                <w:szCs w:val="20"/>
                <w:color w:val="auto"/>
              </w:rPr>
            </w:pPr>
            <w:r>
              <w:rPr>
                <w:rFonts w:ascii="Arial" w:cs="Arial" w:eastAsia="Arial" w:hAnsi="Arial"/>
                <w:sz w:val="18"/>
                <w:szCs w:val="18"/>
                <w:color w:val="auto"/>
              </w:rPr>
              <w:t>Foreign exchange</w:t>
            </w:r>
          </w:p>
        </w:tc>
        <w:tc>
          <w:tcPr>
            <w:tcW w:w="26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2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4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2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6"/>
        </w:trPr>
        <w:tc>
          <w:tcPr>
            <w:tcW w:w="6300" w:type="dxa"/>
            <w:vAlign w:val="bottom"/>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Income before taxes and equity in net earnings of affiliates</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2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w:t>
            </w:r>
          </w:p>
        </w:tc>
        <w:tc>
          <w:tcPr>
            <w:tcW w:w="4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2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709</w:t>
            </w:r>
          </w:p>
        </w:tc>
        <w:tc>
          <w:tcPr>
            <w:tcW w:w="0" w:type="dxa"/>
            <w:vAlign w:val="bottom"/>
          </w:tcPr>
          <w:p>
            <w:pPr>
              <w:spacing w:after="0"/>
              <w:rPr>
                <w:sz w:val="1"/>
                <w:szCs w:val="1"/>
                <w:color w:val="auto"/>
              </w:rPr>
            </w:pPr>
          </w:p>
        </w:tc>
      </w:tr>
      <w:tr>
        <w:trPr>
          <w:trHeight w:val="230"/>
        </w:trPr>
        <w:tc>
          <w:tcPr>
            <w:tcW w:w="3360" w:type="dxa"/>
            <w:vAlign w:val="bottom"/>
          </w:tcPr>
          <w:p>
            <w:pPr>
              <w:ind w:left="340"/>
              <w:spacing w:after="0"/>
              <w:rPr>
                <w:sz w:val="20"/>
                <w:szCs w:val="20"/>
                <w:color w:val="auto"/>
              </w:rPr>
            </w:pPr>
            <w:r>
              <w:rPr>
                <w:rFonts w:ascii="Arial" w:cs="Arial" w:eastAsia="Arial" w:hAnsi="Arial"/>
                <w:sz w:val="18"/>
                <w:szCs w:val="18"/>
                <w:color w:val="auto"/>
              </w:rPr>
              <w:t>Provision for income taxes</w:t>
            </w:r>
          </w:p>
        </w:tc>
        <w:tc>
          <w:tcPr>
            <w:tcW w:w="26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59</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85</w:t>
            </w: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101</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29"/>
        </w:trPr>
        <w:tc>
          <w:tcPr>
            <w:tcW w:w="33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Equity in net earnings of affiliates</w:t>
            </w:r>
          </w:p>
        </w:tc>
        <w:tc>
          <w:tcPr>
            <w:tcW w:w="26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4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4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23"/>
        </w:trPr>
        <w:tc>
          <w:tcPr>
            <w:tcW w:w="3360" w:type="dxa"/>
            <w:vAlign w:val="bottom"/>
          </w:tcPr>
          <w:p>
            <w:pPr>
              <w:ind w:left="20"/>
              <w:spacing w:after="0"/>
              <w:rPr>
                <w:sz w:val="20"/>
                <w:szCs w:val="20"/>
                <w:color w:val="auto"/>
              </w:rPr>
            </w:pPr>
            <w:r>
              <w:rPr>
                <w:rFonts w:ascii="Arial" w:cs="Arial" w:eastAsia="Arial" w:hAnsi="Arial"/>
                <w:sz w:val="18"/>
                <w:szCs w:val="18"/>
                <w:b w:val="1"/>
                <w:bCs w:val="1"/>
                <w:color w:val="auto"/>
              </w:rPr>
              <w:t>Net income</w:t>
            </w:r>
          </w:p>
        </w:tc>
        <w:tc>
          <w:tcPr>
            <w:tcW w:w="26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187</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329</w:t>
            </w: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309</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575</w:t>
            </w:r>
          </w:p>
        </w:tc>
        <w:tc>
          <w:tcPr>
            <w:tcW w:w="0" w:type="dxa"/>
            <w:vAlign w:val="bottom"/>
          </w:tcPr>
          <w:p>
            <w:pPr>
              <w:spacing w:after="0"/>
              <w:rPr>
                <w:sz w:val="1"/>
                <w:szCs w:val="1"/>
                <w:color w:val="auto"/>
              </w:rPr>
            </w:pPr>
          </w:p>
        </w:tc>
      </w:tr>
      <w:tr>
        <w:trPr>
          <w:trHeight w:val="229"/>
        </w:trPr>
        <w:tc>
          <w:tcPr>
            <w:tcW w:w="630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Net income attributable to noncontrolling interests</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4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2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23"/>
        </w:trPr>
        <w:tc>
          <w:tcPr>
            <w:tcW w:w="3360" w:type="dxa"/>
            <w:vAlign w:val="bottom"/>
          </w:tcPr>
          <w:p>
            <w:pPr>
              <w:ind w:left="20"/>
              <w:spacing w:after="0"/>
              <w:rPr>
                <w:sz w:val="20"/>
                <w:szCs w:val="20"/>
                <w:color w:val="auto"/>
              </w:rPr>
            </w:pPr>
            <w:r>
              <w:rPr>
                <w:rFonts w:ascii="Arial" w:cs="Arial" w:eastAsia="Arial" w:hAnsi="Arial"/>
                <w:sz w:val="18"/>
                <w:szCs w:val="18"/>
                <w:b w:val="1"/>
                <w:bCs w:val="1"/>
                <w:color w:val="auto"/>
                <w:w w:val="90"/>
              </w:rPr>
              <w:t>Net income attributable to Crown Holdings</w:t>
            </w:r>
          </w:p>
        </w:tc>
        <w:tc>
          <w:tcPr>
            <w:tcW w:w="268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157</w:t>
            </w:r>
          </w:p>
        </w:tc>
        <w:tc>
          <w:tcPr>
            <w:tcW w:w="24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295</w:t>
            </w:r>
          </w:p>
        </w:tc>
        <w:tc>
          <w:tcPr>
            <w:tcW w:w="44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259</w:t>
            </w:r>
          </w:p>
        </w:tc>
        <w:tc>
          <w:tcPr>
            <w:tcW w:w="24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511</w:t>
            </w:r>
          </w:p>
        </w:tc>
        <w:tc>
          <w:tcPr>
            <w:tcW w:w="0" w:type="dxa"/>
            <w:vAlign w:val="bottom"/>
          </w:tcPr>
          <w:p>
            <w:pPr>
              <w:spacing w:after="0"/>
              <w:rPr>
                <w:sz w:val="1"/>
                <w:szCs w:val="1"/>
                <w:color w:val="auto"/>
              </w:rPr>
            </w:pPr>
          </w:p>
        </w:tc>
      </w:tr>
      <w:tr>
        <w:trPr>
          <w:trHeight w:val="20"/>
        </w:trPr>
        <w:tc>
          <w:tcPr>
            <w:tcW w:w="3360" w:type="dxa"/>
            <w:vAlign w:val="bottom"/>
            <w:tcBorders>
              <w:bottom w:val="single" w:sz="8" w:color="CCEEFF"/>
            </w:tcBorders>
          </w:tcPr>
          <w:p>
            <w:pPr>
              <w:spacing w:after="0" w:line="20" w:lineRule="exact"/>
              <w:rPr>
                <w:sz w:val="1"/>
                <w:szCs w:val="1"/>
                <w:color w:val="auto"/>
              </w:rPr>
            </w:pPr>
          </w:p>
        </w:tc>
        <w:tc>
          <w:tcPr>
            <w:tcW w:w="26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360" w:type="dxa"/>
            <w:vAlign w:val="bottom"/>
            <w:shd w:val="clear" w:color="auto" w:fill="CCEEFF"/>
          </w:tcPr>
          <w:p>
            <w:pPr>
              <w:spacing w:after="0"/>
              <w:rPr>
                <w:sz w:val="20"/>
                <w:szCs w:val="20"/>
                <w:color w:val="auto"/>
              </w:rPr>
            </w:pPr>
          </w:p>
        </w:tc>
        <w:tc>
          <w:tcPr>
            <w:tcW w:w="26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6300" w:type="dxa"/>
            <w:vAlign w:val="bottom"/>
            <w:gridSpan w:val="3"/>
          </w:tcPr>
          <w:p>
            <w:pPr>
              <w:ind w:left="20"/>
              <w:spacing w:after="0"/>
              <w:rPr>
                <w:sz w:val="20"/>
                <w:szCs w:val="20"/>
                <w:color w:val="auto"/>
              </w:rPr>
            </w:pPr>
            <w:r>
              <w:rPr>
                <w:rFonts w:ascii="Arial" w:cs="Arial" w:eastAsia="Arial" w:hAnsi="Arial"/>
                <w:sz w:val="18"/>
                <w:szCs w:val="18"/>
                <w:b w:val="1"/>
                <w:bCs w:val="1"/>
                <w:color w:val="auto"/>
              </w:rPr>
              <w:t>Earnings per common share attributable to Crown Holdings:</w:t>
            </w:r>
          </w:p>
        </w:tc>
        <w:tc>
          <w:tcPr>
            <w:tcW w:w="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33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Basic</w:t>
            </w:r>
          </w:p>
        </w:tc>
        <w:tc>
          <w:tcPr>
            <w:tcW w:w="26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24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4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24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4.18</w:t>
            </w:r>
          </w:p>
        </w:tc>
        <w:tc>
          <w:tcPr>
            <w:tcW w:w="0" w:type="dxa"/>
            <w:vAlign w:val="bottom"/>
          </w:tcPr>
          <w:p>
            <w:pPr>
              <w:spacing w:after="0"/>
              <w:rPr>
                <w:sz w:val="1"/>
                <w:szCs w:val="1"/>
                <w:color w:val="auto"/>
              </w:rPr>
            </w:pPr>
          </w:p>
        </w:tc>
      </w:tr>
      <w:tr>
        <w:trPr>
          <w:trHeight w:val="20"/>
        </w:trPr>
        <w:tc>
          <w:tcPr>
            <w:tcW w:w="3360" w:type="dxa"/>
            <w:vAlign w:val="bottom"/>
            <w:vMerge w:val="restart"/>
          </w:tcPr>
          <w:p>
            <w:pPr>
              <w:ind w:left="340"/>
              <w:spacing w:after="0"/>
              <w:rPr>
                <w:sz w:val="20"/>
                <w:szCs w:val="20"/>
                <w:color w:val="auto"/>
              </w:rPr>
            </w:pPr>
            <w:r>
              <w:rPr>
                <w:rFonts w:ascii="Arial" w:cs="Arial" w:eastAsia="Arial" w:hAnsi="Arial"/>
                <w:sz w:val="18"/>
                <w:szCs w:val="18"/>
                <w:color w:val="auto"/>
              </w:rPr>
              <w:t>Diluted</w:t>
            </w:r>
          </w:p>
        </w:tc>
        <w:tc>
          <w:tcPr>
            <w:tcW w:w="294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3360" w:type="dxa"/>
            <w:vAlign w:val="bottom"/>
            <w:vMerge w:val="continue"/>
          </w:tcPr>
          <w:p>
            <w:pPr>
              <w:spacing w:after="0"/>
              <w:rPr>
                <w:sz w:val="17"/>
                <w:szCs w:val="17"/>
                <w:color w:val="auto"/>
              </w:rPr>
            </w:pPr>
          </w:p>
        </w:tc>
        <w:tc>
          <w:tcPr>
            <w:tcW w:w="268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70"/>
              <w:spacing w:after="0" w:line="203" w:lineRule="exact"/>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1.31</w:t>
            </w:r>
          </w:p>
        </w:tc>
        <w:tc>
          <w:tcPr>
            <w:tcW w:w="240" w:type="dxa"/>
            <w:vAlign w:val="bottom"/>
          </w:tcPr>
          <w:p>
            <w:pPr>
              <w:spacing w:after="0"/>
              <w:rPr>
                <w:sz w:val="17"/>
                <w:szCs w:val="17"/>
                <w:color w:val="auto"/>
              </w:rPr>
            </w:pPr>
          </w:p>
        </w:tc>
        <w:tc>
          <w:tcPr>
            <w:tcW w:w="320" w:type="dxa"/>
            <w:vAlign w:val="bottom"/>
            <w:tcBorders>
              <w:top w:val="single" w:sz="8" w:color="auto"/>
              <w:bottom w:val="single" w:sz="8" w:color="auto"/>
            </w:tcBorders>
          </w:tcPr>
          <w:p>
            <w:pPr>
              <w:jc w:val="right"/>
              <w:ind w:right="110"/>
              <w:spacing w:after="0" w:line="203" w:lineRule="exact"/>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2.43</w:t>
            </w:r>
          </w:p>
        </w:tc>
        <w:tc>
          <w:tcPr>
            <w:tcW w:w="44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2.16</w:t>
            </w:r>
          </w:p>
        </w:tc>
        <w:tc>
          <w:tcPr>
            <w:tcW w:w="24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70"/>
              <w:spacing w:after="0" w:line="203" w:lineRule="exact"/>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4.15</w:t>
            </w: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21" w:right="479" w:bottom="1440" w:gutter="0" w:footer="0" w:header="0"/>
        </w:sectPr>
      </w:pPr>
    </w:p>
    <w:bookmarkStart w:id="3" w:name="page4"/>
    <w:bookmarkEnd w:id="3"/>
    <w:p>
      <w:pPr>
        <w:jc w:val="center"/>
        <w:ind w:right="-139"/>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27"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(Unaudited)</w:t>
      </w:r>
    </w:p>
    <w:p>
      <w:pPr>
        <w:spacing w:after="0" w:line="31" w:lineRule="exact"/>
        <w:rPr>
          <w:sz w:val="20"/>
          <w:szCs w:val="20"/>
          <w:color w:val="auto"/>
        </w:rPr>
      </w:pPr>
    </w:p>
    <w:tbl>
      <w:tblPr>
        <w:tblLayout w:type="fixed"/>
        <w:tblInd w:w="160" w:type="dxa"/>
        <w:tblCellMar>
          <w:top w:w="0" w:type="dxa"/>
          <w:left w:w="0" w:type="dxa"/>
          <w:bottom w:w="0" w:type="dxa"/>
          <w:right w:w="0" w:type="dxa"/>
        </w:tblCellMar>
      </w:tblPr>
      <w:tr>
        <w:trPr>
          <w:trHeight w:val="229"/>
        </w:trPr>
        <w:tc>
          <w:tcPr>
            <w:tcW w:w="6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20" w:type="dxa"/>
            <w:vAlign w:val="bottom"/>
            <w:gridSpan w:val="4"/>
          </w:tcPr>
          <w:p>
            <w:pPr>
              <w:jc w:val="right"/>
              <w:ind w:right="210"/>
              <w:spacing w:after="0"/>
              <w:rPr>
                <w:sz w:val="20"/>
                <w:szCs w:val="20"/>
                <w:color w:val="auto"/>
              </w:rPr>
            </w:pPr>
            <w:r>
              <w:rPr>
                <w:rFonts w:ascii="Arial" w:cs="Arial" w:eastAsia="Arial" w:hAnsi="Arial"/>
                <w:sz w:val="18"/>
                <w:szCs w:val="18"/>
                <w:b w:val="1"/>
                <w:bCs w:val="1"/>
                <w:color w:val="auto"/>
                <w:w w:val="95"/>
              </w:rPr>
              <w:t>Three Months Ended</w:t>
            </w: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20" w:type="dxa"/>
            <w:vAlign w:val="bottom"/>
            <w:gridSpan w:val="4"/>
          </w:tcPr>
          <w:p>
            <w:pPr>
              <w:jc w:val="right"/>
              <w:ind w:right="310"/>
              <w:spacing w:after="0"/>
              <w:rPr>
                <w:sz w:val="20"/>
                <w:szCs w:val="20"/>
                <w:color w:val="auto"/>
              </w:rPr>
            </w:pPr>
            <w:r>
              <w:rPr>
                <w:rFonts w:ascii="Arial" w:cs="Arial" w:eastAsia="Arial" w:hAnsi="Arial"/>
                <w:sz w:val="18"/>
                <w:szCs w:val="18"/>
                <w:b w:val="1"/>
                <w:bCs w:val="1"/>
                <w:color w:val="auto"/>
              </w:rPr>
              <w:t>Six Months Ended</w:t>
            </w:r>
          </w:p>
        </w:tc>
      </w:tr>
      <w:tr>
        <w:trPr>
          <w:trHeight w:val="241"/>
        </w:trPr>
        <w:tc>
          <w:tcPr>
            <w:tcW w:w="60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740" w:type="dxa"/>
            <w:vAlign w:val="bottom"/>
            <w:tcBorders>
              <w:bottom w:val="single" w:sz="8" w:color="auto"/>
            </w:tcBorders>
          </w:tcPr>
          <w:p>
            <w:pPr>
              <w:spacing w:after="0"/>
              <w:rPr>
                <w:sz w:val="20"/>
                <w:szCs w:val="20"/>
                <w:color w:val="auto"/>
              </w:rPr>
            </w:pPr>
          </w:p>
        </w:tc>
        <w:tc>
          <w:tcPr>
            <w:tcW w:w="4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740" w:type="dxa"/>
            <w:vAlign w:val="bottom"/>
            <w:tcBorders>
              <w:bottom w:val="single" w:sz="8" w:color="auto"/>
            </w:tcBorders>
          </w:tcPr>
          <w:p>
            <w:pPr>
              <w:spacing w:after="0"/>
              <w:rPr>
                <w:sz w:val="20"/>
                <w:szCs w:val="20"/>
                <w:color w:val="auto"/>
              </w:rPr>
            </w:pPr>
          </w:p>
        </w:tc>
      </w:tr>
      <w:tr>
        <w:trPr>
          <w:trHeight w:val="229"/>
        </w:trPr>
        <w:tc>
          <w:tcPr>
            <w:tcW w:w="60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2023</w:t>
            </w:r>
          </w:p>
        </w:tc>
        <w:tc>
          <w:tcPr>
            <w:tcW w:w="26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99"/>
              </w:rPr>
              <w:t>2022</w:t>
            </w:r>
          </w:p>
        </w:tc>
        <w:tc>
          <w:tcPr>
            <w:tcW w:w="46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2023</w:t>
            </w:r>
          </w:p>
        </w:tc>
        <w:tc>
          <w:tcPr>
            <w:tcW w:w="2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99"/>
              </w:rPr>
              <w:t>2022</w:t>
            </w:r>
          </w:p>
        </w:tc>
      </w:tr>
      <w:tr>
        <w:trPr>
          <w:trHeight w:val="223"/>
        </w:trPr>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26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329</w:t>
            </w:r>
          </w:p>
        </w:tc>
        <w:tc>
          <w:tcPr>
            <w:tcW w:w="46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w:t>
            </w:r>
          </w:p>
        </w:tc>
        <w:tc>
          <w:tcPr>
            <w:tcW w:w="24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575</w:t>
            </w:r>
          </w:p>
        </w:tc>
      </w:tr>
      <w:tr>
        <w:trPr>
          <w:trHeight w:val="263"/>
        </w:trPr>
        <w:tc>
          <w:tcPr>
            <w:tcW w:w="60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40" w:type="dxa"/>
            <w:vAlign w:val="bottom"/>
          </w:tcPr>
          <w:p>
            <w:pPr>
              <w:spacing w:after="0"/>
              <w:rPr>
                <w:sz w:val="22"/>
                <w:szCs w:val="22"/>
                <w:color w:val="auto"/>
              </w:rPr>
            </w:pPr>
          </w:p>
        </w:tc>
      </w:tr>
      <w:tr>
        <w:trPr>
          <w:trHeight w:val="229"/>
        </w:trPr>
        <w:tc>
          <w:tcPr>
            <w:tcW w:w="6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income / (loss), net of tax:</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r>
      <w:tr>
        <w:trPr>
          <w:trHeight w:val="230"/>
        </w:trPr>
        <w:tc>
          <w:tcPr>
            <w:tcW w:w="6040" w:type="dxa"/>
            <w:vAlign w:val="bottom"/>
          </w:tcPr>
          <w:p>
            <w:pPr>
              <w:ind w:left="220"/>
              <w:spacing w:after="0"/>
              <w:rPr>
                <w:sz w:val="20"/>
                <w:szCs w:val="20"/>
                <w:color w:val="auto"/>
              </w:rPr>
            </w:pPr>
            <w:r>
              <w:rPr>
                <w:rFonts w:ascii="Arial" w:cs="Arial" w:eastAsia="Arial" w:hAnsi="Arial"/>
                <w:sz w:val="18"/>
                <w:szCs w:val="18"/>
                <w:color w:val="auto"/>
              </w:rPr>
              <w:t>Foreign currency translation adjustments</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77</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(42)</w:t>
            </w: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166</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43"/>
        </w:trPr>
        <w:tc>
          <w:tcPr>
            <w:tcW w:w="60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Pension and other postretirement benefits</w:t>
            </w:r>
          </w:p>
        </w:tc>
        <w:tc>
          <w:tcPr>
            <w:tcW w:w="20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4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30"/>
        </w:trPr>
        <w:tc>
          <w:tcPr>
            <w:tcW w:w="6040" w:type="dxa"/>
            <w:vAlign w:val="bottom"/>
          </w:tcPr>
          <w:p>
            <w:pPr>
              <w:ind w:left="220"/>
              <w:spacing w:after="0"/>
              <w:rPr>
                <w:sz w:val="20"/>
                <w:szCs w:val="20"/>
                <w:color w:val="auto"/>
              </w:rPr>
            </w:pPr>
            <w:r>
              <w:rPr>
                <w:rFonts w:ascii="Arial" w:cs="Arial" w:eastAsia="Arial" w:hAnsi="Arial"/>
                <w:sz w:val="18"/>
                <w:szCs w:val="18"/>
                <w:color w:val="auto"/>
              </w:rPr>
              <w:t>Derivatives qualifying as hedges</w:t>
            </w: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2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w:t>
            </w:r>
          </w:p>
        </w:tc>
        <w:tc>
          <w:tcPr>
            <w:tcW w:w="4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2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r>
      <w:tr>
        <w:trPr>
          <w:trHeight w:val="223"/>
        </w:trPr>
        <w:tc>
          <w:tcPr>
            <w:tcW w:w="604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b w:val="1"/>
                <w:bCs w:val="1"/>
                <w:color w:val="auto"/>
              </w:rPr>
              <w:t>Total other comprehensive income / (loss)</w:t>
            </w:r>
          </w:p>
        </w:tc>
        <w:tc>
          <w:tcPr>
            <w:tcW w:w="2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26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46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24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w:t>
            </w:r>
          </w:p>
        </w:tc>
      </w:tr>
      <w:tr>
        <w:trPr>
          <w:trHeight w:val="264"/>
        </w:trPr>
        <w:tc>
          <w:tcPr>
            <w:tcW w:w="60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40" w:type="dxa"/>
            <w:vAlign w:val="bottom"/>
          </w:tcPr>
          <w:p>
            <w:pPr>
              <w:spacing w:after="0"/>
              <w:rPr>
                <w:sz w:val="22"/>
                <w:szCs w:val="22"/>
                <w:color w:val="auto"/>
              </w:rPr>
            </w:pPr>
          </w:p>
        </w:tc>
      </w:tr>
      <w:tr>
        <w:trPr>
          <w:trHeight w:val="229"/>
        </w:trPr>
        <w:tc>
          <w:tcPr>
            <w:tcW w:w="60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comprehensive income</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2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4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w:t>
            </w:r>
          </w:p>
        </w:tc>
        <w:tc>
          <w:tcPr>
            <w:tcW w:w="2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w:t>
            </w:r>
          </w:p>
        </w:tc>
      </w:tr>
      <w:tr>
        <w:trPr>
          <w:trHeight w:val="237"/>
        </w:trPr>
        <w:tc>
          <w:tcPr>
            <w:tcW w:w="6040" w:type="dxa"/>
            <w:vAlign w:val="bottom"/>
          </w:tcPr>
          <w:p>
            <w:pPr>
              <w:ind w:left="220"/>
              <w:spacing w:after="0"/>
              <w:rPr>
                <w:sz w:val="20"/>
                <w:szCs w:val="20"/>
                <w:color w:val="auto"/>
              </w:rPr>
            </w:pPr>
            <w:r>
              <w:rPr>
                <w:rFonts w:ascii="Arial" w:cs="Arial" w:eastAsia="Arial" w:hAnsi="Arial"/>
                <w:sz w:val="18"/>
                <w:szCs w:val="18"/>
                <w:color w:val="auto"/>
              </w:rPr>
              <w:t>Net income attributable to noncontrolling interests</w:t>
            </w:r>
          </w:p>
        </w:tc>
        <w:tc>
          <w:tcPr>
            <w:tcW w:w="2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30</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34</w:t>
            </w:r>
          </w:p>
        </w:tc>
        <w:tc>
          <w:tcPr>
            <w:tcW w:w="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50</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36"/>
        </w:trPr>
        <w:tc>
          <w:tcPr>
            <w:tcW w:w="60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Translation adjustments attributable to noncontrolling interests</w:t>
            </w:r>
          </w:p>
        </w:tc>
        <w:tc>
          <w:tcPr>
            <w:tcW w:w="20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4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29"/>
        </w:trPr>
        <w:tc>
          <w:tcPr>
            <w:tcW w:w="6040" w:type="dxa"/>
            <w:vAlign w:val="bottom"/>
          </w:tcPr>
          <w:p>
            <w:pPr>
              <w:ind w:left="220"/>
              <w:spacing w:after="0"/>
              <w:rPr>
                <w:sz w:val="20"/>
                <w:szCs w:val="20"/>
                <w:color w:val="auto"/>
              </w:rPr>
            </w:pPr>
            <w:r>
              <w:rPr>
                <w:rFonts w:ascii="Arial" w:cs="Arial" w:eastAsia="Arial" w:hAnsi="Arial"/>
                <w:sz w:val="18"/>
                <w:szCs w:val="18"/>
                <w:color w:val="auto"/>
              </w:rPr>
              <w:t>Derivatives qualifying as hedges attributable to noncontrolling interests</w:t>
            </w: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4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r>
      <w:tr>
        <w:trPr>
          <w:trHeight w:val="252"/>
        </w:trPr>
        <w:tc>
          <w:tcPr>
            <w:tcW w:w="60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Comprehensive income attributable to Crown Holdings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5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6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w:t>
            </w:r>
          </w:p>
        </w:tc>
        <w:tc>
          <w:tcPr>
            <w:tcW w:w="5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w:t>
            </w:r>
          </w:p>
        </w:tc>
      </w:tr>
      <w:tr>
        <w:trPr>
          <w:trHeight w:val="20"/>
        </w:trPr>
        <w:tc>
          <w:tcPr>
            <w:tcW w:w="60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21" w:right="479" w:bottom="1440" w:gutter="0" w:footer="0" w:header="0"/>
        </w:sectPr>
      </w:pPr>
    </w:p>
    <w:bookmarkStart w:id="4" w:name="page5"/>
    <w:bookmarkEnd w:id="4"/>
    <w:p>
      <w:pPr>
        <w:ind w:left="4800"/>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CONSOLIDATED BALANCE SHEETS (Condensed)</w:t>
      </w:r>
    </w:p>
    <w:p>
      <w:pPr>
        <w:spacing w:after="0" w:line="27"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(Unaudited)</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9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60" w:type="dxa"/>
            <w:vAlign w:val="bottom"/>
          </w:tcPr>
          <w:p>
            <w:pPr>
              <w:jc w:val="right"/>
              <w:ind w:right="350"/>
              <w:spacing w:after="0"/>
              <w:rPr>
                <w:sz w:val="20"/>
                <w:szCs w:val="20"/>
                <w:color w:val="auto"/>
              </w:rPr>
            </w:pPr>
            <w:r>
              <w:rPr>
                <w:rFonts w:ascii="Arial" w:cs="Arial" w:eastAsia="Arial" w:hAnsi="Arial"/>
                <w:sz w:val="18"/>
                <w:szCs w:val="18"/>
                <w:b w:val="1"/>
                <w:bCs w:val="1"/>
                <w:color w:val="auto"/>
              </w:rPr>
              <w:t>June 30,</w:t>
            </w: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tcPr>
          <w:p>
            <w:pPr>
              <w:jc w:val="right"/>
              <w:ind w:right="150"/>
              <w:spacing w:after="0"/>
              <w:rPr>
                <w:sz w:val="20"/>
                <w:szCs w:val="20"/>
                <w:color w:val="auto"/>
              </w:rPr>
            </w:pPr>
            <w:r>
              <w:rPr>
                <w:rFonts w:ascii="Arial" w:cs="Arial" w:eastAsia="Arial" w:hAnsi="Arial"/>
                <w:sz w:val="18"/>
                <w:szCs w:val="18"/>
                <w:b w:val="1"/>
                <w:bCs w:val="1"/>
                <w:color w:val="auto"/>
                <w:w w:val="93"/>
              </w:rPr>
              <w:t>December 31,</w:t>
            </w:r>
          </w:p>
        </w:tc>
      </w:tr>
      <w:tr>
        <w:trPr>
          <w:trHeight w:val="239"/>
        </w:trPr>
        <w:tc>
          <w:tcPr>
            <w:tcW w:w="2980" w:type="dxa"/>
            <w:vAlign w:val="bottom"/>
            <w:tcBorders>
              <w:bottom w:val="single" w:sz="8" w:color="CCEEFF"/>
            </w:tcBorders>
          </w:tcPr>
          <w:p>
            <w:pPr>
              <w:spacing w:after="0"/>
              <w:rPr>
                <w:sz w:val="20"/>
                <w:szCs w:val="20"/>
                <w:color w:val="auto"/>
              </w:rPr>
            </w:pPr>
          </w:p>
        </w:tc>
        <w:tc>
          <w:tcPr>
            <w:tcW w:w="440" w:type="dxa"/>
            <w:vAlign w:val="bottom"/>
            <w:tcBorders>
              <w:bottom w:val="single" w:sz="8" w:color="CCEEFF"/>
            </w:tcBorders>
          </w:tcPr>
          <w:p>
            <w:pPr>
              <w:spacing w:after="0"/>
              <w:rPr>
                <w:sz w:val="20"/>
                <w:szCs w:val="20"/>
                <w:color w:val="auto"/>
              </w:rPr>
            </w:pPr>
          </w:p>
        </w:tc>
        <w:tc>
          <w:tcPr>
            <w:tcW w:w="372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2023</w:t>
            </w:r>
          </w:p>
        </w:tc>
        <w:tc>
          <w:tcPr>
            <w:tcW w:w="46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2022</w:t>
            </w:r>
          </w:p>
        </w:tc>
      </w:tr>
      <w:tr>
        <w:trPr>
          <w:trHeight w:val="214"/>
        </w:trPr>
        <w:tc>
          <w:tcPr>
            <w:tcW w:w="7140" w:type="dxa"/>
            <w:vAlign w:val="bottom"/>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39"/>
        </w:trPr>
        <w:tc>
          <w:tcPr>
            <w:tcW w:w="7140" w:type="dxa"/>
            <w:vAlign w:val="bottom"/>
            <w:gridSpan w:val="3"/>
          </w:tcPr>
          <w:p>
            <w:pPr>
              <w:ind w:left="20"/>
              <w:spacing w:after="0"/>
              <w:rPr>
                <w:sz w:val="20"/>
                <w:szCs w:val="20"/>
                <w:color w:val="auto"/>
              </w:rPr>
            </w:pPr>
            <w:r>
              <w:rPr>
                <w:rFonts w:ascii="Arial" w:cs="Arial" w:eastAsia="Arial" w:hAnsi="Arial"/>
                <w:sz w:val="18"/>
                <w:szCs w:val="18"/>
                <w:b w:val="1"/>
                <w:bCs w:val="1"/>
                <w:color w:val="auto"/>
              </w:rPr>
              <w:t>Current assets</w:t>
            </w:r>
          </w:p>
        </w:tc>
        <w:tc>
          <w:tcPr>
            <w:tcW w:w="2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34"/>
        </w:trPr>
        <w:tc>
          <w:tcPr>
            <w:tcW w:w="714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w:t>
            </w:r>
          </w:p>
        </w:tc>
      </w:tr>
      <w:tr>
        <w:trPr>
          <w:trHeight w:val="230"/>
        </w:trPr>
        <w:tc>
          <w:tcPr>
            <w:tcW w:w="7140" w:type="dxa"/>
            <w:vAlign w:val="bottom"/>
            <w:gridSpan w:val="3"/>
          </w:tcPr>
          <w:p>
            <w:pPr>
              <w:ind w:left="360"/>
              <w:spacing w:after="0"/>
              <w:rPr>
                <w:sz w:val="20"/>
                <w:szCs w:val="20"/>
                <w:color w:val="auto"/>
              </w:rPr>
            </w:pPr>
            <w:r>
              <w:rPr>
                <w:rFonts w:ascii="Arial" w:cs="Arial" w:eastAsia="Arial" w:hAnsi="Arial"/>
                <w:sz w:val="18"/>
                <w:szCs w:val="18"/>
                <w:color w:val="auto"/>
              </w:rPr>
              <w:t>Receivables, net</w:t>
            </w: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1,897</w:t>
            </w: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1,843</w:t>
            </w:r>
          </w:p>
        </w:tc>
      </w:tr>
      <w:tr>
        <w:trPr>
          <w:trHeight w:val="243"/>
        </w:trPr>
        <w:tc>
          <w:tcPr>
            <w:tcW w:w="714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Inventories</w:t>
            </w:r>
          </w:p>
        </w:tc>
        <w:tc>
          <w:tcPr>
            <w:tcW w:w="28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1,908</w:t>
            </w:r>
          </w:p>
        </w:tc>
        <w:tc>
          <w:tcPr>
            <w:tcW w:w="4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2,014</w:t>
            </w:r>
          </w:p>
        </w:tc>
      </w:tr>
      <w:tr>
        <w:trPr>
          <w:trHeight w:val="230"/>
        </w:trPr>
        <w:tc>
          <w:tcPr>
            <w:tcW w:w="7140" w:type="dxa"/>
            <w:vAlign w:val="bottom"/>
            <w:gridSpan w:val="3"/>
          </w:tcPr>
          <w:p>
            <w:pPr>
              <w:ind w:left="360"/>
              <w:spacing w:after="0"/>
              <w:rPr>
                <w:sz w:val="20"/>
                <w:szCs w:val="20"/>
                <w:color w:val="auto"/>
              </w:rPr>
            </w:pPr>
            <w:r>
              <w:rPr>
                <w:rFonts w:ascii="Arial" w:cs="Arial" w:eastAsia="Arial" w:hAnsi="Arial"/>
                <w:sz w:val="18"/>
                <w:szCs w:val="18"/>
                <w:color w:val="auto"/>
              </w:rPr>
              <w:t>Prepaid expenses and other current assets</w:t>
            </w:r>
          </w:p>
        </w:tc>
        <w:tc>
          <w:tcPr>
            <w:tcW w:w="2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w:t>
            </w:r>
          </w:p>
        </w:tc>
        <w:tc>
          <w:tcPr>
            <w:tcW w:w="4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w:t>
            </w:r>
          </w:p>
        </w:tc>
      </w:tr>
      <w:tr>
        <w:trPr>
          <w:trHeight w:val="223"/>
        </w:trPr>
        <w:tc>
          <w:tcPr>
            <w:tcW w:w="7140" w:type="dxa"/>
            <w:vAlign w:val="bottom"/>
            <w:tcBorders>
              <w:bottom w:val="single" w:sz="8" w:color="CCEEFF"/>
            </w:tcBorders>
            <w:gridSpan w:val="3"/>
            <w:shd w:val="clear" w:color="auto" w:fill="CCEEFF"/>
          </w:tcPr>
          <w:p>
            <w:pPr>
              <w:ind w:left="680"/>
              <w:spacing w:after="0"/>
              <w:rPr>
                <w:sz w:val="20"/>
                <w:szCs w:val="20"/>
                <w:color w:val="auto"/>
              </w:rPr>
            </w:pPr>
            <w:r>
              <w:rPr>
                <w:rFonts w:ascii="Arial" w:cs="Arial" w:eastAsia="Arial" w:hAnsi="Arial"/>
                <w:sz w:val="18"/>
                <w:szCs w:val="18"/>
                <w:b w:val="1"/>
                <w:bCs w:val="1"/>
                <w:color w:val="auto"/>
              </w:rPr>
              <w:t>Total current assets</w:t>
            </w:r>
          </w:p>
        </w:tc>
        <w:tc>
          <w:tcPr>
            <w:tcW w:w="2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4,612</w:t>
            </w:r>
          </w:p>
        </w:tc>
        <w:tc>
          <w:tcPr>
            <w:tcW w:w="46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4,659</w:t>
            </w:r>
          </w:p>
        </w:tc>
      </w:tr>
      <w:tr>
        <w:trPr>
          <w:trHeight w:val="263"/>
        </w:trPr>
        <w:tc>
          <w:tcPr>
            <w:tcW w:w="29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7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60" w:type="dxa"/>
            <w:vAlign w:val="bottom"/>
          </w:tcPr>
          <w:p>
            <w:pPr>
              <w:spacing w:after="0"/>
              <w:rPr>
                <w:sz w:val="22"/>
                <w:szCs w:val="22"/>
                <w:color w:val="auto"/>
              </w:rPr>
            </w:pPr>
          </w:p>
        </w:tc>
      </w:tr>
      <w:tr>
        <w:trPr>
          <w:trHeight w:val="230"/>
        </w:trPr>
        <w:tc>
          <w:tcPr>
            <w:tcW w:w="71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3,050</w:t>
            </w:r>
          </w:p>
        </w:tc>
        <w:tc>
          <w:tcPr>
            <w:tcW w:w="4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2,951</w:t>
            </w:r>
          </w:p>
        </w:tc>
      </w:tr>
      <w:tr>
        <w:trPr>
          <w:trHeight w:val="237"/>
        </w:trPr>
        <w:tc>
          <w:tcPr>
            <w:tcW w:w="7140" w:type="dxa"/>
            <w:vAlign w:val="bottom"/>
            <w:gridSpan w:val="3"/>
          </w:tcPr>
          <w:p>
            <w:pPr>
              <w:ind w:left="20"/>
              <w:spacing w:after="0"/>
              <w:rPr>
                <w:sz w:val="20"/>
                <w:szCs w:val="20"/>
                <w:color w:val="auto"/>
              </w:rPr>
            </w:pPr>
            <w:r>
              <w:rPr>
                <w:rFonts w:ascii="Arial" w:cs="Arial" w:eastAsia="Arial" w:hAnsi="Arial"/>
                <w:sz w:val="18"/>
                <w:szCs w:val="18"/>
                <w:color w:val="auto"/>
              </w:rPr>
              <w:t>Intangible assets, net</w:t>
            </w:r>
          </w:p>
        </w:tc>
        <w:tc>
          <w:tcPr>
            <w:tcW w:w="2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1,310</w:t>
            </w:r>
          </w:p>
        </w:tc>
        <w:tc>
          <w:tcPr>
            <w:tcW w:w="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1,358</w:t>
            </w:r>
          </w:p>
        </w:tc>
      </w:tr>
      <w:tr>
        <w:trPr>
          <w:trHeight w:val="236"/>
        </w:trPr>
        <w:tc>
          <w:tcPr>
            <w:tcW w:w="71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Property, plant and equipment, net</w:t>
            </w:r>
          </w:p>
        </w:tc>
        <w:tc>
          <w:tcPr>
            <w:tcW w:w="28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4,890</w:t>
            </w:r>
          </w:p>
        </w:tc>
        <w:tc>
          <w:tcPr>
            <w:tcW w:w="4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4,540</w:t>
            </w:r>
          </w:p>
        </w:tc>
      </w:tr>
      <w:tr>
        <w:trPr>
          <w:trHeight w:val="229"/>
        </w:trPr>
        <w:tc>
          <w:tcPr>
            <w:tcW w:w="7140" w:type="dxa"/>
            <w:vAlign w:val="bottom"/>
            <w:gridSpan w:val="3"/>
          </w:tcPr>
          <w:p>
            <w:pPr>
              <w:ind w:left="20"/>
              <w:spacing w:after="0"/>
              <w:rPr>
                <w:sz w:val="20"/>
                <w:szCs w:val="20"/>
                <w:color w:val="auto"/>
              </w:rPr>
            </w:pPr>
            <w:r>
              <w:rPr>
                <w:rFonts w:ascii="Arial" w:cs="Arial" w:eastAsia="Arial" w:hAnsi="Arial"/>
                <w:sz w:val="18"/>
                <w:szCs w:val="18"/>
                <w:color w:val="auto"/>
              </w:rPr>
              <w:t>Operating lease right-of-use assets, net</w:t>
            </w: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223</w:t>
            </w: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221</w:t>
            </w:r>
          </w:p>
        </w:tc>
      </w:tr>
      <w:tr>
        <w:trPr>
          <w:trHeight w:val="243"/>
        </w:trPr>
        <w:tc>
          <w:tcPr>
            <w:tcW w:w="71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Other non-current assets</w:t>
            </w:r>
          </w:p>
        </w:tc>
        <w:tc>
          <w:tcPr>
            <w:tcW w:w="28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484</w:t>
            </w:r>
          </w:p>
        </w:tc>
        <w:tc>
          <w:tcPr>
            <w:tcW w:w="46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572</w:t>
            </w:r>
          </w:p>
        </w:tc>
      </w:tr>
      <w:tr>
        <w:trPr>
          <w:trHeight w:val="223"/>
        </w:trPr>
        <w:tc>
          <w:tcPr>
            <w:tcW w:w="7140" w:type="dxa"/>
            <w:vAlign w:val="bottom"/>
            <w:gridSpan w:val="3"/>
          </w:tcPr>
          <w:p>
            <w:pPr>
              <w:ind w:left="680"/>
              <w:spacing w:after="0"/>
              <w:rPr>
                <w:sz w:val="20"/>
                <w:szCs w:val="20"/>
                <w:color w:val="auto"/>
              </w:rPr>
            </w:pPr>
            <w:r>
              <w:rPr>
                <w:rFonts w:ascii="Arial" w:cs="Arial" w:eastAsia="Arial" w:hAnsi="Arial"/>
                <w:sz w:val="18"/>
                <w:szCs w:val="18"/>
                <w:b w:val="1"/>
                <w:bCs w:val="1"/>
                <w:color w:val="auto"/>
              </w:rPr>
              <w:t>Total assets</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14,569</w:t>
            </w:r>
          </w:p>
        </w:tc>
        <w:tc>
          <w:tcPr>
            <w:tcW w:w="46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14,301</w:t>
            </w:r>
          </w:p>
        </w:tc>
      </w:tr>
      <w:tr>
        <w:trPr>
          <w:trHeight w:val="20"/>
        </w:trPr>
        <w:tc>
          <w:tcPr>
            <w:tcW w:w="298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37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224"/>
        </w:trPr>
        <w:tc>
          <w:tcPr>
            <w:tcW w:w="29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37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29"/>
        </w:trPr>
        <w:tc>
          <w:tcPr>
            <w:tcW w:w="7140" w:type="dxa"/>
            <w:vAlign w:val="bottom"/>
            <w:gridSpan w:val="3"/>
          </w:tcPr>
          <w:p>
            <w:pPr>
              <w:ind w:left="20"/>
              <w:spacing w:after="0"/>
              <w:rPr>
                <w:sz w:val="20"/>
                <w:szCs w:val="20"/>
                <w:color w:val="auto"/>
              </w:rPr>
            </w:pPr>
            <w:r>
              <w:rPr>
                <w:rFonts w:ascii="Arial" w:cs="Arial" w:eastAsia="Arial" w:hAnsi="Arial"/>
                <w:sz w:val="18"/>
                <w:szCs w:val="18"/>
                <w:b w:val="1"/>
                <w:bCs w:val="1"/>
                <w:color w:val="auto"/>
              </w:rPr>
              <w:t>Liabilities and equity</w:t>
            </w:r>
          </w:p>
        </w:tc>
        <w:tc>
          <w:tcPr>
            <w:tcW w:w="2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29"/>
        </w:trPr>
        <w:tc>
          <w:tcPr>
            <w:tcW w:w="7140" w:type="dxa"/>
            <w:vAlign w:val="bottom"/>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Current liabilities</w:t>
            </w: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37"/>
        </w:trPr>
        <w:tc>
          <w:tcPr>
            <w:tcW w:w="7140" w:type="dxa"/>
            <w:vAlign w:val="bottom"/>
            <w:gridSpan w:val="3"/>
          </w:tcPr>
          <w:p>
            <w:pPr>
              <w:ind w:left="360"/>
              <w:spacing w:after="0"/>
              <w:rPr>
                <w:sz w:val="20"/>
                <w:szCs w:val="20"/>
                <w:color w:val="auto"/>
              </w:rPr>
            </w:pPr>
            <w:r>
              <w:rPr>
                <w:rFonts w:ascii="Arial" w:cs="Arial" w:eastAsia="Arial" w:hAnsi="Arial"/>
                <w:sz w:val="18"/>
                <w:szCs w:val="18"/>
                <w:color w:val="auto"/>
              </w:rPr>
              <w:t>Short-term debt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106</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36"/>
        </w:trPr>
        <w:tc>
          <w:tcPr>
            <w:tcW w:w="714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Current maturities of long-term debt</w:t>
            </w:r>
          </w:p>
        </w:tc>
        <w:tc>
          <w:tcPr>
            <w:tcW w:w="28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4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r>
      <w:tr>
        <w:trPr>
          <w:trHeight w:val="229"/>
        </w:trPr>
        <w:tc>
          <w:tcPr>
            <w:tcW w:w="7140" w:type="dxa"/>
            <w:vAlign w:val="bottom"/>
            <w:gridSpan w:val="3"/>
          </w:tcPr>
          <w:p>
            <w:pPr>
              <w:ind w:left="360"/>
              <w:spacing w:after="0"/>
              <w:rPr>
                <w:sz w:val="20"/>
                <w:szCs w:val="20"/>
                <w:color w:val="auto"/>
              </w:rPr>
            </w:pPr>
            <w:r>
              <w:rPr>
                <w:rFonts w:ascii="Arial" w:cs="Arial" w:eastAsia="Arial" w:hAnsi="Arial"/>
                <w:sz w:val="18"/>
                <w:szCs w:val="18"/>
                <w:color w:val="auto"/>
              </w:rPr>
              <w:t>Current portion of operating lease liabilities</w:t>
            </w: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45</w:t>
            </w: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43"/>
        </w:trPr>
        <w:tc>
          <w:tcPr>
            <w:tcW w:w="714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Accounts payable</w:t>
            </w:r>
          </w:p>
        </w:tc>
        <w:tc>
          <w:tcPr>
            <w:tcW w:w="28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2,325</w:t>
            </w:r>
          </w:p>
        </w:tc>
        <w:tc>
          <w:tcPr>
            <w:tcW w:w="4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2,773</w:t>
            </w:r>
          </w:p>
        </w:tc>
      </w:tr>
      <w:tr>
        <w:trPr>
          <w:trHeight w:val="229"/>
        </w:trPr>
        <w:tc>
          <w:tcPr>
            <w:tcW w:w="7140" w:type="dxa"/>
            <w:vAlign w:val="bottom"/>
            <w:tcBorders>
              <w:bottom w:val="single" w:sz="8" w:color="CCEEFF"/>
            </w:tcBorders>
            <w:gridSpan w:val="3"/>
          </w:tcPr>
          <w:p>
            <w:pPr>
              <w:ind w:left="360"/>
              <w:spacing w:after="0"/>
              <w:rPr>
                <w:sz w:val="20"/>
                <w:szCs w:val="20"/>
                <w:color w:val="auto"/>
              </w:rPr>
            </w:pPr>
            <w:r>
              <w:rPr>
                <w:rFonts w:ascii="Arial" w:cs="Arial" w:eastAsia="Arial" w:hAnsi="Arial"/>
                <w:sz w:val="18"/>
                <w:szCs w:val="18"/>
                <w:color w:val="auto"/>
              </w:rPr>
              <w:t>Accrued liabilities</w:t>
            </w:r>
          </w:p>
        </w:tc>
        <w:tc>
          <w:tcPr>
            <w:tcW w:w="2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938</w:t>
            </w:r>
          </w:p>
        </w:tc>
        <w:tc>
          <w:tcPr>
            <w:tcW w:w="4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930</w:t>
            </w:r>
          </w:p>
        </w:tc>
      </w:tr>
      <w:tr>
        <w:trPr>
          <w:trHeight w:val="223"/>
        </w:trPr>
        <w:tc>
          <w:tcPr>
            <w:tcW w:w="7140" w:type="dxa"/>
            <w:vAlign w:val="bottom"/>
            <w:tcBorders>
              <w:bottom w:val="single" w:sz="8" w:color="CCEEFF"/>
            </w:tcBorders>
            <w:gridSpan w:val="3"/>
            <w:shd w:val="clear" w:color="auto" w:fill="CCEEFF"/>
          </w:tcPr>
          <w:p>
            <w:pPr>
              <w:ind w:left="680"/>
              <w:spacing w:after="0"/>
              <w:rPr>
                <w:sz w:val="20"/>
                <w:szCs w:val="20"/>
                <w:color w:val="auto"/>
              </w:rPr>
            </w:pPr>
            <w:r>
              <w:rPr>
                <w:rFonts w:ascii="Arial" w:cs="Arial" w:eastAsia="Arial" w:hAnsi="Arial"/>
                <w:sz w:val="18"/>
                <w:szCs w:val="18"/>
                <w:b w:val="1"/>
                <w:bCs w:val="1"/>
                <w:color w:val="auto"/>
              </w:rPr>
              <w:t>Total current liabilities</w:t>
            </w:r>
          </w:p>
        </w:tc>
        <w:tc>
          <w:tcPr>
            <w:tcW w:w="2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3,554</w:t>
            </w:r>
          </w:p>
        </w:tc>
        <w:tc>
          <w:tcPr>
            <w:tcW w:w="46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3,932</w:t>
            </w:r>
          </w:p>
        </w:tc>
      </w:tr>
      <w:tr>
        <w:trPr>
          <w:trHeight w:val="263"/>
        </w:trPr>
        <w:tc>
          <w:tcPr>
            <w:tcW w:w="29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7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60" w:type="dxa"/>
            <w:vAlign w:val="bottom"/>
          </w:tcPr>
          <w:p>
            <w:pPr>
              <w:spacing w:after="0"/>
              <w:rPr>
                <w:sz w:val="22"/>
                <w:szCs w:val="22"/>
                <w:color w:val="auto"/>
              </w:rPr>
            </w:pPr>
          </w:p>
        </w:tc>
      </w:tr>
      <w:tr>
        <w:trPr>
          <w:trHeight w:val="230"/>
        </w:trPr>
        <w:tc>
          <w:tcPr>
            <w:tcW w:w="71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Long-term debt, excluding current maturities</w:t>
            </w: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6,986</w:t>
            </w:r>
          </w:p>
        </w:tc>
        <w:tc>
          <w:tcPr>
            <w:tcW w:w="4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6,792</w:t>
            </w:r>
          </w:p>
        </w:tc>
      </w:tr>
      <w:tr>
        <w:trPr>
          <w:trHeight w:val="230"/>
        </w:trPr>
        <w:tc>
          <w:tcPr>
            <w:tcW w:w="7140" w:type="dxa"/>
            <w:vAlign w:val="bottom"/>
            <w:gridSpan w:val="3"/>
          </w:tcPr>
          <w:p>
            <w:pPr>
              <w:ind w:left="20"/>
              <w:spacing w:after="0"/>
              <w:rPr>
                <w:sz w:val="20"/>
                <w:szCs w:val="20"/>
                <w:color w:val="auto"/>
              </w:rPr>
            </w:pPr>
            <w:r>
              <w:rPr>
                <w:rFonts w:ascii="Arial" w:cs="Arial" w:eastAsia="Arial" w:hAnsi="Arial"/>
                <w:sz w:val="18"/>
                <w:szCs w:val="18"/>
                <w:color w:val="auto"/>
              </w:rPr>
              <w:t>Pension and postretirement liabilities</w:t>
            </w: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392</w:t>
            </w: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394</w:t>
            </w:r>
          </w:p>
        </w:tc>
      </w:tr>
      <w:tr>
        <w:trPr>
          <w:trHeight w:val="243"/>
        </w:trPr>
        <w:tc>
          <w:tcPr>
            <w:tcW w:w="71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Non-current portion of operating lease liabilities</w:t>
            </w:r>
          </w:p>
        </w:tc>
        <w:tc>
          <w:tcPr>
            <w:tcW w:w="28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4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w:t>
            </w:r>
          </w:p>
        </w:tc>
      </w:tr>
      <w:tr>
        <w:trPr>
          <w:trHeight w:val="229"/>
        </w:trPr>
        <w:tc>
          <w:tcPr>
            <w:tcW w:w="7140" w:type="dxa"/>
            <w:vAlign w:val="bottom"/>
            <w:gridSpan w:val="3"/>
          </w:tcPr>
          <w:p>
            <w:pPr>
              <w:ind w:left="20"/>
              <w:spacing w:after="0"/>
              <w:rPr>
                <w:sz w:val="20"/>
                <w:szCs w:val="20"/>
                <w:color w:val="auto"/>
              </w:rPr>
            </w:pPr>
            <w:r>
              <w:rPr>
                <w:rFonts w:ascii="Arial" w:cs="Arial" w:eastAsia="Arial" w:hAnsi="Arial"/>
                <w:sz w:val="18"/>
                <w:szCs w:val="18"/>
                <w:color w:val="auto"/>
              </w:rPr>
              <w:t>Other non-current liabilities</w:t>
            </w: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737</w:t>
            </w: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712</w:t>
            </w:r>
          </w:p>
        </w:tc>
      </w:tr>
      <w:tr>
        <w:trPr>
          <w:trHeight w:val="210"/>
        </w:trPr>
        <w:tc>
          <w:tcPr>
            <w:tcW w:w="7140" w:type="dxa"/>
            <w:vAlign w:val="bottom"/>
            <w:gridSpan w:val="3"/>
            <w:shd w:val="clear" w:color="auto" w:fill="CCEEFF"/>
          </w:tcPr>
          <w:p>
            <w:pPr>
              <w:ind w:left="20"/>
              <w:spacing w:after="0" w:line="189" w:lineRule="exact"/>
              <w:rPr>
                <w:sz w:val="20"/>
                <w:szCs w:val="20"/>
                <w:color w:val="auto"/>
              </w:rPr>
            </w:pPr>
            <w:r>
              <w:rPr>
                <w:rFonts w:ascii="Arial" w:cs="Arial" w:eastAsia="Arial" w:hAnsi="Arial"/>
                <w:sz w:val="18"/>
                <w:szCs w:val="18"/>
                <w:color w:val="auto"/>
              </w:rPr>
              <w:t xml:space="preserve">Commitments and contingent liabilities </w:t>
            </w:r>
            <w:r>
              <w:rPr>
                <w:rFonts w:ascii="Arial" w:cs="Arial" w:eastAsia="Arial" w:hAnsi="Arial"/>
                <w:sz w:val="18"/>
                <w:szCs w:val="18"/>
                <w:i w:val="1"/>
                <w:iCs w:val="1"/>
                <w:color w:val="auto"/>
              </w:rPr>
              <w:t>(</w:t>
            </w:r>
            <w:r>
              <w:rPr>
                <w:rFonts w:ascii="Arial" w:cs="Arial" w:eastAsia="Arial" w:hAnsi="Arial"/>
                <w:sz w:val="18"/>
                <w:szCs w:val="18"/>
                <w:i w:val="1"/>
                <w:iCs w:val="1"/>
                <w:color w:val="0000FF"/>
              </w:rPr>
              <w:t>Note I</w:t>
            </w:r>
            <w:r>
              <w:rPr>
                <w:rFonts w:ascii="Arial" w:cs="Arial" w:eastAsia="Arial" w:hAnsi="Arial"/>
                <w:sz w:val="18"/>
                <w:szCs w:val="18"/>
                <w:i w:val="1"/>
                <w:iCs w:val="1"/>
                <w:color w:val="auto"/>
              </w:rPr>
              <w:t>)</w:t>
            </w: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70"/>
        </w:trPr>
        <w:tc>
          <w:tcPr>
            <w:tcW w:w="2980" w:type="dxa"/>
            <w:vAlign w:val="bottom"/>
            <w:tcBorders>
              <w:top w:val="single" w:sz="8" w:color="CCEEFF"/>
            </w:tcBorders>
          </w:tcPr>
          <w:p>
            <w:pPr>
              <w:spacing w:after="0"/>
              <w:rPr>
                <w:sz w:val="23"/>
                <w:szCs w:val="23"/>
                <w:color w:val="auto"/>
              </w:rPr>
            </w:pPr>
          </w:p>
        </w:tc>
        <w:tc>
          <w:tcPr>
            <w:tcW w:w="440" w:type="dxa"/>
            <w:vAlign w:val="bottom"/>
            <w:tcBorders>
              <w:top w:val="single" w:sz="8" w:color="0000FF"/>
            </w:tcBorders>
          </w:tcPr>
          <w:p>
            <w:pPr>
              <w:spacing w:after="0"/>
              <w:rPr>
                <w:sz w:val="23"/>
                <w:szCs w:val="23"/>
                <w:color w:val="auto"/>
              </w:rPr>
            </w:pPr>
          </w:p>
        </w:tc>
        <w:tc>
          <w:tcPr>
            <w:tcW w:w="372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1260" w:type="dxa"/>
            <w:vAlign w:val="bottom"/>
            <w:tcBorders>
              <w:top w:val="single" w:sz="8" w:color="CCEEFF"/>
            </w:tcBorders>
          </w:tcPr>
          <w:p>
            <w:pPr>
              <w:spacing w:after="0"/>
              <w:rPr>
                <w:sz w:val="23"/>
                <w:szCs w:val="23"/>
                <w:color w:val="auto"/>
              </w:rPr>
            </w:pPr>
          </w:p>
        </w:tc>
        <w:tc>
          <w:tcPr>
            <w:tcW w:w="460" w:type="dxa"/>
            <w:vAlign w:val="bottom"/>
            <w:tcBorders>
              <w:top w:val="single" w:sz="8" w:color="CCEEFF"/>
            </w:tcBorders>
          </w:tcPr>
          <w:p>
            <w:pPr>
              <w:spacing w:after="0"/>
              <w:rPr>
                <w:sz w:val="23"/>
                <w:szCs w:val="23"/>
                <w:color w:val="auto"/>
              </w:rPr>
            </w:pPr>
          </w:p>
        </w:tc>
        <w:tc>
          <w:tcPr>
            <w:tcW w:w="180" w:type="dxa"/>
            <w:vAlign w:val="bottom"/>
            <w:tcBorders>
              <w:top w:val="single" w:sz="8" w:color="CCEEFF"/>
            </w:tcBorders>
          </w:tcPr>
          <w:p>
            <w:pPr>
              <w:spacing w:after="0"/>
              <w:rPr>
                <w:sz w:val="23"/>
                <w:szCs w:val="23"/>
                <w:color w:val="auto"/>
              </w:rPr>
            </w:pPr>
          </w:p>
        </w:tc>
        <w:tc>
          <w:tcPr>
            <w:tcW w:w="1360" w:type="dxa"/>
            <w:vAlign w:val="bottom"/>
            <w:tcBorders>
              <w:top w:val="single" w:sz="8" w:color="CCEEFF"/>
            </w:tcBorders>
          </w:tcPr>
          <w:p>
            <w:pPr>
              <w:spacing w:after="0"/>
              <w:rPr>
                <w:sz w:val="23"/>
                <w:szCs w:val="23"/>
                <w:color w:val="auto"/>
              </w:rPr>
            </w:pPr>
          </w:p>
        </w:tc>
      </w:tr>
      <w:tr>
        <w:trPr>
          <w:trHeight w:val="243"/>
        </w:trPr>
        <w:tc>
          <w:tcPr>
            <w:tcW w:w="71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Noncontrolling interests</w:t>
            </w:r>
          </w:p>
        </w:tc>
        <w:tc>
          <w:tcPr>
            <w:tcW w:w="28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w:t>
            </w:r>
          </w:p>
        </w:tc>
        <w:tc>
          <w:tcPr>
            <w:tcW w:w="4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w:t>
            </w:r>
          </w:p>
        </w:tc>
      </w:tr>
      <w:tr>
        <w:trPr>
          <w:trHeight w:val="230"/>
        </w:trPr>
        <w:tc>
          <w:tcPr>
            <w:tcW w:w="7140" w:type="dxa"/>
            <w:vAlign w:val="bottom"/>
            <w:gridSpan w:val="3"/>
          </w:tcPr>
          <w:p>
            <w:pPr>
              <w:ind w:left="20"/>
              <w:spacing w:after="0"/>
              <w:rPr>
                <w:sz w:val="20"/>
                <w:szCs w:val="20"/>
                <w:color w:val="auto"/>
              </w:rPr>
            </w:pPr>
            <w:r>
              <w:rPr>
                <w:rFonts w:ascii="Arial" w:cs="Arial" w:eastAsia="Arial" w:hAnsi="Arial"/>
                <w:sz w:val="18"/>
                <w:szCs w:val="18"/>
                <w:color w:val="auto"/>
              </w:rPr>
              <w:t>Crown Holdings shareholders’ equity</w:t>
            </w:r>
          </w:p>
        </w:tc>
        <w:tc>
          <w:tcPr>
            <w:tcW w:w="2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2,235</w:t>
            </w:r>
          </w:p>
        </w:tc>
        <w:tc>
          <w:tcPr>
            <w:tcW w:w="4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1,849</w:t>
            </w:r>
          </w:p>
        </w:tc>
      </w:tr>
      <w:tr>
        <w:trPr>
          <w:trHeight w:val="223"/>
        </w:trPr>
        <w:tc>
          <w:tcPr>
            <w:tcW w:w="7140" w:type="dxa"/>
            <w:vAlign w:val="bottom"/>
            <w:tcBorders>
              <w:bottom w:val="single" w:sz="8" w:color="CCEEFF"/>
            </w:tcBorders>
            <w:gridSpan w:val="3"/>
            <w:shd w:val="clear" w:color="auto" w:fill="CCEEFF"/>
          </w:tcPr>
          <w:p>
            <w:pPr>
              <w:ind w:left="680"/>
              <w:spacing w:after="0"/>
              <w:rPr>
                <w:sz w:val="20"/>
                <w:szCs w:val="20"/>
                <w:color w:val="auto"/>
              </w:rPr>
            </w:pPr>
            <w:r>
              <w:rPr>
                <w:rFonts w:ascii="Arial" w:cs="Arial" w:eastAsia="Arial" w:hAnsi="Arial"/>
                <w:sz w:val="18"/>
                <w:szCs w:val="18"/>
                <w:b w:val="1"/>
                <w:bCs w:val="1"/>
                <w:color w:val="auto"/>
              </w:rPr>
              <w:t>Total equity</w:t>
            </w:r>
          </w:p>
        </w:tc>
        <w:tc>
          <w:tcPr>
            <w:tcW w:w="2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2,715</w:t>
            </w:r>
          </w:p>
        </w:tc>
        <w:tc>
          <w:tcPr>
            <w:tcW w:w="46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2,287</w:t>
            </w:r>
          </w:p>
        </w:tc>
      </w:tr>
      <w:tr>
        <w:trPr>
          <w:trHeight w:val="232"/>
        </w:trPr>
        <w:tc>
          <w:tcPr>
            <w:tcW w:w="7140" w:type="dxa"/>
            <w:vAlign w:val="bottom"/>
            <w:gridSpan w:val="3"/>
          </w:tcPr>
          <w:p>
            <w:pPr>
              <w:ind w:left="680"/>
              <w:spacing w:after="0"/>
              <w:rPr>
                <w:sz w:val="20"/>
                <w:szCs w:val="20"/>
                <w:color w:val="auto"/>
              </w:rPr>
            </w:pPr>
            <w:r>
              <w:rPr>
                <w:rFonts w:ascii="Arial" w:cs="Arial" w:eastAsia="Arial" w:hAnsi="Arial"/>
                <w:sz w:val="18"/>
                <w:szCs w:val="18"/>
                <w:b w:val="1"/>
                <w:bCs w:val="1"/>
                <w:color w:val="auto"/>
              </w:rPr>
              <w:t>Total liabilities and equity</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14,569</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14,301</w:t>
            </w:r>
          </w:p>
        </w:tc>
      </w:tr>
      <w:tr>
        <w:trPr>
          <w:trHeight w:val="25"/>
        </w:trPr>
        <w:tc>
          <w:tcPr>
            <w:tcW w:w="2980" w:type="dxa"/>
            <w:vAlign w:val="bottom"/>
          </w:tcPr>
          <w:p>
            <w:pPr>
              <w:spacing w:after="0"/>
              <w:rPr>
                <w:sz w:val="2"/>
                <w:szCs w:val="2"/>
                <w:color w:val="auto"/>
              </w:rPr>
            </w:pPr>
          </w:p>
        </w:tc>
        <w:tc>
          <w:tcPr>
            <w:tcW w:w="440" w:type="dxa"/>
            <w:vAlign w:val="bottom"/>
          </w:tcPr>
          <w:p>
            <w:pPr>
              <w:spacing w:after="0"/>
              <w:rPr>
                <w:sz w:val="2"/>
                <w:szCs w:val="2"/>
                <w:color w:val="auto"/>
              </w:rPr>
            </w:pPr>
          </w:p>
        </w:tc>
        <w:tc>
          <w:tcPr>
            <w:tcW w:w="3720" w:type="dxa"/>
            <w:vAlign w:val="bottom"/>
          </w:tcPr>
          <w:p>
            <w:pPr>
              <w:spacing w:after="0"/>
              <w:rPr>
                <w:sz w:val="2"/>
                <w:szCs w:val="2"/>
                <w:color w:val="auto"/>
              </w:rPr>
            </w:pPr>
          </w:p>
        </w:tc>
        <w:tc>
          <w:tcPr>
            <w:tcW w:w="280" w:type="dxa"/>
            <w:vAlign w:val="bottom"/>
            <w:tcBorders>
              <w:top w:val="single" w:sz="8" w:color="auto"/>
              <w:bottom w:val="single" w:sz="8" w:color="auto"/>
            </w:tcBorders>
          </w:tcPr>
          <w:p>
            <w:pPr>
              <w:spacing w:after="0"/>
              <w:rPr>
                <w:sz w:val="2"/>
                <w:szCs w:val="2"/>
                <w:color w:val="auto"/>
              </w:rPr>
            </w:pPr>
          </w:p>
        </w:tc>
        <w:tc>
          <w:tcPr>
            <w:tcW w:w="1260" w:type="dxa"/>
            <w:vAlign w:val="bottom"/>
            <w:tcBorders>
              <w:top w:val="single" w:sz="8" w:color="auto"/>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tcBorders>
              <w:top w:val="single" w:sz="8" w:color="auto"/>
              <w:bottom w:val="single" w:sz="8" w:color="auto"/>
            </w:tcBorders>
          </w:tcPr>
          <w:p>
            <w:pPr>
              <w:spacing w:after="0"/>
              <w:rPr>
                <w:sz w:val="2"/>
                <w:szCs w:val="2"/>
                <w:color w:val="auto"/>
              </w:rPr>
            </w:pPr>
          </w:p>
        </w:tc>
        <w:tc>
          <w:tcPr>
            <w:tcW w:w="1360" w:type="dxa"/>
            <w:vAlign w:val="bottom"/>
            <w:tcBorders>
              <w:top w:val="single" w:sz="8" w:color="auto"/>
              <w:bottom w:val="single" w:sz="8" w:color="auto"/>
            </w:tcBorders>
          </w:tcPr>
          <w:p>
            <w:pPr>
              <w:spacing w:after="0"/>
              <w:rPr>
                <w:sz w:val="2"/>
                <w:szCs w:val="2"/>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55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80"/>
          </w:cols>
          <w:pgMar w:left="320" w:top="121" w:right="899" w:bottom="1440" w:gutter="0" w:footer="0" w:header="0"/>
        </w:sectPr>
      </w:pPr>
    </w:p>
    <w:bookmarkStart w:id="5" w:name="page6"/>
    <w:bookmarkEnd w:id="5"/>
    <w:p>
      <w:pPr>
        <w:jc w:val="center"/>
        <w:ind w:right="-99"/>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CASH FLOWS (Condensed)</w:t>
      </w:r>
    </w:p>
    <w:p>
      <w:pPr>
        <w:spacing w:after="0" w:line="27"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(Unaudited)</w:t>
      </w:r>
    </w:p>
    <w:p>
      <w:pPr>
        <w:spacing w:after="0" w:line="31" w:lineRule="exact"/>
        <w:rPr>
          <w:sz w:val="20"/>
          <w:szCs w:val="20"/>
          <w:color w:val="auto"/>
        </w:rPr>
      </w:pPr>
    </w:p>
    <w:tbl>
      <w:tblPr>
        <w:tblLayout w:type="fixed"/>
        <w:tblInd w:w="100" w:type="dxa"/>
        <w:tblCellMar>
          <w:top w:w="0" w:type="dxa"/>
          <w:left w:w="0" w:type="dxa"/>
          <w:bottom w:w="0" w:type="dxa"/>
          <w:right w:w="0" w:type="dxa"/>
        </w:tblCellMar>
      </w:tblPr>
      <w:tr>
        <w:trPr>
          <w:trHeight w:val="229"/>
        </w:trPr>
        <w:tc>
          <w:tcPr>
            <w:tcW w:w="8180" w:type="dxa"/>
            <w:vAlign w:val="bottom"/>
          </w:tcPr>
          <w:p>
            <w:pPr>
              <w:spacing w:after="0"/>
              <w:rPr>
                <w:sz w:val="19"/>
                <w:szCs w:val="19"/>
                <w:color w:val="auto"/>
              </w:rPr>
            </w:pPr>
          </w:p>
        </w:tc>
        <w:tc>
          <w:tcPr>
            <w:tcW w:w="2440" w:type="dxa"/>
            <w:vAlign w:val="bottom"/>
            <w:gridSpan w:val="4"/>
          </w:tcPr>
          <w:p>
            <w:pPr>
              <w:jc w:val="right"/>
              <w:ind w:right="210"/>
              <w:spacing w:after="0"/>
              <w:rPr>
                <w:sz w:val="20"/>
                <w:szCs w:val="20"/>
                <w:color w:val="auto"/>
              </w:rPr>
            </w:pPr>
            <w:r>
              <w:rPr>
                <w:rFonts w:ascii="Arial" w:cs="Arial" w:eastAsia="Arial" w:hAnsi="Arial"/>
                <w:sz w:val="18"/>
                <w:szCs w:val="18"/>
                <w:b w:val="1"/>
                <w:bCs w:val="1"/>
                <w:color w:val="auto"/>
              </w:rPr>
              <w:t>Six Months Ended</w:t>
            </w:r>
          </w:p>
        </w:tc>
        <w:tc>
          <w:tcPr>
            <w:tcW w:w="420" w:type="dxa"/>
            <w:vAlign w:val="bottom"/>
          </w:tcPr>
          <w:p>
            <w:pPr>
              <w:spacing w:after="0"/>
              <w:rPr>
                <w:sz w:val="19"/>
                <w:szCs w:val="19"/>
                <w:color w:val="auto"/>
              </w:rPr>
            </w:pPr>
          </w:p>
        </w:tc>
      </w:tr>
      <w:tr>
        <w:trPr>
          <w:trHeight w:val="241"/>
        </w:trPr>
        <w:tc>
          <w:tcPr>
            <w:tcW w:w="8180" w:type="dxa"/>
            <w:vAlign w:val="bottom"/>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3"/>
          </w:tcPr>
          <w:p>
            <w:pPr>
              <w:jc w:val="right"/>
              <w:ind w:right="590"/>
              <w:spacing w:after="0"/>
              <w:rPr>
                <w:sz w:val="20"/>
                <w:szCs w:val="20"/>
                <w:color w:val="auto"/>
              </w:rPr>
            </w:pPr>
            <w:r>
              <w:rPr>
                <w:rFonts w:ascii="Arial" w:cs="Arial" w:eastAsia="Arial" w:hAnsi="Arial"/>
                <w:sz w:val="18"/>
                <w:szCs w:val="18"/>
                <w:b w:val="1"/>
                <w:bCs w:val="1"/>
                <w:color w:val="auto"/>
              </w:rPr>
              <w:t>June 30,</w:t>
            </w:r>
          </w:p>
        </w:tc>
        <w:tc>
          <w:tcPr>
            <w:tcW w:w="420" w:type="dxa"/>
            <w:vAlign w:val="bottom"/>
            <w:tcBorders>
              <w:bottom w:val="single" w:sz="8" w:color="auto"/>
            </w:tcBorders>
          </w:tcPr>
          <w:p>
            <w:pPr>
              <w:spacing w:after="0"/>
              <w:rPr>
                <w:sz w:val="20"/>
                <w:szCs w:val="20"/>
                <w:color w:val="auto"/>
              </w:rPr>
            </w:pPr>
          </w:p>
        </w:tc>
      </w:tr>
      <w:tr>
        <w:trPr>
          <w:trHeight w:val="229"/>
        </w:trPr>
        <w:tc>
          <w:tcPr>
            <w:tcW w:w="8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2023</w:t>
            </w:r>
          </w:p>
        </w:tc>
        <w:tc>
          <w:tcPr>
            <w:tcW w:w="420" w:type="dxa"/>
            <w:vAlign w:val="bottom"/>
          </w:tcPr>
          <w:p>
            <w:pPr>
              <w:spacing w:after="0"/>
              <w:rPr>
                <w:sz w:val="19"/>
                <w:szCs w:val="19"/>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b w:val="1"/>
                <w:bCs w:val="1"/>
                <w:color w:val="auto"/>
              </w:rPr>
              <w:t>2022</w:t>
            </w:r>
          </w:p>
        </w:tc>
        <w:tc>
          <w:tcPr>
            <w:tcW w:w="420" w:type="dxa"/>
            <w:vAlign w:val="bottom"/>
          </w:tcPr>
          <w:p>
            <w:pPr>
              <w:spacing w:after="0"/>
              <w:rPr>
                <w:sz w:val="19"/>
                <w:szCs w:val="19"/>
                <w:color w:val="auto"/>
              </w:rPr>
            </w:pPr>
          </w:p>
        </w:tc>
      </w:tr>
      <w:tr>
        <w:trPr>
          <w:trHeight w:val="223"/>
        </w:trPr>
        <w:tc>
          <w:tcPr>
            <w:tcW w:w="81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780" w:type="dxa"/>
            <w:vAlign w:val="bottom"/>
            <w:tcBorders>
              <w:top w:val="single" w:sz="8" w:color="auto"/>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spacing w:after="0"/>
              <w:rPr>
                <w:sz w:val="19"/>
                <w:szCs w:val="19"/>
                <w:color w:val="auto"/>
              </w:rPr>
            </w:pPr>
          </w:p>
        </w:tc>
        <w:tc>
          <w:tcPr>
            <w:tcW w:w="460" w:type="dxa"/>
            <w:vAlign w:val="bottom"/>
            <w:tcBorders>
              <w:top w:val="single" w:sz="8" w:color="CCEEFF"/>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spacing w:after="0"/>
              <w:rPr>
                <w:sz w:val="19"/>
                <w:szCs w:val="19"/>
                <w:color w:val="auto"/>
              </w:rPr>
            </w:pPr>
          </w:p>
        </w:tc>
      </w:tr>
      <w:tr>
        <w:trPr>
          <w:trHeight w:val="229"/>
        </w:trPr>
        <w:tc>
          <w:tcPr>
            <w:tcW w:w="8180" w:type="dxa"/>
            <w:vAlign w:val="bottom"/>
          </w:tcPr>
          <w:p>
            <w:pPr>
              <w:ind w:left="660"/>
              <w:spacing w:after="0"/>
              <w:rPr>
                <w:sz w:val="20"/>
                <w:szCs w:val="20"/>
                <w:color w:val="auto"/>
              </w:rPr>
            </w:pPr>
            <w:r>
              <w:rPr>
                <w:rFonts w:ascii="Arial" w:cs="Arial" w:eastAsia="Arial" w:hAnsi="Arial"/>
                <w:sz w:val="18"/>
                <w:szCs w:val="18"/>
                <w:color w:val="auto"/>
              </w:rPr>
              <w:t>Net income</w:t>
            </w:r>
          </w:p>
        </w:tc>
        <w:tc>
          <w:tcPr>
            <w:tcW w:w="780" w:type="dxa"/>
            <w:vAlign w:val="bottom"/>
          </w:tcPr>
          <w:p>
            <w:pPr>
              <w:jc w:val="right"/>
              <w:ind w:right="590"/>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309</w:t>
            </w:r>
          </w:p>
        </w:tc>
        <w:tc>
          <w:tcPr>
            <w:tcW w:w="1240" w:type="dxa"/>
            <w:vAlign w:val="bottom"/>
            <w:gridSpan w:val="2"/>
          </w:tcPr>
          <w:p>
            <w:pPr>
              <w:jc w:val="right"/>
              <w:ind w:right="59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575</w:t>
            </w:r>
          </w:p>
        </w:tc>
      </w:tr>
      <w:tr>
        <w:trPr>
          <w:trHeight w:val="230"/>
        </w:trPr>
        <w:tc>
          <w:tcPr>
            <w:tcW w:w="81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Adjustments to reconcile net income to net cash from operating activities:</w:t>
            </w:r>
          </w:p>
        </w:tc>
        <w:tc>
          <w:tcPr>
            <w:tcW w:w="7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r>
      <w:tr>
        <w:trPr>
          <w:trHeight w:val="237"/>
        </w:trPr>
        <w:tc>
          <w:tcPr>
            <w:tcW w:w="8180" w:type="dxa"/>
            <w:vAlign w:val="bottom"/>
          </w:tcPr>
          <w:p>
            <w:pPr>
              <w:ind w:left="660"/>
              <w:spacing w:after="0"/>
              <w:rPr>
                <w:sz w:val="20"/>
                <w:szCs w:val="20"/>
                <w:color w:val="auto"/>
              </w:rPr>
            </w:pPr>
            <w:r>
              <w:rPr>
                <w:rFonts w:ascii="Arial" w:cs="Arial" w:eastAsia="Arial" w:hAnsi="Arial"/>
                <w:sz w:val="18"/>
                <w:szCs w:val="18"/>
                <w:color w:val="auto"/>
              </w:rPr>
              <w:t>Depreciation and amortization</w:t>
            </w:r>
          </w:p>
        </w:tc>
        <w:tc>
          <w:tcPr>
            <w:tcW w:w="78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248</w:t>
            </w:r>
          </w:p>
        </w:tc>
        <w:tc>
          <w:tcPr>
            <w:tcW w:w="4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231</w:t>
            </w:r>
          </w:p>
        </w:tc>
      </w:tr>
      <w:tr>
        <w:trPr>
          <w:trHeight w:val="236"/>
        </w:trPr>
        <w:tc>
          <w:tcPr>
            <w:tcW w:w="81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Restructuring and other, net</w:t>
            </w:r>
          </w:p>
        </w:tc>
        <w:tc>
          <w:tcPr>
            <w:tcW w:w="780" w:type="dxa"/>
            <w:vAlign w:val="bottom"/>
            <w:shd w:val="clear" w:color="auto" w:fill="CCEEFF"/>
          </w:tcPr>
          <w:p>
            <w:pPr>
              <w:spacing w:after="0"/>
              <w:rPr>
                <w:sz w:val="20"/>
                <w:szCs w:val="20"/>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46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r>
      <w:tr>
        <w:trPr>
          <w:trHeight w:val="229"/>
        </w:trPr>
        <w:tc>
          <w:tcPr>
            <w:tcW w:w="8180" w:type="dxa"/>
            <w:vAlign w:val="bottom"/>
          </w:tcPr>
          <w:p>
            <w:pPr>
              <w:ind w:left="660"/>
              <w:spacing w:after="0"/>
              <w:rPr>
                <w:sz w:val="20"/>
                <w:szCs w:val="20"/>
                <w:color w:val="auto"/>
              </w:rPr>
            </w:pPr>
            <w:r>
              <w:rPr>
                <w:rFonts w:ascii="Arial" w:cs="Arial" w:eastAsia="Arial" w:hAnsi="Arial"/>
                <w:sz w:val="18"/>
                <w:szCs w:val="18"/>
                <w:color w:val="auto"/>
              </w:rPr>
              <w:t>Pension expense</w:t>
            </w:r>
          </w:p>
        </w:tc>
        <w:tc>
          <w:tcPr>
            <w:tcW w:w="7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35</w:t>
            </w:r>
          </w:p>
        </w:tc>
        <w:tc>
          <w:tcPr>
            <w:tcW w:w="4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43"/>
        </w:trPr>
        <w:tc>
          <w:tcPr>
            <w:tcW w:w="81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Pension contributions</w:t>
            </w:r>
          </w:p>
        </w:tc>
        <w:tc>
          <w:tcPr>
            <w:tcW w:w="780" w:type="dxa"/>
            <w:vAlign w:val="bottom"/>
            <w:shd w:val="clear" w:color="auto" w:fill="CCEEFF"/>
          </w:tcPr>
          <w:p>
            <w:pPr>
              <w:spacing w:after="0"/>
              <w:rPr>
                <w:sz w:val="21"/>
                <w:szCs w:val="21"/>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46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r>
      <w:tr>
        <w:trPr>
          <w:trHeight w:val="229"/>
        </w:trPr>
        <w:tc>
          <w:tcPr>
            <w:tcW w:w="8180" w:type="dxa"/>
            <w:vAlign w:val="bottom"/>
          </w:tcPr>
          <w:p>
            <w:pPr>
              <w:ind w:left="660"/>
              <w:spacing w:after="0"/>
              <w:rPr>
                <w:sz w:val="20"/>
                <w:szCs w:val="20"/>
                <w:color w:val="auto"/>
              </w:rPr>
            </w:pPr>
            <w:r>
              <w:rPr>
                <w:rFonts w:ascii="Arial" w:cs="Arial" w:eastAsia="Arial" w:hAnsi="Arial"/>
                <w:sz w:val="18"/>
                <w:szCs w:val="18"/>
                <w:color w:val="auto"/>
              </w:rPr>
              <w:t>Stock-based compensation</w:t>
            </w:r>
          </w:p>
        </w:tc>
        <w:tc>
          <w:tcPr>
            <w:tcW w:w="7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17</w:t>
            </w:r>
          </w:p>
        </w:tc>
        <w:tc>
          <w:tcPr>
            <w:tcW w:w="4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29"/>
        </w:trPr>
        <w:tc>
          <w:tcPr>
            <w:tcW w:w="81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Equity earnings, net of distributions</w:t>
            </w:r>
          </w:p>
        </w:tc>
        <w:tc>
          <w:tcPr>
            <w:tcW w:w="78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4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37"/>
        </w:trPr>
        <w:tc>
          <w:tcPr>
            <w:tcW w:w="8180" w:type="dxa"/>
            <w:vAlign w:val="bottom"/>
            <w:tcBorders>
              <w:bottom w:val="single" w:sz="8" w:color="CCEEFF"/>
            </w:tcBorders>
          </w:tcPr>
          <w:p>
            <w:pPr>
              <w:ind w:left="660"/>
              <w:spacing w:after="0"/>
              <w:rPr>
                <w:sz w:val="20"/>
                <w:szCs w:val="20"/>
                <w:color w:val="auto"/>
              </w:rPr>
            </w:pPr>
            <w:r>
              <w:rPr>
                <w:rFonts w:ascii="Arial" w:cs="Arial" w:eastAsia="Arial" w:hAnsi="Arial"/>
                <w:sz w:val="18"/>
                <w:szCs w:val="18"/>
                <w:color w:val="auto"/>
              </w:rPr>
              <w:t>Working capital changes and other</w:t>
            </w:r>
          </w:p>
        </w:tc>
        <w:tc>
          <w:tcPr>
            <w:tcW w:w="78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(349)</w:t>
            </w:r>
          </w:p>
        </w:tc>
        <w:tc>
          <w:tcPr>
            <w:tcW w:w="460" w:type="dxa"/>
            <w:vAlign w:val="bottom"/>
            <w:tcBorders>
              <w:bottom w:val="single" w:sz="8" w:color="CCEEFF"/>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(576)</w:t>
            </w:r>
          </w:p>
        </w:tc>
      </w:tr>
      <w:tr>
        <w:trPr>
          <w:trHeight w:val="229"/>
        </w:trPr>
        <w:tc>
          <w:tcPr>
            <w:tcW w:w="8180" w:type="dxa"/>
            <w:vAlign w:val="bottom"/>
            <w:tcBorders>
              <w:bottom w:val="single" w:sz="8" w:color="CCEEFF"/>
            </w:tcBorders>
            <w:shd w:val="clear" w:color="auto" w:fill="CCEEFF"/>
          </w:tcPr>
          <w:p>
            <w:pPr>
              <w:ind w:left="1440"/>
              <w:spacing w:after="0"/>
              <w:rPr>
                <w:sz w:val="20"/>
                <w:szCs w:val="20"/>
                <w:color w:val="auto"/>
              </w:rPr>
            </w:pPr>
            <w:r>
              <w:rPr>
                <w:rFonts w:ascii="Arial" w:cs="Arial" w:eastAsia="Arial" w:hAnsi="Arial"/>
                <w:sz w:val="18"/>
                <w:szCs w:val="18"/>
                <w:b w:val="1"/>
                <w:bCs w:val="1"/>
                <w:color w:val="auto"/>
              </w:rPr>
              <w:t>Net cash provided by operating activities</w:t>
            </w:r>
          </w:p>
        </w:tc>
        <w:tc>
          <w:tcPr>
            <w:tcW w:w="78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w:t>
            </w:r>
          </w:p>
        </w:tc>
        <w:tc>
          <w:tcPr>
            <w:tcW w:w="46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w:t>
            </w:r>
          </w:p>
        </w:tc>
      </w:tr>
      <w:tr>
        <w:trPr>
          <w:trHeight w:val="223"/>
        </w:trPr>
        <w:tc>
          <w:tcPr>
            <w:tcW w:w="8180" w:type="dxa"/>
            <w:vAlign w:val="bottom"/>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7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20" w:type="dxa"/>
            <w:vAlign w:val="bottom"/>
          </w:tcPr>
          <w:p>
            <w:pPr>
              <w:spacing w:after="0"/>
              <w:rPr>
                <w:sz w:val="19"/>
                <w:szCs w:val="19"/>
                <w:color w:val="auto"/>
              </w:rPr>
            </w:pPr>
          </w:p>
        </w:tc>
      </w:tr>
      <w:tr>
        <w:trPr>
          <w:trHeight w:val="230"/>
        </w:trPr>
        <w:tc>
          <w:tcPr>
            <w:tcW w:w="81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Capital expenditures</w:t>
            </w:r>
          </w:p>
        </w:tc>
        <w:tc>
          <w:tcPr>
            <w:tcW w:w="78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(454)</w:t>
            </w:r>
          </w:p>
        </w:tc>
        <w:tc>
          <w:tcPr>
            <w:tcW w:w="4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(310)</w:t>
            </w:r>
          </w:p>
        </w:tc>
      </w:tr>
      <w:tr>
        <w:trPr>
          <w:trHeight w:val="237"/>
        </w:trPr>
        <w:tc>
          <w:tcPr>
            <w:tcW w:w="8180" w:type="dxa"/>
            <w:vAlign w:val="bottom"/>
          </w:tcPr>
          <w:p>
            <w:pPr>
              <w:ind w:left="660"/>
              <w:spacing w:after="0"/>
              <w:rPr>
                <w:sz w:val="20"/>
                <w:szCs w:val="20"/>
                <w:color w:val="auto"/>
              </w:rPr>
            </w:pPr>
            <w:r>
              <w:rPr>
                <w:rFonts w:ascii="Arial" w:cs="Arial" w:eastAsia="Arial" w:hAnsi="Arial"/>
                <w:sz w:val="18"/>
                <w:szCs w:val="18"/>
                <w:color w:val="auto"/>
              </w:rPr>
              <w:t>Net investment hedge</w:t>
            </w:r>
          </w:p>
        </w:tc>
        <w:tc>
          <w:tcPr>
            <w:tcW w:w="78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13</w:t>
            </w:r>
          </w:p>
        </w:tc>
        <w:tc>
          <w:tcPr>
            <w:tcW w:w="4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36"/>
        </w:trPr>
        <w:tc>
          <w:tcPr>
            <w:tcW w:w="81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Proceeds from sale of businesses, net of cash received</w:t>
            </w:r>
          </w:p>
        </w:tc>
        <w:tc>
          <w:tcPr>
            <w:tcW w:w="780" w:type="dxa"/>
            <w:vAlign w:val="bottom"/>
            <w:shd w:val="clear" w:color="auto" w:fill="CCEEFF"/>
          </w:tcPr>
          <w:p>
            <w:pPr>
              <w:spacing w:after="0"/>
              <w:rPr>
                <w:sz w:val="20"/>
                <w:szCs w:val="20"/>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w:t>
            </w:r>
          </w:p>
        </w:tc>
      </w:tr>
      <w:tr>
        <w:trPr>
          <w:trHeight w:val="229"/>
        </w:trPr>
        <w:tc>
          <w:tcPr>
            <w:tcW w:w="8180" w:type="dxa"/>
            <w:vAlign w:val="bottom"/>
          </w:tcPr>
          <w:p>
            <w:pPr>
              <w:ind w:left="660"/>
              <w:spacing w:after="0"/>
              <w:rPr>
                <w:sz w:val="20"/>
                <w:szCs w:val="20"/>
                <w:color w:val="auto"/>
              </w:rPr>
            </w:pPr>
            <w:r>
              <w:rPr>
                <w:rFonts w:ascii="Arial" w:cs="Arial" w:eastAsia="Arial" w:hAnsi="Arial"/>
                <w:sz w:val="18"/>
                <w:szCs w:val="18"/>
                <w:color w:val="auto"/>
              </w:rPr>
              <w:t>Acquisition of businesses, net of cash acquired</w:t>
            </w:r>
          </w:p>
        </w:tc>
        <w:tc>
          <w:tcPr>
            <w:tcW w:w="7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43"/>
        </w:trPr>
        <w:tc>
          <w:tcPr>
            <w:tcW w:w="81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Proceeds from sale of property, plant and equipment</w:t>
            </w:r>
          </w:p>
        </w:tc>
        <w:tc>
          <w:tcPr>
            <w:tcW w:w="780" w:type="dxa"/>
            <w:vAlign w:val="bottom"/>
            <w:shd w:val="clear" w:color="auto" w:fill="CCEEFF"/>
          </w:tcPr>
          <w:p>
            <w:pPr>
              <w:spacing w:after="0"/>
              <w:rPr>
                <w:sz w:val="21"/>
                <w:szCs w:val="21"/>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46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30"/>
        </w:trPr>
        <w:tc>
          <w:tcPr>
            <w:tcW w:w="8180" w:type="dxa"/>
            <w:vAlign w:val="bottom"/>
          </w:tcPr>
          <w:p>
            <w:pPr>
              <w:ind w:left="660"/>
              <w:spacing w:after="0"/>
              <w:rPr>
                <w:sz w:val="20"/>
                <w:szCs w:val="20"/>
                <w:color w:val="auto"/>
              </w:rPr>
            </w:pPr>
            <w:r>
              <w:rPr>
                <w:rFonts w:ascii="Arial" w:cs="Arial" w:eastAsia="Arial" w:hAnsi="Arial"/>
                <w:sz w:val="18"/>
                <w:szCs w:val="18"/>
                <w:color w:val="auto"/>
              </w:rPr>
              <w:t>Distribution from equity method investment</w:t>
            </w:r>
          </w:p>
        </w:tc>
        <w:tc>
          <w:tcPr>
            <w:tcW w:w="7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56</w:t>
            </w:r>
          </w:p>
        </w:tc>
        <w:tc>
          <w:tcPr>
            <w:tcW w:w="4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30"/>
        </w:trPr>
        <w:tc>
          <w:tcPr>
            <w:tcW w:w="818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Other</w:t>
            </w:r>
          </w:p>
        </w:tc>
        <w:tc>
          <w:tcPr>
            <w:tcW w:w="78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46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32"/>
        </w:trPr>
        <w:tc>
          <w:tcPr>
            <w:tcW w:w="8180" w:type="dxa"/>
            <w:vAlign w:val="bottom"/>
            <w:tcBorders>
              <w:bottom w:val="single" w:sz="8" w:color="CCEEFF"/>
            </w:tcBorders>
          </w:tcPr>
          <w:p>
            <w:pPr>
              <w:ind w:left="1440"/>
              <w:spacing w:after="0"/>
              <w:rPr>
                <w:sz w:val="20"/>
                <w:szCs w:val="20"/>
                <w:color w:val="auto"/>
              </w:rPr>
            </w:pPr>
            <w:r>
              <w:rPr>
                <w:rFonts w:ascii="Arial" w:cs="Arial" w:eastAsia="Arial" w:hAnsi="Arial"/>
                <w:sz w:val="18"/>
                <w:szCs w:val="18"/>
                <w:b w:val="1"/>
                <w:bCs w:val="1"/>
                <w:color w:val="auto"/>
              </w:rPr>
              <w:t>Net cash used for investing activities</w:t>
            </w:r>
          </w:p>
        </w:tc>
        <w:tc>
          <w:tcPr>
            <w:tcW w:w="78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(378)</w:t>
            </w:r>
          </w:p>
        </w:tc>
        <w:tc>
          <w:tcPr>
            <w:tcW w:w="460" w:type="dxa"/>
            <w:vAlign w:val="bottom"/>
            <w:tcBorders>
              <w:bottom w:val="single" w:sz="8" w:color="CCEEFF"/>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(130)</w:t>
            </w:r>
          </w:p>
        </w:tc>
      </w:tr>
      <w:tr>
        <w:trPr>
          <w:trHeight w:val="214"/>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7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r>
      <w:tr>
        <w:trPr>
          <w:trHeight w:val="237"/>
        </w:trPr>
        <w:tc>
          <w:tcPr>
            <w:tcW w:w="8180" w:type="dxa"/>
            <w:vAlign w:val="bottom"/>
          </w:tcPr>
          <w:p>
            <w:pPr>
              <w:ind w:left="660"/>
              <w:spacing w:after="0"/>
              <w:rPr>
                <w:sz w:val="20"/>
                <w:szCs w:val="20"/>
                <w:color w:val="auto"/>
              </w:rPr>
            </w:pPr>
            <w:r>
              <w:rPr>
                <w:rFonts w:ascii="Arial" w:cs="Arial" w:eastAsia="Arial" w:hAnsi="Arial"/>
                <w:sz w:val="18"/>
                <w:szCs w:val="18"/>
                <w:color w:val="auto"/>
              </w:rPr>
              <w:t>Net change in revolving credit facility and short-term debt</w:t>
            </w:r>
          </w:p>
        </w:tc>
        <w:tc>
          <w:tcPr>
            <w:tcW w:w="78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90"/>
              </w:rPr>
              <w:t>(311)</w:t>
            </w:r>
          </w:p>
        </w:tc>
        <w:tc>
          <w:tcPr>
            <w:tcW w:w="4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122</w:t>
            </w:r>
          </w:p>
        </w:tc>
      </w:tr>
      <w:tr>
        <w:trPr>
          <w:trHeight w:val="236"/>
        </w:trPr>
        <w:tc>
          <w:tcPr>
            <w:tcW w:w="81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Proceeds from long-term debt</w:t>
            </w:r>
          </w:p>
        </w:tc>
        <w:tc>
          <w:tcPr>
            <w:tcW w:w="780" w:type="dxa"/>
            <w:vAlign w:val="bottom"/>
            <w:shd w:val="clear" w:color="auto" w:fill="CCEEFF"/>
          </w:tcPr>
          <w:p>
            <w:pPr>
              <w:spacing w:after="0"/>
              <w:rPr>
                <w:sz w:val="20"/>
                <w:szCs w:val="20"/>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w:t>
            </w:r>
          </w:p>
        </w:tc>
        <w:tc>
          <w:tcPr>
            <w:tcW w:w="46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w:t>
            </w:r>
          </w:p>
        </w:tc>
      </w:tr>
      <w:tr>
        <w:trPr>
          <w:trHeight w:val="230"/>
        </w:trPr>
        <w:tc>
          <w:tcPr>
            <w:tcW w:w="8180" w:type="dxa"/>
            <w:vAlign w:val="bottom"/>
          </w:tcPr>
          <w:p>
            <w:pPr>
              <w:ind w:left="660"/>
              <w:spacing w:after="0"/>
              <w:rPr>
                <w:sz w:val="20"/>
                <w:szCs w:val="20"/>
                <w:color w:val="auto"/>
              </w:rPr>
            </w:pPr>
            <w:r>
              <w:rPr>
                <w:rFonts w:ascii="Arial" w:cs="Arial" w:eastAsia="Arial" w:hAnsi="Arial"/>
                <w:sz w:val="18"/>
                <w:szCs w:val="18"/>
                <w:color w:val="auto"/>
              </w:rPr>
              <w:t>Payments of long-term debt</w:t>
            </w:r>
          </w:p>
        </w:tc>
        <w:tc>
          <w:tcPr>
            <w:tcW w:w="7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(40)</w:t>
            </w:r>
          </w:p>
        </w:tc>
        <w:tc>
          <w:tcPr>
            <w:tcW w:w="4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43"/>
        </w:trPr>
        <w:tc>
          <w:tcPr>
            <w:tcW w:w="81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Bond issuance costs</w:t>
            </w:r>
          </w:p>
        </w:tc>
        <w:tc>
          <w:tcPr>
            <w:tcW w:w="780" w:type="dxa"/>
            <w:vAlign w:val="bottom"/>
            <w:shd w:val="clear" w:color="auto" w:fill="CCEEFF"/>
          </w:tcPr>
          <w:p>
            <w:pPr>
              <w:spacing w:after="0"/>
              <w:rPr>
                <w:sz w:val="21"/>
                <w:szCs w:val="21"/>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46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30"/>
        </w:trPr>
        <w:tc>
          <w:tcPr>
            <w:tcW w:w="8180" w:type="dxa"/>
            <w:vAlign w:val="bottom"/>
          </w:tcPr>
          <w:p>
            <w:pPr>
              <w:ind w:left="660"/>
              <w:spacing w:after="0"/>
              <w:rPr>
                <w:sz w:val="20"/>
                <w:szCs w:val="20"/>
                <w:color w:val="auto"/>
              </w:rPr>
            </w:pPr>
            <w:r>
              <w:rPr>
                <w:rFonts w:ascii="Arial" w:cs="Arial" w:eastAsia="Arial" w:hAnsi="Arial"/>
                <w:sz w:val="18"/>
                <w:szCs w:val="18"/>
                <w:color w:val="auto"/>
              </w:rPr>
              <w:t>Foreign exchange derivatives related to debt</w:t>
            </w:r>
          </w:p>
        </w:tc>
        <w:tc>
          <w:tcPr>
            <w:tcW w:w="7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w:t>
            </w:r>
          </w:p>
        </w:tc>
        <w:tc>
          <w:tcPr>
            <w:tcW w:w="4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30"/>
        </w:trPr>
        <w:tc>
          <w:tcPr>
            <w:tcW w:w="81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Payments of finance leases</w:t>
            </w:r>
          </w:p>
        </w:tc>
        <w:tc>
          <w:tcPr>
            <w:tcW w:w="78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4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37"/>
        </w:trPr>
        <w:tc>
          <w:tcPr>
            <w:tcW w:w="8180" w:type="dxa"/>
            <w:vAlign w:val="bottom"/>
          </w:tcPr>
          <w:p>
            <w:pPr>
              <w:ind w:left="660"/>
              <w:spacing w:after="0"/>
              <w:rPr>
                <w:sz w:val="20"/>
                <w:szCs w:val="20"/>
                <w:color w:val="auto"/>
              </w:rPr>
            </w:pPr>
            <w:r>
              <w:rPr>
                <w:rFonts w:ascii="Arial" w:cs="Arial" w:eastAsia="Arial" w:hAnsi="Arial"/>
                <w:sz w:val="18"/>
                <w:szCs w:val="18"/>
                <w:color w:val="auto"/>
              </w:rPr>
              <w:t>Dividends paid to noncontrolling interests</w:t>
            </w:r>
          </w:p>
        </w:tc>
        <w:tc>
          <w:tcPr>
            <w:tcW w:w="78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(11)</w:t>
            </w:r>
          </w:p>
        </w:tc>
        <w:tc>
          <w:tcPr>
            <w:tcW w:w="4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36"/>
        </w:trPr>
        <w:tc>
          <w:tcPr>
            <w:tcW w:w="81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Dividends paid to shareholders</w:t>
            </w:r>
          </w:p>
        </w:tc>
        <w:tc>
          <w:tcPr>
            <w:tcW w:w="780" w:type="dxa"/>
            <w:vAlign w:val="bottom"/>
            <w:shd w:val="clear" w:color="auto" w:fill="CCEEFF"/>
          </w:tcPr>
          <w:p>
            <w:pPr>
              <w:spacing w:after="0"/>
              <w:rPr>
                <w:sz w:val="20"/>
                <w:szCs w:val="20"/>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46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r>
      <w:tr>
        <w:trPr>
          <w:trHeight w:val="229"/>
        </w:trPr>
        <w:tc>
          <w:tcPr>
            <w:tcW w:w="8180" w:type="dxa"/>
            <w:vAlign w:val="bottom"/>
          </w:tcPr>
          <w:p>
            <w:pPr>
              <w:ind w:left="660"/>
              <w:spacing w:after="0"/>
              <w:rPr>
                <w:sz w:val="20"/>
                <w:szCs w:val="20"/>
                <w:color w:val="auto"/>
              </w:rPr>
            </w:pPr>
            <w:r>
              <w:rPr>
                <w:rFonts w:ascii="Arial" w:cs="Arial" w:eastAsia="Arial" w:hAnsi="Arial"/>
                <w:sz w:val="18"/>
                <w:szCs w:val="18"/>
                <w:color w:val="auto"/>
              </w:rPr>
              <w:t>Common stock issued</w:t>
            </w:r>
          </w:p>
        </w:tc>
        <w:tc>
          <w:tcPr>
            <w:tcW w:w="7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43"/>
        </w:trPr>
        <w:tc>
          <w:tcPr>
            <w:tcW w:w="81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Common stock repurchased</w:t>
            </w:r>
          </w:p>
        </w:tc>
        <w:tc>
          <w:tcPr>
            <w:tcW w:w="780" w:type="dxa"/>
            <w:vAlign w:val="bottom"/>
            <w:tcBorders>
              <w:bottom w:val="single" w:sz="8" w:color="auto"/>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460" w:type="dxa"/>
            <w:vAlign w:val="bottom"/>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(600)</w:t>
            </w:r>
          </w:p>
        </w:tc>
      </w:tr>
      <w:tr>
        <w:trPr>
          <w:trHeight w:val="223"/>
        </w:trPr>
        <w:tc>
          <w:tcPr>
            <w:tcW w:w="8180" w:type="dxa"/>
            <w:vAlign w:val="bottom"/>
            <w:tcBorders>
              <w:bottom w:val="single" w:sz="8" w:color="CCEEFF"/>
            </w:tcBorders>
          </w:tcPr>
          <w:p>
            <w:pPr>
              <w:ind w:left="1440"/>
              <w:spacing w:after="0"/>
              <w:rPr>
                <w:sz w:val="20"/>
                <w:szCs w:val="20"/>
                <w:color w:val="auto"/>
              </w:rPr>
            </w:pPr>
            <w:r>
              <w:rPr>
                <w:rFonts w:ascii="Arial" w:cs="Arial" w:eastAsia="Arial" w:hAnsi="Arial"/>
                <w:sz w:val="18"/>
                <w:szCs w:val="18"/>
                <w:b w:val="1"/>
                <w:bCs w:val="1"/>
                <w:color w:val="auto"/>
              </w:rPr>
              <w:t>Net cash provided by / (used) for financing activities</w:t>
            </w:r>
          </w:p>
        </w:tc>
        <w:tc>
          <w:tcPr>
            <w:tcW w:w="7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w:t>
            </w:r>
          </w:p>
        </w:tc>
        <w:tc>
          <w:tcPr>
            <w:tcW w:w="460" w:type="dxa"/>
            <w:vAlign w:val="bottom"/>
            <w:tcBorders>
              <w:bottom w:val="single" w:sz="8" w:color="CCEEFF"/>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r>
      <w:tr>
        <w:trPr>
          <w:trHeight w:val="223"/>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Effect of exchange rate changes on cash, cash equivalents and restricted cash</w:t>
            </w:r>
          </w:p>
        </w:tc>
        <w:tc>
          <w:tcPr>
            <w:tcW w:w="78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4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r>
      <w:tr>
        <w:trPr>
          <w:trHeight w:val="237"/>
        </w:trPr>
        <w:tc>
          <w:tcPr>
            <w:tcW w:w="8180" w:type="dxa"/>
            <w:vAlign w:val="bottom"/>
          </w:tcPr>
          <w:p>
            <w:pPr>
              <w:ind w:left="20"/>
              <w:spacing w:after="0"/>
              <w:rPr>
                <w:sz w:val="20"/>
                <w:szCs w:val="20"/>
                <w:color w:val="auto"/>
              </w:rPr>
            </w:pPr>
            <w:r>
              <w:rPr>
                <w:rFonts w:ascii="Arial" w:cs="Arial" w:eastAsia="Arial" w:hAnsi="Arial"/>
                <w:sz w:val="18"/>
                <w:szCs w:val="18"/>
                <w:color w:val="auto"/>
              </w:rPr>
              <w:t>Net change in cash, cash equivalents and restricted cash</w:t>
            </w:r>
          </w:p>
        </w:tc>
        <w:tc>
          <w:tcPr>
            <w:tcW w:w="78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w:t>
            </w:r>
          </w:p>
        </w:tc>
        <w:tc>
          <w:tcPr>
            <w:tcW w:w="4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36"/>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cash equivalents and restricted cash at January 1</w:t>
            </w:r>
          </w:p>
        </w:tc>
        <w:tc>
          <w:tcPr>
            <w:tcW w:w="780" w:type="dxa"/>
            <w:vAlign w:val="bottom"/>
            <w:tcBorders>
              <w:bottom w:val="single" w:sz="8" w:color="auto"/>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639</w:t>
            </w:r>
          </w:p>
        </w:tc>
        <w:tc>
          <w:tcPr>
            <w:tcW w:w="460" w:type="dxa"/>
            <w:vAlign w:val="bottom"/>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593</w:t>
            </w:r>
          </w:p>
        </w:tc>
      </w:tr>
      <w:tr>
        <w:trPr>
          <w:trHeight w:val="223"/>
        </w:trPr>
        <w:tc>
          <w:tcPr>
            <w:tcW w:w="8180" w:type="dxa"/>
            <w:vAlign w:val="bottom"/>
          </w:tcPr>
          <w:p>
            <w:pPr>
              <w:ind w:left="20"/>
              <w:spacing w:after="0"/>
              <w:rPr>
                <w:sz w:val="20"/>
                <w:szCs w:val="20"/>
                <w:color w:val="auto"/>
              </w:rPr>
            </w:pPr>
            <w:r>
              <w:rPr>
                <w:rFonts w:ascii="Arial" w:cs="Arial" w:eastAsia="Arial" w:hAnsi="Arial"/>
                <w:sz w:val="18"/>
                <w:szCs w:val="18"/>
                <w:b w:val="1"/>
                <w:bCs w:val="1"/>
                <w:color w:val="auto"/>
              </w:rPr>
              <w:t>Cash, cash equivalents and restricted cash at June 30</w:t>
            </w:r>
          </w:p>
        </w:tc>
        <w:tc>
          <w:tcPr>
            <w:tcW w:w="78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643</w:t>
            </w:r>
          </w:p>
        </w:tc>
        <w:tc>
          <w:tcPr>
            <w:tcW w:w="460" w:type="dxa"/>
            <w:vAlign w:val="bottom"/>
          </w:tcPr>
          <w:p>
            <w:pPr>
              <w:spacing w:after="0"/>
              <w:rPr>
                <w:sz w:val="19"/>
                <w:szCs w:val="19"/>
                <w:color w:val="auto"/>
              </w:rPr>
            </w:pPr>
          </w:p>
        </w:tc>
        <w:tc>
          <w:tcPr>
            <w:tcW w:w="78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526</w:t>
            </w:r>
          </w:p>
        </w:tc>
      </w:tr>
      <w:tr>
        <w:trPr>
          <w:trHeight w:val="20"/>
        </w:trPr>
        <w:tc>
          <w:tcPr>
            <w:tcW w:w="81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36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1" w:right="439" w:bottom="1440" w:gutter="0" w:footer="0" w:header="0"/>
        </w:sectPr>
      </w:pPr>
    </w:p>
    <w:bookmarkStart w:id="6" w:name="page7"/>
    <w:bookmarkEnd w:id="6"/>
    <w:p>
      <w:pPr>
        <w:ind w:left="4800"/>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819"/>
        <w:spacing w:after="0"/>
        <w:rPr>
          <w:sz w:val="20"/>
          <w:szCs w:val="20"/>
          <w:color w:val="auto"/>
        </w:rPr>
      </w:pPr>
      <w:r>
        <w:rPr>
          <w:rFonts w:ascii="Arial" w:cs="Arial" w:eastAsia="Arial" w:hAnsi="Arial"/>
          <w:sz w:val="18"/>
          <w:szCs w:val="18"/>
          <w:b w:val="1"/>
          <w:bCs w:val="1"/>
          <w:color w:val="auto"/>
        </w:rPr>
        <w:t>CONSOLIDATED STATEMENTS OF CHANGES IN SHAREHOLDERS’ EQUITY</w:t>
      </w:r>
    </w:p>
    <w:p>
      <w:pPr>
        <w:spacing w:after="0" w:line="27"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(Unaudited)</w:t>
      </w:r>
    </w:p>
    <w:p>
      <w:pPr>
        <w:spacing w:after="0" w:line="274"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Crown Holdings, Inc. Shareholders’ Equity</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33"/>
        </w:trPr>
        <w:tc>
          <w:tcPr>
            <w:tcW w:w="354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jc w:val="center"/>
              <w:ind w:right="57"/>
              <w:spacing w:after="0" w:line="133" w:lineRule="exact"/>
              <w:rPr>
                <w:sz w:val="20"/>
                <w:szCs w:val="20"/>
                <w:color w:val="auto"/>
              </w:rPr>
            </w:pPr>
            <w:r>
              <w:rPr>
                <w:rFonts w:ascii="Arial" w:cs="Arial" w:eastAsia="Arial" w:hAnsi="Arial"/>
                <w:sz w:val="14"/>
                <w:szCs w:val="14"/>
                <w:b w:val="1"/>
                <w:bCs w:val="1"/>
                <w:color w:val="auto"/>
                <w:w w:val="93"/>
              </w:rPr>
              <w:t>Accumulated</w:t>
            </w:r>
          </w:p>
        </w:tc>
        <w:tc>
          <w:tcPr>
            <w:tcW w:w="1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vMerge w:val="restart"/>
          </w:tcPr>
          <w:p>
            <w:pPr>
              <w:jc w:val="right"/>
              <w:ind w:right="113"/>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vMerge w:val="restart"/>
          </w:tcPr>
          <w:p>
            <w:pPr>
              <w:jc w:val="center"/>
              <w:ind w:right="112"/>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8"/>
        </w:trPr>
        <w:tc>
          <w:tcPr>
            <w:tcW w:w="3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vMerge w:val="restart"/>
          </w:tcPr>
          <w:p>
            <w:pPr>
              <w:jc w:val="right"/>
              <w:ind w:right="35"/>
              <w:spacing w:after="0"/>
              <w:rPr>
                <w:sz w:val="20"/>
                <w:szCs w:val="20"/>
                <w:color w:val="auto"/>
              </w:rPr>
            </w:pPr>
            <w:r>
              <w:rPr>
                <w:rFonts w:ascii="Arial" w:cs="Arial" w:eastAsia="Arial" w:hAnsi="Arial"/>
                <w:sz w:val="14"/>
                <w:szCs w:val="14"/>
                <w:b w:val="1"/>
                <w:bCs w:val="1"/>
                <w:color w:val="auto"/>
                <w:w w:val="92"/>
              </w:rPr>
              <w:t>Common</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vMerge w:val="restart"/>
          </w:tcPr>
          <w:p>
            <w:pPr>
              <w:jc w:val="right"/>
              <w:ind w:right="94"/>
              <w:spacing w:after="0"/>
              <w:rPr>
                <w:sz w:val="20"/>
                <w:szCs w:val="20"/>
                <w:color w:val="auto"/>
              </w:rPr>
            </w:pPr>
            <w:r>
              <w:rPr>
                <w:rFonts w:ascii="Arial" w:cs="Arial" w:eastAsia="Arial" w:hAnsi="Arial"/>
                <w:sz w:val="14"/>
                <w:szCs w:val="14"/>
                <w:b w:val="1"/>
                <w:bCs w:val="1"/>
                <w:color w:val="auto"/>
              </w:rPr>
              <w:t>Paid-in</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vMerge w:val="restart"/>
          </w:tcPr>
          <w:p>
            <w:pPr>
              <w:jc w:val="right"/>
              <w:ind w:right="74"/>
              <w:spacing w:after="0"/>
              <w:rPr>
                <w:sz w:val="20"/>
                <w:szCs w:val="20"/>
                <w:color w:val="auto"/>
              </w:rPr>
            </w:pPr>
            <w:r>
              <w:rPr>
                <w:rFonts w:ascii="Arial" w:cs="Arial" w:eastAsia="Arial" w:hAnsi="Arial"/>
                <w:sz w:val="14"/>
                <w:szCs w:val="14"/>
                <w:b w:val="1"/>
                <w:bCs w:val="1"/>
                <w:color w:val="auto"/>
                <w:w w:val="94"/>
              </w:rPr>
              <w:t>Retained</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jc w:val="center"/>
              <w:ind w:right="37"/>
              <w:spacing w:after="0" w:line="149" w:lineRule="exact"/>
              <w:rPr>
                <w:sz w:val="20"/>
                <w:szCs w:val="20"/>
                <w:color w:val="auto"/>
              </w:rPr>
            </w:pPr>
            <w:r>
              <w:rPr>
                <w:rFonts w:ascii="Arial" w:cs="Arial" w:eastAsia="Arial" w:hAnsi="Arial"/>
                <w:sz w:val="14"/>
                <w:szCs w:val="14"/>
                <w:b w:val="1"/>
                <w:bCs w:val="1"/>
                <w:color w:val="auto"/>
                <w:w w:val="96"/>
              </w:rPr>
              <w:t>Other</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6"/>
              </w:rPr>
              <w:t>Noncontrolling</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center"/>
              <w:spacing w:after="0" w:line="145" w:lineRule="exact"/>
              <w:rPr>
                <w:sz w:val="20"/>
                <w:szCs w:val="20"/>
                <w:color w:val="auto"/>
              </w:rPr>
            </w:pPr>
            <w:r>
              <w:rPr>
                <w:rFonts w:ascii="Arial" w:cs="Arial" w:eastAsia="Arial" w:hAnsi="Arial"/>
                <w:sz w:val="14"/>
                <w:szCs w:val="14"/>
                <w:b w:val="1"/>
                <w:bCs w:val="1"/>
                <w:color w:val="auto"/>
                <w:w w:val="91"/>
              </w:rPr>
              <w:t>Comprehensive</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ind w:right="53"/>
              <w:spacing w:after="0" w:line="145" w:lineRule="exact"/>
              <w:rPr>
                <w:sz w:val="20"/>
                <w:szCs w:val="20"/>
                <w:color w:val="auto"/>
              </w:rPr>
            </w:pPr>
            <w:r>
              <w:rPr>
                <w:rFonts w:ascii="Arial" w:cs="Arial" w:eastAsia="Arial" w:hAnsi="Arial"/>
                <w:sz w:val="14"/>
                <w:szCs w:val="14"/>
                <w:b w:val="1"/>
                <w:bCs w:val="1"/>
                <w:color w:val="auto"/>
              </w:rPr>
              <w:t>Crown</w:t>
            </w:r>
          </w:p>
        </w:tc>
        <w:tc>
          <w:tcPr>
            <w:tcW w:w="10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spacing w:after="0" w:line="145" w:lineRule="exact"/>
              <w:rPr>
                <w:sz w:val="20"/>
                <w:szCs w:val="20"/>
                <w:color w:val="auto"/>
              </w:rPr>
            </w:pPr>
            <w:r>
              <w:rPr>
                <w:rFonts w:ascii="Arial" w:cs="Arial" w:eastAsia="Arial" w:hAnsi="Arial"/>
                <w:sz w:val="14"/>
                <w:szCs w:val="14"/>
                <w:b w:val="1"/>
                <w:bCs w:val="1"/>
                <w:color w:val="auto"/>
                <w:w w:val="90"/>
              </w:rPr>
              <w:t>Shareholders'</w:t>
            </w:r>
          </w:p>
        </w:tc>
        <w:tc>
          <w:tcPr>
            <w:tcW w:w="0" w:type="dxa"/>
            <w:vAlign w:val="bottom"/>
          </w:tcPr>
          <w:p>
            <w:pPr>
              <w:spacing w:after="0"/>
              <w:rPr>
                <w:sz w:val="1"/>
                <w:szCs w:val="1"/>
                <w:color w:val="auto"/>
              </w:rPr>
            </w:pPr>
          </w:p>
        </w:tc>
      </w:tr>
      <w:tr>
        <w:trPr>
          <w:trHeight w:val="196"/>
        </w:trPr>
        <w:tc>
          <w:tcPr>
            <w:tcW w:w="35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rPr>
              <w:t>Stock</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rPr>
              <w:t>Capital</w:t>
            </w:r>
          </w:p>
        </w:tc>
        <w:tc>
          <w:tcPr>
            <w:tcW w:w="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w w:val="93"/>
              </w:rPr>
              <w:t>Earnings</w:t>
            </w:r>
          </w:p>
        </w:tc>
        <w:tc>
          <w:tcPr>
            <w:tcW w:w="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center"/>
              <w:ind w:right="37"/>
              <w:spacing w:after="0"/>
              <w:rPr>
                <w:sz w:val="20"/>
                <w:szCs w:val="20"/>
                <w:color w:val="auto"/>
              </w:rPr>
            </w:pPr>
            <w:r>
              <w:rPr>
                <w:rFonts w:ascii="Arial" w:cs="Arial" w:eastAsia="Arial" w:hAnsi="Arial"/>
                <w:sz w:val="14"/>
                <w:szCs w:val="14"/>
                <w:b w:val="1"/>
                <w:bCs w:val="1"/>
                <w:color w:val="auto"/>
                <w:w w:val="85"/>
              </w:rPr>
              <w:t>Loss</w:t>
            </w: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b w:val="1"/>
                <w:bCs w:val="1"/>
                <w:color w:val="auto"/>
              </w:rPr>
              <w:t>Equity</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w w:val="99"/>
              </w:rPr>
              <w:t>Interests</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center"/>
              <w:ind w:right="92"/>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43"/>
        </w:trPr>
        <w:tc>
          <w:tcPr>
            <w:tcW w:w="3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5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January 1, 2023</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3,141</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(1,892)</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1,849</w:t>
            </w:r>
          </w:p>
        </w:tc>
        <w:tc>
          <w:tcPr>
            <w:tcW w:w="28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w:t>
            </w:r>
          </w:p>
        </w:tc>
        <w:tc>
          <w:tcPr>
            <w:tcW w:w="28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2,287</w:t>
            </w:r>
          </w:p>
        </w:tc>
        <w:tc>
          <w:tcPr>
            <w:tcW w:w="0" w:type="dxa"/>
            <w:vAlign w:val="bottom"/>
          </w:tcPr>
          <w:p>
            <w:pPr>
              <w:spacing w:after="0"/>
              <w:rPr>
                <w:sz w:val="1"/>
                <w:szCs w:val="1"/>
                <w:color w:val="auto"/>
              </w:rPr>
            </w:pPr>
          </w:p>
        </w:tc>
      </w:tr>
      <w:tr>
        <w:trPr>
          <w:trHeight w:val="237"/>
        </w:trPr>
        <w:tc>
          <w:tcPr>
            <w:tcW w:w="354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102</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36"/>
        </w:trPr>
        <w:tc>
          <w:tcPr>
            <w:tcW w:w="3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income</w:t>
            </w:r>
          </w:p>
        </w:tc>
        <w:tc>
          <w:tcPr>
            <w:tcW w:w="12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30"/>
        </w:trPr>
        <w:tc>
          <w:tcPr>
            <w:tcW w:w="3540" w:type="dxa"/>
            <w:vAlign w:val="bottom"/>
          </w:tcPr>
          <w:p>
            <w:pPr>
              <w:ind w:left="20"/>
              <w:spacing w:after="0"/>
              <w:rPr>
                <w:sz w:val="20"/>
                <w:szCs w:val="20"/>
                <w:color w:val="auto"/>
              </w:rPr>
            </w:pPr>
            <w:r>
              <w:rPr>
                <w:rFonts w:ascii="Arial" w:cs="Arial" w:eastAsia="Arial" w:hAnsi="Arial"/>
                <w:sz w:val="18"/>
                <w:szCs w:val="18"/>
                <w:color w:val="auto"/>
              </w:rPr>
              <w:t>Dividends declared</w:t>
            </w: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(29)</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43"/>
        </w:trPr>
        <w:tc>
          <w:tcPr>
            <w:tcW w:w="3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Restricted stock awarded</w:t>
            </w:r>
          </w:p>
        </w:tc>
        <w:tc>
          <w:tcPr>
            <w:tcW w:w="12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540" w:type="dxa"/>
            <w:vAlign w:val="bottom"/>
          </w:tcPr>
          <w:p>
            <w:pPr>
              <w:ind w:left="20"/>
              <w:spacing w:after="0"/>
              <w:rPr>
                <w:sz w:val="20"/>
                <w:szCs w:val="20"/>
                <w:color w:val="auto"/>
              </w:rPr>
            </w:pPr>
            <w:r>
              <w:rPr>
                <w:rFonts w:ascii="Arial" w:cs="Arial" w:eastAsia="Arial" w:hAnsi="Arial"/>
                <w:sz w:val="18"/>
                <w:szCs w:val="18"/>
                <w:color w:val="auto"/>
              </w:rPr>
              <w:t>Stock-based compensation</w:t>
            </w: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29"/>
        </w:trPr>
        <w:tc>
          <w:tcPr>
            <w:tcW w:w="3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Common stock repurchased</w:t>
            </w:r>
          </w:p>
        </w:tc>
        <w:tc>
          <w:tcPr>
            <w:tcW w:w="12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32"/>
        </w:trPr>
        <w:tc>
          <w:tcPr>
            <w:tcW w:w="3540" w:type="dxa"/>
            <w:vAlign w:val="bottom"/>
          </w:tcPr>
          <w:p>
            <w:pPr>
              <w:ind w:left="20"/>
              <w:spacing w:after="0"/>
              <w:rPr>
                <w:sz w:val="20"/>
                <w:szCs w:val="20"/>
                <w:color w:val="auto"/>
              </w:rPr>
            </w:pPr>
            <w:r>
              <w:rPr>
                <w:rFonts w:ascii="Arial" w:cs="Arial" w:eastAsia="Arial" w:hAnsi="Arial"/>
                <w:sz w:val="18"/>
                <w:szCs w:val="18"/>
                <w:b w:val="1"/>
                <w:bCs w:val="1"/>
                <w:color w:val="auto"/>
              </w:rPr>
              <w:t>Balance at March 31, 2023</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601</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4</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3,214</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(1,789)</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2,030</w:t>
            </w:r>
          </w:p>
        </w:tc>
        <w:tc>
          <w:tcPr>
            <w:tcW w:w="280" w:type="dxa"/>
            <w:vAlign w:val="bottom"/>
            <w:gridSpan w:val="2"/>
          </w:tcPr>
          <w:p>
            <w:pPr>
              <w:jc w:val="right"/>
              <w:ind w:right="8"/>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452</w:t>
            </w:r>
          </w:p>
        </w:tc>
        <w:tc>
          <w:tcPr>
            <w:tcW w:w="280" w:type="dxa"/>
            <w:vAlign w:val="bottom"/>
            <w:gridSpan w:val="2"/>
          </w:tcPr>
          <w:p>
            <w:pPr>
              <w:jc w:val="right"/>
              <w:ind w:right="8"/>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2,482</w:t>
            </w:r>
          </w:p>
        </w:tc>
        <w:tc>
          <w:tcPr>
            <w:tcW w:w="0" w:type="dxa"/>
            <w:vAlign w:val="bottom"/>
          </w:tcPr>
          <w:p>
            <w:pPr>
              <w:spacing w:after="0"/>
              <w:rPr>
                <w:sz w:val="1"/>
                <w:szCs w:val="1"/>
                <w:color w:val="auto"/>
              </w:rPr>
            </w:pPr>
          </w:p>
        </w:tc>
      </w:tr>
      <w:tr>
        <w:trPr>
          <w:trHeight w:val="227"/>
        </w:trPr>
        <w:tc>
          <w:tcPr>
            <w:tcW w:w="3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20" w:type="dxa"/>
            <w:vAlign w:val="bottom"/>
            <w:tcBorders>
              <w:top w:val="single" w:sz="8" w:color="auto"/>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0" w:type="dxa"/>
            <w:vAlign w:val="bottom"/>
          </w:tcPr>
          <w:p>
            <w:pPr>
              <w:spacing w:after="0"/>
              <w:rPr>
                <w:sz w:val="1"/>
                <w:szCs w:val="1"/>
                <w:color w:val="auto"/>
              </w:rPr>
            </w:pPr>
          </w:p>
        </w:tc>
      </w:tr>
      <w:tr>
        <w:trPr>
          <w:trHeight w:val="229"/>
        </w:trPr>
        <w:tc>
          <w:tcPr>
            <w:tcW w:w="3540" w:type="dxa"/>
            <w:vAlign w:val="bottom"/>
          </w:tcPr>
          <w:p>
            <w:pPr>
              <w:ind w:left="20"/>
              <w:spacing w:after="0"/>
              <w:rPr>
                <w:sz w:val="20"/>
                <w:szCs w:val="20"/>
                <w:color w:val="auto"/>
              </w:rPr>
            </w:pPr>
            <w:r>
              <w:rPr>
                <w:rFonts w:ascii="Arial" w:cs="Arial" w:eastAsia="Arial" w:hAnsi="Arial"/>
                <w:sz w:val="18"/>
                <w:szCs w:val="18"/>
                <w:color w:val="auto"/>
              </w:rPr>
              <w:t>Other comprehensive income</w:t>
            </w: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43"/>
        </w:trPr>
        <w:tc>
          <w:tcPr>
            <w:tcW w:w="3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Dividends declared</w:t>
            </w:r>
          </w:p>
        </w:tc>
        <w:tc>
          <w:tcPr>
            <w:tcW w:w="12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29"/>
        </w:trPr>
        <w:tc>
          <w:tcPr>
            <w:tcW w:w="3540" w:type="dxa"/>
            <w:vAlign w:val="bottom"/>
          </w:tcPr>
          <w:p>
            <w:pPr>
              <w:ind w:left="20"/>
              <w:spacing w:after="0"/>
              <w:rPr>
                <w:sz w:val="20"/>
                <w:szCs w:val="20"/>
                <w:color w:val="auto"/>
              </w:rPr>
            </w:pPr>
            <w:r>
              <w:rPr>
                <w:rFonts w:ascii="Arial" w:cs="Arial" w:eastAsia="Arial" w:hAnsi="Arial"/>
                <w:sz w:val="18"/>
                <w:szCs w:val="18"/>
                <w:color w:val="auto"/>
              </w:rPr>
              <w:t>Stock-based compensation</w:t>
            </w: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9"/>
        </w:trPr>
        <w:tc>
          <w:tcPr>
            <w:tcW w:w="3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Common stock repurchased</w:t>
            </w:r>
          </w:p>
        </w:tc>
        <w:tc>
          <w:tcPr>
            <w:tcW w:w="12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2"/>
        </w:trPr>
        <w:tc>
          <w:tcPr>
            <w:tcW w:w="3540" w:type="dxa"/>
            <w:vAlign w:val="bottom"/>
          </w:tcPr>
          <w:p>
            <w:pPr>
              <w:ind w:left="20"/>
              <w:spacing w:after="0"/>
              <w:rPr>
                <w:sz w:val="20"/>
                <w:szCs w:val="20"/>
                <w:color w:val="auto"/>
              </w:rPr>
            </w:pPr>
            <w:r>
              <w:rPr>
                <w:rFonts w:ascii="Arial" w:cs="Arial" w:eastAsia="Arial" w:hAnsi="Arial"/>
                <w:sz w:val="18"/>
                <w:szCs w:val="18"/>
                <w:b w:val="1"/>
                <w:bCs w:val="1"/>
                <w:color w:val="auto"/>
              </w:rPr>
              <w:t>Balance at June 30, 2023</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601</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5</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3,343</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(1,714)</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2,235</w:t>
            </w:r>
          </w:p>
        </w:tc>
        <w:tc>
          <w:tcPr>
            <w:tcW w:w="280" w:type="dxa"/>
            <w:vAlign w:val="bottom"/>
            <w:gridSpan w:val="2"/>
          </w:tcPr>
          <w:p>
            <w:pPr>
              <w:jc w:val="right"/>
              <w:ind w:right="8"/>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480</w:t>
            </w:r>
          </w:p>
        </w:tc>
        <w:tc>
          <w:tcPr>
            <w:tcW w:w="280" w:type="dxa"/>
            <w:vAlign w:val="bottom"/>
            <w:gridSpan w:val="2"/>
          </w:tcPr>
          <w:p>
            <w:pPr>
              <w:jc w:val="right"/>
              <w:ind w:right="8"/>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2,715</w:t>
            </w:r>
          </w:p>
        </w:tc>
        <w:tc>
          <w:tcPr>
            <w:tcW w:w="0" w:type="dxa"/>
            <w:vAlign w:val="bottom"/>
          </w:tcPr>
          <w:p>
            <w:pPr>
              <w:spacing w:after="0"/>
              <w:rPr>
                <w:sz w:val="1"/>
                <w:szCs w:val="1"/>
                <w:color w:val="auto"/>
              </w:rPr>
            </w:pPr>
          </w:p>
        </w:tc>
      </w:tr>
      <w:tr>
        <w:trPr>
          <w:trHeight w:val="25"/>
        </w:trPr>
        <w:tc>
          <w:tcPr>
            <w:tcW w:w="3540" w:type="dxa"/>
            <w:vAlign w:val="bottom"/>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70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68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74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96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60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top w:val="single" w:sz="8" w:color="auto"/>
              <w:bottom w:val="single" w:sz="8" w:color="auto"/>
            </w:tcBorders>
          </w:tcPr>
          <w:p>
            <w:pPr>
              <w:spacing w:after="0"/>
              <w:rPr>
                <w:sz w:val="2"/>
                <w:szCs w:val="2"/>
                <w:color w:val="auto"/>
              </w:rPr>
            </w:pPr>
          </w:p>
        </w:tc>
        <w:tc>
          <w:tcPr>
            <w:tcW w:w="86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top w:val="single" w:sz="8" w:color="auto"/>
              <w:bottom w:val="single" w:sz="8" w:color="auto"/>
            </w:tcBorders>
          </w:tcPr>
          <w:p>
            <w:pPr>
              <w:spacing w:after="0"/>
              <w:rPr>
                <w:sz w:val="2"/>
                <w:szCs w:val="2"/>
                <w:color w:val="auto"/>
              </w:rPr>
            </w:pPr>
          </w:p>
        </w:tc>
        <w:tc>
          <w:tcPr>
            <w:tcW w:w="760" w:type="dxa"/>
            <w:vAlign w:val="bottom"/>
            <w:tcBorders>
              <w:top w:val="single" w:sz="8" w:color="auto"/>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20"/>
          </w:cols>
          <w:pgMar w:left="320" w:top="121" w:right="1159" w:bottom="1440" w:gutter="0" w:footer="0" w:header="0"/>
        </w:sectPr>
      </w:pPr>
    </w:p>
    <w:bookmarkStart w:id="7" w:name="page8"/>
    <w:bookmarkEnd w:id="7"/>
    <w:p>
      <w:pPr>
        <w:jc w:val="center"/>
        <w:ind w:right="-419"/>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419"/>
        <w:spacing w:after="0"/>
        <w:rPr>
          <w:sz w:val="20"/>
          <w:szCs w:val="20"/>
          <w:color w:val="auto"/>
        </w:rPr>
      </w:pPr>
      <w:r>
        <w:rPr>
          <w:rFonts w:ascii="Arial" w:cs="Arial" w:eastAsia="Arial" w:hAnsi="Arial"/>
          <w:sz w:val="18"/>
          <w:szCs w:val="18"/>
          <w:b w:val="1"/>
          <w:bCs w:val="1"/>
          <w:color w:val="auto"/>
        </w:rPr>
        <w:t>CONSOLIDATED STATEMENTS OF CHANGES IN SHAREHOLDERS’ EQUITY</w:t>
      </w:r>
    </w:p>
    <w:p>
      <w:pPr>
        <w:spacing w:after="0" w:line="27"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(Unaudited)</w:t>
      </w:r>
    </w:p>
    <w:p>
      <w:pPr>
        <w:spacing w:after="0" w:line="193"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Crown Holdings, Inc. Shareholders’ Equity</w:t>
      </w:r>
    </w:p>
    <w:p>
      <w:pPr>
        <w:spacing w:after="0" w:line="27" w:lineRule="exact"/>
        <w:rPr>
          <w:sz w:val="20"/>
          <w:szCs w:val="20"/>
          <w:color w:val="auto"/>
        </w:rPr>
      </w:pPr>
    </w:p>
    <w:tbl>
      <w:tblPr>
        <w:tblLayout w:type="fixed"/>
        <w:tblInd w:w="420" w:type="dxa"/>
        <w:tblCellMar>
          <w:top w:w="0" w:type="dxa"/>
          <w:left w:w="0" w:type="dxa"/>
          <w:bottom w:w="0" w:type="dxa"/>
          <w:right w:w="0" w:type="dxa"/>
        </w:tblCellMar>
      </w:tblPr>
      <w:tr>
        <w:trPr>
          <w:trHeight w:val="133"/>
        </w:trPr>
        <w:tc>
          <w:tcPr>
            <w:tcW w:w="354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jc w:val="center"/>
              <w:ind w:right="37"/>
              <w:spacing w:after="0" w:line="133" w:lineRule="exact"/>
              <w:rPr>
                <w:sz w:val="20"/>
                <w:szCs w:val="20"/>
                <w:color w:val="auto"/>
              </w:rPr>
            </w:pPr>
            <w:r>
              <w:rPr>
                <w:rFonts w:ascii="Arial" w:cs="Arial" w:eastAsia="Arial" w:hAnsi="Arial"/>
                <w:sz w:val="14"/>
                <w:szCs w:val="14"/>
                <w:b w:val="1"/>
                <w:bCs w:val="1"/>
                <w:color w:val="auto"/>
                <w:w w:val="93"/>
              </w:rPr>
              <w:t>Accumulated</w:t>
            </w:r>
          </w:p>
        </w:tc>
        <w:tc>
          <w:tcPr>
            <w:tcW w:w="1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vMerge w:val="restart"/>
          </w:tcPr>
          <w:p>
            <w:pPr>
              <w:jc w:val="right"/>
              <w:ind w:right="113"/>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vMerge w:val="restart"/>
          </w:tcPr>
          <w:p>
            <w:pPr>
              <w:jc w:val="center"/>
              <w:ind w:right="92"/>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8"/>
        </w:trPr>
        <w:tc>
          <w:tcPr>
            <w:tcW w:w="3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vMerge w:val="restart"/>
          </w:tcPr>
          <w:p>
            <w:pPr>
              <w:jc w:val="right"/>
              <w:ind w:right="34"/>
              <w:spacing w:after="0"/>
              <w:rPr>
                <w:sz w:val="20"/>
                <w:szCs w:val="20"/>
                <w:color w:val="auto"/>
              </w:rPr>
            </w:pPr>
            <w:r>
              <w:rPr>
                <w:rFonts w:ascii="Arial" w:cs="Arial" w:eastAsia="Arial" w:hAnsi="Arial"/>
                <w:sz w:val="14"/>
                <w:szCs w:val="14"/>
                <w:b w:val="1"/>
                <w:bCs w:val="1"/>
                <w:color w:val="auto"/>
                <w:w w:val="92"/>
              </w:rPr>
              <w:t>Common</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Paid-in</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vMerge w:val="restart"/>
          </w:tcPr>
          <w:p>
            <w:pPr>
              <w:jc w:val="right"/>
              <w:ind w:right="72"/>
              <w:spacing w:after="0"/>
              <w:rPr>
                <w:sz w:val="20"/>
                <w:szCs w:val="20"/>
                <w:color w:val="auto"/>
              </w:rPr>
            </w:pPr>
            <w:r>
              <w:rPr>
                <w:rFonts w:ascii="Arial" w:cs="Arial" w:eastAsia="Arial" w:hAnsi="Arial"/>
                <w:sz w:val="14"/>
                <w:szCs w:val="14"/>
                <w:b w:val="1"/>
                <w:bCs w:val="1"/>
                <w:color w:val="auto"/>
                <w:w w:val="94"/>
              </w:rPr>
              <w:t>Retained</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jc w:val="center"/>
              <w:ind w:right="37"/>
              <w:spacing w:after="0" w:line="149" w:lineRule="exact"/>
              <w:rPr>
                <w:sz w:val="20"/>
                <w:szCs w:val="20"/>
                <w:color w:val="auto"/>
              </w:rPr>
            </w:pPr>
            <w:r>
              <w:rPr>
                <w:rFonts w:ascii="Arial" w:cs="Arial" w:eastAsia="Arial" w:hAnsi="Arial"/>
                <w:sz w:val="14"/>
                <w:szCs w:val="14"/>
                <w:b w:val="1"/>
                <w:bCs w:val="1"/>
                <w:color w:val="auto"/>
              </w:rPr>
              <w:t>Other</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6"/>
              </w:rPr>
              <w:t>Noncontrolling</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center"/>
              <w:spacing w:after="0" w:line="145" w:lineRule="exact"/>
              <w:rPr>
                <w:sz w:val="20"/>
                <w:szCs w:val="20"/>
                <w:color w:val="auto"/>
              </w:rPr>
            </w:pPr>
            <w:r>
              <w:rPr>
                <w:rFonts w:ascii="Arial" w:cs="Arial" w:eastAsia="Arial" w:hAnsi="Arial"/>
                <w:sz w:val="14"/>
                <w:szCs w:val="14"/>
                <w:b w:val="1"/>
                <w:bCs w:val="1"/>
                <w:color w:val="auto"/>
                <w:w w:val="89"/>
              </w:rPr>
              <w:t>Comprehensive</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ind w:right="73"/>
              <w:spacing w:after="0" w:line="145" w:lineRule="exact"/>
              <w:rPr>
                <w:sz w:val="20"/>
                <w:szCs w:val="20"/>
                <w:color w:val="auto"/>
              </w:rPr>
            </w:pPr>
            <w:r>
              <w:rPr>
                <w:rFonts w:ascii="Arial" w:cs="Arial" w:eastAsia="Arial" w:hAnsi="Arial"/>
                <w:sz w:val="14"/>
                <w:szCs w:val="14"/>
                <w:b w:val="1"/>
                <w:bCs w:val="1"/>
                <w:color w:val="auto"/>
                <w:w w:val="96"/>
              </w:rPr>
              <w:t>Crown</w:t>
            </w:r>
          </w:p>
        </w:tc>
        <w:tc>
          <w:tcPr>
            <w:tcW w:w="10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center"/>
              <w:spacing w:after="0" w:line="145" w:lineRule="exact"/>
              <w:rPr>
                <w:sz w:val="20"/>
                <w:szCs w:val="20"/>
                <w:color w:val="auto"/>
              </w:rPr>
            </w:pPr>
            <w:r>
              <w:rPr>
                <w:rFonts w:ascii="Arial" w:cs="Arial" w:eastAsia="Arial" w:hAnsi="Arial"/>
                <w:sz w:val="14"/>
                <w:szCs w:val="14"/>
                <w:b w:val="1"/>
                <w:bCs w:val="1"/>
                <w:color w:val="auto"/>
                <w:w w:val="92"/>
              </w:rPr>
              <w:t>Shareholders'</w:t>
            </w:r>
          </w:p>
        </w:tc>
        <w:tc>
          <w:tcPr>
            <w:tcW w:w="0" w:type="dxa"/>
            <w:vAlign w:val="bottom"/>
          </w:tcPr>
          <w:p>
            <w:pPr>
              <w:spacing w:after="0"/>
              <w:rPr>
                <w:sz w:val="1"/>
                <w:szCs w:val="1"/>
                <w:color w:val="auto"/>
              </w:rPr>
            </w:pPr>
          </w:p>
        </w:tc>
      </w:tr>
      <w:tr>
        <w:trPr>
          <w:trHeight w:val="196"/>
        </w:trPr>
        <w:tc>
          <w:tcPr>
            <w:tcW w:w="35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Stock</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Capital</w:t>
            </w:r>
          </w:p>
        </w:tc>
        <w:tc>
          <w:tcPr>
            <w:tcW w:w="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w w:val="93"/>
              </w:rPr>
              <w:t>Earnings</w:t>
            </w:r>
          </w:p>
        </w:tc>
        <w:tc>
          <w:tcPr>
            <w:tcW w:w="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center"/>
              <w:ind w:right="17"/>
              <w:spacing w:after="0"/>
              <w:rPr>
                <w:sz w:val="20"/>
                <w:szCs w:val="20"/>
                <w:color w:val="auto"/>
              </w:rPr>
            </w:pPr>
            <w:r>
              <w:rPr>
                <w:rFonts w:ascii="Arial" w:cs="Arial" w:eastAsia="Arial" w:hAnsi="Arial"/>
                <w:sz w:val="14"/>
                <w:szCs w:val="14"/>
                <w:b w:val="1"/>
                <w:bCs w:val="1"/>
                <w:color w:val="auto"/>
                <w:w w:val="85"/>
              </w:rPr>
              <w:t>Loss</w:t>
            </w: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w w:val="98"/>
              </w:rPr>
              <w:t>Equity</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w w:val="99"/>
              </w:rPr>
              <w:t>Interests</w:t>
            </w:r>
          </w:p>
        </w:tc>
        <w:tc>
          <w:tcPr>
            <w:tcW w:w="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center"/>
              <w:ind w:right="112"/>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57"/>
        </w:trPr>
        <w:tc>
          <w:tcPr>
            <w:tcW w:w="3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5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January 1, 2022</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(1,898)</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1,912</w:t>
            </w:r>
          </w:p>
        </w:tc>
        <w:tc>
          <w:tcPr>
            <w:tcW w:w="28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w:t>
            </w:r>
          </w:p>
        </w:tc>
        <w:tc>
          <w:tcPr>
            <w:tcW w:w="28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2,330</w:t>
            </w:r>
          </w:p>
        </w:tc>
        <w:tc>
          <w:tcPr>
            <w:tcW w:w="0" w:type="dxa"/>
            <w:vAlign w:val="bottom"/>
          </w:tcPr>
          <w:p>
            <w:pPr>
              <w:spacing w:after="0"/>
              <w:rPr>
                <w:sz w:val="1"/>
                <w:szCs w:val="1"/>
                <w:color w:val="auto"/>
              </w:rPr>
            </w:pPr>
          </w:p>
        </w:tc>
      </w:tr>
      <w:tr>
        <w:trPr>
          <w:trHeight w:val="229"/>
        </w:trPr>
        <w:tc>
          <w:tcPr>
            <w:tcW w:w="354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216</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216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246</w:t>
            </w:r>
          </w:p>
        </w:tc>
        <w:tc>
          <w:tcPr>
            <w:tcW w:w="0" w:type="dxa"/>
            <w:vAlign w:val="bottom"/>
          </w:tcPr>
          <w:p>
            <w:pPr>
              <w:spacing w:after="0"/>
              <w:rPr>
                <w:sz w:val="1"/>
                <w:szCs w:val="1"/>
                <w:color w:val="auto"/>
              </w:rPr>
            </w:pPr>
          </w:p>
        </w:tc>
      </w:tr>
      <w:tr>
        <w:trPr>
          <w:trHeight w:val="229"/>
        </w:trPr>
        <w:tc>
          <w:tcPr>
            <w:tcW w:w="3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income</w:t>
            </w: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37"/>
        </w:trPr>
        <w:tc>
          <w:tcPr>
            <w:tcW w:w="3540" w:type="dxa"/>
            <w:vAlign w:val="bottom"/>
          </w:tcPr>
          <w:p>
            <w:pPr>
              <w:ind w:left="20"/>
              <w:spacing w:after="0"/>
              <w:rPr>
                <w:sz w:val="20"/>
                <w:szCs w:val="20"/>
                <w:color w:val="auto"/>
              </w:rPr>
            </w:pPr>
            <w:r>
              <w:rPr>
                <w:rFonts w:ascii="Arial" w:cs="Arial" w:eastAsia="Arial" w:hAnsi="Arial"/>
                <w:sz w:val="18"/>
                <w:szCs w:val="18"/>
                <w:color w:val="auto"/>
              </w:rPr>
              <w:t>Dividends declared</w:t>
            </w: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(27)</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36"/>
        </w:trPr>
        <w:tc>
          <w:tcPr>
            <w:tcW w:w="3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Restricted stock awarded</w:t>
            </w:r>
          </w:p>
        </w:tc>
        <w:tc>
          <w:tcPr>
            <w:tcW w:w="12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540" w:type="dxa"/>
            <w:vAlign w:val="bottom"/>
          </w:tcPr>
          <w:p>
            <w:pPr>
              <w:ind w:left="20"/>
              <w:spacing w:after="0"/>
              <w:rPr>
                <w:sz w:val="20"/>
                <w:szCs w:val="20"/>
                <w:color w:val="auto"/>
              </w:rPr>
            </w:pPr>
            <w:r>
              <w:rPr>
                <w:rFonts w:ascii="Arial" w:cs="Arial" w:eastAsia="Arial" w:hAnsi="Arial"/>
                <w:sz w:val="18"/>
                <w:szCs w:val="18"/>
                <w:color w:val="auto"/>
              </w:rPr>
              <w:t>Stock-based compensation</w:t>
            </w: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9"/>
        </w:trPr>
        <w:tc>
          <w:tcPr>
            <w:tcW w:w="3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Common stock repurchased</w:t>
            </w:r>
          </w:p>
        </w:tc>
        <w:tc>
          <w:tcPr>
            <w:tcW w:w="12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(335)</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32"/>
        </w:trPr>
        <w:tc>
          <w:tcPr>
            <w:tcW w:w="3540" w:type="dxa"/>
            <w:vAlign w:val="bottom"/>
          </w:tcPr>
          <w:p>
            <w:pPr>
              <w:ind w:left="20"/>
              <w:spacing w:after="0"/>
              <w:rPr>
                <w:sz w:val="20"/>
                <w:szCs w:val="20"/>
                <w:color w:val="auto"/>
              </w:rPr>
            </w:pPr>
            <w:r>
              <w:rPr>
                <w:rFonts w:ascii="Arial" w:cs="Arial" w:eastAsia="Arial" w:hAnsi="Arial"/>
                <w:sz w:val="18"/>
                <w:szCs w:val="18"/>
                <w:b w:val="1"/>
                <w:bCs w:val="1"/>
                <w:color w:val="auto"/>
              </w:rPr>
              <w:t>Balance at March 31, 2022</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616</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80" w:type="dxa"/>
            <w:vAlign w:val="bottom"/>
          </w:tcPr>
          <w:p>
            <w:pPr>
              <w:ind w:left="42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3,043</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(1,839)</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1,820</w:t>
            </w:r>
          </w:p>
        </w:tc>
        <w:tc>
          <w:tcPr>
            <w:tcW w:w="280" w:type="dxa"/>
            <w:vAlign w:val="bottom"/>
            <w:gridSpan w:val="2"/>
          </w:tcPr>
          <w:p>
            <w:pPr>
              <w:jc w:val="right"/>
              <w:ind w:right="8"/>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440</w:t>
            </w:r>
          </w:p>
        </w:tc>
        <w:tc>
          <w:tcPr>
            <w:tcW w:w="280" w:type="dxa"/>
            <w:vAlign w:val="bottom"/>
            <w:gridSpan w:val="2"/>
          </w:tcPr>
          <w:p>
            <w:pPr>
              <w:jc w:val="right"/>
              <w:ind w:right="8"/>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2,260</w:t>
            </w:r>
          </w:p>
        </w:tc>
        <w:tc>
          <w:tcPr>
            <w:tcW w:w="0" w:type="dxa"/>
            <w:vAlign w:val="bottom"/>
          </w:tcPr>
          <w:p>
            <w:pPr>
              <w:spacing w:after="0"/>
              <w:rPr>
                <w:sz w:val="1"/>
                <w:szCs w:val="1"/>
                <w:color w:val="auto"/>
              </w:rPr>
            </w:pPr>
          </w:p>
        </w:tc>
      </w:tr>
      <w:tr>
        <w:trPr>
          <w:trHeight w:val="227"/>
        </w:trPr>
        <w:tc>
          <w:tcPr>
            <w:tcW w:w="3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20" w:type="dxa"/>
            <w:vAlign w:val="bottom"/>
            <w:tcBorders>
              <w:top w:val="single" w:sz="8" w:color="auto"/>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329</w:t>
            </w:r>
          </w:p>
        </w:tc>
        <w:tc>
          <w:tcPr>
            <w:tcW w:w="0" w:type="dxa"/>
            <w:vAlign w:val="bottom"/>
          </w:tcPr>
          <w:p>
            <w:pPr>
              <w:spacing w:after="0"/>
              <w:rPr>
                <w:sz w:val="1"/>
                <w:szCs w:val="1"/>
                <w:color w:val="auto"/>
              </w:rPr>
            </w:pPr>
          </w:p>
        </w:tc>
      </w:tr>
      <w:tr>
        <w:trPr>
          <w:trHeight w:val="229"/>
        </w:trPr>
        <w:tc>
          <w:tcPr>
            <w:tcW w:w="3540" w:type="dxa"/>
            <w:vAlign w:val="bottom"/>
          </w:tcPr>
          <w:p>
            <w:pPr>
              <w:ind w:left="20"/>
              <w:spacing w:after="0"/>
              <w:rPr>
                <w:sz w:val="20"/>
                <w:szCs w:val="20"/>
                <w:color w:val="auto"/>
              </w:rPr>
            </w:pPr>
            <w:r>
              <w:rPr>
                <w:rFonts w:ascii="Arial" w:cs="Arial" w:eastAsia="Arial" w:hAnsi="Arial"/>
                <w:sz w:val="18"/>
                <w:szCs w:val="18"/>
                <w:color w:val="auto"/>
              </w:rPr>
              <w:t>Other comprehensive income</w:t>
            </w: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43"/>
        </w:trPr>
        <w:tc>
          <w:tcPr>
            <w:tcW w:w="3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Dividends declared</w:t>
            </w:r>
          </w:p>
        </w:tc>
        <w:tc>
          <w:tcPr>
            <w:tcW w:w="12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29"/>
        </w:trPr>
        <w:tc>
          <w:tcPr>
            <w:tcW w:w="3540" w:type="dxa"/>
            <w:vAlign w:val="bottom"/>
          </w:tcPr>
          <w:p>
            <w:pPr>
              <w:ind w:left="20"/>
              <w:spacing w:after="0"/>
              <w:rPr>
                <w:sz w:val="20"/>
                <w:szCs w:val="20"/>
                <w:color w:val="auto"/>
              </w:rPr>
            </w:pPr>
            <w:r>
              <w:rPr>
                <w:rFonts w:ascii="Arial" w:cs="Arial" w:eastAsia="Arial" w:hAnsi="Arial"/>
                <w:sz w:val="18"/>
                <w:szCs w:val="18"/>
                <w:color w:val="auto"/>
              </w:rPr>
              <w:t>Restricted stock awarded</w:t>
            </w: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Stock-based compensation</w:t>
            </w: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37"/>
        </w:trPr>
        <w:tc>
          <w:tcPr>
            <w:tcW w:w="3540" w:type="dxa"/>
            <w:vAlign w:val="bottom"/>
          </w:tcPr>
          <w:p>
            <w:pPr>
              <w:ind w:left="20"/>
              <w:spacing w:after="0"/>
              <w:rPr>
                <w:sz w:val="20"/>
                <w:szCs w:val="20"/>
                <w:color w:val="auto"/>
              </w:rPr>
            </w:pPr>
            <w:r>
              <w:rPr>
                <w:rFonts w:ascii="Arial" w:cs="Arial" w:eastAsia="Arial" w:hAnsi="Arial"/>
                <w:sz w:val="18"/>
                <w:szCs w:val="18"/>
                <w:color w:val="auto"/>
              </w:rPr>
              <w:t>Common stock issued</w:t>
            </w: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2"/>
        </w:trPr>
        <w:tc>
          <w:tcPr>
            <w:tcW w:w="3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Common stock repurchased</w:t>
            </w:r>
          </w:p>
        </w:tc>
        <w:tc>
          <w:tcPr>
            <w:tcW w:w="12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32"/>
        </w:trPr>
        <w:tc>
          <w:tcPr>
            <w:tcW w:w="3540" w:type="dxa"/>
            <w:vAlign w:val="bottom"/>
          </w:tcPr>
          <w:p>
            <w:pPr>
              <w:ind w:left="20"/>
              <w:spacing w:after="0"/>
              <w:rPr>
                <w:sz w:val="20"/>
                <w:szCs w:val="20"/>
                <w:color w:val="auto"/>
              </w:rPr>
            </w:pPr>
            <w:r>
              <w:rPr>
                <w:rFonts w:ascii="Arial" w:cs="Arial" w:eastAsia="Arial" w:hAnsi="Arial"/>
                <w:sz w:val="18"/>
                <w:szCs w:val="18"/>
                <w:b w:val="1"/>
                <w:bCs w:val="1"/>
                <w:color w:val="auto"/>
              </w:rPr>
              <w:t>Balance at June 30, 2022</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606</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80" w:type="dxa"/>
            <w:vAlign w:val="bottom"/>
          </w:tcPr>
          <w:p>
            <w:pPr>
              <w:ind w:left="42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3,079</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(1,946)</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1,739</w:t>
            </w:r>
          </w:p>
        </w:tc>
        <w:tc>
          <w:tcPr>
            <w:tcW w:w="280" w:type="dxa"/>
            <w:vAlign w:val="bottom"/>
            <w:gridSpan w:val="2"/>
          </w:tcPr>
          <w:p>
            <w:pPr>
              <w:jc w:val="right"/>
              <w:ind w:right="8"/>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451</w:t>
            </w:r>
          </w:p>
        </w:tc>
        <w:tc>
          <w:tcPr>
            <w:tcW w:w="280" w:type="dxa"/>
            <w:vAlign w:val="bottom"/>
            <w:gridSpan w:val="2"/>
          </w:tcPr>
          <w:p>
            <w:pPr>
              <w:jc w:val="right"/>
              <w:ind w:right="8"/>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2,190</w:t>
            </w:r>
          </w:p>
        </w:tc>
        <w:tc>
          <w:tcPr>
            <w:tcW w:w="0" w:type="dxa"/>
            <w:vAlign w:val="bottom"/>
          </w:tcPr>
          <w:p>
            <w:pPr>
              <w:spacing w:after="0"/>
              <w:rPr>
                <w:sz w:val="1"/>
                <w:szCs w:val="1"/>
                <w:color w:val="auto"/>
              </w:rPr>
            </w:pPr>
          </w:p>
        </w:tc>
      </w:tr>
      <w:tr>
        <w:trPr>
          <w:trHeight w:val="25"/>
        </w:trPr>
        <w:tc>
          <w:tcPr>
            <w:tcW w:w="3540" w:type="dxa"/>
            <w:vAlign w:val="bottom"/>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70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68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74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98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60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top w:val="single" w:sz="8" w:color="auto"/>
              <w:bottom w:val="single" w:sz="8" w:color="auto"/>
            </w:tcBorders>
          </w:tcPr>
          <w:p>
            <w:pPr>
              <w:spacing w:after="0"/>
              <w:rPr>
                <w:sz w:val="2"/>
                <w:szCs w:val="2"/>
                <w:color w:val="auto"/>
              </w:rPr>
            </w:pPr>
          </w:p>
        </w:tc>
        <w:tc>
          <w:tcPr>
            <w:tcW w:w="86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top w:val="single" w:sz="8" w:color="auto"/>
              <w:bottom w:val="single" w:sz="8" w:color="auto"/>
            </w:tcBorders>
          </w:tcPr>
          <w:p>
            <w:pPr>
              <w:spacing w:after="0"/>
              <w:rPr>
                <w:sz w:val="2"/>
                <w:szCs w:val="2"/>
                <w:color w:val="auto"/>
              </w:rPr>
            </w:pPr>
          </w:p>
        </w:tc>
        <w:tc>
          <w:tcPr>
            <w:tcW w:w="740" w:type="dxa"/>
            <w:vAlign w:val="bottom"/>
            <w:tcBorders>
              <w:top w:val="single" w:sz="8" w:color="auto"/>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20"/>
          </w:cols>
          <w:pgMar w:left="320" w:top="121" w:right="75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millions, except per share and statistical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282" w:lineRule="exact"/>
        <w:rPr>
          <w:sz w:val="20"/>
          <w:szCs w:val="20"/>
          <w:color w:val="auto"/>
        </w:rPr>
      </w:pPr>
    </w:p>
    <w:p>
      <w:pPr>
        <w:ind w:left="660" w:hanging="652"/>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Statement of Information Furnished</w:t>
      </w:r>
    </w:p>
    <w:p>
      <w:pPr>
        <w:spacing w:after="0" w:line="256" w:lineRule="exact"/>
        <w:rPr>
          <w:rFonts w:ascii="Arial" w:cs="Arial" w:eastAsia="Arial" w:hAnsi="Arial"/>
          <w:sz w:val="18"/>
          <w:szCs w:val="18"/>
          <w:b w:val="1"/>
          <w:bCs w:val="1"/>
          <w:color w:val="auto"/>
        </w:rPr>
      </w:pPr>
    </w:p>
    <w:p>
      <w:pPr>
        <w:jc w:val="both"/>
        <w:ind w:left="660"/>
        <w:spacing w:after="0" w:line="271" w:lineRule="auto"/>
        <w:rPr>
          <w:rFonts w:ascii="Arial" w:cs="Arial" w:eastAsia="Arial" w:hAnsi="Arial"/>
          <w:sz w:val="18"/>
          <w:szCs w:val="18"/>
          <w:b w:val="1"/>
          <w:bCs w:val="1"/>
          <w:color w:val="auto"/>
        </w:rPr>
      </w:pPr>
      <w:r>
        <w:rPr>
          <w:rFonts w:ascii="Arial" w:cs="Arial" w:eastAsia="Arial" w:hAnsi="Arial"/>
          <w:sz w:val="17"/>
          <w:szCs w:val="17"/>
          <w:color w:val="auto"/>
        </w:rPr>
        <w:t>The consolidated financial statements include the accounts of Crown Holdings, Inc. and its consolidated subsidiaries (the “Company”). The accompanying unaudited interim consolidated financial statements have been prepared in accordance with Form 10-Q instructions. In the opinion of management, these consolidated financial statements contain all adjustments of a normal and recurring nature necessary for a fair statement of the financial position of the Company as of June 30, 2023 and the results of its operations for the three and six months ended June 30, 2023 and 2022 and of its cash flows for the six months ended June 30, 2023 and 2022. The results reported in these consolidated financial statements are not necessarily indicative of the results that may be expected for the entire year. These results have been determined on the basis of accounting principles generally accepted in the United States of America (“GAAP”), the application of which requires management’s utilization of estimates, and actual results may differ materially from the estimates utilized.</w:t>
      </w:r>
    </w:p>
    <w:p>
      <w:pPr>
        <w:spacing w:after="0" w:line="205" w:lineRule="exact"/>
        <w:rPr>
          <w:rFonts w:ascii="Arial" w:cs="Arial" w:eastAsia="Arial" w:hAnsi="Arial"/>
          <w:sz w:val="18"/>
          <w:szCs w:val="18"/>
          <w:b w:val="1"/>
          <w:bCs w:val="1"/>
          <w:color w:val="auto"/>
        </w:rPr>
      </w:pPr>
    </w:p>
    <w:p>
      <w:pPr>
        <w:jc w:val="both"/>
        <w:ind w:left="660"/>
        <w:spacing w:after="0" w:line="279" w:lineRule="auto"/>
        <w:rPr>
          <w:rFonts w:ascii="Arial" w:cs="Arial" w:eastAsia="Arial" w:hAnsi="Arial"/>
          <w:sz w:val="18"/>
          <w:szCs w:val="18"/>
          <w:b w:val="1"/>
          <w:bCs w:val="1"/>
          <w:color w:val="auto"/>
        </w:rPr>
      </w:pPr>
      <w:r>
        <w:rPr>
          <w:rFonts w:ascii="Arial" w:cs="Arial" w:eastAsia="Arial" w:hAnsi="Arial"/>
          <w:sz w:val="17"/>
          <w:szCs w:val="17"/>
          <w:color w:val="auto"/>
        </w:rPr>
        <w:t>Certain information and footnote disclosures normally included in financial statements presented in accordance with GAAP have been condensed or omitted. The year-end condensed balance sheet data was derived from audited financial statements, but does not include all disclosures required by GAAP. The accompanying consolidated financial statements should be read in conjunction with the consolidated financial statements and notes thereto included in the Company's Annual Report on Form 10-K for the year ended December 31, 2022.</w:t>
      </w:r>
    </w:p>
    <w:p>
      <w:pPr>
        <w:spacing w:after="0" w:line="194" w:lineRule="exact"/>
        <w:rPr>
          <w:rFonts w:ascii="Arial" w:cs="Arial" w:eastAsia="Arial" w:hAnsi="Arial"/>
          <w:sz w:val="18"/>
          <w:szCs w:val="18"/>
          <w:b w:val="1"/>
          <w:bCs w:val="1"/>
          <w:color w:val="auto"/>
        </w:rPr>
      </w:pPr>
    </w:p>
    <w:p>
      <w:pPr>
        <w:ind w:left="660" w:hanging="652"/>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Recent Accounting and Reporting Pronouncements</w:t>
      </w:r>
    </w:p>
    <w:p>
      <w:pPr>
        <w:spacing w:after="0" w:line="256" w:lineRule="exact"/>
        <w:rPr>
          <w:rFonts w:ascii="Arial" w:cs="Arial" w:eastAsia="Arial" w:hAnsi="Arial"/>
          <w:sz w:val="18"/>
          <w:szCs w:val="18"/>
          <w:b w:val="1"/>
          <w:bCs w:val="1"/>
          <w:color w:val="auto"/>
        </w:rPr>
      </w:pPr>
    </w:p>
    <w:p>
      <w:pPr>
        <w:jc w:val="both"/>
        <w:ind w:left="660"/>
        <w:spacing w:after="0" w:line="279" w:lineRule="auto"/>
        <w:rPr>
          <w:rFonts w:ascii="Arial" w:cs="Arial" w:eastAsia="Arial" w:hAnsi="Arial"/>
          <w:sz w:val="18"/>
          <w:szCs w:val="18"/>
          <w:b w:val="1"/>
          <w:bCs w:val="1"/>
          <w:color w:val="auto"/>
        </w:rPr>
      </w:pPr>
      <w:r>
        <w:rPr>
          <w:rFonts w:ascii="Arial" w:cs="Arial" w:eastAsia="Arial" w:hAnsi="Arial"/>
          <w:sz w:val="17"/>
          <w:szCs w:val="17"/>
          <w:color w:val="auto"/>
        </w:rPr>
        <w:t>In September 2022, the Financial Accounting Standards Board issued new guidance which requires enhanced disclosures of supplier finance programs. The guidance requires buyers in a supplier finance program to disclose sufficient information about the program’s nature, activity during the period, changes from period to period, and potential magnitude. The guidance became effective for the Company on January 1, 2023, except for the disclosure of rollforward information, which is effective for fiscal years beginning after December 15, 2023.</w:t>
      </w:r>
    </w:p>
    <w:p>
      <w:pPr>
        <w:spacing w:after="0" w:line="198" w:lineRule="exact"/>
        <w:rPr>
          <w:rFonts w:ascii="Arial" w:cs="Arial" w:eastAsia="Arial" w:hAnsi="Arial"/>
          <w:sz w:val="18"/>
          <w:szCs w:val="18"/>
          <w:b w:val="1"/>
          <w:bCs w:val="1"/>
          <w:color w:val="auto"/>
        </w:rPr>
      </w:pPr>
    </w:p>
    <w:p>
      <w:pPr>
        <w:jc w:val="both"/>
        <w:ind w:left="660"/>
        <w:spacing w:after="0" w:line="272" w:lineRule="auto"/>
        <w:rPr>
          <w:rFonts w:ascii="Arial" w:cs="Arial" w:eastAsia="Arial" w:hAnsi="Arial"/>
          <w:sz w:val="18"/>
          <w:szCs w:val="18"/>
          <w:b w:val="1"/>
          <w:bCs w:val="1"/>
          <w:color w:val="auto"/>
        </w:rPr>
      </w:pPr>
      <w:r>
        <w:rPr>
          <w:rFonts w:ascii="Arial" w:cs="Arial" w:eastAsia="Arial" w:hAnsi="Arial"/>
          <w:sz w:val="17"/>
          <w:szCs w:val="17"/>
          <w:color w:val="auto"/>
        </w:rPr>
        <w:t>The Company has various supplier finance programs under which the Company agrees to pay banks the stated amount of confirmed invoices from its designated suppliers on the original maturity dates of the invoices. Suppliers, at their sole discretion, have the opportunity to sell their receivables due from the Company earlier than contracted payment terms. The Company or the banks may terminate the agreements upon at least 30 days' notice. The Company does not have assets pledged as collateral for supplier finance programs. The supplier invoices that have been confirmed as valid under the programs typically have payment terms of 150 days or less, consistent with the commercial terms and conditions as agreed upon with suppliers. The Company had $719 and $1,037 confirmed obligations outstanding under these supplier finance programs as of June 30, 2023 and December 31, 2022 included in Accounts Payable.</w:t>
      </w:r>
    </w:p>
    <w:p>
      <w:pPr>
        <w:spacing w:after="0" w:line="200" w:lineRule="exact"/>
        <w:rPr>
          <w:rFonts w:ascii="Arial" w:cs="Arial" w:eastAsia="Arial" w:hAnsi="Arial"/>
          <w:sz w:val="18"/>
          <w:szCs w:val="18"/>
          <w:b w:val="1"/>
          <w:bCs w:val="1"/>
          <w:color w:val="auto"/>
        </w:rPr>
      </w:pPr>
    </w:p>
    <w:p>
      <w:pPr>
        <w:ind w:left="360" w:hanging="352"/>
        <w:spacing w:after="0"/>
        <w:tabs>
          <w:tab w:leader="none" w:pos="3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Cash, Cash Equivalents, and Restricted Cash</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Cash, cash equivalents, and restricted cash included in the Company's Consolidated Balance Sheets and Statement of Cash Flows were as follows:</w:t>
      </w:r>
    </w:p>
    <w:p>
      <w:pPr>
        <w:spacing w:after="0" w:line="316"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5860" w:type="dxa"/>
            <w:vAlign w:val="bottom"/>
          </w:tcPr>
          <w:p>
            <w:pPr>
              <w:spacing w:after="0"/>
              <w:rPr>
                <w:sz w:val="20"/>
                <w:szCs w:val="20"/>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June 30, 2023</w:t>
            </w:r>
          </w:p>
        </w:tc>
        <w:tc>
          <w:tcPr>
            <w:tcW w:w="38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2"/>
              </w:rPr>
              <w:t>December 31, 2022</w:t>
            </w:r>
          </w:p>
        </w:tc>
      </w:tr>
      <w:tr>
        <w:trPr>
          <w:trHeight w:val="223"/>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1460" w:type="dxa"/>
            <w:vAlign w:val="bottom"/>
            <w:shd w:val="clear" w:color="auto" w:fill="CCEEFF"/>
          </w:tcPr>
          <w:p>
            <w:pPr>
              <w:jc w:val="right"/>
              <w:ind w:right="1250"/>
              <w:spacing w:after="0"/>
              <w:rPr>
                <w:sz w:val="20"/>
                <w:szCs w:val="20"/>
                <w:color w:val="auto"/>
              </w:rPr>
            </w:pPr>
            <w:r>
              <w:rPr>
                <w:rFonts w:ascii="Arial" w:cs="Arial" w:eastAsia="Arial" w:hAnsi="Arial"/>
                <w:sz w:val="18"/>
                <w:szCs w:val="18"/>
                <w:color w:val="auto"/>
                <w:w w:val="9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547</w:t>
            </w: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w:t>
            </w:r>
          </w:p>
        </w:tc>
      </w:tr>
      <w:tr>
        <w:trPr>
          <w:trHeight w:val="229"/>
        </w:trPr>
        <w:tc>
          <w:tcPr>
            <w:tcW w:w="5860" w:type="dxa"/>
            <w:vAlign w:val="bottom"/>
          </w:tcPr>
          <w:p>
            <w:pPr>
              <w:ind w:left="20"/>
              <w:spacing w:after="0"/>
              <w:rPr>
                <w:sz w:val="20"/>
                <w:szCs w:val="20"/>
                <w:color w:val="auto"/>
              </w:rPr>
            </w:pPr>
            <w:r>
              <w:rPr>
                <w:rFonts w:ascii="Arial" w:cs="Arial" w:eastAsia="Arial" w:hAnsi="Arial"/>
                <w:sz w:val="18"/>
                <w:szCs w:val="18"/>
                <w:color w:val="auto"/>
              </w:rPr>
              <w:t>Restricted cash included in prepaid expenses and other current assets</w:t>
            </w:r>
          </w:p>
        </w:tc>
        <w:tc>
          <w:tcPr>
            <w:tcW w:w="146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w:t>
            </w:r>
          </w:p>
        </w:tc>
        <w:tc>
          <w:tcPr>
            <w:tcW w:w="2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w:t>
            </w:r>
          </w:p>
        </w:tc>
      </w:tr>
      <w:tr>
        <w:trPr>
          <w:trHeight w:val="250"/>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cash, cash equivalents and restricted cash</w:t>
            </w:r>
          </w:p>
        </w:tc>
        <w:tc>
          <w:tcPr>
            <w:tcW w:w="1460" w:type="dxa"/>
            <w:vAlign w:val="bottom"/>
            <w:shd w:val="clear" w:color="auto" w:fill="CCEEFF"/>
          </w:tcPr>
          <w:p>
            <w:pPr>
              <w:jc w:val="right"/>
              <w:ind w:right="1250"/>
              <w:spacing w:after="0"/>
              <w:rPr>
                <w:sz w:val="20"/>
                <w:szCs w:val="20"/>
                <w:color w:val="auto"/>
              </w:rPr>
            </w:pPr>
            <w:r>
              <w:rPr>
                <w:rFonts w:ascii="Arial" w:cs="Arial" w:eastAsia="Arial" w:hAnsi="Arial"/>
                <w:sz w:val="18"/>
                <w:szCs w:val="18"/>
                <w:color w:val="auto"/>
                <w:w w:val="9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643</w:t>
            </w: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639</w:t>
            </w:r>
          </w:p>
        </w:tc>
      </w:tr>
      <w:tr>
        <w:trPr>
          <w:trHeight w:val="20"/>
        </w:trPr>
        <w:tc>
          <w:tcPr>
            <w:tcW w:w="586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Amounts included in restricted cash primarily represent amounts required to be segregated by certain of the Company's receivables securitization agreements.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9" w:name="page10"/>
    <w:bookmarkEnd w:id="9"/>
    <w:tbl>
      <w:tblPr>
        <w:tblLayout w:type="fixed"/>
        <w:tblInd w:w="0" w:type="dxa"/>
        <w:tblCellMar>
          <w:top w:w="0" w:type="dxa"/>
          <w:left w:w="0" w:type="dxa"/>
          <w:bottom w:w="0" w:type="dxa"/>
          <w:right w:w="0" w:type="dxa"/>
        </w:tblCellMar>
      </w:tblPr>
      <w:tr>
        <w:trPr>
          <w:trHeight w:val="234"/>
        </w:trPr>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3900" w:type="dxa"/>
            <w:vAlign w:val="bottom"/>
            <w:gridSpan w:val="3"/>
          </w:tcPr>
          <w:p>
            <w:pPr>
              <w:jc w:val="right"/>
              <w:ind w:right="1270"/>
              <w:spacing w:after="0"/>
              <w:rPr>
                <w:sz w:val="20"/>
                <w:szCs w:val="20"/>
                <w:color w:val="auto"/>
              </w:rPr>
            </w:pPr>
            <w:r>
              <w:rPr>
                <w:rFonts w:ascii="Arial" w:cs="Arial" w:eastAsia="Arial" w:hAnsi="Arial"/>
                <w:sz w:val="18"/>
                <w:szCs w:val="18"/>
                <w:b w:val="1"/>
                <w:bCs w:val="1"/>
                <w:color w:val="auto"/>
              </w:rPr>
              <w:t>Crown Holdings, Inc.</w:t>
            </w: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904"/>
        </w:trPr>
        <w:tc>
          <w:tcPr>
            <w:tcW w:w="3900" w:type="dxa"/>
            <w:vAlign w:val="bottom"/>
            <w:gridSpan w:val="4"/>
          </w:tcPr>
          <w:p>
            <w:pPr>
              <w:spacing w:after="0"/>
              <w:rPr>
                <w:sz w:val="20"/>
                <w:szCs w:val="20"/>
                <w:color w:val="auto"/>
              </w:rPr>
            </w:pPr>
            <w:r>
              <w:rPr>
                <w:rFonts w:ascii="Arial" w:cs="Arial" w:eastAsia="Arial" w:hAnsi="Arial"/>
                <w:sz w:val="18"/>
                <w:szCs w:val="18"/>
                <w:b w:val="1"/>
                <w:bCs w:val="1"/>
                <w:color w:val="auto"/>
              </w:rPr>
              <w:t>D.  Receivables</w:t>
            </w:r>
          </w:p>
        </w:tc>
        <w:tc>
          <w:tcPr>
            <w:tcW w:w="2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520"/>
        </w:trPr>
        <w:tc>
          <w:tcPr>
            <w:tcW w:w="36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264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June 30, 2023</w:t>
            </w:r>
          </w:p>
        </w:tc>
        <w:tc>
          <w:tcPr>
            <w:tcW w:w="7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1"/>
              </w:rPr>
              <w:t>December 31, 2022</w:t>
            </w:r>
          </w:p>
        </w:tc>
      </w:tr>
      <w:tr>
        <w:trPr>
          <w:trHeight w:val="237"/>
        </w:trPr>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Accounts receivable</w:t>
            </w:r>
          </w:p>
        </w:tc>
        <w:tc>
          <w:tcPr>
            <w:tcW w:w="23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1,226</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1,132</w:t>
            </w:r>
          </w:p>
        </w:tc>
      </w:tr>
      <w:tr>
        <w:trPr>
          <w:trHeight w:val="229"/>
        </w:trPr>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2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Less: allowance for credit losses</w:t>
            </w:r>
          </w:p>
        </w:tc>
        <w:tc>
          <w:tcPr>
            <w:tcW w:w="20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7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r>
      <w:tr>
        <w:trPr>
          <w:trHeight w:val="223"/>
        </w:trPr>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trade receivables</w:t>
            </w:r>
          </w:p>
        </w:tc>
        <w:tc>
          <w:tcPr>
            <w:tcW w:w="20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1,190</w:t>
            </w:r>
          </w:p>
        </w:tc>
        <w:tc>
          <w:tcPr>
            <w:tcW w:w="7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1,110</w:t>
            </w:r>
          </w:p>
        </w:tc>
      </w:tr>
      <w:tr>
        <w:trPr>
          <w:trHeight w:val="237"/>
        </w:trPr>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240" w:type="dxa"/>
            <w:vAlign w:val="bottom"/>
            <w:gridSpan w:val="2"/>
          </w:tcPr>
          <w:p>
            <w:pPr>
              <w:ind w:left="20"/>
              <w:spacing w:after="0"/>
              <w:rPr>
                <w:sz w:val="20"/>
                <w:szCs w:val="20"/>
                <w:color w:val="auto"/>
              </w:rPr>
            </w:pPr>
            <w:r>
              <w:rPr>
                <w:rFonts w:ascii="Arial" w:cs="Arial" w:eastAsia="Arial" w:hAnsi="Arial"/>
                <w:sz w:val="18"/>
                <w:szCs w:val="18"/>
                <w:color w:val="auto"/>
              </w:rPr>
              <w:t>Unbilled receivables</w:t>
            </w:r>
          </w:p>
        </w:tc>
        <w:tc>
          <w:tcPr>
            <w:tcW w:w="20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370</w:t>
            </w: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363</w:t>
            </w:r>
          </w:p>
        </w:tc>
      </w:tr>
      <w:tr>
        <w:trPr>
          <w:trHeight w:val="236"/>
        </w:trPr>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Miscellaneous receivables</w:t>
            </w:r>
          </w:p>
        </w:tc>
        <w:tc>
          <w:tcPr>
            <w:tcW w:w="208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w:t>
            </w:r>
          </w:p>
        </w:tc>
        <w:tc>
          <w:tcPr>
            <w:tcW w:w="74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370</w:t>
            </w:r>
          </w:p>
        </w:tc>
      </w:tr>
      <w:tr>
        <w:trPr>
          <w:trHeight w:val="223"/>
        </w:trPr>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240" w:type="dxa"/>
            <w:vAlign w:val="bottom"/>
            <w:gridSpan w:val="2"/>
          </w:tcPr>
          <w:p>
            <w:pPr>
              <w:ind w:left="20"/>
              <w:spacing w:after="0"/>
              <w:rPr>
                <w:sz w:val="20"/>
                <w:szCs w:val="20"/>
                <w:color w:val="auto"/>
              </w:rPr>
            </w:pPr>
            <w:r>
              <w:rPr>
                <w:rFonts w:ascii="Arial" w:cs="Arial" w:eastAsia="Arial" w:hAnsi="Arial"/>
                <w:sz w:val="18"/>
                <w:szCs w:val="18"/>
                <w:color w:val="auto"/>
              </w:rPr>
              <w:t>Receivables, net</w:t>
            </w:r>
          </w:p>
        </w:tc>
        <w:tc>
          <w:tcPr>
            <w:tcW w:w="208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1,897</w:t>
            </w:r>
          </w:p>
        </w:tc>
        <w:tc>
          <w:tcPr>
            <w:tcW w:w="74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1,843</w:t>
            </w:r>
          </w:p>
        </w:tc>
      </w:tr>
      <w:tr>
        <w:trPr>
          <w:trHeight w:val="21"/>
        </w:trPr>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both"/>
        <w:ind w:left="660"/>
        <w:spacing w:after="0" w:line="263" w:lineRule="auto"/>
        <w:rPr>
          <w:sz w:val="20"/>
          <w:szCs w:val="20"/>
          <w:color w:val="auto"/>
        </w:rPr>
      </w:pPr>
      <w:r>
        <w:rPr>
          <w:rFonts w:ascii="Arial" w:cs="Arial" w:eastAsia="Arial" w:hAnsi="Arial"/>
          <w:sz w:val="18"/>
          <w:szCs w:val="18"/>
          <w:color w:val="auto"/>
        </w:rPr>
        <w:t>Accounts receivable as of June 30, 2023 includes approximately $77 due from a customer in the Company's Americas Beverage segment that filed for bankruptcy in March 2023. The Company possesses a security interest related to the supply agreement which was considered in the Company's allowance for credit losses.</w:t>
      </w:r>
    </w:p>
    <w:p>
      <w:pPr>
        <w:spacing w:after="0" w:line="211" w:lineRule="exact"/>
        <w:rPr>
          <w:sz w:val="20"/>
          <w:szCs w:val="20"/>
          <w:color w:val="auto"/>
        </w:rPr>
      </w:pPr>
    </w:p>
    <w:p>
      <w:pPr>
        <w:jc w:val="both"/>
        <w:ind w:left="660"/>
        <w:spacing w:after="0" w:line="275" w:lineRule="auto"/>
        <w:rPr>
          <w:sz w:val="20"/>
          <w:szCs w:val="20"/>
          <w:color w:val="auto"/>
        </w:rPr>
      </w:pPr>
      <w:r>
        <w:rPr>
          <w:rFonts w:ascii="Arial" w:cs="Arial" w:eastAsia="Arial" w:hAnsi="Arial"/>
          <w:sz w:val="17"/>
          <w:szCs w:val="17"/>
          <w:color w:val="auto"/>
        </w:rPr>
        <w:t>In December 2021, the Company's Bowling Green plant sustained tornado damage, resulting in curtailment of operations. The Company resumed operations in March 2022. However, it continued to incur incremental costs, including freight and warehousing expenses, to meet customer demand as the plant returned to full operational capacity. As of June 30, 2023 and December 31, 2022, the Company had an insurance receivable, within miscellaneous receivable, for incremental expenses incurred of $6 and $23, respectively. During the six months ended June 30, 2023, the Company received insurance proceeds of $22 for incremental expenses and $1 for property damage.</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640" w:type="dxa"/>
            <w:vAlign w:val="bottom"/>
            <w:gridSpan w:val="4"/>
          </w:tcPr>
          <w:p>
            <w:pPr>
              <w:spacing w:after="0"/>
              <w:rPr>
                <w:sz w:val="20"/>
                <w:szCs w:val="20"/>
                <w:color w:val="auto"/>
              </w:rPr>
            </w:pPr>
            <w:r>
              <w:rPr>
                <w:rFonts w:ascii="Arial" w:cs="Arial" w:eastAsia="Arial" w:hAnsi="Arial"/>
                <w:sz w:val="18"/>
                <w:szCs w:val="18"/>
                <w:b w:val="1"/>
                <w:bCs w:val="1"/>
                <w:color w:val="auto"/>
              </w:rPr>
              <w:t>E.  Inventories</w:t>
            </w:r>
          </w:p>
        </w:tc>
        <w:tc>
          <w:tcPr>
            <w:tcW w:w="2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tcPr>
          <w:p>
            <w:pPr>
              <w:spacing w:after="0"/>
              <w:rPr>
                <w:sz w:val="17"/>
                <w:szCs w:val="17"/>
                <w:color w:val="auto"/>
              </w:rPr>
            </w:pPr>
          </w:p>
        </w:tc>
      </w:tr>
      <w:tr>
        <w:trPr>
          <w:trHeight w:val="520"/>
        </w:trPr>
        <w:tc>
          <w:tcPr>
            <w:tcW w:w="36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44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6"/>
              </w:rPr>
              <w:t>June 30, 2023</w:t>
            </w:r>
          </w:p>
        </w:tc>
        <w:tc>
          <w:tcPr>
            <w:tcW w:w="7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89"/>
              </w:rPr>
              <w:t>December 31, 2022</w:t>
            </w:r>
          </w:p>
        </w:tc>
      </w:tr>
      <w:tr>
        <w:trPr>
          <w:trHeight w:val="237"/>
        </w:trPr>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Raw materials and supplies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1,188</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1,352</w:t>
            </w:r>
          </w:p>
        </w:tc>
      </w:tr>
      <w:tr>
        <w:trPr>
          <w:trHeight w:val="230"/>
        </w:trPr>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980" w:type="dxa"/>
            <w:vAlign w:val="bottom"/>
            <w:gridSpan w:val="2"/>
          </w:tcPr>
          <w:p>
            <w:pPr>
              <w:ind w:left="20"/>
              <w:spacing w:after="0"/>
              <w:rPr>
                <w:sz w:val="20"/>
                <w:szCs w:val="20"/>
                <w:color w:val="auto"/>
              </w:rPr>
            </w:pPr>
            <w:r>
              <w:rPr>
                <w:rFonts w:ascii="Arial" w:cs="Arial" w:eastAsia="Arial" w:hAnsi="Arial"/>
                <w:sz w:val="18"/>
                <w:szCs w:val="18"/>
                <w:color w:val="auto"/>
              </w:rPr>
              <w:t>Work in process</w:t>
            </w:r>
          </w:p>
        </w:tc>
        <w:tc>
          <w:tcPr>
            <w:tcW w:w="2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168</w:t>
            </w: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156</w:t>
            </w:r>
          </w:p>
        </w:tc>
      </w:tr>
      <w:tr>
        <w:trPr>
          <w:trHeight w:val="230"/>
        </w:trPr>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9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Finished goods</w:t>
            </w:r>
          </w:p>
        </w:tc>
        <w:tc>
          <w:tcPr>
            <w:tcW w:w="24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552</w:t>
            </w:r>
          </w:p>
        </w:tc>
        <w:tc>
          <w:tcPr>
            <w:tcW w:w="7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506</w:t>
            </w:r>
          </w:p>
        </w:tc>
      </w:tr>
      <w:tr>
        <w:trPr>
          <w:trHeight w:val="230"/>
        </w:trPr>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42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1,908</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2,014</w:t>
            </w:r>
          </w:p>
        </w:tc>
      </w:tr>
      <w:tr>
        <w:trPr>
          <w:trHeight w:val="27"/>
        </w:trPr>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560" w:type="dxa"/>
            <w:vAlign w:val="bottom"/>
          </w:tcPr>
          <w:p>
            <w:pPr>
              <w:spacing w:after="0"/>
              <w:rPr>
                <w:sz w:val="2"/>
                <w:szCs w:val="2"/>
                <w:color w:val="auto"/>
              </w:rPr>
            </w:pPr>
          </w:p>
        </w:tc>
        <w:tc>
          <w:tcPr>
            <w:tcW w:w="4420" w:type="dxa"/>
            <w:vAlign w:val="bottom"/>
          </w:tcPr>
          <w:p>
            <w:pPr>
              <w:spacing w:after="0"/>
              <w:rPr>
                <w:sz w:val="2"/>
                <w:szCs w:val="2"/>
                <w:color w:val="auto"/>
              </w:rPr>
            </w:pPr>
          </w:p>
        </w:tc>
        <w:tc>
          <w:tcPr>
            <w:tcW w:w="240" w:type="dxa"/>
            <w:vAlign w:val="bottom"/>
            <w:tcBorders>
              <w:top w:val="single" w:sz="8" w:color="auto"/>
              <w:bottom w:val="single" w:sz="8" w:color="auto"/>
            </w:tcBorders>
          </w:tcPr>
          <w:p>
            <w:pPr>
              <w:spacing w:after="0"/>
              <w:rPr>
                <w:sz w:val="2"/>
                <w:szCs w:val="2"/>
                <w:color w:val="auto"/>
              </w:rPr>
            </w:pPr>
          </w:p>
        </w:tc>
        <w:tc>
          <w:tcPr>
            <w:tcW w:w="1480" w:type="dxa"/>
            <w:vAlign w:val="bottom"/>
            <w:tcBorders>
              <w:top w:val="single" w:sz="8" w:color="auto"/>
              <w:bottom w:val="single" w:sz="8" w:color="auto"/>
            </w:tcBorders>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1600" w:type="dxa"/>
            <w:vAlign w:val="bottom"/>
            <w:tcBorders>
              <w:top w:val="single" w:sz="8" w:color="auto"/>
              <w:bottom w:val="single" w:sz="8" w:color="auto"/>
            </w:tcBorders>
          </w:tcPr>
          <w:p>
            <w:pPr>
              <w:spacing w:after="0"/>
              <w:rPr>
                <w:sz w:val="2"/>
                <w:szCs w:val="2"/>
                <w:color w:val="auto"/>
              </w:rPr>
            </w:pPr>
          </w:p>
        </w:tc>
      </w:tr>
    </w:tbl>
    <w:p>
      <w:pPr>
        <w:spacing w:after="0" w:line="306" w:lineRule="exact"/>
        <w:rPr>
          <w:sz w:val="20"/>
          <w:szCs w:val="20"/>
          <w:color w:val="auto"/>
        </w:rPr>
      </w:pPr>
    </w:p>
    <w:p>
      <w:pPr>
        <w:ind w:left="320" w:hanging="312"/>
        <w:spacing w:after="0"/>
        <w:tabs>
          <w:tab w:leader="none" w:pos="32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Intangible Assets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Gross carrying amounts and accumulated amortization of finite-lived intangible assets by major class were as follows:</w:t>
      </w:r>
    </w:p>
    <w:p>
      <w:pPr>
        <w:spacing w:after="0" w:line="266" w:lineRule="exact"/>
        <w:rPr>
          <w:sz w:val="20"/>
          <w:szCs w:val="20"/>
          <w:color w:val="auto"/>
        </w:rPr>
      </w:pPr>
    </w:p>
    <w:tbl>
      <w:tblPr>
        <w:tblLayout w:type="fixed"/>
        <w:tblInd w:w="660" w:type="dxa"/>
        <w:tblCellMar>
          <w:top w:w="0" w:type="dxa"/>
          <w:left w:w="0" w:type="dxa"/>
          <w:bottom w:w="0" w:type="dxa"/>
          <w:right w:w="0" w:type="dxa"/>
        </w:tblCellMar>
      </w:tblPr>
      <w:tr>
        <w:trPr>
          <w:trHeight w:val="237"/>
        </w:trPr>
        <w:tc>
          <w:tcPr>
            <w:tcW w:w="25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87"/>
              </w:rPr>
              <w:t>June 30, 2023</w:t>
            </w:r>
          </w:p>
        </w:tc>
        <w:tc>
          <w:tcPr>
            <w:tcW w:w="2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89"/>
              </w:rPr>
              <w:t>December 31, 2022</w:t>
            </w:r>
          </w:p>
        </w:tc>
        <w:tc>
          <w:tcPr>
            <w:tcW w:w="2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2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vMerge w:val="restart"/>
          </w:tcPr>
          <w:p>
            <w:pPr>
              <w:jc w:val="right"/>
              <w:ind w:right="110"/>
              <w:spacing w:after="0"/>
              <w:rPr>
                <w:sz w:val="20"/>
                <w:szCs w:val="20"/>
                <w:color w:val="auto"/>
              </w:rPr>
            </w:pPr>
            <w:r>
              <w:rPr>
                <w:rFonts w:ascii="Arial" w:cs="Arial" w:eastAsia="Arial" w:hAnsi="Arial"/>
                <w:sz w:val="18"/>
                <w:szCs w:val="18"/>
                <w:color w:val="auto"/>
                <w:w w:val="91"/>
              </w:rPr>
              <w:t>Gross</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jc w:val="center"/>
              <w:ind w:right="50"/>
              <w:spacing w:after="0" w:line="176" w:lineRule="exact"/>
              <w:rPr>
                <w:sz w:val="20"/>
                <w:szCs w:val="20"/>
                <w:color w:val="auto"/>
              </w:rPr>
            </w:pPr>
            <w:r>
              <w:rPr>
                <w:rFonts w:ascii="Arial" w:cs="Arial" w:eastAsia="Arial" w:hAnsi="Arial"/>
                <w:sz w:val="18"/>
                <w:szCs w:val="18"/>
                <w:color w:val="auto"/>
                <w:w w:val="92"/>
              </w:rPr>
              <w:t>Accumulated</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vMerge w:val="restart"/>
          </w:tcPr>
          <w:p>
            <w:pPr>
              <w:jc w:val="right"/>
              <w:ind w:right="190"/>
              <w:spacing w:after="0"/>
              <w:rPr>
                <w:sz w:val="20"/>
                <w:szCs w:val="20"/>
                <w:color w:val="auto"/>
              </w:rPr>
            </w:pPr>
            <w:r>
              <w:rPr>
                <w:rFonts w:ascii="Arial" w:cs="Arial" w:eastAsia="Arial" w:hAnsi="Arial"/>
                <w:sz w:val="18"/>
                <w:szCs w:val="18"/>
                <w:color w:val="auto"/>
              </w:rPr>
              <w:t>Net</w:t>
            </w: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vMerge w:val="restart"/>
          </w:tcPr>
          <w:p>
            <w:pPr>
              <w:jc w:val="right"/>
              <w:ind w:right="110"/>
              <w:spacing w:after="0"/>
              <w:rPr>
                <w:sz w:val="20"/>
                <w:szCs w:val="20"/>
                <w:color w:val="auto"/>
              </w:rPr>
            </w:pPr>
            <w:r>
              <w:rPr>
                <w:rFonts w:ascii="Arial" w:cs="Arial" w:eastAsia="Arial" w:hAnsi="Arial"/>
                <w:sz w:val="18"/>
                <w:szCs w:val="18"/>
                <w:color w:val="auto"/>
                <w:w w:val="95"/>
              </w:rPr>
              <w:t>Gross</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tcPr>
          <w:p>
            <w:pPr>
              <w:jc w:val="center"/>
              <w:ind w:right="90"/>
              <w:spacing w:after="0" w:line="176" w:lineRule="exact"/>
              <w:rPr>
                <w:sz w:val="20"/>
                <w:szCs w:val="20"/>
                <w:color w:val="auto"/>
              </w:rPr>
            </w:pPr>
            <w:r>
              <w:rPr>
                <w:rFonts w:ascii="Arial" w:cs="Arial" w:eastAsia="Arial" w:hAnsi="Arial"/>
                <w:sz w:val="18"/>
                <w:szCs w:val="18"/>
                <w:color w:val="auto"/>
                <w:w w:val="92"/>
              </w:rPr>
              <w:t>Accumulated</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vMerge w:val="restart"/>
          </w:tcPr>
          <w:p>
            <w:pPr>
              <w:jc w:val="right"/>
              <w:ind w:right="190"/>
              <w:spacing w:after="0"/>
              <w:rPr>
                <w:sz w:val="20"/>
                <w:szCs w:val="20"/>
                <w:color w:val="auto"/>
              </w:rPr>
            </w:pPr>
            <w:r>
              <w:rPr>
                <w:rFonts w:ascii="Arial" w:cs="Arial" w:eastAsia="Arial" w:hAnsi="Arial"/>
                <w:sz w:val="18"/>
                <w:szCs w:val="18"/>
                <w:color w:val="auto"/>
              </w:rPr>
              <w:t>Net</w:t>
            </w:r>
          </w:p>
        </w:tc>
        <w:tc>
          <w:tcPr>
            <w:tcW w:w="0" w:type="dxa"/>
            <w:vAlign w:val="bottom"/>
          </w:tcPr>
          <w:p>
            <w:pPr>
              <w:spacing w:after="0"/>
              <w:rPr>
                <w:sz w:val="1"/>
                <w:szCs w:val="1"/>
                <w:color w:val="auto"/>
              </w:rPr>
            </w:pPr>
          </w:p>
        </w:tc>
      </w:tr>
      <w:tr>
        <w:trPr>
          <w:trHeight w:val="229"/>
        </w:trPr>
        <w:tc>
          <w:tcPr>
            <w:tcW w:w="25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vMerge w:val="continue"/>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93"/>
              </w:rPr>
              <w:t>amortization</w:t>
            </w:r>
          </w:p>
        </w:tc>
        <w:tc>
          <w:tcPr>
            <w:tcW w:w="2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vMerge w:val="continue"/>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vMerge w:val="continue"/>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color w:val="auto"/>
                <w:w w:val="93"/>
              </w:rPr>
              <w:t>amortization</w:t>
            </w:r>
          </w:p>
        </w:tc>
        <w:tc>
          <w:tcPr>
            <w:tcW w:w="2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Customer relationships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1,391</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(611)</w:t>
            </w:r>
          </w:p>
        </w:tc>
        <w:tc>
          <w:tcPr>
            <w:tcW w:w="4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780</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1,356</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814</w:t>
            </w:r>
          </w:p>
        </w:tc>
        <w:tc>
          <w:tcPr>
            <w:tcW w:w="0" w:type="dxa"/>
            <w:vAlign w:val="bottom"/>
          </w:tcPr>
          <w:p>
            <w:pPr>
              <w:spacing w:after="0"/>
              <w:rPr>
                <w:sz w:val="1"/>
                <w:szCs w:val="1"/>
                <w:color w:val="auto"/>
              </w:rPr>
            </w:pPr>
          </w:p>
        </w:tc>
      </w:tr>
      <w:tr>
        <w:trPr>
          <w:trHeight w:val="230"/>
        </w:trPr>
        <w:tc>
          <w:tcPr>
            <w:tcW w:w="2520" w:type="dxa"/>
            <w:vAlign w:val="bottom"/>
          </w:tcPr>
          <w:p>
            <w:pPr>
              <w:ind w:left="20"/>
              <w:spacing w:after="0"/>
              <w:rPr>
                <w:sz w:val="20"/>
                <w:szCs w:val="20"/>
                <w:color w:val="auto"/>
              </w:rPr>
            </w:pPr>
            <w:r>
              <w:rPr>
                <w:rFonts w:ascii="Arial" w:cs="Arial" w:eastAsia="Arial" w:hAnsi="Arial"/>
                <w:sz w:val="18"/>
                <w:szCs w:val="18"/>
                <w:color w:val="auto"/>
              </w:rPr>
              <w:t>Trade names</w:t>
            </w: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536</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(118)</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418</w:t>
            </w: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530</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(106)</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424</w:t>
            </w:r>
          </w:p>
        </w:tc>
        <w:tc>
          <w:tcPr>
            <w:tcW w:w="0" w:type="dxa"/>
            <w:vAlign w:val="bottom"/>
          </w:tcPr>
          <w:p>
            <w:pPr>
              <w:spacing w:after="0"/>
              <w:rPr>
                <w:sz w:val="1"/>
                <w:szCs w:val="1"/>
                <w:color w:val="auto"/>
              </w:rPr>
            </w:pPr>
          </w:p>
        </w:tc>
      </w:tr>
      <w:tr>
        <w:trPr>
          <w:trHeight w:val="230"/>
        </w:trPr>
        <w:tc>
          <w:tcPr>
            <w:tcW w:w="2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Technology</w:t>
            </w: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3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37"/>
        </w:trPr>
        <w:tc>
          <w:tcPr>
            <w:tcW w:w="2520" w:type="dxa"/>
            <w:vAlign w:val="bottom"/>
          </w:tcPr>
          <w:p>
            <w:pPr>
              <w:ind w:left="20"/>
              <w:spacing w:after="0"/>
              <w:rPr>
                <w:sz w:val="20"/>
                <w:szCs w:val="20"/>
                <w:color w:val="auto"/>
              </w:rPr>
            </w:pPr>
            <w:r>
              <w:rPr>
                <w:rFonts w:ascii="Arial" w:cs="Arial" w:eastAsia="Arial" w:hAnsi="Arial"/>
                <w:sz w:val="18"/>
                <w:szCs w:val="18"/>
                <w:color w:val="auto"/>
              </w:rPr>
              <w:t>Long term supply contracts</w:t>
            </w: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165</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(92)</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73</w:t>
            </w: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146</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(76)</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36"/>
        </w:trPr>
        <w:tc>
          <w:tcPr>
            <w:tcW w:w="2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Patents</w:t>
            </w:r>
          </w:p>
        </w:tc>
        <w:tc>
          <w:tcPr>
            <w:tcW w:w="16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3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3"/>
        </w:trPr>
        <w:tc>
          <w:tcPr>
            <w:tcW w:w="25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2,262</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(952)</w:t>
            </w:r>
          </w:p>
        </w:tc>
        <w:tc>
          <w:tcPr>
            <w:tcW w:w="2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1,310</w:t>
            </w:r>
          </w:p>
        </w:tc>
        <w:tc>
          <w:tcPr>
            <w:tcW w:w="3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2,200</w:t>
            </w:r>
          </w:p>
        </w:tc>
        <w:tc>
          <w:tcPr>
            <w:tcW w:w="16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(842)</w:t>
            </w:r>
          </w:p>
        </w:tc>
        <w:tc>
          <w:tcPr>
            <w:tcW w:w="2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1,358</w:t>
            </w:r>
          </w:p>
        </w:tc>
        <w:tc>
          <w:tcPr>
            <w:tcW w:w="0" w:type="dxa"/>
            <w:vAlign w:val="bottom"/>
          </w:tcPr>
          <w:p>
            <w:pPr>
              <w:spacing w:after="0"/>
              <w:rPr>
                <w:sz w:val="1"/>
                <w:szCs w:val="1"/>
                <w:color w:val="auto"/>
              </w:rPr>
            </w:pPr>
          </w:p>
        </w:tc>
      </w:tr>
      <w:tr>
        <w:trPr>
          <w:trHeight w:val="20"/>
        </w:trPr>
        <w:tc>
          <w:tcPr>
            <w:tcW w:w="25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37"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Net income for the three and six months ended June 30, 2023 and 2022 included amortization expense of $41 and $81 and $39 and $79, respectively.</w:t>
      </w:r>
    </w:p>
    <w:p>
      <w:pPr>
        <w:spacing w:after="0" w:line="193" w:lineRule="exact"/>
        <w:rPr>
          <w:sz w:val="20"/>
          <w:szCs w:val="20"/>
          <w:color w:val="auto"/>
        </w:rPr>
      </w:pPr>
    </w:p>
    <w:p>
      <w:pPr>
        <w:ind w:left="380" w:hanging="372"/>
        <w:spacing w:after="0"/>
        <w:tabs>
          <w:tab w:leader="none" w:pos="38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Restructuring and Other</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recorded restructuring and other items as follows: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tbl>
      <w:tblPr>
        <w:tblLayout w:type="fixed"/>
        <w:tblInd w:w="660" w:type="dxa"/>
        <w:tblCellMar>
          <w:top w:w="0" w:type="dxa"/>
          <w:left w:w="0" w:type="dxa"/>
          <w:bottom w:w="0" w:type="dxa"/>
          <w:right w:w="0" w:type="dxa"/>
        </w:tblCellMar>
      </w:tblPr>
      <w:tr>
        <w:trPr>
          <w:trHeight w:val="229"/>
        </w:trPr>
        <w:tc>
          <w:tcPr>
            <w:tcW w:w="4580" w:type="dxa"/>
            <w:vAlign w:val="bottom"/>
          </w:tcPr>
          <w:p>
            <w:pPr>
              <w:spacing w:after="0"/>
              <w:rPr>
                <w:sz w:val="19"/>
                <w:szCs w:val="19"/>
                <w:color w:val="auto"/>
              </w:rPr>
            </w:pPr>
          </w:p>
        </w:tc>
        <w:tc>
          <w:tcPr>
            <w:tcW w:w="2360" w:type="dxa"/>
            <w:vAlign w:val="bottom"/>
            <w:gridSpan w:val="5"/>
          </w:tcPr>
          <w:p>
            <w:pPr>
              <w:jc w:val="right"/>
              <w:ind w:right="330"/>
              <w:spacing w:after="0"/>
              <w:rPr>
                <w:sz w:val="20"/>
                <w:szCs w:val="20"/>
                <w:color w:val="auto"/>
              </w:rPr>
            </w:pPr>
            <w:r>
              <w:rPr>
                <w:rFonts w:ascii="Arial" w:cs="Arial" w:eastAsia="Arial" w:hAnsi="Arial"/>
                <w:sz w:val="18"/>
                <w:szCs w:val="18"/>
                <w:color w:val="auto"/>
              </w:rPr>
              <w:t>Three Months Ended</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120" w:type="dxa"/>
            <w:vAlign w:val="bottom"/>
            <w:gridSpan w:val="4"/>
          </w:tcPr>
          <w:p>
            <w:pPr>
              <w:jc w:val="center"/>
              <w:ind w:right="130"/>
              <w:spacing w:after="0"/>
              <w:rPr>
                <w:sz w:val="20"/>
                <w:szCs w:val="20"/>
                <w:color w:val="auto"/>
              </w:rPr>
            </w:pPr>
            <w:r>
              <w:rPr>
                <w:rFonts w:ascii="Arial" w:cs="Arial" w:eastAsia="Arial" w:hAnsi="Arial"/>
                <w:sz w:val="18"/>
                <w:szCs w:val="18"/>
                <w:color w:val="auto"/>
                <w:w w:val="91"/>
              </w:rPr>
              <w:t>Six Months Ended</w:t>
            </w:r>
          </w:p>
        </w:tc>
      </w:tr>
      <w:tr>
        <w:trPr>
          <w:trHeight w:val="237"/>
        </w:trPr>
        <w:tc>
          <w:tcPr>
            <w:tcW w:w="4580" w:type="dxa"/>
            <w:vAlign w:val="bottom"/>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June 30,</w:t>
            </w:r>
          </w:p>
        </w:tc>
        <w:tc>
          <w:tcPr>
            <w:tcW w:w="78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3"/>
          </w:tcPr>
          <w:p>
            <w:pPr>
              <w:jc w:val="center"/>
              <w:ind w:left="490"/>
              <w:spacing w:after="0"/>
              <w:rPr>
                <w:sz w:val="20"/>
                <w:szCs w:val="20"/>
                <w:color w:val="auto"/>
              </w:rPr>
            </w:pPr>
            <w:r>
              <w:rPr>
                <w:rFonts w:ascii="Arial" w:cs="Arial" w:eastAsia="Arial" w:hAnsi="Arial"/>
                <w:sz w:val="18"/>
                <w:szCs w:val="18"/>
                <w:color w:val="auto"/>
                <w:w w:val="86"/>
              </w:rPr>
              <w:t>June 30,</w:t>
            </w:r>
          </w:p>
        </w:tc>
        <w:tc>
          <w:tcPr>
            <w:tcW w:w="780" w:type="dxa"/>
            <w:vAlign w:val="bottom"/>
            <w:tcBorders>
              <w:bottom w:val="single" w:sz="8" w:color="auto"/>
            </w:tcBorders>
          </w:tcPr>
          <w:p>
            <w:pPr>
              <w:spacing w:after="0"/>
              <w:rPr>
                <w:sz w:val="20"/>
                <w:szCs w:val="20"/>
                <w:color w:val="auto"/>
              </w:rPr>
            </w:pPr>
          </w:p>
        </w:tc>
      </w:tr>
      <w:tr>
        <w:trPr>
          <w:trHeight w:val="229"/>
        </w:trPr>
        <w:tc>
          <w:tcPr>
            <w:tcW w:w="4580" w:type="dxa"/>
            <w:vAlign w:val="bottom"/>
            <w:tcBorders>
              <w:bottom w:val="single" w:sz="8" w:color="CCEEFF"/>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2023</w:t>
            </w:r>
          </w:p>
        </w:tc>
        <w:tc>
          <w:tcPr>
            <w:tcW w:w="300" w:type="dxa"/>
            <w:vAlign w:val="bottom"/>
            <w:tcBorders>
              <w:bottom w:val="single" w:sz="8" w:color="auto"/>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2022</w:t>
            </w:r>
          </w:p>
        </w:tc>
        <w:tc>
          <w:tcPr>
            <w:tcW w:w="2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2023</w:t>
            </w:r>
          </w:p>
        </w:tc>
        <w:tc>
          <w:tcPr>
            <w:tcW w:w="2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2022</w:t>
            </w:r>
          </w:p>
        </w:tc>
      </w:tr>
      <w:tr>
        <w:trPr>
          <w:trHeight w:val="223"/>
        </w:trPr>
        <w:tc>
          <w:tcPr>
            <w:tcW w:w="4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 sales and impairments</w:t>
            </w:r>
          </w:p>
        </w:tc>
        <w:tc>
          <w:tcPr>
            <w:tcW w:w="78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w w:val="99"/>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4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r>
      <w:tr>
        <w:trPr>
          <w:trHeight w:val="237"/>
        </w:trPr>
        <w:tc>
          <w:tcPr>
            <w:tcW w:w="4580" w:type="dxa"/>
            <w:vAlign w:val="bottom"/>
          </w:tcPr>
          <w:p>
            <w:pPr>
              <w:ind w:left="20"/>
              <w:spacing w:after="0"/>
              <w:rPr>
                <w:sz w:val="20"/>
                <w:szCs w:val="20"/>
                <w:color w:val="auto"/>
              </w:rPr>
            </w:pPr>
            <w:r>
              <w:rPr>
                <w:rFonts w:ascii="Arial" w:cs="Arial" w:eastAsia="Arial" w:hAnsi="Arial"/>
                <w:sz w:val="18"/>
                <w:szCs w:val="18"/>
                <w:color w:val="auto"/>
              </w:rPr>
              <w:t>Restructuring</w:t>
            </w:r>
          </w:p>
        </w:tc>
        <w:tc>
          <w:tcPr>
            <w:tcW w:w="780" w:type="dxa"/>
            <w:vAlign w:val="bottom"/>
          </w:tcPr>
          <w:p>
            <w:pPr>
              <w:spacing w:after="0"/>
              <w:rPr>
                <w:sz w:val="20"/>
                <w:szCs w:val="20"/>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5</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35</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22"/>
        </w:trPr>
        <w:tc>
          <w:tcPr>
            <w:tcW w:w="4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costs</w:t>
            </w:r>
          </w:p>
        </w:tc>
        <w:tc>
          <w:tcPr>
            <w:tcW w:w="78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30"/>
        </w:trPr>
        <w:tc>
          <w:tcPr>
            <w:tcW w:w="4580" w:type="dxa"/>
            <w:vAlign w:val="bottom"/>
          </w:tcPr>
          <w:p>
            <w:pPr>
              <w:spacing w:after="0"/>
              <w:rPr>
                <w:sz w:val="20"/>
                <w:szCs w:val="20"/>
                <w:color w:val="auto"/>
              </w:rPr>
            </w:pPr>
          </w:p>
        </w:tc>
        <w:tc>
          <w:tcPr>
            <w:tcW w:w="780" w:type="dxa"/>
            <w:vAlign w:val="bottom"/>
          </w:tcPr>
          <w:p>
            <w:pPr>
              <w:jc w:val="right"/>
              <w:ind w:right="570"/>
              <w:spacing w:after="0"/>
              <w:rPr>
                <w:sz w:val="20"/>
                <w:szCs w:val="20"/>
                <w:color w:val="auto"/>
              </w:rPr>
            </w:pPr>
            <w:r>
              <w:rPr>
                <w:rFonts w:ascii="Arial" w:cs="Arial" w:eastAsia="Arial" w:hAnsi="Arial"/>
                <w:sz w:val="18"/>
                <w:szCs w:val="18"/>
                <w:color w:val="auto"/>
                <w:w w:val="99"/>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6</w:t>
            </w:r>
          </w:p>
        </w:tc>
        <w:tc>
          <w:tcPr>
            <w:tcW w:w="50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(73)</w:t>
            </w:r>
          </w:p>
        </w:tc>
        <w:tc>
          <w:tcPr>
            <w:tcW w:w="4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17</w:t>
            </w:r>
          </w:p>
        </w:tc>
        <w:tc>
          <w:tcPr>
            <w:tcW w:w="5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7"/>
        </w:trPr>
        <w:tc>
          <w:tcPr>
            <w:tcW w:w="4580" w:type="dxa"/>
            <w:vAlign w:val="bottom"/>
          </w:tcPr>
          <w:p>
            <w:pPr>
              <w:spacing w:after="0"/>
              <w:rPr>
                <w:sz w:val="2"/>
                <w:szCs w:val="2"/>
                <w:color w:val="auto"/>
              </w:rPr>
            </w:pPr>
          </w:p>
        </w:tc>
        <w:tc>
          <w:tcPr>
            <w:tcW w:w="780" w:type="dxa"/>
            <w:vAlign w:val="bottom"/>
            <w:tcBorders>
              <w:top w:val="single" w:sz="8" w:color="auto"/>
              <w:bottom w:val="single" w:sz="8" w:color="auto"/>
            </w:tcBorders>
          </w:tcPr>
          <w:p>
            <w:pPr>
              <w:spacing w:after="0"/>
              <w:rPr>
                <w:sz w:val="2"/>
                <w:szCs w:val="2"/>
                <w:color w:val="auto"/>
              </w:rPr>
            </w:pPr>
          </w:p>
        </w:tc>
        <w:tc>
          <w:tcPr>
            <w:tcW w:w="300" w:type="dxa"/>
            <w:vAlign w:val="bottom"/>
            <w:tcBorders>
              <w:top w:val="single" w:sz="8" w:color="auto"/>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Borders>
              <w:top w:val="single" w:sz="8" w:color="auto"/>
              <w:bottom w:val="single" w:sz="8" w:color="auto"/>
            </w:tcBorders>
          </w:tcPr>
          <w:p>
            <w:pPr>
              <w:spacing w:after="0"/>
              <w:rPr>
                <w:sz w:val="2"/>
                <w:szCs w:val="2"/>
                <w:color w:val="auto"/>
              </w:rPr>
            </w:pPr>
          </w:p>
        </w:tc>
        <w:tc>
          <w:tcPr>
            <w:tcW w:w="780" w:type="dxa"/>
            <w:vAlign w:val="bottom"/>
            <w:tcBorders>
              <w:top w:val="single" w:sz="8" w:color="auto"/>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Borders>
              <w:top w:val="single" w:sz="8" w:color="auto"/>
              <w:bottom w:val="single" w:sz="8" w:color="auto"/>
            </w:tcBorders>
          </w:tcPr>
          <w:p>
            <w:pPr>
              <w:spacing w:after="0"/>
              <w:rPr>
                <w:sz w:val="2"/>
                <w:szCs w:val="2"/>
                <w:color w:val="auto"/>
              </w:rPr>
            </w:pPr>
          </w:p>
        </w:tc>
        <w:tc>
          <w:tcPr>
            <w:tcW w:w="840" w:type="dxa"/>
            <w:vAlign w:val="bottom"/>
            <w:tcBorders>
              <w:top w:val="single" w:sz="8" w:color="auto"/>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Borders>
              <w:top w:val="single" w:sz="8" w:color="auto"/>
              <w:bottom w:val="single" w:sz="8" w:color="auto"/>
            </w:tcBorders>
          </w:tcPr>
          <w:p>
            <w:pPr>
              <w:spacing w:after="0"/>
              <w:rPr>
                <w:sz w:val="2"/>
                <w:szCs w:val="2"/>
                <w:color w:val="auto"/>
              </w:rPr>
            </w:pPr>
          </w:p>
        </w:tc>
        <w:tc>
          <w:tcPr>
            <w:tcW w:w="780" w:type="dxa"/>
            <w:vAlign w:val="bottom"/>
            <w:tcBorders>
              <w:top w:val="single" w:sz="8" w:color="auto"/>
              <w:bottom w:val="single" w:sz="8" w:color="auto"/>
            </w:tcBorders>
          </w:tcPr>
          <w:p>
            <w:pPr>
              <w:spacing w:after="0"/>
              <w:rPr>
                <w:sz w:val="2"/>
                <w:szCs w:val="2"/>
                <w:color w:val="auto"/>
              </w:rPr>
            </w:pPr>
          </w:p>
        </w:tc>
      </w:tr>
    </w:tbl>
    <w:p>
      <w:pPr>
        <w:spacing w:after="0" w:line="337"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For the three and six months ended June 30, 2023, restructuring primarily included headcount reductions in the Company's European Beverage and Other segments.</w:t>
      </w:r>
    </w:p>
    <w:p>
      <w:pPr>
        <w:spacing w:after="0" w:line="197" w:lineRule="exact"/>
        <w:rPr>
          <w:sz w:val="20"/>
          <w:szCs w:val="20"/>
          <w:color w:val="auto"/>
        </w:rPr>
      </w:pPr>
    </w:p>
    <w:p>
      <w:pPr>
        <w:jc w:val="both"/>
        <w:ind w:left="660"/>
        <w:spacing w:after="0" w:line="286" w:lineRule="auto"/>
        <w:rPr>
          <w:sz w:val="20"/>
          <w:szCs w:val="20"/>
          <w:color w:val="auto"/>
        </w:rPr>
      </w:pPr>
      <w:r>
        <w:rPr>
          <w:rFonts w:ascii="Arial" w:cs="Arial" w:eastAsia="Arial" w:hAnsi="Arial"/>
          <w:sz w:val="17"/>
          <w:szCs w:val="17"/>
          <w:color w:val="auto"/>
        </w:rPr>
        <w:t>For the three and six months ended June 30, 2022, asset sales and impairments primarily related to a $113 gain on the sale of the Transit Packaging segment's Kiwiplan business. For the six months ended June 30, 2022, asset sales and impairments also included various land and building sales in the Company's Asia-Pacific segment which were closed as part of prior restructuring actions.</w:t>
      </w:r>
    </w:p>
    <w:p>
      <w:pPr>
        <w:spacing w:after="0" w:line="192" w:lineRule="exact"/>
        <w:rPr>
          <w:sz w:val="20"/>
          <w:szCs w:val="20"/>
          <w:color w:val="auto"/>
        </w:rPr>
      </w:pPr>
    </w:p>
    <w:p>
      <w:pPr>
        <w:jc w:val="both"/>
        <w:ind w:left="660"/>
        <w:spacing w:after="0" w:line="263" w:lineRule="auto"/>
        <w:rPr>
          <w:sz w:val="20"/>
          <w:szCs w:val="20"/>
          <w:color w:val="auto"/>
        </w:rPr>
      </w:pPr>
      <w:r>
        <w:rPr>
          <w:rFonts w:ascii="Arial" w:cs="Arial" w:eastAsia="Arial" w:hAnsi="Arial"/>
          <w:sz w:val="18"/>
          <w:szCs w:val="18"/>
          <w:color w:val="auto"/>
        </w:rPr>
        <w:t>For the three and six months ended June 30, 2022, restructuring included $29 of charges related to an overhead cost reduction program initiated by the Company's Transit Packaging segment. The Company made severance payments of $7 in the six months ended June 30, 2023 and had a remaining accrual of $10 related to this program.</w:t>
      </w:r>
    </w:p>
    <w:p>
      <w:pPr>
        <w:spacing w:after="0" w:line="211" w:lineRule="exact"/>
        <w:rPr>
          <w:sz w:val="20"/>
          <w:szCs w:val="20"/>
          <w:color w:val="auto"/>
        </w:rPr>
      </w:pPr>
    </w:p>
    <w:p>
      <w:pPr>
        <w:jc w:val="both"/>
        <w:ind w:left="660"/>
        <w:spacing w:after="0" w:line="263" w:lineRule="auto"/>
        <w:rPr>
          <w:sz w:val="20"/>
          <w:szCs w:val="20"/>
          <w:color w:val="auto"/>
        </w:rPr>
      </w:pPr>
      <w:r>
        <w:rPr>
          <w:rFonts w:ascii="Arial" w:cs="Arial" w:eastAsia="Arial" w:hAnsi="Arial"/>
          <w:sz w:val="18"/>
          <w:szCs w:val="18"/>
          <w:color w:val="auto"/>
        </w:rPr>
        <w:t>At June 30, 2023, the Company had a restructuring accrual of $32, primarily related to the actions referenced above. The Company expects to pay these amounts over the next twelve months. The Company continues to review its costs structure and may record additional restructuring charges in the future.</w:t>
      </w:r>
    </w:p>
    <w:p>
      <w:pPr>
        <w:spacing w:after="0" w:line="207" w:lineRule="exact"/>
        <w:rPr>
          <w:sz w:val="20"/>
          <w:szCs w:val="20"/>
          <w:color w:val="auto"/>
        </w:rPr>
      </w:pPr>
    </w:p>
    <w:p>
      <w:pPr>
        <w:ind w:left="380" w:hanging="372"/>
        <w:spacing w:after="0"/>
        <w:tabs>
          <w:tab w:leader="none" w:pos="38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Asbestos-Related Liabilities</w:t>
      </w:r>
    </w:p>
    <w:p>
      <w:pPr>
        <w:spacing w:after="0" w:line="256"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Crown Cork &amp; Seal Company, Inc. (“Crown Cork”) is one of many defendants in a substantial number of lawsuits filed throughout the U.S. by persons alleging bodily injury as a result of exposure to asbestos. These claims arose from the insulation operations of a U.S. company, the majority of whose stock Crown Cork purchased in 1963. Approximately ninety days after the stock purchase, this U.S. company sold its insulation assets and was later merged into Crown Cork.</w:t>
      </w:r>
    </w:p>
    <w:p>
      <w:pPr>
        <w:spacing w:after="0" w:line="214" w:lineRule="exact"/>
        <w:rPr>
          <w:sz w:val="20"/>
          <w:szCs w:val="20"/>
          <w:color w:val="auto"/>
        </w:rPr>
      </w:pPr>
    </w:p>
    <w:p>
      <w:pPr>
        <w:jc w:val="both"/>
        <w:ind w:left="660"/>
        <w:spacing w:after="0" w:line="263" w:lineRule="auto"/>
        <w:rPr>
          <w:sz w:val="20"/>
          <w:szCs w:val="20"/>
          <w:color w:val="auto"/>
        </w:rPr>
      </w:pPr>
      <w:r>
        <w:rPr>
          <w:rFonts w:ascii="Arial" w:cs="Arial" w:eastAsia="Arial" w:hAnsi="Arial"/>
          <w:sz w:val="18"/>
          <w:szCs w:val="18"/>
          <w:color w:val="auto"/>
        </w:rPr>
        <w:t>Prior to 1998, amounts paid to asbestos claimants were covered by a fund made available to Crown Cork under a 1985 settlement with carriers insuring Crown Cork through 1976, when Crown Cork became self-insured. The fund was depleted in 1998 and the Company has no remaining coverage for asbestos-related costs.</w:t>
      </w:r>
    </w:p>
    <w:p>
      <w:pPr>
        <w:spacing w:after="0" w:line="211" w:lineRule="exact"/>
        <w:rPr>
          <w:sz w:val="20"/>
          <w:szCs w:val="20"/>
          <w:color w:val="auto"/>
        </w:rPr>
      </w:pPr>
    </w:p>
    <w:p>
      <w:pPr>
        <w:jc w:val="both"/>
        <w:ind w:left="660"/>
        <w:spacing w:after="0" w:line="293" w:lineRule="auto"/>
        <w:rPr>
          <w:sz w:val="20"/>
          <w:szCs w:val="20"/>
          <w:color w:val="auto"/>
        </w:rPr>
      </w:pPr>
      <w:r>
        <w:rPr>
          <w:rFonts w:ascii="Arial" w:cs="Arial" w:eastAsia="Arial" w:hAnsi="Arial"/>
          <w:sz w:val="16"/>
          <w:szCs w:val="16"/>
          <w:color w:val="auto"/>
        </w:rPr>
        <w:t>In December 2001, the Commonwealth of Pennsylvania enacted legislation that limits the asbestos-related liabilities of Pennsylvania corporations that are successors by corporate merger to companies involved with asbestos. The legislation limits the successor’s liability for asbestos to the acquired company’s asset value adjusted for inflation. Crown Cork has paid significantly more for asbestos-related claims than the acquired company’s adjusted asset value. In November 2004, the legislation was amended to address a Pennsylvania Supreme Court decision (Ieropoli v. AC&amp;S Corporation, et. al., No. 117 EM 2002) which held that the statute violated the Pennsylvania Constitution due to retroactive application. The Company cautions that the limitations of the statute, as amended, are subject to litigation and may not be upheld.</w:t>
      </w:r>
    </w:p>
    <w:p>
      <w:pPr>
        <w:spacing w:after="0" w:line="191" w:lineRule="exact"/>
        <w:rPr>
          <w:sz w:val="20"/>
          <w:szCs w:val="20"/>
          <w:color w:val="auto"/>
        </w:rPr>
      </w:pPr>
    </w:p>
    <w:p>
      <w:pPr>
        <w:jc w:val="both"/>
        <w:ind w:left="660"/>
        <w:spacing w:after="0" w:line="301" w:lineRule="auto"/>
        <w:rPr>
          <w:sz w:val="20"/>
          <w:szCs w:val="20"/>
          <w:color w:val="auto"/>
        </w:rPr>
      </w:pPr>
      <w:r>
        <w:rPr>
          <w:rFonts w:ascii="Arial" w:cs="Arial" w:eastAsia="Arial" w:hAnsi="Arial"/>
          <w:sz w:val="16"/>
          <w:szCs w:val="16"/>
          <w:color w:val="auto"/>
        </w:rPr>
        <w:t>In June 2003, the state of Texas enacted legislation that limits the asbestos-related liabilities in Texas courts of companies such as Crown Cork that allegedly incurred these liabilities because they are successors by corporate merger to companies that had been involved with asbestos. The Texas legislation, which applies to future claims and pending claims, caps asbestos-related liabilities at the total gross value of the predecessor’s assets adjusted for inflation. Crown Cork has paid significantly more for asbestos-related claims than the total adjusted value of its predecessor’s assets.</w:t>
      </w:r>
    </w:p>
    <w:p>
      <w:pPr>
        <w:spacing w:after="0" w:line="184" w:lineRule="exact"/>
        <w:rPr>
          <w:sz w:val="20"/>
          <w:szCs w:val="20"/>
          <w:color w:val="auto"/>
        </w:rPr>
      </w:pPr>
    </w:p>
    <w:p>
      <w:pPr>
        <w:jc w:val="both"/>
        <w:ind w:left="660"/>
        <w:spacing w:after="0" w:line="279" w:lineRule="auto"/>
        <w:rPr>
          <w:sz w:val="20"/>
          <w:szCs w:val="20"/>
          <w:color w:val="auto"/>
        </w:rPr>
      </w:pPr>
      <w:r>
        <w:rPr>
          <w:rFonts w:ascii="Arial" w:cs="Arial" w:eastAsia="Arial" w:hAnsi="Arial"/>
          <w:sz w:val="17"/>
          <w:szCs w:val="17"/>
          <w:color w:val="auto"/>
        </w:rPr>
        <w:t>In October 2010, the Texas Supreme Court held that the Texas legislation was unconstitutional under the Texas Constitution when applied to asbestos-related claims pending against Crown Cork when the legislation was enacted in June 2003. The Company believes that the decision of the Texas Supreme Court is limited to retroactive application of the Texas legislation to asbestos-related cases that were pending against Crown Cork in Texas on June 11, 2003 and therefore, in its accrual, continues to assign no value to claims filed after June 11, 2003.</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ind w:left="4140"/>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states of Alabama, Arizona, Arkansas, Florida, Georgia, Idaho, Indiana, Iowa, Kansas, Michigan, Mississippi, Nebraska, North Carolina, North Dakota, Ohio, Oklahoma, South Carolina, South Dakota, Tennessee, Utah, West Virginia, Wisconsin and Wyoming have enacted legislation that limits asbestos-related liabilities under state law of companies such as Crown Cork that allegedly incurred these liabilities because they are successors by corporate merger to companies that had been involved with asbestos. The legislation, which applies to future and, with the exception of Arkansas, Georgia, South Carolina, South Dakota, West Virginia and Wyoming, pending claims, caps asbestos-related liabilities at the fair market value of the predecessor's total gross assets adjusted for inflation. Crown Cork has paid significantly more for asbestos-related claims than the total value of its predecessor's assets adjusted for inflation. Crown Cork has integrated the legislation into its claims defense strategy. The Company cautions, however, that the legislation may be challenged and there can be no assurance regarding the ultimate effect of the legislation on Crown Cork.</w:t>
      </w:r>
    </w:p>
    <w:p>
      <w:pPr>
        <w:spacing w:after="0" w:line="223"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Company further cautions that an adverse ruling in any litigation relating to the constitutionality or applicability to Crown Cork of one or more statutes that limits the asbestos-related liability of alleged defendants like Crown Cork could have a material impact on the Company.</w:t>
      </w:r>
    </w:p>
    <w:p>
      <w:pPr>
        <w:spacing w:after="0" w:line="1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six months ended June 30, 2023, the Company paid $7 to settle asbestos claims and pay related legal and defense costs and had claims activity as follows: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claims</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57,500</w:t>
            </w:r>
          </w:p>
        </w:tc>
      </w:tr>
      <w:tr>
        <w:trPr>
          <w:trHeight w:val="237"/>
        </w:trPr>
        <w:tc>
          <w:tcPr>
            <w:tcW w:w="8360" w:type="dxa"/>
            <w:vAlign w:val="bottom"/>
          </w:tcPr>
          <w:p>
            <w:pPr>
              <w:ind w:left="20"/>
              <w:spacing w:after="0"/>
              <w:rPr>
                <w:sz w:val="20"/>
                <w:szCs w:val="20"/>
                <w:color w:val="auto"/>
              </w:rPr>
            </w:pPr>
            <w:r>
              <w:rPr>
                <w:rFonts w:ascii="Arial" w:cs="Arial" w:eastAsia="Arial" w:hAnsi="Arial"/>
                <w:sz w:val="18"/>
                <w:szCs w:val="18"/>
                <w:color w:val="auto"/>
              </w:rPr>
              <w:t>New claims</w:t>
            </w:r>
          </w:p>
        </w:tc>
        <w:tc>
          <w:tcPr>
            <w:tcW w:w="1360" w:type="dxa"/>
            <w:vAlign w:val="bottom"/>
          </w:tcPr>
          <w:p>
            <w:pPr>
              <w:jc w:val="right"/>
              <w:spacing w:after="0"/>
              <w:rPr>
                <w:sz w:val="20"/>
                <w:szCs w:val="20"/>
                <w:color w:val="auto"/>
              </w:rPr>
            </w:pPr>
            <w:r>
              <w:rPr>
                <w:rFonts w:ascii="Arial" w:cs="Arial" w:eastAsia="Arial" w:hAnsi="Arial"/>
                <w:sz w:val="18"/>
                <w:szCs w:val="18"/>
                <w:color w:val="auto"/>
              </w:rPr>
              <w:t>600</w:t>
            </w:r>
          </w:p>
        </w:tc>
      </w:tr>
      <w:tr>
        <w:trPr>
          <w:trHeight w:val="236"/>
        </w:trPr>
        <w:tc>
          <w:tcPr>
            <w:tcW w:w="8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Settlements or dismissals</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w:t>
            </w:r>
          </w:p>
        </w:tc>
      </w:tr>
      <w:tr>
        <w:trPr>
          <w:trHeight w:val="223"/>
        </w:trPr>
        <w:tc>
          <w:tcPr>
            <w:tcW w:w="8360" w:type="dxa"/>
            <w:vAlign w:val="bottom"/>
          </w:tcPr>
          <w:p>
            <w:pPr>
              <w:ind w:left="20"/>
              <w:spacing w:after="0"/>
              <w:rPr>
                <w:sz w:val="20"/>
                <w:szCs w:val="20"/>
                <w:color w:val="auto"/>
              </w:rPr>
            </w:pPr>
            <w:r>
              <w:rPr>
                <w:rFonts w:ascii="Arial" w:cs="Arial" w:eastAsia="Arial" w:hAnsi="Arial"/>
                <w:sz w:val="18"/>
                <w:szCs w:val="18"/>
                <w:color w:val="auto"/>
              </w:rPr>
              <w:t>Ending claims</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57,900</w:t>
            </w:r>
          </w:p>
        </w:tc>
      </w:tr>
      <w:tr>
        <w:trPr>
          <w:trHeight w:val="21"/>
        </w:trPr>
        <w:tc>
          <w:tcPr>
            <w:tcW w:w="836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the fourth quarter of each year, the Company performs an analysis of outstanding claims and categorizes these claims by year of exposure and state filed. As of December 31, 2022, the Company's outstanding claims were:</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Claimants alleging first exposure after 1964</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17,000</w:t>
            </w:r>
          </w:p>
        </w:tc>
      </w:tr>
      <w:tr>
        <w:trPr>
          <w:trHeight w:val="237"/>
        </w:trPr>
        <w:tc>
          <w:tcPr>
            <w:tcW w:w="8360" w:type="dxa"/>
            <w:vAlign w:val="bottom"/>
          </w:tcPr>
          <w:p>
            <w:pPr>
              <w:ind w:left="20"/>
              <w:spacing w:after="0"/>
              <w:rPr>
                <w:sz w:val="20"/>
                <w:szCs w:val="20"/>
                <w:color w:val="auto"/>
              </w:rPr>
            </w:pPr>
            <w:r>
              <w:rPr>
                <w:rFonts w:ascii="Arial" w:cs="Arial" w:eastAsia="Arial" w:hAnsi="Arial"/>
                <w:sz w:val="18"/>
                <w:szCs w:val="18"/>
                <w:color w:val="auto"/>
              </w:rPr>
              <w:t>Claimants alleging first exposure before or during 1964 filed in:</w:t>
            </w:r>
          </w:p>
        </w:tc>
        <w:tc>
          <w:tcPr>
            <w:tcW w:w="1360" w:type="dxa"/>
            <w:vAlign w:val="bottom"/>
          </w:tcPr>
          <w:p>
            <w:pPr>
              <w:spacing w:after="0"/>
              <w:rPr>
                <w:sz w:val="20"/>
                <w:szCs w:val="20"/>
                <w:color w:val="auto"/>
              </w:rPr>
            </w:pPr>
          </w:p>
        </w:tc>
      </w:tr>
      <w:tr>
        <w:trPr>
          <w:trHeight w:val="236"/>
        </w:trPr>
        <w:tc>
          <w:tcPr>
            <w:tcW w:w="83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Texas</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13,000</w:t>
            </w:r>
          </w:p>
        </w:tc>
      </w:tr>
      <w:tr>
        <w:trPr>
          <w:trHeight w:val="230"/>
        </w:trPr>
        <w:tc>
          <w:tcPr>
            <w:tcW w:w="8360" w:type="dxa"/>
            <w:vAlign w:val="bottom"/>
          </w:tcPr>
          <w:p>
            <w:pPr>
              <w:ind w:left="340"/>
              <w:spacing w:after="0"/>
              <w:rPr>
                <w:sz w:val="20"/>
                <w:szCs w:val="20"/>
                <w:color w:val="auto"/>
              </w:rPr>
            </w:pPr>
            <w:r>
              <w:rPr>
                <w:rFonts w:ascii="Arial" w:cs="Arial" w:eastAsia="Arial" w:hAnsi="Arial"/>
                <w:sz w:val="18"/>
                <w:szCs w:val="18"/>
                <w:color w:val="auto"/>
              </w:rPr>
              <w:t>Pennsylvania</w:t>
            </w:r>
          </w:p>
        </w:tc>
        <w:tc>
          <w:tcPr>
            <w:tcW w:w="1360" w:type="dxa"/>
            <w:vAlign w:val="bottom"/>
          </w:tcPr>
          <w:p>
            <w:pPr>
              <w:jc w:val="right"/>
              <w:spacing w:after="0"/>
              <w:rPr>
                <w:sz w:val="20"/>
                <w:szCs w:val="20"/>
                <w:color w:val="auto"/>
              </w:rPr>
            </w:pPr>
            <w:r>
              <w:rPr>
                <w:rFonts w:ascii="Arial" w:cs="Arial" w:eastAsia="Arial" w:hAnsi="Arial"/>
                <w:sz w:val="18"/>
                <w:szCs w:val="18"/>
                <w:color w:val="auto"/>
              </w:rPr>
              <w:t>1,500</w:t>
            </w:r>
          </w:p>
        </w:tc>
      </w:tr>
      <w:tr>
        <w:trPr>
          <w:trHeight w:val="243"/>
        </w:trPr>
        <w:tc>
          <w:tcPr>
            <w:tcW w:w="83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states that have enacted asbestos legislation</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w:t>
            </w:r>
          </w:p>
        </w:tc>
      </w:tr>
      <w:tr>
        <w:trPr>
          <w:trHeight w:val="230"/>
        </w:trPr>
        <w:tc>
          <w:tcPr>
            <w:tcW w:w="836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Other states</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20,000</w:t>
            </w:r>
          </w:p>
        </w:tc>
      </w:tr>
      <w:tr>
        <w:trPr>
          <w:trHeight w:val="248"/>
        </w:trPr>
        <w:tc>
          <w:tcPr>
            <w:tcW w:w="8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claims outstanding</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57,500</w:t>
            </w:r>
          </w:p>
        </w:tc>
      </w:tr>
      <w:tr>
        <w:trPr>
          <w:trHeight w:val="20"/>
        </w:trPr>
        <w:tc>
          <w:tcPr>
            <w:tcW w:w="836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outstanding claims in each period exclude approximately 19,000 inactive claims. Due to the passage of time, the Company considers it unlikely that the plaintiffs in these cases will pursue further action against the Company. The exclusion of these inactive claims had no effect on the calculation of the Company’s accrual as the claims were filed in states, as described above, where the Company’s liability is limited by statute.</w:t>
      </w:r>
    </w:p>
    <w:p>
      <w:pPr>
        <w:spacing w:after="0" w:line="176"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With respect to claimants alleging first exposure to asbestos before or during 1964, the Company does not include in its accrual any amounts for settlements in states where the Company’s liability is limited by statute except for certain pending claims in Texas as described earlier.</w:t>
      </w:r>
    </w:p>
    <w:p>
      <w:pPr>
        <w:spacing w:after="0" w:line="15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With respect to post-1964 claims, regardless of the existence of asbestos legislation, the Company does not include in its accrual any amounts for settlement of these claims because of increased difficulty of establishing identification of relevant insulation products as the cause of injury. Given the Company's settlement experience with post-1964 claims, it does not believe that an adverse ruling in the Texas or Pennsylvania asbestos litigation cases, or in any other state that has enacted asbestos legislation, would have a material impact on the Company with respect to such claims.</w:t>
      </w:r>
    </w:p>
    <w:p>
      <w:pPr>
        <w:spacing w:after="0" w:line="21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December 31, 2022 and 2021, the percentage of outstanding claims related to claimants alleging serious diseases (primarily mesothelioma and other malignancies) were as follows: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0"/>
          </w:cols>
          <w:pgMar w:left="980" w:top="121" w:right="3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6400" w:type="dxa"/>
            <w:vAlign w:val="bottom"/>
          </w:tcPr>
          <w:p>
            <w:pPr>
              <w:spacing w:after="0"/>
              <w:rPr>
                <w:sz w:val="20"/>
                <w:szCs w:val="20"/>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2022</w:t>
            </w:r>
          </w:p>
        </w:tc>
        <w:tc>
          <w:tcPr>
            <w:tcW w:w="500" w:type="dxa"/>
            <w:vAlign w:val="bottom"/>
          </w:tcPr>
          <w:p>
            <w:pPr>
              <w:spacing w:after="0"/>
              <w:rPr>
                <w:sz w:val="20"/>
                <w:szCs w:val="20"/>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2021</w:t>
            </w:r>
          </w:p>
        </w:tc>
      </w:tr>
      <w:tr>
        <w:trPr>
          <w:trHeight w:val="237"/>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claims</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24 %</w:t>
            </w:r>
          </w:p>
        </w:tc>
        <w:tc>
          <w:tcPr>
            <w:tcW w:w="1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24 %</w:t>
            </w:r>
          </w:p>
        </w:tc>
      </w:tr>
      <w:tr>
        <w:trPr>
          <w:trHeight w:val="230"/>
        </w:trPr>
        <w:tc>
          <w:tcPr>
            <w:tcW w:w="6400" w:type="dxa"/>
            <w:vAlign w:val="bottom"/>
          </w:tcPr>
          <w:p>
            <w:pPr>
              <w:ind w:left="20"/>
              <w:spacing w:after="0"/>
              <w:rPr>
                <w:sz w:val="20"/>
                <w:szCs w:val="20"/>
                <w:color w:val="auto"/>
              </w:rPr>
            </w:pPr>
            <w:r>
              <w:rPr>
                <w:rFonts w:ascii="Arial" w:cs="Arial" w:eastAsia="Arial" w:hAnsi="Arial"/>
                <w:sz w:val="18"/>
                <w:szCs w:val="18"/>
                <w:color w:val="auto"/>
              </w:rPr>
              <w:t>Pre-1965 claims in states without asbestos legislation</w:t>
            </w:r>
          </w:p>
        </w:tc>
        <w:tc>
          <w:tcPr>
            <w:tcW w:w="1460" w:type="dxa"/>
            <w:vAlign w:val="bottom"/>
          </w:tcPr>
          <w:p>
            <w:pPr>
              <w:jc w:val="right"/>
              <w:spacing w:after="0"/>
              <w:rPr>
                <w:sz w:val="20"/>
                <w:szCs w:val="20"/>
                <w:color w:val="auto"/>
              </w:rPr>
            </w:pPr>
            <w:r>
              <w:rPr>
                <w:rFonts w:ascii="Arial" w:cs="Arial" w:eastAsia="Arial" w:hAnsi="Arial"/>
                <w:sz w:val="18"/>
                <w:szCs w:val="18"/>
                <w:color w:val="auto"/>
              </w:rPr>
              <w:t>43 %</w:t>
            </w:r>
          </w:p>
        </w:tc>
        <w:tc>
          <w:tcPr>
            <w:tcW w:w="1960" w:type="dxa"/>
            <w:vAlign w:val="bottom"/>
            <w:gridSpan w:val="2"/>
          </w:tcPr>
          <w:p>
            <w:pPr>
              <w:jc w:val="right"/>
              <w:spacing w:after="0"/>
              <w:rPr>
                <w:sz w:val="20"/>
                <w:szCs w:val="20"/>
                <w:color w:val="auto"/>
              </w:rPr>
            </w:pPr>
            <w:r>
              <w:rPr>
                <w:rFonts w:ascii="Arial" w:cs="Arial" w:eastAsia="Arial" w:hAnsi="Arial"/>
                <w:sz w:val="18"/>
                <w:szCs w:val="18"/>
                <w:color w:val="auto"/>
              </w:rPr>
              <w:t>42 %</w:t>
            </w:r>
          </w:p>
        </w:tc>
      </w:tr>
    </w:tbl>
    <w:p>
      <w:pPr>
        <w:spacing w:after="0" w:line="322" w:lineRule="exact"/>
        <w:rPr>
          <w:sz w:val="20"/>
          <w:szCs w:val="20"/>
          <w:color w:val="auto"/>
        </w:rPr>
      </w:pPr>
    </w:p>
    <w:p>
      <w:pPr>
        <w:jc w:val="both"/>
        <w:ind w:left="660"/>
        <w:spacing w:after="0" w:line="263" w:lineRule="auto"/>
        <w:rPr>
          <w:sz w:val="20"/>
          <w:szCs w:val="20"/>
          <w:color w:val="auto"/>
        </w:rPr>
      </w:pPr>
      <w:r>
        <w:rPr>
          <w:rFonts w:ascii="Arial" w:cs="Arial" w:eastAsia="Arial" w:hAnsi="Arial"/>
          <w:sz w:val="18"/>
          <w:szCs w:val="18"/>
          <w:color w:val="auto"/>
        </w:rPr>
        <w:t>Crown Cork has entered into arrangements with plaintiffs’ counsel in certain jurisdictions with respect to claims which are not yet filed, or asserted, against it. However, Crown Cork expects claims under these arrangements to be filed or asserted against Crown Cork in the future. The projected value of these claims is included in the Company’s estimated liability as of June 30, 2023.</w:t>
      </w:r>
    </w:p>
    <w:p>
      <w:pPr>
        <w:spacing w:after="0" w:line="211"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As of June 30, 2023, the Company’s accrual for pending and future asbestos-related claims and related legal costs was $213, including $165 for unasserted claims. The Company determines its accrual without limitation to a specific time period.</w:t>
      </w:r>
    </w:p>
    <w:p>
      <w:pPr>
        <w:spacing w:after="0" w:line="197" w:lineRule="exact"/>
        <w:rPr>
          <w:sz w:val="20"/>
          <w:szCs w:val="20"/>
          <w:color w:val="auto"/>
        </w:rPr>
      </w:pPr>
    </w:p>
    <w:p>
      <w:pPr>
        <w:jc w:val="both"/>
        <w:ind w:left="660"/>
        <w:spacing w:after="0" w:line="288" w:lineRule="auto"/>
        <w:rPr>
          <w:sz w:val="20"/>
          <w:szCs w:val="20"/>
          <w:color w:val="auto"/>
        </w:rPr>
      </w:pPr>
      <w:r>
        <w:rPr>
          <w:rFonts w:ascii="Arial" w:cs="Arial" w:eastAsia="Arial" w:hAnsi="Arial"/>
          <w:sz w:val="16"/>
          <w:szCs w:val="16"/>
          <w:color w:val="auto"/>
        </w:rPr>
        <w:t>It is reasonably possible that the actual loss could be in excess of the Company’s accrual. However, the Company is unable to estimate the reasonably possible loss in excess of its accrual due to uncertainty in the following assumptions that underlie the Company’s accrual and the possibility of losses in excess of such accrual: the amount of damages sought by the claimant (which was not specified for approximately 82% of the claims outstanding at the end of 2022), the Company and claimant’s willingness to negotiate a settlement, the terms of settlements of other defendants with asbestos-related liabilities, the bankruptcy filings of other defendants (which may result in additional claims and higher settlements for non-bankrupt defendants), the nature of pending and future claims (including the seriousness of alleged disease, whether claimants allege first exposure to asbestos before or during 1964 and the claimant’s ability to demonstrate the alleged link to Crown Cork), the volatility of the litigation environment, the defense strategies available to the Company, the level of future claims, the rate of receipt of claims, the jurisdiction in which claims are filed, and the effect of state asbestos legislation (including the validity and applicability of the Pennsylvania legislation to non-Pennsylvania jurisdictions, where the substantial majority of the Company’s asbestos cases are filed).</w:t>
      </w:r>
    </w:p>
    <w:p>
      <w:pPr>
        <w:spacing w:after="0" w:line="191" w:lineRule="exact"/>
        <w:rPr>
          <w:sz w:val="20"/>
          <w:szCs w:val="20"/>
          <w:color w:val="auto"/>
        </w:rPr>
      </w:pPr>
    </w:p>
    <w:p>
      <w:pPr>
        <w:ind w:left="300" w:hanging="292"/>
        <w:spacing w:after="0"/>
        <w:tabs>
          <w:tab w:leader="none" w:pos="30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Commitments and Contingent Liabilities</w:t>
      </w:r>
    </w:p>
    <w:p>
      <w:pPr>
        <w:spacing w:after="0" w:line="256" w:lineRule="exact"/>
        <w:rPr>
          <w:sz w:val="20"/>
          <w:szCs w:val="20"/>
          <w:color w:val="auto"/>
        </w:rPr>
      </w:pPr>
    </w:p>
    <w:p>
      <w:pPr>
        <w:jc w:val="both"/>
        <w:ind w:left="660"/>
        <w:spacing w:after="0" w:line="293" w:lineRule="auto"/>
        <w:rPr>
          <w:sz w:val="20"/>
          <w:szCs w:val="20"/>
          <w:color w:val="auto"/>
        </w:rPr>
      </w:pPr>
      <w:r>
        <w:rPr>
          <w:rFonts w:ascii="Arial" w:cs="Arial" w:eastAsia="Arial" w:hAnsi="Arial"/>
          <w:sz w:val="16"/>
          <w:szCs w:val="16"/>
          <w:color w:val="auto"/>
        </w:rPr>
        <w:t>The Company, along with others in most cases, has been identified by the EPA or a comparable state environmental agency as a Potentially Responsible Party (“PRP”) at a number of sites and has recorded aggregate accruals of $12 for its share of estimated future remediation costs at these sites. The Company has been identified as having either directly or indirectly disposed of commercial or industrial waste at the sites subject to the accrual, and where appropriate and supported by available information, generally has agreed to be responsible for a percentage of future remediation costs based on an estimated volume of materials disposed in proportion to the total materials disposed at each site. The Company has not had monetary sanctions imposed nor has the Company been notified of any potential monetary sanctions at any of the sites.</w:t>
      </w:r>
    </w:p>
    <w:p>
      <w:pPr>
        <w:spacing w:after="0" w:line="191" w:lineRule="exact"/>
        <w:rPr>
          <w:sz w:val="20"/>
          <w:szCs w:val="20"/>
          <w:color w:val="auto"/>
        </w:rPr>
      </w:pPr>
    </w:p>
    <w:p>
      <w:pPr>
        <w:jc w:val="both"/>
        <w:ind w:left="660"/>
        <w:spacing w:after="0" w:line="257" w:lineRule="auto"/>
        <w:rPr>
          <w:sz w:val="20"/>
          <w:szCs w:val="20"/>
          <w:color w:val="auto"/>
        </w:rPr>
      </w:pPr>
      <w:r>
        <w:rPr>
          <w:rFonts w:ascii="Arial" w:cs="Arial" w:eastAsia="Arial" w:hAnsi="Arial"/>
          <w:sz w:val="18"/>
          <w:szCs w:val="18"/>
          <w:color w:val="auto"/>
        </w:rPr>
        <w:t>The Company has also recorded aggregate accruals of $8 for remediation activities at various worldwide locations that are owned by the Company and for which the Company is not a member of a PRP group. Although the Company believes its accruals are adequate to cover its portion of future remediation costs, there can be no assurance that the ultimate payments will not exceed the amount of the Company’s accruals and will not have a material effect on its results of operations, financial position and cash flow. Any possible loss or range of potential loss that may be incurred in excess of the recorded accruals cannot be estimated.</w:t>
      </w:r>
    </w:p>
    <w:p>
      <w:pPr>
        <w:spacing w:after="0" w:line="215" w:lineRule="exact"/>
        <w:rPr>
          <w:sz w:val="20"/>
          <w:szCs w:val="20"/>
          <w:color w:val="auto"/>
        </w:rPr>
      </w:pPr>
    </w:p>
    <w:p>
      <w:pPr>
        <w:jc w:val="both"/>
        <w:ind w:left="660"/>
        <w:spacing w:after="0" w:line="269" w:lineRule="auto"/>
        <w:rPr>
          <w:sz w:val="20"/>
          <w:szCs w:val="20"/>
          <w:color w:val="auto"/>
        </w:rPr>
      </w:pPr>
      <w:r>
        <w:rPr>
          <w:rFonts w:ascii="Arial" w:cs="Arial" w:eastAsia="Arial" w:hAnsi="Arial"/>
          <w:sz w:val="17"/>
          <w:szCs w:val="17"/>
          <w:color w:val="auto"/>
        </w:rPr>
        <w:t>In March 2015, the Bundeskartellamt, or German Federal Cartel Office (“FCO”), conducted unannounced inspections of the premises of several metal packaging manufacturers, including a German subsidiary of the Company. The local court order authorizing the inspection cited FCO suspicions of anti-competitive agreements in the German market for the supply of metal packaging products. The Company conducted an internal investigation into the matter and discovered instances of inappropriate conduct by certain employees of German subsidiaries of the Company. The Company cooperated with the FCO and submitted a leniency application with the FCO which disclosed the findings of its internal investigation to date. In April 2018, the FCO discontinued its national investigation and referred the matter to the European Commission (the “Commission”). Following the referral, Commission officials conducted unannounced inspections of the premises of several metal packaging manufacturers, including Company subsidiaries in Germany, France and the U.K. The Company cooperated with the Commission and submitted a leniency application with the Commission with respect to the findings of its internal investigation in Germany. In July 2022, the Company reached a settlement with the Commission relating to the Commission’s investigation, pursuant to which the Company agreed to pay a fine in the amount of $8. Fining decisions based on settlements can be appealed under EU law. The</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Company is seeking annulment of the Commission’s fining decision on the basis that the referral of the case from the FCO to the Commission was unjustified. There can be no assurance regarding the outcome of such appeal.</w:t>
      </w:r>
    </w:p>
    <w:p>
      <w:pPr>
        <w:spacing w:after="0" w:line="197" w:lineRule="exact"/>
        <w:rPr>
          <w:sz w:val="20"/>
          <w:szCs w:val="20"/>
          <w:color w:val="auto"/>
        </w:rPr>
      </w:pPr>
    </w:p>
    <w:p>
      <w:pPr>
        <w:jc w:val="both"/>
        <w:ind w:left="660"/>
        <w:spacing w:after="0" w:line="272" w:lineRule="auto"/>
        <w:rPr>
          <w:sz w:val="20"/>
          <w:szCs w:val="20"/>
          <w:color w:val="auto"/>
        </w:rPr>
      </w:pPr>
      <w:r>
        <w:rPr>
          <w:rFonts w:ascii="Arial" w:cs="Arial" w:eastAsia="Arial" w:hAnsi="Arial"/>
          <w:sz w:val="17"/>
          <w:szCs w:val="17"/>
          <w:color w:val="auto"/>
        </w:rPr>
        <w:t>In March 2017, U.S. Customs and Border Protection (“CBP”) at the Port of Milwaukee issued a penalty notification alleging that certain of the Company’s subsidiaries intentionally misclassified the importation of certain goods into the U.S. during the period 2004 -2009. CBP initially assessed a penalty of $18. The Company has acknowledged to CBP that the goods were misclassified and has paid all related duties, which CBP does not dispute. The Company has asserted that the misclassification was unintentional and disputes the penalty assessment by CBP. CBP has brought suit in the U.S. Court of International Trade seeking enforcement of the initial penalty against the Company. At the present time, based on the information available, the Company does not believe that a loss for the alleged intentional misclassification is probable. However, there can be no assurance that the Company will be successful in contesting the assessed penalty.</w:t>
      </w:r>
    </w:p>
    <w:p>
      <w:pPr>
        <w:spacing w:after="0" w:line="204" w:lineRule="exact"/>
        <w:rPr>
          <w:sz w:val="20"/>
          <w:szCs w:val="20"/>
          <w:color w:val="auto"/>
        </w:rPr>
      </w:pPr>
    </w:p>
    <w:p>
      <w:pPr>
        <w:jc w:val="both"/>
        <w:ind w:left="660"/>
        <w:spacing w:after="0" w:line="290" w:lineRule="auto"/>
        <w:rPr>
          <w:sz w:val="20"/>
          <w:szCs w:val="20"/>
          <w:color w:val="auto"/>
        </w:rPr>
      </w:pPr>
      <w:r>
        <w:rPr>
          <w:rFonts w:ascii="Arial" w:cs="Arial" w:eastAsia="Arial" w:hAnsi="Arial"/>
          <w:sz w:val="16"/>
          <w:szCs w:val="16"/>
          <w:color w:val="auto"/>
        </w:rPr>
        <w:t>On October 7, 2021, the French Autorité de la concurrence (the French Competition Authority or “FCA”) issued a statement of objections to 14 trade associations, one public entity and 101 legal entities from 28 corporate groups, including the Company, certain of its subsidiaries, other leading metal can manufacturers, certain can fillers and certain retailers in France. The FCA alleged violations of Articles 101 of the Treaty on the Functioning of the European Union and L.420-1 of the French Commercial Code. The statement of objections alleges, among other things, anti-competitive behavior in connection with the removal of bisphenol-A from metal packaging in France. The removal of bisphenol-A was mandated by French legislation that went into effect in 2015. If the FCA finds that the Company or its subsidiaries violated competition law, the FCA may levy fines. Proceedings with respect to this matter are ongoing and the Company is unable to predict the ultimate outcome including the amount of fines, if any, that may be levied by the FCA. The Company intends to vigorously defend against the allegations in the statement of objections.</w:t>
      </w:r>
    </w:p>
    <w:p>
      <w:pPr>
        <w:spacing w:after="0" w:line="192" w:lineRule="exact"/>
        <w:rPr>
          <w:sz w:val="20"/>
          <w:szCs w:val="20"/>
          <w:color w:val="auto"/>
        </w:rPr>
      </w:pPr>
    </w:p>
    <w:p>
      <w:pPr>
        <w:jc w:val="both"/>
        <w:ind w:left="660"/>
        <w:spacing w:after="0" w:line="293" w:lineRule="auto"/>
        <w:rPr>
          <w:sz w:val="20"/>
          <w:szCs w:val="20"/>
          <w:color w:val="auto"/>
        </w:rPr>
      </w:pPr>
      <w:r>
        <w:rPr>
          <w:rFonts w:ascii="Arial" w:cs="Arial" w:eastAsia="Arial" w:hAnsi="Arial"/>
          <w:sz w:val="16"/>
          <w:szCs w:val="16"/>
          <w:color w:val="auto"/>
        </w:rPr>
        <w:t>The Company and its subsidiaries are also subject to various other lawsuits and claims with respect to labor, environmental, securities, vendor and other matters arising out of the Company’s normal course of business. While the impact on future financial results is not subject to reasonable estimation because considerable uncertainty exists, management believes that the ultimate liabilities resulting from such lawsuits and claims will not materially affect the Company’s consolidated earnings, financial position or cash flow. The Company has various commitments to purchase materials, supplies and utilities as part of the ordinary conduct of business. At times, the Company guarantees the obligations of subsidiaries under certain of these contracts and is liable for such arrangements only if the subsidiary fails to perform its obligations under the contract.</w:t>
      </w:r>
    </w:p>
    <w:p>
      <w:pPr>
        <w:spacing w:after="0" w:line="191" w:lineRule="exact"/>
        <w:rPr>
          <w:sz w:val="20"/>
          <w:szCs w:val="20"/>
          <w:color w:val="auto"/>
        </w:rPr>
      </w:pPr>
    </w:p>
    <w:p>
      <w:pPr>
        <w:jc w:val="both"/>
        <w:ind w:left="660"/>
        <w:spacing w:after="0" w:line="279" w:lineRule="auto"/>
        <w:rPr>
          <w:sz w:val="20"/>
          <w:szCs w:val="20"/>
          <w:color w:val="auto"/>
        </w:rPr>
      </w:pPr>
      <w:r>
        <w:rPr>
          <w:rFonts w:ascii="Arial" w:cs="Arial" w:eastAsia="Arial" w:hAnsi="Arial"/>
          <w:sz w:val="17"/>
          <w:szCs w:val="17"/>
          <w:color w:val="auto"/>
        </w:rPr>
        <w:t>The Company’s basic raw materials for its products are aluminum and steel, both of which are purchased from multiple sources. The Company is subject to fluctuations in the cost of these raw materials and has periodically adjusted its selling prices to reflect these movements. There can be no assurance, however, that the Company will be able to fully recover any increases or fluctuations in raw material costs from its customers. The Company also has commitments for standby letters of credit and for purchases of capital assets.</w:t>
      </w:r>
    </w:p>
    <w:p>
      <w:pPr>
        <w:spacing w:after="0" w:line="198" w:lineRule="exact"/>
        <w:rPr>
          <w:sz w:val="20"/>
          <w:szCs w:val="20"/>
          <w:color w:val="auto"/>
        </w:rPr>
      </w:pPr>
    </w:p>
    <w:p>
      <w:pPr>
        <w:jc w:val="both"/>
        <w:ind w:left="660"/>
        <w:spacing w:after="0" w:line="263" w:lineRule="auto"/>
        <w:rPr>
          <w:sz w:val="20"/>
          <w:szCs w:val="20"/>
          <w:color w:val="auto"/>
        </w:rPr>
      </w:pPr>
      <w:r>
        <w:rPr>
          <w:rFonts w:ascii="Arial" w:cs="Arial" w:eastAsia="Arial" w:hAnsi="Arial"/>
          <w:sz w:val="18"/>
          <w:szCs w:val="18"/>
          <w:color w:val="auto"/>
        </w:rPr>
        <w:t>At June 30, 2023, the Company was party to certain indemnification agreements covering environmental remediation, lease payments and other potential costs associated with properties sold or businesses divested. The Company accrues for costs related to these items when it is probable that a liability has been incurred and the amount can be reasonably estimated.</w:t>
      </w:r>
    </w:p>
    <w:p>
      <w:pPr>
        <w:spacing w:after="0" w:line="207" w:lineRule="exact"/>
        <w:rPr>
          <w:sz w:val="20"/>
          <w:szCs w:val="20"/>
          <w:color w:val="auto"/>
        </w:rPr>
      </w:pPr>
    </w:p>
    <w:p>
      <w:pPr>
        <w:ind w:left="320" w:hanging="312"/>
        <w:spacing w:after="0"/>
        <w:tabs>
          <w:tab w:leader="none" w:pos="32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Derivative and Other Financial Instruments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Fair Value Measurements</w:t>
      </w:r>
    </w:p>
    <w:p>
      <w:pPr>
        <w:spacing w:after="0" w:line="252" w:lineRule="exact"/>
        <w:rPr>
          <w:sz w:val="20"/>
          <w:szCs w:val="20"/>
          <w:color w:val="auto"/>
        </w:rPr>
      </w:pPr>
    </w:p>
    <w:p>
      <w:pPr>
        <w:jc w:val="both"/>
        <w:ind w:left="660"/>
        <w:spacing w:after="0" w:line="296" w:lineRule="auto"/>
        <w:rPr>
          <w:sz w:val="20"/>
          <w:szCs w:val="20"/>
          <w:color w:val="auto"/>
        </w:rPr>
      </w:pPr>
      <w:r>
        <w:rPr>
          <w:rFonts w:ascii="Arial" w:cs="Arial" w:eastAsia="Arial" w:hAnsi="Arial"/>
          <w:sz w:val="16"/>
          <w:szCs w:val="16"/>
          <w:color w:val="auto"/>
        </w:rPr>
        <w:t>Under U.S. GAAP a framework exists for measuring fair value, providing a three-tier hierarchy of pricing inputs used to report assets and liabilities that are adjusted to fair value. Level 1 includes inputs such as quoted prices which are available in active markets for identical assets or liabilities as of the report date. Level 2 includes inputs other than those available in active markets included in Level 1, which are either directly or indirectly observable as of the reporting date. Level 3 includes unobservable pricing inputs that are not corroborated by market data or other objective sources. The Company has no recurring items valued using Level 3 inputs other than certain pension plan assets.</w:t>
      </w:r>
    </w:p>
    <w:p>
      <w:pPr>
        <w:spacing w:after="0" w:line="188"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The Company utilizes market data or assumptions that market participants would use in pricing the asset or liability. The Company’s assessment of the significance of a particular input to the fair value measurement requires judgment</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jc w:val="center"/>
        <w:ind w:right="200"/>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and may affect the valuation of assets and liabilities measured at fair value and their placement within the fair value hierarchy.</w:t>
      </w:r>
    </w:p>
    <w:p>
      <w:pPr>
        <w:spacing w:after="0" w:line="252" w:lineRule="exact"/>
        <w:rPr>
          <w:sz w:val="20"/>
          <w:szCs w:val="20"/>
          <w:color w:val="auto"/>
        </w:rPr>
      </w:pPr>
    </w:p>
    <w:p>
      <w:pPr>
        <w:jc w:val="both"/>
        <w:ind w:left="460"/>
        <w:spacing w:after="0" w:line="257" w:lineRule="auto"/>
        <w:rPr>
          <w:sz w:val="20"/>
          <w:szCs w:val="20"/>
          <w:color w:val="auto"/>
        </w:rPr>
      </w:pPr>
      <w:r>
        <w:rPr>
          <w:rFonts w:ascii="Arial" w:cs="Arial" w:eastAsia="Arial" w:hAnsi="Arial"/>
          <w:sz w:val="18"/>
          <w:szCs w:val="18"/>
          <w:color w:val="auto"/>
        </w:rPr>
        <w:t>The Company applies a market approach to value its commodity price hedge contracts. Prices from observable markets are used to develop the fair value of these financial instruments and they are reported under Level 2. The Company uses an income approach to value its foreign exchange forward contracts. These contracts are valued using a discounted cash flow model that calculates the present value of future cash flows under the terms of the contracts using market information as of the reporting date, such as foreign exchange spot and forward rates, and are reported under Level 2 of the fair value hierarchy.</w:t>
      </w:r>
    </w:p>
    <w:p>
      <w:pPr>
        <w:spacing w:after="0" w:line="215" w:lineRule="exact"/>
        <w:rPr>
          <w:sz w:val="20"/>
          <w:szCs w:val="20"/>
          <w:color w:val="auto"/>
        </w:rPr>
      </w:pPr>
    </w:p>
    <w:p>
      <w:pPr>
        <w:jc w:val="both"/>
        <w:ind w:left="460"/>
        <w:spacing w:after="0" w:line="277" w:lineRule="auto"/>
        <w:rPr>
          <w:sz w:val="20"/>
          <w:szCs w:val="20"/>
          <w:color w:val="auto"/>
        </w:rPr>
      </w:pPr>
      <w:r>
        <w:rPr>
          <w:rFonts w:ascii="Arial" w:cs="Arial" w:eastAsia="Arial" w:hAnsi="Arial"/>
          <w:sz w:val="18"/>
          <w:szCs w:val="18"/>
          <w:color w:val="auto"/>
        </w:rPr>
        <w:t xml:space="preserve">Fair value disclosures for financial assets and liabilities that were accounted for at fair value on a recurring basis are provided later in this note. In addition, see </w:t>
      </w:r>
      <w:r>
        <w:rPr>
          <w:rFonts w:ascii="Arial" w:cs="Arial" w:eastAsia="Arial" w:hAnsi="Arial"/>
          <w:sz w:val="18"/>
          <w:szCs w:val="18"/>
          <w:u w:val="single" w:color="auto"/>
          <w:color w:val="0000FF"/>
        </w:rPr>
        <w:t>Note K</w:t>
      </w:r>
      <w:r>
        <w:rPr>
          <w:rFonts w:ascii="Arial" w:cs="Arial" w:eastAsia="Arial" w:hAnsi="Arial"/>
          <w:sz w:val="18"/>
          <w:szCs w:val="18"/>
          <w:color w:val="auto"/>
        </w:rPr>
        <w:t xml:space="preserve"> for fair value disclosures related to debt.</w:t>
      </w:r>
    </w:p>
    <w:p>
      <w:pPr>
        <w:spacing w:after="0" w:line="197"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Derivative Financial Instruments</w:t>
      </w:r>
    </w:p>
    <w:p>
      <w:pPr>
        <w:spacing w:after="0" w:line="252" w:lineRule="exact"/>
        <w:rPr>
          <w:sz w:val="20"/>
          <w:szCs w:val="20"/>
          <w:color w:val="auto"/>
        </w:rPr>
      </w:pPr>
    </w:p>
    <w:p>
      <w:pPr>
        <w:jc w:val="both"/>
        <w:ind w:left="460"/>
        <w:spacing w:after="0" w:line="279" w:lineRule="auto"/>
        <w:rPr>
          <w:sz w:val="20"/>
          <w:szCs w:val="20"/>
          <w:color w:val="auto"/>
        </w:rPr>
      </w:pPr>
      <w:r>
        <w:rPr>
          <w:rFonts w:ascii="Arial" w:cs="Arial" w:eastAsia="Arial" w:hAnsi="Arial"/>
          <w:sz w:val="17"/>
          <w:szCs w:val="17"/>
          <w:color w:val="auto"/>
        </w:rPr>
        <w:t>In the normal course of business the Company is subject to risk from adverse fluctuations in currency exchange rates, interest rates and commodity prices. The Company manages these risks through a program that includes the use of derivative financial instruments, primarily swaps and forwards. Counterparties to these contracts are major financial institutions. The Company is exposed to credit loss in the event of nonperformance by these counterparties. The Company does not use derivative instruments for trading or speculative purposes.</w:t>
      </w:r>
    </w:p>
    <w:p>
      <w:pPr>
        <w:spacing w:after="0" w:line="198" w:lineRule="exact"/>
        <w:rPr>
          <w:sz w:val="20"/>
          <w:szCs w:val="20"/>
          <w:color w:val="auto"/>
        </w:rPr>
      </w:pPr>
    </w:p>
    <w:p>
      <w:pPr>
        <w:jc w:val="both"/>
        <w:ind w:left="460"/>
        <w:spacing w:after="0" w:line="257" w:lineRule="auto"/>
        <w:rPr>
          <w:sz w:val="20"/>
          <w:szCs w:val="20"/>
          <w:color w:val="auto"/>
        </w:rPr>
      </w:pPr>
      <w:r>
        <w:rPr>
          <w:rFonts w:ascii="Arial" w:cs="Arial" w:eastAsia="Arial" w:hAnsi="Arial"/>
          <w:sz w:val="18"/>
          <w:szCs w:val="18"/>
          <w:color w:val="auto"/>
        </w:rPr>
        <w:t>The Company’s objective in managing exposure to market and interest rate risk is to limit the impact on earnings and cash flow. The extent to which the Company uses such instruments is dependent upon its access to these contracts in the financial markets and its success using other methods, such as netting exposures in the same currencies to mitigate foreign exchange risk, using sales agreements that permit the pass-through of commodity price and foreign exchange rate risk to customers and borrowing both fixed and floating debt instruments to manage interest rate risk.</w:t>
      </w:r>
    </w:p>
    <w:p>
      <w:pPr>
        <w:spacing w:after="0" w:line="215" w:lineRule="exact"/>
        <w:rPr>
          <w:sz w:val="20"/>
          <w:szCs w:val="20"/>
          <w:color w:val="auto"/>
        </w:rPr>
      </w:pPr>
    </w:p>
    <w:p>
      <w:pPr>
        <w:jc w:val="both"/>
        <w:ind w:left="460"/>
        <w:spacing w:after="0" w:line="291" w:lineRule="auto"/>
        <w:rPr>
          <w:sz w:val="20"/>
          <w:szCs w:val="20"/>
          <w:color w:val="auto"/>
        </w:rPr>
      </w:pPr>
      <w:r>
        <w:rPr>
          <w:rFonts w:ascii="Arial" w:cs="Arial" w:eastAsia="Arial" w:hAnsi="Arial"/>
          <w:sz w:val="16"/>
          <w:szCs w:val="16"/>
          <w:color w:val="auto"/>
        </w:rPr>
        <w:t>For derivative financial instruments accounted for in hedging relationships, the Company formally designates and documents, at inception, the financial instrument as a hedge of a specific underlying exposure, the risk management objective and the manner in which effectiveness will be assessed. The Company formally assesses, both at inception and at least quarterly thereafter, whether the hedging relationships are effective in offsetting changes in fair value or cash flows of the related underlying exposures. When a forecasted transaction is reasonably possible, but not probable of occurring, the hedge no longer qualifies for hedge accounting and the change in fair value from the date of the last effectiveness test is recognized in earnings. Any gain or loss which has accumulated in other comprehensive income at the date of the last effectiveness test is reclassified into earnings at the same time of the underlying exposure or when the forecasted transaction becomes probable of not occurring.</w:t>
      </w:r>
    </w:p>
    <w:p>
      <w:pPr>
        <w:spacing w:after="0" w:line="193"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Cash Flow Hedges</w:t>
      </w:r>
    </w:p>
    <w:p>
      <w:pPr>
        <w:spacing w:after="0" w:line="252" w:lineRule="exact"/>
        <w:rPr>
          <w:sz w:val="20"/>
          <w:szCs w:val="20"/>
          <w:color w:val="auto"/>
        </w:rPr>
      </w:pPr>
    </w:p>
    <w:p>
      <w:pPr>
        <w:jc w:val="both"/>
        <w:ind w:left="460"/>
        <w:spacing w:after="0" w:line="275" w:lineRule="auto"/>
        <w:rPr>
          <w:sz w:val="20"/>
          <w:szCs w:val="20"/>
          <w:color w:val="auto"/>
        </w:rPr>
      </w:pPr>
      <w:r>
        <w:rPr>
          <w:rFonts w:ascii="Arial" w:cs="Arial" w:eastAsia="Arial" w:hAnsi="Arial"/>
          <w:sz w:val="17"/>
          <w:szCs w:val="17"/>
          <w:color w:val="auto"/>
        </w:rPr>
        <w:t>The Company designates certain derivative financial instruments as cash flow hedges. No components of the hedging instruments are excluded from the assessment of hedge effectiveness. Changes in fair value of outstanding derivatives accounted for as cash flow hedges are recorded in accumulated other comprehensive income until earnings are impacted by the hedged transaction. Classification of the gain or loss in the Consolidated Statements of Operations upon reclassification from accumulated comprehensive income is the same as that of the underlying exposure. Contracts outstanding at June 30, 2023 mature between one and eighteen months.</w:t>
      </w:r>
    </w:p>
    <w:p>
      <w:pPr>
        <w:spacing w:after="0" w:line="203" w:lineRule="exact"/>
        <w:rPr>
          <w:sz w:val="20"/>
          <w:szCs w:val="20"/>
          <w:color w:val="auto"/>
        </w:rPr>
      </w:pPr>
    </w:p>
    <w:p>
      <w:pPr>
        <w:jc w:val="both"/>
        <w:ind w:left="460"/>
        <w:spacing w:after="0" w:line="277" w:lineRule="auto"/>
        <w:rPr>
          <w:sz w:val="20"/>
          <w:szCs w:val="20"/>
          <w:color w:val="auto"/>
        </w:rPr>
      </w:pPr>
      <w:r>
        <w:rPr>
          <w:rFonts w:ascii="Arial" w:cs="Arial" w:eastAsia="Arial" w:hAnsi="Arial"/>
          <w:sz w:val="18"/>
          <w:szCs w:val="18"/>
          <w:color w:val="auto"/>
        </w:rPr>
        <w:t>The Company uses commodity forward contracts to hedge anticipated purchases of various commodities, primarily aluminum, and these exposures are hedged by a central treasury unit.</w:t>
      </w:r>
    </w:p>
    <w:p>
      <w:pPr>
        <w:spacing w:after="0" w:line="197" w:lineRule="exact"/>
        <w:rPr>
          <w:sz w:val="20"/>
          <w:szCs w:val="20"/>
          <w:color w:val="auto"/>
        </w:rPr>
      </w:pPr>
    </w:p>
    <w:p>
      <w:pPr>
        <w:jc w:val="both"/>
        <w:ind w:left="460"/>
        <w:spacing w:after="0" w:line="263" w:lineRule="auto"/>
        <w:rPr>
          <w:sz w:val="20"/>
          <w:szCs w:val="20"/>
          <w:color w:val="auto"/>
        </w:rPr>
      </w:pPr>
      <w:r>
        <w:rPr>
          <w:rFonts w:ascii="Arial" w:cs="Arial" w:eastAsia="Arial" w:hAnsi="Arial"/>
          <w:sz w:val="18"/>
          <w:szCs w:val="18"/>
          <w:color w:val="auto"/>
        </w:rPr>
        <w:t>The Company also designates certain foreign exchange contracts as cash flow hedges of anticipated foreign currency denominated sales or purchases. The Company manages these risks at the operating unit level. Often, foreign currency risk is hedged together with the related commodity price risk.</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The Company may also use interest rate swaps to convert interest on floating rate debt to a fixed-rate.</w:t>
      </w:r>
    </w:p>
    <w:p>
      <w:pPr>
        <w:spacing w:after="0" w:line="266" w:lineRule="exact"/>
        <w:rPr>
          <w:sz w:val="20"/>
          <w:szCs w:val="20"/>
          <w:color w:val="auto"/>
        </w:rPr>
      </w:pPr>
    </w:p>
    <w:p>
      <w:pPr>
        <w:jc w:val="both"/>
        <w:ind w:left="460"/>
        <w:spacing w:after="0" w:line="277" w:lineRule="auto"/>
        <w:rPr>
          <w:sz w:val="20"/>
          <w:szCs w:val="20"/>
          <w:color w:val="auto"/>
        </w:rPr>
      </w:pPr>
      <w:r>
        <w:rPr>
          <w:rFonts w:ascii="Arial" w:cs="Arial" w:eastAsia="Arial" w:hAnsi="Arial"/>
          <w:sz w:val="18"/>
          <w:szCs w:val="18"/>
          <w:color w:val="auto"/>
        </w:rPr>
        <w:t>The following tables set forth financial information about the impact on other comprehensive income ("OCI"), accumulated other comprehensive income ("AOCI") and earnings from changes in the fair value of derivative instruments.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520" w:top="121" w:right="339" w:bottom="1440" w:gutter="0" w:footer="0" w:header="0"/>
        </w:sectPr>
      </w:pPr>
    </w:p>
    <w:bookmarkStart w:id="15" w:name="page16"/>
    <w:bookmarkEnd w:id="15"/>
    <w:p>
      <w:pPr>
        <w:jc w:val="center"/>
        <w:ind w:right="180"/>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tbl>
      <w:tblPr>
        <w:tblLayout w:type="fixed"/>
        <w:tblInd w:w="480" w:type="dxa"/>
        <w:tblCellMar>
          <w:top w:w="0" w:type="dxa"/>
          <w:left w:w="0" w:type="dxa"/>
          <w:bottom w:w="0" w:type="dxa"/>
          <w:right w:w="0" w:type="dxa"/>
        </w:tblCellMar>
      </w:tblPr>
      <w:tr>
        <w:trPr>
          <w:trHeight w:val="207"/>
        </w:trPr>
        <w:tc>
          <w:tcPr>
            <w:tcW w:w="2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40" w:type="dxa"/>
            <w:vAlign w:val="bottom"/>
            <w:gridSpan w:val="4"/>
          </w:tcPr>
          <w:p>
            <w:pPr>
              <w:jc w:val="center"/>
              <w:ind w:right="50"/>
              <w:spacing w:after="0"/>
              <w:rPr>
                <w:sz w:val="20"/>
                <w:szCs w:val="20"/>
                <w:color w:val="auto"/>
              </w:rPr>
            </w:pPr>
            <w:r>
              <w:rPr>
                <w:rFonts w:ascii="Arial" w:cs="Arial" w:eastAsia="Arial" w:hAnsi="Arial"/>
                <w:sz w:val="18"/>
                <w:szCs w:val="18"/>
                <w:color w:val="auto"/>
                <w:w w:val="92"/>
              </w:rPr>
              <w:t>Amount of gain/(loss)</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80" w:type="dxa"/>
            <w:vAlign w:val="bottom"/>
            <w:gridSpan w:val="5"/>
          </w:tcPr>
          <w:p>
            <w:pPr>
              <w:jc w:val="center"/>
              <w:ind w:right="320"/>
              <w:spacing w:after="0"/>
              <w:rPr>
                <w:sz w:val="20"/>
                <w:szCs w:val="20"/>
                <w:color w:val="auto"/>
              </w:rPr>
            </w:pPr>
            <w:r>
              <w:rPr>
                <w:rFonts w:ascii="Arial" w:cs="Arial" w:eastAsia="Arial" w:hAnsi="Arial"/>
                <w:sz w:val="18"/>
                <w:szCs w:val="18"/>
                <w:color w:val="auto"/>
                <w:w w:val="94"/>
              </w:rPr>
              <w:t>Amount of gain/(loss)</w:t>
            </w:r>
          </w:p>
        </w:tc>
        <w:tc>
          <w:tcPr>
            <w:tcW w:w="3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40" w:type="dxa"/>
            <w:vAlign w:val="bottom"/>
            <w:gridSpan w:val="4"/>
          </w:tcPr>
          <w:p>
            <w:pPr>
              <w:jc w:val="center"/>
              <w:ind w:right="30"/>
              <w:spacing w:after="0"/>
              <w:rPr>
                <w:sz w:val="20"/>
                <w:szCs w:val="20"/>
                <w:color w:val="auto"/>
              </w:rPr>
            </w:pPr>
            <w:r>
              <w:rPr>
                <w:rFonts w:ascii="Arial" w:cs="Arial" w:eastAsia="Arial" w:hAnsi="Arial"/>
                <w:sz w:val="18"/>
                <w:szCs w:val="18"/>
                <w:color w:val="auto"/>
                <w:w w:val="91"/>
              </w:rPr>
              <w:t>recognized in OCI</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80" w:type="dxa"/>
            <w:vAlign w:val="bottom"/>
            <w:gridSpan w:val="5"/>
          </w:tcPr>
          <w:p>
            <w:pPr>
              <w:jc w:val="center"/>
              <w:ind w:right="320"/>
              <w:spacing w:after="0"/>
              <w:rPr>
                <w:sz w:val="20"/>
                <w:szCs w:val="20"/>
                <w:color w:val="auto"/>
              </w:rPr>
            </w:pPr>
            <w:r>
              <w:rPr>
                <w:rFonts w:ascii="Arial" w:cs="Arial" w:eastAsia="Arial" w:hAnsi="Arial"/>
                <w:sz w:val="18"/>
                <w:szCs w:val="18"/>
                <w:color w:val="auto"/>
                <w:w w:val="91"/>
              </w:rPr>
              <w:t>recognized in OCI</w:t>
            </w:r>
          </w:p>
        </w:tc>
        <w:tc>
          <w:tcPr>
            <w:tcW w:w="3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2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2040" w:type="dxa"/>
            <w:vAlign w:val="bottom"/>
            <w:tcBorders>
              <w:top w:val="single" w:sz="8" w:color="auto"/>
            </w:tcBorders>
            <w:gridSpan w:val="4"/>
          </w:tcPr>
          <w:p>
            <w:pPr>
              <w:jc w:val="center"/>
              <w:ind w:right="50"/>
              <w:spacing w:after="0" w:line="176" w:lineRule="exact"/>
              <w:rPr>
                <w:sz w:val="20"/>
                <w:szCs w:val="20"/>
                <w:color w:val="auto"/>
              </w:rPr>
            </w:pPr>
            <w:r>
              <w:rPr>
                <w:rFonts w:ascii="Arial" w:cs="Arial" w:eastAsia="Arial" w:hAnsi="Arial"/>
                <w:sz w:val="18"/>
                <w:szCs w:val="18"/>
                <w:color w:val="auto"/>
                <w:w w:val="89"/>
              </w:rPr>
              <w:t>Three Months Ended June</w:t>
            </w:r>
          </w:p>
        </w:tc>
        <w:tc>
          <w:tcPr>
            <w:tcW w:w="1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960" w:type="dxa"/>
            <w:vAlign w:val="bottom"/>
            <w:tcBorders>
              <w:top w:val="single" w:sz="8" w:color="auto"/>
            </w:tcBorders>
            <w:gridSpan w:val="4"/>
          </w:tcPr>
          <w:p>
            <w:pPr>
              <w:jc w:val="center"/>
              <w:ind w:right="90"/>
              <w:spacing w:after="0" w:line="176" w:lineRule="exact"/>
              <w:rPr>
                <w:sz w:val="20"/>
                <w:szCs w:val="20"/>
                <w:color w:val="auto"/>
              </w:rPr>
            </w:pPr>
            <w:r>
              <w:rPr>
                <w:rFonts w:ascii="Arial" w:cs="Arial" w:eastAsia="Arial" w:hAnsi="Arial"/>
                <w:sz w:val="18"/>
                <w:szCs w:val="18"/>
                <w:color w:val="auto"/>
                <w:w w:val="91"/>
              </w:rPr>
              <w:t>Six Months Ended</w:t>
            </w:r>
          </w:p>
        </w:tc>
        <w:tc>
          <w:tcPr>
            <w:tcW w:w="120" w:type="dxa"/>
            <w:vAlign w:val="bottom"/>
          </w:tcPr>
          <w:p>
            <w:pPr>
              <w:spacing w:after="0"/>
              <w:rPr>
                <w:sz w:val="15"/>
                <w:szCs w:val="15"/>
                <w:color w:val="auto"/>
              </w:rPr>
            </w:pPr>
          </w:p>
        </w:tc>
        <w:tc>
          <w:tcPr>
            <w:tcW w:w="3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3"/>
          </w:tcPr>
          <w:p>
            <w:pPr>
              <w:jc w:val="center"/>
              <w:ind w:left="530"/>
              <w:spacing w:after="0"/>
              <w:rPr>
                <w:sz w:val="20"/>
                <w:szCs w:val="20"/>
                <w:color w:val="auto"/>
              </w:rPr>
            </w:pPr>
            <w:r>
              <w:rPr>
                <w:rFonts w:ascii="Arial" w:cs="Arial" w:eastAsia="Arial" w:hAnsi="Arial"/>
                <w:sz w:val="18"/>
                <w:szCs w:val="18"/>
                <w:color w:val="auto"/>
                <w:w w:val="87"/>
              </w:rPr>
              <w:t>30,</w:t>
            </w:r>
          </w:p>
        </w:tc>
        <w:tc>
          <w:tcPr>
            <w:tcW w:w="7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3"/>
          </w:tcPr>
          <w:p>
            <w:pPr>
              <w:jc w:val="center"/>
              <w:ind w:left="450"/>
              <w:spacing w:after="0"/>
              <w:rPr>
                <w:sz w:val="20"/>
                <w:szCs w:val="20"/>
                <w:color w:val="auto"/>
              </w:rPr>
            </w:pPr>
            <w:r>
              <w:rPr>
                <w:rFonts w:ascii="Arial" w:cs="Arial" w:eastAsia="Arial" w:hAnsi="Arial"/>
                <w:sz w:val="18"/>
                <w:szCs w:val="18"/>
                <w:color w:val="auto"/>
                <w:w w:val="86"/>
              </w:rPr>
              <w:t>June 30,</w:t>
            </w:r>
          </w:p>
        </w:tc>
        <w:tc>
          <w:tcPr>
            <w:tcW w:w="7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40" w:type="dxa"/>
            <w:vAlign w:val="bottom"/>
            <w:gridSpan w:val="2"/>
          </w:tcPr>
          <w:p>
            <w:pPr>
              <w:ind w:left="20"/>
              <w:spacing w:after="0"/>
              <w:rPr>
                <w:sz w:val="20"/>
                <w:szCs w:val="20"/>
                <w:color w:val="auto"/>
              </w:rPr>
            </w:pPr>
            <w:r>
              <w:rPr>
                <w:rFonts w:ascii="Arial" w:cs="Arial" w:eastAsia="Arial" w:hAnsi="Arial"/>
                <w:sz w:val="18"/>
                <w:szCs w:val="18"/>
                <w:color w:val="auto"/>
              </w:rPr>
              <w:t>Derivatives in cash flow hedges</w:t>
            </w:r>
          </w:p>
        </w:tc>
        <w:tc>
          <w:tcPr>
            <w:tcW w:w="140" w:type="dxa"/>
            <w:vAlign w:val="bottom"/>
          </w:tcPr>
          <w:p>
            <w:pPr>
              <w:spacing w:after="0"/>
              <w:rPr>
                <w:sz w:val="20"/>
                <w:szCs w:val="20"/>
                <w:color w:val="auto"/>
              </w:rPr>
            </w:pPr>
          </w:p>
        </w:tc>
        <w:tc>
          <w:tcPr>
            <w:tcW w:w="900" w:type="dxa"/>
            <w:vAlign w:val="bottom"/>
          </w:tcPr>
          <w:p>
            <w:pPr>
              <w:jc w:val="right"/>
              <w:ind w:right="250"/>
              <w:spacing w:after="0"/>
              <w:rPr>
                <w:sz w:val="20"/>
                <w:szCs w:val="20"/>
                <w:color w:val="auto"/>
              </w:rPr>
            </w:pPr>
            <w:r>
              <w:rPr>
                <w:rFonts w:ascii="Arial" w:cs="Arial" w:eastAsia="Arial" w:hAnsi="Arial"/>
                <w:sz w:val="18"/>
                <w:szCs w:val="18"/>
                <w:color w:val="auto"/>
              </w:rPr>
              <w:t>2023</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jc w:val="right"/>
              <w:ind w:right="250"/>
              <w:spacing w:after="0"/>
              <w:rPr>
                <w:sz w:val="20"/>
                <w:szCs w:val="20"/>
                <w:color w:val="auto"/>
              </w:rPr>
            </w:pPr>
            <w:r>
              <w:rPr>
                <w:rFonts w:ascii="Arial" w:cs="Arial" w:eastAsia="Arial" w:hAnsi="Arial"/>
                <w:sz w:val="18"/>
                <w:szCs w:val="18"/>
                <w:color w:val="auto"/>
                <w:w w:val="99"/>
              </w:rPr>
              <w:t>2022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jc w:val="right"/>
              <w:ind w:right="250"/>
              <w:spacing w:after="0"/>
              <w:rPr>
                <w:sz w:val="20"/>
                <w:szCs w:val="20"/>
                <w:color w:val="auto"/>
              </w:rPr>
            </w:pPr>
            <w:r>
              <w:rPr>
                <w:rFonts w:ascii="Arial" w:cs="Arial" w:eastAsia="Arial" w:hAnsi="Arial"/>
                <w:sz w:val="18"/>
                <w:szCs w:val="18"/>
                <w:color w:val="auto"/>
              </w:rPr>
              <w:t>2023</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40" w:type="dxa"/>
            <w:vAlign w:val="bottom"/>
          </w:tcPr>
          <w:p>
            <w:pPr>
              <w:jc w:val="right"/>
              <w:ind w:right="250"/>
              <w:spacing w:after="0"/>
              <w:rPr>
                <w:sz w:val="20"/>
                <w:szCs w:val="20"/>
                <w:color w:val="auto"/>
              </w:rPr>
            </w:pPr>
            <w:r>
              <w:rPr>
                <w:rFonts w:ascii="Arial" w:cs="Arial" w:eastAsia="Arial" w:hAnsi="Arial"/>
                <w:sz w:val="18"/>
                <w:szCs w:val="18"/>
                <w:color w:val="auto"/>
                <w:w w:val="94"/>
              </w:rPr>
              <w:t>2022</w:t>
            </w:r>
          </w:p>
        </w:tc>
        <w:tc>
          <w:tcPr>
            <w:tcW w:w="12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7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Foreign exchange</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top w:val="single" w:sz="8" w:color="CCEEFF"/>
            </w:tcBorders>
            <w:shd w:val="clear" w:color="auto" w:fill="CCEEFF"/>
          </w:tcPr>
          <w:p>
            <w:pPr>
              <w:spacing w:after="0"/>
              <w:rPr>
                <w:sz w:val="19"/>
                <w:szCs w:val="19"/>
                <w:color w:val="auto"/>
              </w:rPr>
            </w:pPr>
          </w:p>
        </w:tc>
        <w:tc>
          <w:tcPr>
            <w:tcW w:w="3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840" w:type="dxa"/>
            <w:vAlign w:val="bottom"/>
            <w:gridSpan w:val="2"/>
          </w:tcPr>
          <w:p>
            <w:pPr>
              <w:ind w:left="20"/>
              <w:spacing w:after="0"/>
              <w:rPr>
                <w:sz w:val="20"/>
                <w:szCs w:val="20"/>
                <w:color w:val="auto"/>
              </w:rPr>
            </w:pPr>
            <w:r>
              <w:rPr>
                <w:rFonts w:ascii="Arial" w:cs="Arial" w:eastAsia="Arial" w:hAnsi="Arial"/>
                <w:sz w:val="18"/>
                <w:szCs w:val="18"/>
                <w:color w:val="auto"/>
              </w:rPr>
              <w:t>Commodities</w:t>
            </w: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2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1"/>
                <w:szCs w:val="21"/>
                <w:color w:val="auto"/>
              </w:rPr>
            </w:pPr>
          </w:p>
        </w:tc>
        <w:tc>
          <w:tcPr>
            <w:tcW w:w="3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2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40" w:type="dxa"/>
            <w:vAlign w:val="bottom"/>
            <w:gridSpan w:val="4"/>
          </w:tcPr>
          <w:p>
            <w:pPr>
              <w:jc w:val="center"/>
              <w:ind w:right="50"/>
              <w:spacing w:after="0"/>
              <w:rPr>
                <w:sz w:val="20"/>
                <w:szCs w:val="20"/>
                <w:color w:val="auto"/>
              </w:rPr>
            </w:pPr>
            <w:r>
              <w:rPr>
                <w:rFonts w:ascii="Arial" w:cs="Arial" w:eastAsia="Arial" w:hAnsi="Arial"/>
                <w:sz w:val="18"/>
                <w:szCs w:val="18"/>
                <w:color w:val="auto"/>
                <w:w w:val="92"/>
              </w:rPr>
              <w:t>Amount of gain/(loss)</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80" w:type="dxa"/>
            <w:vAlign w:val="bottom"/>
            <w:gridSpan w:val="5"/>
          </w:tcPr>
          <w:p>
            <w:pPr>
              <w:jc w:val="center"/>
              <w:ind w:right="320"/>
              <w:spacing w:after="0"/>
              <w:rPr>
                <w:sz w:val="20"/>
                <w:szCs w:val="20"/>
                <w:color w:val="auto"/>
              </w:rPr>
            </w:pPr>
            <w:r>
              <w:rPr>
                <w:rFonts w:ascii="Arial" w:cs="Arial" w:eastAsia="Arial" w:hAnsi="Arial"/>
                <w:sz w:val="18"/>
                <w:szCs w:val="18"/>
                <w:color w:val="auto"/>
                <w:w w:val="94"/>
              </w:rPr>
              <w:t>Amount of gain/(loss)</w:t>
            </w:r>
          </w:p>
        </w:tc>
        <w:tc>
          <w:tcPr>
            <w:tcW w:w="3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2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80" w:type="dxa"/>
            <w:vAlign w:val="bottom"/>
            <w:gridSpan w:val="5"/>
          </w:tcPr>
          <w:p>
            <w:pPr>
              <w:jc w:val="center"/>
              <w:spacing w:after="0" w:line="176" w:lineRule="exact"/>
              <w:rPr>
                <w:sz w:val="20"/>
                <w:szCs w:val="20"/>
                <w:color w:val="auto"/>
              </w:rPr>
            </w:pPr>
            <w:r>
              <w:rPr>
                <w:rFonts w:ascii="Arial" w:cs="Arial" w:eastAsia="Arial" w:hAnsi="Arial"/>
                <w:sz w:val="18"/>
                <w:szCs w:val="18"/>
                <w:color w:val="auto"/>
                <w:w w:val="94"/>
              </w:rPr>
              <w:t>reclassified from AOCI into</w:t>
            </w:r>
          </w:p>
        </w:tc>
        <w:tc>
          <w:tcPr>
            <w:tcW w:w="100" w:type="dxa"/>
            <w:vAlign w:val="bottom"/>
          </w:tcPr>
          <w:p>
            <w:pPr>
              <w:spacing w:after="0"/>
              <w:rPr>
                <w:sz w:val="15"/>
                <w:szCs w:val="15"/>
                <w:color w:val="auto"/>
              </w:rPr>
            </w:pPr>
          </w:p>
        </w:tc>
        <w:tc>
          <w:tcPr>
            <w:tcW w:w="2280" w:type="dxa"/>
            <w:vAlign w:val="bottom"/>
            <w:gridSpan w:val="6"/>
          </w:tcPr>
          <w:p>
            <w:pPr>
              <w:jc w:val="center"/>
              <w:ind w:right="100"/>
              <w:spacing w:after="0" w:line="176" w:lineRule="exact"/>
              <w:rPr>
                <w:sz w:val="20"/>
                <w:szCs w:val="20"/>
                <w:color w:val="auto"/>
              </w:rPr>
            </w:pPr>
            <w:r>
              <w:rPr>
                <w:rFonts w:ascii="Arial" w:cs="Arial" w:eastAsia="Arial" w:hAnsi="Arial"/>
                <w:sz w:val="18"/>
                <w:szCs w:val="18"/>
                <w:color w:val="auto"/>
                <w:w w:val="94"/>
              </w:rPr>
              <w:t>reclassified from AOCI into</w:t>
            </w:r>
          </w:p>
        </w:tc>
        <w:tc>
          <w:tcPr>
            <w:tcW w:w="3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2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3"/>
          </w:tcPr>
          <w:p>
            <w:pPr>
              <w:jc w:val="center"/>
              <w:ind w:left="530"/>
              <w:spacing w:after="0"/>
              <w:rPr>
                <w:sz w:val="20"/>
                <w:szCs w:val="20"/>
                <w:color w:val="auto"/>
              </w:rPr>
            </w:pPr>
            <w:r>
              <w:rPr>
                <w:rFonts w:ascii="Arial" w:cs="Arial" w:eastAsia="Arial" w:hAnsi="Arial"/>
                <w:sz w:val="18"/>
                <w:szCs w:val="18"/>
                <w:color w:val="auto"/>
                <w:w w:val="92"/>
              </w:rPr>
              <w:t>income</w:t>
            </w:r>
          </w:p>
        </w:tc>
        <w:tc>
          <w:tcPr>
            <w:tcW w:w="7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3"/>
          </w:tcPr>
          <w:p>
            <w:pPr>
              <w:jc w:val="center"/>
              <w:ind w:left="450"/>
              <w:spacing w:after="0"/>
              <w:rPr>
                <w:sz w:val="20"/>
                <w:szCs w:val="20"/>
                <w:color w:val="auto"/>
              </w:rPr>
            </w:pPr>
            <w:r>
              <w:rPr>
                <w:rFonts w:ascii="Arial" w:cs="Arial" w:eastAsia="Arial" w:hAnsi="Arial"/>
                <w:sz w:val="18"/>
                <w:szCs w:val="18"/>
                <w:color w:val="auto"/>
                <w:w w:val="89"/>
              </w:rPr>
              <w:t>income</w:t>
            </w:r>
          </w:p>
        </w:tc>
        <w:tc>
          <w:tcPr>
            <w:tcW w:w="7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2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40" w:type="dxa"/>
            <w:vAlign w:val="bottom"/>
            <w:gridSpan w:val="4"/>
          </w:tcPr>
          <w:p>
            <w:pPr>
              <w:jc w:val="center"/>
              <w:ind w:right="50"/>
              <w:spacing w:after="0" w:line="176" w:lineRule="exact"/>
              <w:rPr>
                <w:sz w:val="20"/>
                <w:szCs w:val="20"/>
                <w:color w:val="auto"/>
              </w:rPr>
            </w:pPr>
            <w:r>
              <w:rPr>
                <w:rFonts w:ascii="Arial" w:cs="Arial" w:eastAsia="Arial" w:hAnsi="Arial"/>
                <w:sz w:val="18"/>
                <w:szCs w:val="18"/>
                <w:color w:val="auto"/>
                <w:w w:val="89"/>
              </w:rPr>
              <w:t>Three Months Ended June</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960" w:type="dxa"/>
            <w:vAlign w:val="bottom"/>
            <w:gridSpan w:val="4"/>
          </w:tcPr>
          <w:p>
            <w:pPr>
              <w:jc w:val="center"/>
              <w:ind w:right="90"/>
              <w:spacing w:after="0" w:line="176" w:lineRule="exact"/>
              <w:rPr>
                <w:sz w:val="20"/>
                <w:szCs w:val="20"/>
                <w:color w:val="auto"/>
              </w:rPr>
            </w:pPr>
            <w:r>
              <w:rPr>
                <w:rFonts w:ascii="Arial" w:cs="Arial" w:eastAsia="Arial" w:hAnsi="Arial"/>
                <w:sz w:val="18"/>
                <w:szCs w:val="18"/>
                <w:color w:val="auto"/>
                <w:w w:val="91"/>
              </w:rPr>
              <w:t>Six Months Ended</w:t>
            </w:r>
          </w:p>
        </w:tc>
        <w:tc>
          <w:tcPr>
            <w:tcW w:w="120" w:type="dxa"/>
            <w:vAlign w:val="bottom"/>
          </w:tcPr>
          <w:p>
            <w:pPr>
              <w:spacing w:after="0"/>
              <w:rPr>
                <w:sz w:val="15"/>
                <w:szCs w:val="15"/>
                <w:color w:val="auto"/>
              </w:rPr>
            </w:pPr>
          </w:p>
        </w:tc>
        <w:tc>
          <w:tcPr>
            <w:tcW w:w="3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2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3"/>
          </w:tcPr>
          <w:p>
            <w:pPr>
              <w:jc w:val="center"/>
              <w:ind w:left="530"/>
              <w:spacing w:after="0"/>
              <w:rPr>
                <w:sz w:val="20"/>
                <w:szCs w:val="20"/>
                <w:color w:val="auto"/>
              </w:rPr>
            </w:pPr>
            <w:r>
              <w:rPr>
                <w:rFonts w:ascii="Arial" w:cs="Arial" w:eastAsia="Arial" w:hAnsi="Arial"/>
                <w:sz w:val="18"/>
                <w:szCs w:val="18"/>
                <w:color w:val="auto"/>
                <w:w w:val="87"/>
              </w:rPr>
              <w:t>30,</w:t>
            </w:r>
          </w:p>
        </w:tc>
        <w:tc>
          <w:tcPr>
            <w:tcW w:w="7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3"/>
          </w:tcPr>
          <w:p>
            <w:pPr>
              <w:jc w:val="center"/>
              <w:ind w:left="450"/>
              <w:spacing w:after="0"/>
              <w:rPr>
                <w:sz w:val="20"/>
                <w:szCs w:val="20"/>
                <w:color w:val="auto"/>
              </w:rPr>
            </w:pPr>
            <w:r>
              <w:rPr>
                <w:rFonts w:ascii="Arial" w:cs="Arial" w:eastAsia="Arial" w:hAnsi="Arial"/>
                <w:sz w:val="18"/>
                <w:szCs w:val="18"/>
                <w:color w:val="auto"/>
                <w:w w:val="86"/>
              </w:rPr>
              <w:t>June 30,</w:t>
            </w:r>
          </w:p>
        </w:tc>
        <w:tc>
          <w:tcPr>
            <w:tcW w:w="7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2740" w:type="dxa"/>
            <w:vAlign w:val="bottom"/>
            <w:vMerge w:val="restart"/>
          </w:tcPr>
          <w:p>
            <w:pPr>
              <w:ind w:left="20"/>
              <w:spacing w:after="0"/>
              <w:rPr>
                <w:sz w:val="20"/>
                <w:szCs w:val="20"/>
                <w:color w:val="auto"/>
              </w:rPr>
            </w:pPr>
            <w:r>
              <w:rPr>
                <w:rFonts w:ascii="Arial" w:cs="Arial" w:eastAsia="Arial" w:hAnsi="Arial"/>
                <w:sz w:val="18"/>
                <w:szCs w:val="18"/>
                <w:color w:val="auto"/>
              </w:rPr>
              <w:t>Derivatives in cash flow hedges</w:t>
            </w:r>
          </w:p>
        </w:tc>
        <w:tc>
          <w:tcPr>
            <w:tcW w:w="100" w:type="dxa"/>
            <w:vAlign w:val="bottom"/>
            <w:vMerge w:val="restart"/>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vMerge w:val="restart"/>
          </w:tcPr>
          <w:p>
            <w:pPr>
              <w:jc w:val="right"/>
              <w:ind w:right="250"/>
              <w:spacing w:after="0"/>
              <w:rPr>
                <w:sz w:val="20"/>
                <w:szCs w:val="20"/>
                <w:color w:val="auto"/>
              </w:rPr>
            </w:pPr>
            <w:r>
              <w:rPr>
                <w:rFonts w:ascii="Arial" w:cs="Arial" w:eastAsia="Arial" w:hAnsi="Arial"/>
                <w:sz w:val="18"/>
                <w:szCs w:val="18"/>
                <w:color w:val="auto"/>
              </w:rPr>
              <w:t>2023</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vMerge w:val="restart"/>
          </w:tcPr>
          <w:p>
            <w:pPr>
              <w:jc w:val="right"/>
              <w:ind w:right="250"/>
              <w:spacing w:after="0"/>
              <w:rPr>
                <w:sz w:val="20"/>
                <w:szCs w:val="20"/>
                <w:color w:val="auto"/>
              </w:rPr>
            </w:pPr>
            <w:r>
              <w:rPr>
                <w:rFonts w:ascii="Arial" w:cs="Arial" w:eastAsia="Arial" w:hAnsi="Arial"/>
                <w:sz w:val="18"/>
                <w:szCs w:val="18"/>
                <w:color w:val="auto"/>
                <w:w w:val="99"/>
              </w:rPr>
              <w:t>2022</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vMerge w:val="restart"/>
          </w:tcPr>
          <w:p>
            <w:pPr>
              <w:jc w:val="right"/>
              <w:ind w:right="250"/>
              <w:spacing w:after="0"/>
              <w:rPr>
                <w:sz w:val="20"/>
                <w:szCs w:val="20"/>
                <w:color w:val="auto"/>
              </w:rPr>
            </w:pPr>
            <w:r>
              <w:rPr>
                <w:rFonts w:ascii="Arial" w:cs="Arial" w:eastAsia="Arial" w:hAnsi="Arial"/>
                <w:sz w:val="18"/>
                <w:szCs w:val="18"/>
                <w:color w:val="auto"/>
              </w:rPr>
              <w:t>2023</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vMerge w:val="restart"/>
          </w:tcPr>
          <w:p>
            <w:pPr>
              <w:jc w:val="right"/>
              <w:ind w:right="250"/>
              <w:spacing w:after="0"/>
              <w:rPr>
                <w:sz w:val="20"/>
                <w:szCs w:val="20"/>
                <w:color w:val="auto"/>
              </w:rPr>
            </w:pPr>
            <w:r>
              <w:rPr>
                <w:rFonts w:ascii="Arial" w:cs="Arial" w:eastAsia="Arial" w:hAnsi="Arial"/>
                <w:sz w:val="18"/>
                <w:szCs w:val="18"/>
                <w:color w:val="auto"/>
                <w:w w:val="94"/>
              </w:rPr>
              <w:t>2022</w:t>
            </w:r>
          </w:p>
        </w:tc>
        <w:tc>
          <w:tcPr>
            <w:tcW w:w="120" w:type="dxa"/>
            <w:vAlign w:val="bottom"/>
          </w:tcPr>
          <w:p>
            <w:pPr>
              <w:spacing w:after="0"/>
              <w:rPr>
                <w:sz w:val="14"/>
                <w:szCs w:val="14"/>
                <w:color w:val="auto"/>
              </w:rPr>
            </w:pPr>
          </w:p>
        </w:tc>
        <w:tc>
          <w:tcPr>
            <w:tcW w:w="3180" w:type="dxa"/>
            <w:vAlign w:val="bottom"/>
          </w:tcPr>
          <w:p>
            <w:pPr>
              <w:ind w:left="200"/>
              <w:spacing w:after="0" w:line="169" w:lineRule="exact"/>
              <w:rPr>
                <w:sz w:val="20"/>
                <w:szCs w:val="20"/>
                <w:color w:val="auto"/>
              </w:rPr>
            </w:pPr>
            <w:r>
              <w:rPr>
                <w:rFonts w:ascii="Arial" w:cs="Arial" w:eastAsia="Arial" w:hAnsi="Arial"/>
                <w:sz w:val="18"/>
                <w:szCs w:val="18"/>
                <w:color w:val="auto"/>
                <w:w w:val="97"/>
              </w:rPr>
              <w:t>Affected line items in the Statement of</w:t>
            </w:r>
          </w:p>
        </w:tc>
        <w:tc>
          <w:tcPr>
            <w:tcW w:w="0" w:type="dxa"/>
            <w:vAlign w:val="bottom"/>
          </w:tcPr>
          <w:p>
            <w:pPr>
              <w:spacing w:after="0"/>
              <w:rPr>
                <w:sz w:val="1"/>
                <w:szCs w:val="1"/>
                <w:color w:val="auto"/>
              </w:rPr>
            </w:pPr>
          </w:p>
        </w:tc>
      </w:tr>
      <w:tr>
        <w:trPr>
          <w:trHeight w:val="229"/>
        </w:trPr>
        <w:tc>
          <w:tcPr>
            <w:tcW w:w="2740" w:type="dxa"/>
            <w:vAlign w:val="bottom"/>
            <w:tcBorders>
              <w:bottom w:val="single" w:sz="8" w:color="auto"/>
            </w:tcBorders>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vMerge w:val="continue"/>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3180" w:type="dxa"/>
            <w:vAlign w:val="bottom"/>
            <w:tcBorders>
              <w:bottom w:val="single" w:sz="8" w:color="auto"/>
            </w:tcBorders>
          </w:tcPr>
          <w:p>
            <w:pPr>
              <w:ind w:left="1200"/>
              <w:spacing w:after="0"/>
              <w:rPr>
                <w:sz w:val="20"/>
                <w:szCs w:val="20"/>
                <w:color w:val="auto"/>
              </w:rPr>
            </w:pPr>
            <w:r>
              <w:rPr>
                <w:rFonts w:ascii="Arial" w:cs="Arial" w:eastAsia="Arial" w:hAnsi="Arial"/>
                <w:sz w:val="18"/>
                <w:szCs w:val="18"/>
                <w:color w:val="auto"/>
              </w:rPr>
              <w:t>Operations</w:t>
            </w:r>
          </w:p>
        </w:tc>
        <w:tc>
          <w:tcPr>
            <w:tcW w:w="0" w:type="dxa"/>
            <w:vAlign w:val="bottom"/>
          </w:tcPr>
          <w:p>
            <w:pPr>
              <w:spacing w:after="0"/>
              <w:rPr>
                <w:sz w:val="1"/>
                <w:szCs w:val="1"/>
                <w:color w:val="auto"/>
              </w:rPr>
            </w:pPr>
          </w:p>
        </w:tc>
      </w:tr>
      <w:tr>
        <w:trPr>
          <w:trHeight w:val="237"/>
        </w:trPr>
        <w:tc>
          <w:tcPr>
            <w:tcW w:w="28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Foreign exchange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20"/>
                <w:szCs w:val="20"/>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0" w:type="dxa"/>
            <w:vAlign w:val="bottom"/>
          </w:tcPr>
          <w:p>
            <w:pPr>
              <w:spacing w:after="0"/>
              <w:rPr>
                <w:sz w:val="1"/>
                <w:szCs w:val="1"/>
                <w:color w:val="auto"/>
              </w:rPr>
            </w:pPr>
          </w:p>
        </w:tc>
      </w:tr>
      <w:tr>
        <w:trPr>
          <w:trHeight w:val="229"/>
        </w:trPr>
        <w:tc>
          <w:tcPr>
            <w:tcW w:w="2840" w:type="dxa"/>
            <w:vAlign w:val="bottom"/>
            <w:gridSpan w:val="2"/>
          </w:tcPr>
          <w:p>
            <w:pPr>
              <w:ind w:left="20"/>
              <w:spacing w:after="0"/>
              <w:rPr>
                <w:sz w:val="20"/>
                <w:szCs w:val="20"/>
                <w:color w:val="auto"/>
              </w:rPr>
            </w:pPr>
            <w:r>
              <w:rPr>
                <w:rFonts w:ascii="Arial" w:cs="Arial" w:eastAsia="Arial" w:hAnsi="Arial"/>
                <w:sz w:val="18"/>
                <w:szCs w:val="18"/>
                <w:color w:val="auto"/>
              </w:rPr>
              <w:t>Commodities</w:t>
            </w: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19"/>
                <w:szCs w:val="19"/>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Net sales</w:t>
            </w:r>
          </w:p>
        </w:tc>
        <w:tc>
          <w:tcPr>
            <w:tcW w:w="0" w:type="dxa"/>
            <w:vAlign w:val="bottom"/>
          </w:tcPr>
          <w:p>
            <w:pPr>
              <w:spacing w:after="0"/>
              <w:rPr>
                <w:sz w:val="1"/>
                <w:szCs w:val="1"/>
                <w:color w:val="auto"/>
              </w:rPr>
            </w:pPr>
          </w:p>
        </w:tc>
      </w:tr>
      <w:tr>
        <w:trPr>
          <w:trHeight w:val="176"/>
        </w:trPr>
        <w:tc>
          <w:tcPr>
            <w:tcW w:w="2840" w:type="dxa"/>
            <w:vAlign w:val="bottom"/>
            <w:gridSpan w:val="2"/>
            <w:vMerge w:val="restart"/>
            <w:shd w:val="clear" w:color="auto" w:fill="CCEEFF"/>
          </w:tcPr>
          <w:p>
            <w:pPr>
              <w:ind w:left="20"/>
              <w:spacing w:after="0"/>
              <w:rPr>
                <w:sz w:val="20"/>
                <w:szCs w:val="20"/>
                <w:color w:val="auto"/>
              </w:rPr>
            </w:pPr>
            <w:r>
              <w:rPr>
                <w:rFonts w:ascii="Arial" w:cs="Arial" w:eastAsia="Arial" w:hAnsi="Arial"/>
                <w:sz w:val="18"/>
                <w:szCs w:val="18"/>
                <w:color w:val="auto"/>
              </w:rPr>
              <w:t>Foreign exchange</w:t>
            </w:r>
          </w:p>
        </w:tc>
        <w:tc>
          <w:tcPr>
            <w:tcW w:w="14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5"/>
                <w:szCs w:val="15"/>
                <w:color w:val="auto"/>
              </w:rPr>
            </w:pPr>
          </w:p>
        </w:tc>
        <w:tc>
          <w:tcPr>
            <w:tcW w:w="31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Cost of products sold, excluding</w:t>
            </w:r>
          </w:p>
        </w:tc>
        <w:tc>
          <w:tcPr>
            <w:tcW w:w="0" w:type="dxa"/>
            <w:vAlign w:val="bottom"/>
          </w:tcPr>
          <w:p>
            <w:pPr>
              <w:spacing w:after="0"/>
              <w:rPr>
                <w:sz w:val="1"/>
                <w:szCs w:val="1"/>
                <w:color w:val="auto"/>
              </w:rPr>
            </w:pPr>
          </w:p>
        </w:tc>
      </w:tr>
      <w:tr>
        <w:trPr>
          <w:trHeight w:val="243"/>
        </w:trPr>
        <w:tc>
          <w:tcPr>
            <w:tcW w:w="2840" w:type="dxa"/>
            <w:vAlign w:val="bottom"/>
            <w:gridSpan w:val="2"/>
            <w:vMerge w:val="continue"/>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0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76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4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74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0" w:type="dxa"/>
            <w:vAlign w:val="bottom"/>
          </w:tcPr>
          <w:p>
            <w:pPr>
              <w:spacing w:after="0"/>
              <w:rPr>
                <w:sz w:val="1"/>
                <w:szCs w:val="1"/>
                <w:color w:val="auto"/>
              </w:rPr>
            </w:pPr>
          </w:p>
        </w:tc>
      </w:tr>
      <w:tr>
        <w:trPr>
          <w:trHeight w:val="176"/>
        </w:trPr>
        <w:tc>
          <w:tcPr>
            <w:tcW w:w="2840" w:type="dxa"/>
            <w:vAlign w:val="bottom"/>
            <w:gridSpan w:val="2"/>
            <w:vMerge w:val="restart"/>
          </w:tcPr>
          <w:p>
            <w:pPr>
              <w:ind w:left="20"/>
              <w:spacing w:after="0"/>
              <w:rPr>
                <w:sz w:val="20"/>
                <w:szCs w:val="20"/>
                <w:color w:val="auto"/>
              </w:rPr>
            </w:pPr>
            <w:r>
              <w:rPr>
                <w:rFonts w:ascii="Arial" w:cs="Arial" w:eastAsia="Arial" w:hAnsi="Arial"/>
                <w:sz w:val="18"/>
                <w:szCs w:val="18"/>
                <w:color w:val="auto"/>
              </w:rPr>
              <w:t>Commodities</w:t>
            </w:r>
          </w:p>
        </w:tc>
        <w:tc>
          <w:tcPr>
            <w:tcW w:w="14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(14)</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15"/>
                <w:szCs w:val="15"/>
                <w:color w:val="auto"/>
              </w:rPr>
            </w:pPr>
          </w:p>
        </w:tc>
        <w:tc>
          <w:tcPr>
            <w:tcW w:w="3180" w:type="dxa"/>
            <w:vAlign w:val="bottom"/>
          </w:tcPr>
          <w:p>
            <w:pPr>
              <w:spacing w:after="0" w:line="176" w:lineRule="exact"/>
              <w:rPr>
                <w:sz w:val="20"/>
                <w:szCs w:val="20"/>
                <w:color w:val="auto"/>
              </w:rPr>
            </w:pPr>
            <w:r>
              <w:rPr>
                <w:rFonts w:ascii="Arial" w:cs="Arial" w:eastAsia="Arial" w:hAnsi="Arial"/>
                <w:sz w:val="18"/>
                <w:szCs w:val="18"/>
                <w:color w:val="auto"/>
              </w:rPr>
              <w:t>Cost of products sold, excluding</w:t>
            </w:r>
          </w:p>
        </w:tc>
        <w:tc>
          <w:tcPr>
            <w:tcW w:w="0" w:type="dxa"/>
            <w:vAlign w:val="bottom"/>
          </w:tcPr>
          <w:p>
            <w:pPr>
              <w:spacing w:after="0"/>
              <w:rPr>
                <w:sz w:val="1"/>
                <w:szCs w:val="1"/>
                <w:color w:val="auto"/>
              </w:rPr>
            </w:pPr>
          </w:p>
        </w:tc>
      </w:tr>
      <w:tr>
        <w:trPr>
          <w:trHeight w:val="229"/>
        </w:trPr>
        <w:tc>
          <w:tcPr>
            <w:tcW w:w="2840" w:type="dxa"/>
            <w:vAlign w:val="bottom"/>
            <w:tcBorders>
              <w:bottom w:val="single" w:sz="8" w:color="CCEEFF"/>
            </w:tcBorders>
            <w:gridSpan w:val="2"/>
            <w:vMerge w:val="continue"/>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1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depreciation and amortization</w:t>
            </w:r>
          </w:p>
        </w:tc>
        <w:tc>
          <w:tcPr>
            <w:tcW w:w="0" w:type="dxa"/>
            <w:vAlign w:val="bottom"/>
          </w:tcPr>
          <w:p>
            <w:pPr>
              <w:spacing w:after="0"/>
              <w:rPr>
                <w:sz w:val="1"/>
                <w:szCs w:val="1"/>
                <w:color w:val="auto"/>
              </w:rPr>
            </w:pPr>
          </w:p>
        </w:tc>
      </w:tr>
      <w:tr>
        <w:trPr>
          <w:trHeight w:val="168"/>
        </w:trPr>
        <w:tc>
          <w:tcPr>
            <w:tcW w:w="2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20" w:type="dxa"/>
            <w:vAlign w:val="bottom"/>
            <w:shd w:val="clear" w:color="auto" w:fill="CCEEFF"/>
          </w:tcPr>
          <w:p>
            <w:pPr>
              <w:spacing w:after="0"/>
              <w:rPr>
                <w:sz w:val="14"/>
                <w:szCs w:val="14"/>
                <w:color w:val="auto"/>
              </w:rPr>
            </w:pPr>
          </w:p>
        </w:tc>
        <w:tc>
          <w:tcPr>
            <w:tcW w:w="3180" w:type="dxa"/>
            <w:vAlign w:val="bottom"/>
            <w:shd w:val="clear" w:color="auto" w:fill="CCEEFF"/>
          </w:tcPr>
          <w:p>
            <w:pPr>
              <w:spacing w:after="0" w:line="168" w:lineRule="exact"/>
              <w:rPr>
                <w:sz w:val="20"/>
                <w:szCs w:val="20"/>
                <w:color w:val="auto"/>
              </w:rPr>
            </w:pPr>
            <w:r>
              <w:rPr>
                <w:rFonts w:ascii="Arial" w:cs="Arial" w:eastAsia="Arial" w:hAnsi="Arial"/>
                <w:sz w:val="18"/>
                <w:szCs w:val="18"/>
                <w:color w:val="auto"/>
              </w:rPr>
              <w:t>Income before taxes and equity in net</w:t>
            </w:r>
          </w:p>
        </w:tc>
        <w:tc>
          <w:tcPr>
            <w:tcW w:w="0" w:type="dxa"/>
            <w:vAlign w:val="bottom"/>
          </w:tcPr>
          <w:p>
            <w:pPr>
              <w:spacing w:after="0"/>
              <w:rPr>
                <w:sz w:val="1"/>
                <w:szCs w:val="1"/>
                <w:color w:val="auto"/>
              </w:rPr>
            </w:pPr>
          </w:p>
        </w:tc>
      </w:tr>
      <w:tr>
        <w:trPr>
          <w:trHeight w:val="230"/>
        </w:trPr>
        <w:tc>
          <w:tcPr>
            <w:tcW w:w="27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earnings of affiliates</w:t>
            </w:r>
          </w:p>
        </w:tc>
        <w:tc>
          <w:tcPr>
            <w:tcW w:w="0" w:type="dxa"/>
            <w:vAlign w:val="bottom"/>
          </w:tcPr>
          <w:p>
            <w:pPr>
              <w:spacing w:after="0"/>
              <w:rPr>
                <w:sz w:val="1"/>
                <w:szCs w:val="1"/>
                <w:color w:val="auto"/>
              </w:rPr>
            </w:pPr>
          </w:p>
        </w:tc>
      </w:tr>
      <w:tr>
        <w:trPr>
          <w:trHeight w:val="223"/>
        </w:trPr>
        <w:tc>
          <w:tcPr>
            <w:tcW w:w="27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tcPr>
          <w:p>
            <w:pPr>
              <w:spacing w:after="0"/>
              <w:rPr>
                <w:sz w:val="19"/>
                <w:szCs w:val="19"/>
                <w:color w:val="auto"/>
              </w:rPr>
            </w:pPr>
          </w:p>
        </w:tc>
        <w:tc>
          <w:tcPr>
            <w:tcW w:w="31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Provision for income taxes</w:t>
            </w:r>
          </w:p>
        </w:tc>
        <w:tc>
          <w:tcPr>
            <w:tcW w:w="0" w:type="dxa"/>
            <w:vAlign w:val="bottom"/>
          </w:tcPr>
          <w:p>
            <w:pPr>
              <w:spacing w:after="0"/>
              <w:rPr>
                <w:sz w:val="1"/>
                <w:szCs w:val="1"/>
                <w:color w:val="auto"/>
              </w:rPr>
            </w:pPr>
          </w:p>
        </w:tc>
      </w:tr>
      <w:tr>
        <w:trPr>
          <w:trHeight w:val="248"/>
        </w:trPr>
        <w:tc>
          <w:tcPr>
            <w:tcW w:w="2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shd w:val="clear" w:color="auto" w:fill="CCEEFF"/>
          </w:tcPr>
          <w:p>
            <w:pPr>
              <w:spacing w:after="0"/>
              <w:rPr>
                <w:sz w:val="21"/>
                <w:szCs w:val="21"/>
                <w:color w:val="auto"/>
              </w:rPr>
            </w:pPr>
          </w:p>
        </w:tc>
        <w:tc>
          <w:tcPr>
            <w:tcW w:w="3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0" w:type="dxa"/>
            <w:vAlign w:val="bottom"/>
          </w:tcPr>
          <w:p>
            <w:pPr>
              <w:spacing w:after="0"/>
              <w:rPr>
                <w:sz w:val="1"/>
                <w:szCs w:val="1"/>
                <w:color w:val="auto"/>
              </w:rPr>
            </w:pPr>
          </w:p>
        </w:tc>
      </w:tr>
      <w:tr>
        <w:trPr>
          <w:trHeight w:val="20"/>
        </w:trPr>
        <w:tc>
          <w:tcPr>
            <w:tcW w:w="27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jc w:val="both"/>
        <w:ind w:left="480"/>
        <w:spacing w:after="0" w:line="263" w:lineRule="auto"/>
        <w:rPr>
          <w:sz w:val="20"/>
          <w:szCs w:val="20"/>
          <w:color w:val="auto"/>
        </w:rPr>
      </w:pPr>
      <w:r>
        <w:rPr>
          <w:rFonts w:ascii="Arial" w:cs="Arial" w:eastAsia="Arial" w:hAnsi="Arial"/>
          <w:sz w:val="18"/>
          <w:szCs w:val="18"/>
          <w:color w:val="auto"/>
        </w:rPr>
        <w:t>For the twelve-month period ending June 30, 2024, a net loss of $18 ($15, net of tax) is expected to be reclassified to earnings for commodity and foreign exchange contracts. No material amounts were reclassified during the six months ended June 30, 2023 and 2022 in connection with anticipated transactions that were considered probable of not occurring.</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Fair Value Hedges and Contracts Not Designated as Hedges</w:t>
      </w:r>
    </w:p>
    <w:p>
      <w:pPr>
        <w:spacing w:after="0" w:line="252" w:lineRule="exact"/>
        <w:rPr>
          <w:sz w:val="20"/>
          <w:szCs w:val="20"/>
          <w:color w:val="auto"/>
        </w:rPr>
      </w:pPr>
    </w:p>
    <w:p>
      <w:pPr>
        <w:jc w:val="both"/>
        <w:ind w:left="480"/>
        <w:spacing w:after="0" w:line="259" w:lineRule="auto"/>
        <w:rPr>
          <w:sz w:val="20"/>
          <w:szCs w:val="20"/>
          <w:color w:val="auto"/>
        </w:rPr>
      </w:pPr>
      <w:r>
        <w:rPr>
          <w:rFonts w:ascii="Arial" w:cs="Arial" w:eastAsia="Arial" w:hAnsi="Arial"/>
          <w:sz w:val="18"/>
          <w:szCs w:val="18"/>
          <w:color w:val="auto"/>
        </w:rPr>
        <w:t>The Company designates certain derivative financial instruments as fair value hedges of recognized foreign-denominated assets and liabilities, generally trade accounts receivable and payable and unrecognized firm commitments. The notional values and maturity dates of the derivative instruments coincide with those of the hedged items. Changes in fair value of the derivative financial instruments, excluding time value, are offset by changes in fair value of the related hedged items.</w:t>
      </w:r>
    </w:p>
    <w:p>
      <w:pPr>
        <w:spacing w:after="0" w:line="214" w:lineRule="exact"/>
        <w:rPr>
          <w:sz w:val="20"/>
          <w:szCs w:val="20"/>
          <w:color w:val="auto"/>
        </w:rPr>
      </w:pPr>
    </w:p>
    <w:p>
      <w:pPr>
        <w:jc w:val="both"/>
        <w:ind w:left="480"/>
        <w:spacing w:after="0" w:line="311" w:lineRule="auto"/>
        <w:rPr>
          <w:sz w:val="20"/>
          <w:szCs w:val="20"/>
          <w:color w:val="auto"/>
        </w:rPr>
      </w:pPr>
      <w:r>
        <w:rPr>
          <w:rFonts w:ascii="Arial" w:cs="Arial" w:eastAsia="Arial" w:hAnsi="Arial"/>
          <w:sz w:val="16"/>
          <w:szCs w:val="16"/>
          <w:color w:val="auto"/>
        </w:rPr>
        <w:t>For the three and six months ended June 30, 2023, the Company recorded losses of $5 and $10 from foreign exchange contracts designated as fair value hedges. For the three and six months ended June 30, 2022, the Company recorded a gain of $6 and a loss of $15 from foreign exchange contracts designated as fair value hedges. These adjustments were reported within foreign exchange in the Consolidated Statements of Operations.</w:t>
      </w:r>
    </w:p>
    <w:p>
      <w:pPr>
        <w:spacing w:after="0" w:line="176" w:lineRule="exact"/>
        <w:rPr>
          <w:sz w:val="20"/>
          <w:szCs w:val="20"/>
          <w:color w:val="auto"/>
        </w:rPr>
      </w:pPr>
    </w:p>
    <w:p>
      <w:pPr>
        <w:jc w:val="both"/>
        <w:ind w:left="480"/>
        <w:spacing w:after="0" w:line="296" w:lineRule="auto"/>
        <w:rPr>
          <w:sz w:val="20"/>
          <w:szCs w:val="20"/>
          <w:color w:val="auto"/>
        </w:rPr>
      </w:pPr>
      <w:r>
        <w:rPr>
          <w:rFonts w:ascii="Arial" w:cs="Arial" w:eastAsia="Arial" w:hAnsi="Arial"/>
          <w:sz w:val="16"/>
          <w:szCs w:val="16"/>
          <w:color w:val="auto"/>
        </w:rPr>
        <w:t>Certain derivative financial instruments, including foreign exchange contracts related to intercompany debt, were not designated or did not qualify for hedge accounting; however, they are effective economic hedges as the changes in their fair value, except for time value, are offset by changes arising from re-measurement of the related hedged items. The Company’s primary use of these derivative instruments is to offset the earnings impact that fluctuations in foreign exchange rates have on certain monetary assets and liabilities denominated in nonfunctional currencies. Changes in fair value of these derivative instruments are immediately recognized in earnings as foreign exchange adjustments.</w:t>
      </w:r>
    </w:p>
    <w:p>
      <w:pPr>
        <w:spacing w:after="0" w:line="188"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following table sets forth the impact on earnings from derivatives not designated as hedges.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500" w:top="121" w:right="339" w:bottom="1440" w:gutter="0" w:footer="0" w:header="0"/>
        </w:sectPr>
      </w:pPr>
    </w:p>
    <w:bookmarkStart w:id="16" w:name="page17"/>
    <w:bookmarkEnd w:id="16"/>
    <w:p>
      <w:pPr>
        <w:ind w:left="4140"/>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60" w:type="dxa"/>
            <w:vAlign w:val="bottom"/>
            <w:gridSpan w:val="4"/>
          </w:tcPr>
          <w:p>
            <w:pPr>
              <w:jc w:val="center"/>
              <w:ind w:right="70"/>
              <w:spacing w:after="0"/>
              <w:rPr>
                <w:sz w:val="20"/>
                <w:szCs w:val="20"/>
                <w:color w:val="auto"/>
              </w:rPr>
            </w:pPr>
            <w:r>
              <w:rPr>
                <w:rFonts w:ascii="Arial" w:cs="Arial" w:eastAsia="Arial" w:hAnsi="Arial"/>
                <w:sz w:val="18"/>
                <w:szCs w:val="18"/>
                <w:color w:val="auto"/>
                <w:w w:val="90"/>
              </w:rPr>
              <w:t>Pre-tax amounts of</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80" w:type="dxa"/>
            <w:vAlign w:val="bottom"/>
            <w:gridSpan w:val="3"/>
          </w:tcPr>
          <w:p>
            <w:pPr>
              <w:jc w:val="center"/>
              <w:ind w:left="130"/>
              <w:spacing w:after="0"/>
              <w:rPr>
                <w:sz w:val="20"/>
                <w:szCs w:val="20"/>
                <w:color w:val="auto"/>
              </w:rPr>
            </w:pPr>
            <w:r>
              <w:rPr>
                <w:rFonts w:ascii="Arial" w:cs="Arial" w:eastAsia="Arial" w:hAnsi="Arial"/>
                <w:sz w:val="18"/>
                <w:szCs w:val="18"/>
                <w:color w:val="auto"/>
                <w:w w:val="89"/>
              </w:rPr>
              <w:t>Pre-tax amounts of</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3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60" w:type="dxa"/>
            <w:vAlign w:val="bottom"/>
            <w:gridSpan w:val="4"/>
          </w:tcPr>
          <w:p>
            <w:pPr>
              <w:jc w:val="center"/>
              <w:ind w:right="70"/>
              <w:spacing w:after="0" w:line="189" w:lineRule="exact"/>
              <w:rPr>
                <w:sz w:val="20"/>
                <w:szCs w:val="20"/>
                <w:color w:val="auto"/>
              </w:rPr>
            </w:pPr>
            <w:r>
              <w:rPr>
                <w:rFonts w:ascii="Arial" w:cs="Arial" w:eastAsia="Arial" w:hAnsi="Arial"/>
                <w:sz w:val="18"/>
                <w:szCs w:val="18"/>
                <w:color w:val="auto"/>
                <w:w w:val="91"/>
              </w:rPr>
              <w:t>gain/(loss) recognized in</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00" w:type="dxa"/>
            <w:vAlign w:val="bottom"/>
            <w:gridSpan w:val="4"/>
          </w:tcPr>
          <w:p>
            <w:pPr>
              <w:jc w:val="center"/>
              <w:spacing w:after="0" w:line="189" w:lineRule="exact"/>
              <w:rPr>
                <w:sz w:val="20"/>
                <w:szCs w:val="20"/>
                <w:color w:val="auto"/>
              </w:rPr>
            </w:pPr>
            <w:r>
              <w:rPr>
                <w:rFonts w:ascii="Arial" w:cs="Arial" w:eastAsia="Arial" w:hAnsi="Arial"/>
                <w:sz w:val="18"/>
                <w:szCs w:val="18"/>
                <w:color w:val="auto"/>
                <w:w w:val="91"/>
              </w:rPr>
              <w:t>gain/(loss) recognized in</w:t>
            </w:r>
          </w:p>
        </w:tc>
        <w:tc>
          <w:tcPr>
            <w:tcW w:w="12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gridSpan w:val="4"/>
          </w:tcPr>
          <w:p>
            <w:pPr>
              <w:jc w:val="center"/>
              <w:ind w:right="70"/>
              <w:spacing w:after="0"/>
              <w:rPr>
                <w:sz w:val="20"/>
                <w:szCs w:val="20"/>
                <w:color w:val="auto"/>
              </w:rPr>
            </w:pPr>
            <w:r>
              <w:rPr>
                <w:rFonts w:ascii="Arial" w:cs="Arial" w:eastAsia="Arial" w:hAnsi="Arial"/>
                <w:sz w:val="18"/>
                <w:szCs w:val="18"/>
                <w:color w:val="auto"/>
                <w:w w:val="90"/>
              </w:rPr>
              <w:t>income on derivative</w:t>
            </w: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3"/>
          </w:tcPr>
          <w:p>
            <w:pPr>
              <w:jc w:val="center"/>
              <w:ind w:left="130"/>
              <w:spacing w:after="0"/>
              <w:rPr>
                <w:sz w:val="20"/>
                <w:szCs w:val="20"/>
                <w:color w:val="auto"/>
              </w:rPr>
            </w:pPr>
            <w:r>
              <w:rPr>
                <w:rFonts w:ascii="Arial" w:cs="Arial" w:eastAsia="Arial" w:hAnsi="Arial"/>
                <w:sz w:val="18"/>
                <w:szCs w:val="18"/>
                <w:color w:val="auto"/>
                <w:w w:val="92"/>
              </w:rPr>
              <w:t>income on derivative</w:t>
            </w:r>
          </w:p>
        </w:tc>
        <w:tc>
          <w:tcPr>
            <w:tcW w:w="3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20" w:type="dxa"/>
            <w:vAlign w:val="bottom"/>
            <w:tcBorders>
              <w:bottom w:val="single" w:sz="8" w:color="auto"/>
            </w:tcBorders>
            <w:gridSpan w:val="5"/>
          </w:tcPr>
          <w:p>
            <w:pPr>
              <w:jc w:val="center"/>
              <w:spacing w:after="0"/>
              <w:rPr>
                <w:sz w:val="20"/>
                <w:szCs w:val="20"/>
                <w:color w:val="auto"/>
              </w:rPr>
            </w:pPr>
            <w:r>
              <w:rPr>
                <w:rFonts w:ascii="Arial" w:cs="Arial" w:eastAsia="Arial" w:hAnsi="Arial"/>
                <w:sz w:val="18"/>
                <w:szCs w:val="18"/>
                <w:color w:val="auto"/>
                <w:w w:val="90"/>
              </w:rPr>
              <w:t>Three Months Ended June 30,</w:t>
            </w: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100" w:type="dxa"/>
            <w:vAlign w:val="bottom"/>
            <w:tcBorders>
              <w:bottom w:val="single" w:sz="8" w:color="auto"/>
            </w:tcBorders>
            <w:gridSpan w:val="4"/>
          </w:tcPr>
          <w:p>
            <w:pPr>
              <w:jc w:val="center"/>
              <w:ind w:right="10"/>
              <w:spacing w:after="0"/>
              <w:rPr>
                <w:sz w:val="20"/>
                <w:szCs w:val="20"/>
                <w:color w:val="auto"/>
              </w:rPr>
            </w:pPr>
            <w:r>
              <w:rPr>
                <w:rFonts w:ascii="Arial" w:cs="Arial" w:eastAsia="Arial" w:hAnsi="Arial"/>
                <w:sz w:val="18"/>
                <w:szCs w:val="18"/>
                <w:color w:val="auto"/>
                <w:w w:val="90"/>
              </w:rPr>
              <w:t>Six Months Ended June 30,</w:t>
            </w:r>
          </w:p>
        </w:tc>
        <w:tc>
          <w:tcPr>
            <w:tcW w:w="12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3180" w:type="dxa"/>
            <w:vAlign w:val="bottom"/>
            <w:gridSpan w:val="2"/>
            <w:vMerge w:val="restart"/>
          </w:tcPr>
          <w:p>
            <w:pPr>
              <w:ind w:left="20"/>
              <w:spacing w:after="0"/>
              <w:rPr>
                <w:sz w:val="20"/>
                <w:szCs w:val="20"/>
                <w:color w:val="auto"/>
              </w:rPr>
            </w:pPr>
            <w:r>
              <w:rPr>
                <w:rFonts w:ascii="Arial" w:cs="Arial" w:eastAsia="Arial" w:hAnsi="Arial"/>
                <w:sz w:val="18"/>
                <w:szCs w:val="18"/>
                <w:color w:val="auto"/>
              </w:rPr>
              <w:t>Derivatives not designated as hedges</w:t>
            </w:r>
          </w:p>
        </w:tc>
        <w:tc>
          <w:tcPr>
            <w:tcW w:w="160" w:type="dxa"/>
            <w:vAlign w:val="bottom"/>
          </w:tcPr>
          <w:p>
            <w:pPr>
              <w:spacing w:after="0"/>
              <w:rPr>
                <w:sz w:val="14"/>
                <w:szCs w:val="14"/>
                <w:color w:val="auto"/>
              </w:rPr>
            </w:pPr>
          </w:p>
        </w:tc>
        <w:tc>
          <w:tcPr>
            <w:tcW w:w="900" w:type="dxa"/>
            <w:vAlign w:val="bottom"/>
            <w:vMerge w:val="restart"/>
          </w:tcPr>
          <w:p>
            <w:pPr>
              <w:ind w:left="200"/>
              <w:spacing w:after="0"/>
              <w:rPr>
                <w:sz w:val="20"/>
                <w:szCs w:val="20"/>
                <w:color w:val="auto"/>
              </w:rPr>
            </w:pPr>
            <w:r>
              <w:rPr>
                <w:rFonts w:ascii="Arial" w:cs="Arial" w:eastAsia="Arial" w:hAnsi="Arial"/>
                <w:sz w:val="18"/>
                <w:szCs w:val="18"/>
                <w:color w:val="auto"/>
              </w:rPr>
              <w:t>2023</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vMerge w:val="restart"/>
          </w:tcPr>
          <w:p>
            <w:pPr>
              <w:jc w:val="right"/>
              <w:ind w:right="270"/>
              <w:spacing w:after="0"/>
              <w:rPr>
                <w:sz w:val="20"/>
                <w:szCs w:val="20"/>
                <w:color w:val="auto"/>
              </w:rPr>
            </w:pPr>
            <w:r>
              <w:rPr>
                <w:rFonts w:ascii="Arial" w:cs="Arial" w:eastAsia="Arial" w:hAnsi="Arial"/>
                <w:sz w:val="18"/>
                <w:szCs w:val="18"/>
                <w:color w:val="auto"/>
              </w:rPr>
              <w:t>2022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vMerge w:val="restart"/>
          </w:tcPr>
          <w:p>
            <w:pPr>
              <w:jc w:val="right"/>
              <w:ind w:right="230"/>
              <w:spacing w:after="0"/>
              <w:rPr>
                <w:sz w:val="20"/>
                <w:szCs w:val="20"/>
                <w:color w:val="auto"/>
              </w:rPr>
            </w:pPr>
            <w:r>
              <w:rPr>
                <w:rFonts w:ascii="Arial" w:cs="Arial" w:eastAsia="Arial" w:hAnsi="Arial"/>
                <w:sz w:val="18"/>
                <w:szCs w:val="18"/>
                <w:color w:val="auto"/>
              </w:rPr>
              <w:t>2023</w:t>
            </w:r>
          </w:p>
        </w:tc>
        <w:tc>
          <w:tcPr>
            <w:tcW w:w="860" w:type="dxa"/>
            <w:vAlign w:val="bottom"/>
            <w:gridSpan w:val="2"/>
            <w:vMerge w:val="restart"/>
          </w:tcPr>
          <w:p>
            <w:pPr>
              <w:jc w:val="right"/>
              <w:spacing w:after="0"/>
              <w:rPr>
                <w:sz w:val="20"/>
                <w:szCs w:val="20"/>
                <w:color w:val="auto"/>
              </w:rPr>
            </w:pPr>
            <w:r>
              <w:rPr>
                <w:rFonts w:ascii="Arial" w:cs="Arial" w:eastAsia="Arial" w:hAnsi="Arial"/>
                <w:sz w:val="18"/>
                <w:szCs w:val="18"/>
                <w:color w:val="auto"/>
              </w:rPr>
              <w:t>2022</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60" w:type="dxa"/>
            <w:vAlign w:val="bottom"/>
          </w:tcPr>
          <w:p>
            <w:pPr>
              <w:ind w:left="300"/>
              <w:spacing w:after="0" w:line="169" w:lineRule="exact"/>
              <w:rPr>
                <w:sz w:val="20"/>
                <w:szCs w:val="20"/>
                <w:color w:val="auto"/>
              </w:rPr>
            </w:pPr>
            <w:r>
              <w:rPr>
                <w:rFonts w:ascii="Arial" w:cs="Arial" w:eastAsia="Arial" w:hAnsi="Arial"/>
                <w:sz w:val="18"/>
                <w:szCs w:val="18"/>
                <w:color w:val="auto"/>
              </w:rPr>
              <w:t>Affected line item in the</w:t>
            </w:r>
          </w:p>
        </w:tc>
        <w:tc>
          <w:tcPr>
            <w:tcW w:w="0" w:type="dxa"/>
            <w:vAlign w:val="bottom"/>
          </w:tcPr>
          <w:p>
            <w:pPr>
              <w:spacing w:after="0"/>
              <w:rPr>
                <w:sz w:val="1"/>
                <w:szCs w:val="1"/>
                <w:color w:val="auto"/>
              </w:rPr>
            </w:pPr>
          </w:p>
        </w:tc>
      </w:tr>
      <w:tr>
        <w:trPr>
          <w:trHeight w:val="229"/>
        </w:trPr>
        <w:tc>
          <w:tcPr>
            <w:tcW w:w="318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860" w:type="dxa"/>
            <w:vAlign w:val="bottom"/>
            <w:gridSpan w:val="2"/>
            <w:vMerge w:val="continue"/>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360" w:type="dxa"/>
            <w:vAlign w:val="bottom"/>
          </w:tcPr>
          <w:p>
            <w:pPr>
              <w:ind w:left="300"/>
              <w:spacing w:after="0"/>
              <w:rPr>
                <w:sz w:val="20"/>
                <w:szCs w:val="20"/>
                <w:color w:val="auto"/>
              </w:rPr>
            </w:pPr>
            <w:r>
              <w:rPr>
                <w:rFonts w:ascii="Arial" w:cs="Arial" w:eastAsia="Arial" w:hAnsi="Arial"/>
                <w:sz w:val="18"/>
                <w:szCs w:val="18"/>
                <w:color w:val="auto"/>
              </w:rPr>
              <w:t>Statement of Operations</w:t>
            </w:r>
          </w:p>
        </w:tc>
        <w:tc>
          <w:tcPr>
            <w:tcW w:w="0" w:type="dxa"/>
            <w:vAlign w:val="bottom"/>
          </w:tcPr>
          <w:p>
            <w:pPr>
              <w:spacing w:after="0"/>
              <w:rPr>
                <w:sz w:val="1"/>
                <w:szCs w:val="1"/>
                <w:color w:val="auto"/>
              </w:rPr>
            </w:pPr>
          </w:p>
        </w:tc>
      </w:tr>
      <w:tr>
        <w:trPr>
          <w:trHeight w:val="223"/>
        </w:trPr>
        <w:tc>
          <w:tcPr>
            <w:tcW w:w="30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Foreign exchange</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top w:val="single" w:sz="8" w:color="CCEEFF"/>
            </w:tcBorders>
            <w:shd w:val="clear" w:color="auto" w:fill="CCEEFF"/>
          </w:tcPr>
          <w:p>
            <w:pPr>
              <w:spacing w:after="0"/>
              <w:rPr>
                <w:sz w:val="19"/>
                <w:szCs w:val="19"/>
                <w:color w:val="auto"/>
              </w:rPr>
            </w:pPr>
          </w:p>
        </w:tc>
        <w:tc>
          <w:tcPr>
            <w:tcW w:w="2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Net sales</w:t>
            </w:r>
          </w:p>
        </w:tc>
        <w:tc>
          <w:tcPr>
            <w:tcW w:w="0" w:type="dxa"/>
            <w:vAlign w:val="bottom"/>
          </w:tcPr>
          <w:p>
            <w:pPr>
              <w:spacing w:after="0"/>
              <w:rPr>
                <w:sz w:val="1"/>
                <w:szCs w:val="1"/>
                <w:color w:val="auto"/>
              </w:rPr>
            </w:pPr>
          </w:p>
        </w:tc>
      </w:tr>
      <w:tr>
        <w:trPr>
          <w:trHeight w:val="188"/>
        </w:trPr>
        <w:tc>
          <w:tcPr>
            <w:tcW w:w="3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60" w:type="dxa"/>
            <w:vAlign w:val="bottom"/>
          </w:tcPr>
          <w:p>
            <w:pPr>
              <w:spacing w:after="0" w:line="189" w:lineRule="exact"/>
              <w:rPr>
                <w:sz w:val="20"/>
                <w:szCs w:val="20"/>
                <w:color w:val="auto"/>
              </w:rPr>
            </w:pPr>
            <w:r>
              <w:rPr>
                <w:rFonts w:ascii="Arial" w:cs="Arial" w:eastAsia="Arial" w:hAnsi="Arial"/>
                <w:sz w:val="18"/>
                <w:szCs w:val="18"/>
                <w:color w:val="auto"/>
                <w:w w:val="91"/>
              </w:rPr>
              <w:t>Cost of products sold, excluding</w:t>
            </w:r>
          </w:p>
        </w:tc>
        <w:tc>
          <w:tcPr>
            <w:tcW w:w="0" w:type="dxa"/>
            <w:vAlign w:val="bottom"/>
          </w:tcPr>
          <w:p>
            <w:pPr>
              <w:spacing w:after="0"/>
              <w:rPr>
                <w:sz w:val="1"/>
                <w:szCs w:val="1"/>
                <w:color w:val="auto"/>
              </w:rPr>
            </w:pPr>
          </w:p>
        </w:tc>
      </w:tr>
      <w:tr>
        <w:trPr>
          <w:trHeight w:val="230"/>
        </w:trPr>
        <w:tc>
          <w:tcPr>
            <w:tcW w:w="3180" w:type="dxa"/>
            <w:vAlign w:val="bottom"/>
            <w:gridSpan w:val="2"/>
          </w:tcPr>
          <w:p>
            <w:pPr>
              <w:ind w:left="20"/>
              <w:spacing w:after="0"/>
              <w:rPr>
                <w:sz w:val="20"/>
                <w:szCs w:val="20"/>
                <w:color w:val="auto"/>
              </w:rPr>
            </w:pPr>
            <w:r>
              <w:rPr>
                <w:rFonts w:ascii="Arial" w:cs="Arial" w:eastAsia="Arial" w:hAnsi="Arial"/>
                <w:sz w:val="18"/>
                <w:szCs w:val="18"/>
                <w:color w:val="auto"/>
              </w:rPr>
              <w:t>Foreign exchange</w:t>
            </w:r>
          </w:p>
        </w:tc>
        <w:tc>
          <w:tcPr>
            <w:tcW w:w="160" w:type="dxa"/>
            <w:vAlign w:val="bottom"/>
          </w:tcPr>
          <w:p>
            <w:pPr>
              <w:spacing w:after="0"/>
              <w:rPr>
                <w:sz w:val="20"/>
                <w:szCs w:val="20"/>
                <w:color w:val="auto"/>
              </w:rPr>
            </w:pPr>
          </w:p>
        </w:tc>
        <w:tc>
          <w:tcPr>
            <w:tcW w:w="900" w:type="dxa"/>
            <w:vAlign w:val="bottom"/>
          </w:tcPr>
          <w:p>
            <w:pPr>
              <w:ind w:left="660"/>
              <w:spacing w:after="0"/>
              <w:rPr>
                <w:sz w:val="20"/>
                <w:szCs w:val="20"/>
                <w:color w:val="auto"/>
              </w:rPr>
            </w:pPr>
            <w:r>
              <w:rPr>
                <w:rFonts w:ascii="Arial" w:cs="Arial" w:eastAsia="Arial" w:hAnsi="Arial"/>
                <w:sz w:val="18"/>
                <w:szCs w:val="18"/>
                <w:color w:val="auto"/>
                <w:w w:val="99"/>
              </w:rPr>
              <w:t>(2)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0"/>
                <w:szCs w:val="20"/>
                <w:color w:val="auto"/>
              </w:rPr>
            </w:pPr>
          </w:p>
        </w:tc>
        <w:tc>
          <w:tcPr>
            <w:tcW w:w="2360" w:type="dxa"/>
            <w:vAlign w:val="bottom"/>
          </w:tcPr>
          <w:p>
            <w:pPr>
              <w:spacing w:after="0"/>
              <w:rPr>
                <w:sz w:val="20"/>
                <w:szCs w:val="20"/>
                <w:color w:val="auto"/>
              </w:rPr>
            </w:pPr>
            <w:r>
              <w:rPr>
                <w:rFonts w:ascii="Arial" w:cs="Arial" w:eastAsia="Arial" w:hAnsi="Arial"/>
                <w:sz w:val="18"/>
                <w:szCs w:val="18"/>
                <w:color w:val="auto"/>
                <w:w w:val="99"/>
              </w:rPr>
              <w:t>depreciation and amortization</w:t>
            </w:r>
          </w:p>
        </w:tc>
        <w:tc>
          <w:tcPr>
            <w:tcW w:w="0" w:type="dxa"/>
            <w:vAlign w:val="bottom"/>
          </w:tcPr>
          <w:p>
            <w:pPr>
              <w:spacing w:after="0"/>
              <w:rPr>
                <w:sz w:val="1"/>
                <w:szCs w:val="1"/>
                <w:color w:val="auto"/>
              </w:rPr>
            </w:pPr>
          </w:p>
        </w:tc>
      </w:tr>
      <w:tr>
        <w:trPr>
          <w:trHeight w:val="229"/>
        </w:trPr>
        <w:tc>
          <w:tcPr>
            <w:tcW w:w="3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Foreign exchange</w:t>
            </w:r>
          </w:p>
        </w:tc>
        <w:tc>
          <w:tcPr>
            <w:tcW w:w="1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60" w:type="dxa"/>
            <w:vAlign w:val="bottom"/>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(14)</w:t>
            </w:r>
          </w:p>
        </w:tc>
        <w:tc>
          <w:tcPr>
            <w:tcW w:w="120" w:type="dxa"/>
            <w:vAlign w:val="bottom"/>
            <w:shd w:val="clear" w:color="auto" w:fill="CCEEFF"/>
          </w:tcPr>
          <w:p>
            <w:pPr>
              <w:spacing w:after="0"/>
              <w:rPr>
                <w:sz w:val="19"/>
                <w:szCs w:val="19"/>
                <w:color w:val="auto"/>
              </w:rPr>
            </w:pPr>
          </w:p>
        </w:tc>
        <w:tc>
          <w:tcPr>
            <w:tcW w:w="2360" w:type="dxa"/>
            <w:vAlign w:val="bottom"/>
            <w:shd w:val="clear" w:color="auto" w:fill="CCEEFF"/>
          </w:tcPr>
          <w:p>
            <w:pPr>
              <w:spacing w:after="0"/>
              <w:rPr>
                <w:sz w:val="20"/>
                <w:szCs w:val="20"/>
                <w:color w:val="auto"/>
              </w:rPr>
            </w:pPr>
            <w:r>
              <w:rPr>
                <w:rFonts w:ascii="Arial" w:cs="Arial" w:eastAsia="Arial" w:hAnsi="Arial"/>
                <w:sz w:val="18"/>
                <w:szCs w:val="18"/>
                <w:color w:val="auto"/>
              </w:rPr>
              <w:t>Foreign exchange</w:t>
            </w:r>
          </w:p>
        </w:tc>
        <w:tc>
          <w:tcPr>
            <w:tcW w:w="0" w:type="dxa"/>
            <w:vAlign w:val="bottom"/>
          </w:tcPr>
          <w:p>
            <w:pPr>
              <w:spacing w:after="0"/>
              <w:rPr>
                <w:sz w:val="1"/>
                <w:szCs w:val="1"/>
                <w:color w:val="auto"/>
              </w:rPr>
            </w:pPr>
          </w:p>
        </w:tc>
      </w:tr>
      <w:tr>
        <w:trPr>
          <w:trHeight w:val="223"/>
        </w:trPr>
        <w:tc>
          <w:tcPr>
            <w:tcW w:w="3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ind w:left="660"/>
              <w:spacing w:after="0"/>
              <w:rPr>
                <w:sz w:val="20"/>
                <w:szCs w:val="20"/>
                <w:color w:val="auto"/>
              </w:rPr>
            </w:pPr>
            <w:r>
              <w:rPr>
                <w:rFonts w:ascii="Arial" w:cs="Arial" w:eastAsia="Arial" w:hAnsi="Arial"/>
                <w:sz w:val="18"/>
                <w:szCs w:val="18"/>
                <w:color w:val="auto"/>
                <w:w w:val="99"/>
              </w:rPr>
              <w:t>(2)</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9"/>
                <w:szCs w:val="19"/>
                <w:color w:val="auto"/>
              </w:rPr>
            </w:pPr>
          </w:p>
        </w:tc>
        <w:tc>
          <w:tcPr>
            <w:tcW w:w="7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w w:val="79"/>
              </w:rPr>
              <w:t>$</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(13)</w:t>
            </w:r>
          </w:p>
        </w:tc>
        <w:tc>
          <w:tcPr>
            <w:tcW w:w="12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3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Net Investment Hedges</w:t>
      </w:r>
    </w:p>
    <w:p>
      <w:pPr>
        <w:spacing w:after="0" w:line="25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Company designates certain debt and derivative instruments as net investment hedges to manage foreign currency risk relating to net investments in subsidiaries denominated in foreign currencies and reduce the variability in the functional currency equivalent cash flows.</w:t>
      </w:r>
    </w:p>
    <w:p>
      <w:pPr>
        <w:spacing w:after="0" w:line="17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During the three and six months ended June 30, 2023, the Company recorded losses of $6 ($5, net of tax) and $22 ($19, net of tax) in other comprehensive income for certain debt instruments that are designated as hedges of its net investment in a euro-based subsidiary. During the three and six months ended June 30, 2022, the Company recorded gains of $33 ($26, net of tax) and $50 ($36, net of tax) in other comprehensive income for these net investment hedges. As of June 30, 2023 and December 31, 2022, cumulative gains of $79 ($92, net of tax) and gains of $101 ($111, net of tax) were recognized in accumulated other comprehensive income related to these net investment hedges and the carrying amount of the hedging instrument was €1,039 ($1,134) at June 30, 2023.</w:t>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tables set forth the impact on AOCI from changes in the fair value of derivative instruments designated as net investment hedges.</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20" w:type="dxa"/>
            <w:vAlign w:val="bottom"/>
            <w:gridSpan w:val="4"/>
          </w:tcPr>
          <w:p>
            <w:pPr>
              <w:jc w:val="center"/>
              <w:ind w:right="70"/>
              <w:spacing w:after="0"/>
              <w:rPr>
                <w:sz w:val="20"/>
                <w:szCs w:val="20"/>
                <w:color w:val="auto"/>
              </w:rPr>
            </w:pPr>
            <w:r>
              <w:rPr>
                <w:rFonts w:ascii="Arial" w:cs="Arial" w:eastAsia="Arial" w:hAnsi="Arial"/>
                <w:sz w:val="18"/>
                <w:szCs w:val="18"/>
                <w:color w:val="auto"/>
                <w:w w:val="92"/>
              </w:rPr>
              <w:t>Amount of gain / (loss) recognized in</w:t>
            </w:r>
          </w:p>
        </w:tc>
        <w:tc>
          <w:tcPr>
            <w:tcW w:w="100" w:type="dxa"/>
            <w:vAlign w:val="bottom"/>
          </w:tcPr>
          <w:p>
            <w:pPr>
              <w:spacing w:after="0"/>
              <w:rPr>
                <w:sz w:val="18"/>
                <w:szCs w:val="18"/>
                <w:color w:val="auto"/>
              </w:rPr>
            </w:pPr>
          </w:p>
        </w:tc>
        <w:tc>
          <w:tcPr>
            <w:tcW w:w="2720" w:type="dxa"/>
            <w:vAlign w:val="bottom"/>
            <w:gridSpan w:val="6"/>
          </w:tcPr>
          <w:p>
            <w:pPr>
              <w:jc w:val="center"/>
              <w:ind w:right="100"/>
              <w:spacing w:after="0"/>
              <w:rPr>
                <w:sz w:val="20"/>
                <w:szCs w:val="20"/>
                <w:color w:val="auto"/>
              </w:rPr>
            </w:pPr>
            <w:r>
              <w:rPr>
                <w:rFonts w:ascii="Arial" w:cs="Arial" w:eastAsia="Arial" w:hAnsi="Arial"/>
                <w:sz w:val="18"/>
                <w:szCs w:val="18"/>
                <w:color w:val="auto"/>
                <w:w w:val="91"/>
              </w:rPr>
              <w:t>Amount of gain / (loss) recognized</w:t>
            </w:r>
          </w:p>
        </w:tc>
      </w:tr>
      <w:tr>
        <w:trPr>
          <w:trHeight w:val="230"/>
        </w:trPr>
        <w:tc>
          <w:tcPr>
            <w:tcW w:w="4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8"/>
                <w:szCs w:val="18"/>
                <w:color w:val="auto"/>
                <w:w w:val="99"/>
              </w:rPr>
              <w:t>AOCI</w:t>
            </w:r>
          </w:p>
        </w:tc>
        <w:tc>
          <w:tcPr>
            <w:tcW w:w="10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gridSpan w:val="3"/>
          </w:tcPr>
          <w:p>
            <w:pPr>
              <w:jc w:val="center"/>
              <w:ind w:left="590"/>
              <w:spacing w:after="0"/>
              <w:rPr>
                <w:sz w:val="20"/>
                <w:szCs w:val="20"/>
                <w:color w:val="auto"/>
              </w:rPr>
            </w:pPr>
            <w:r>
              <w:rPr>
                <w:rFonts w:ascii="Arial" w:cs="Arial" w:eastAsia="Arial" w:hAnsi="Arial"/>
                <w:sz w:val="18"/>
                <w:szCs w:val="18"/>
                <w:color w:val="auto"/>
                <w:w w:val="98"/>
              </w:rPr>
              <w:t>in AOCI</w:t>
            </w:r>
          </w:p>
        </w:tc>
        <w:tc>
          <w:tcPr>
            <w:tcW w:w="9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4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020" w:type="dxa"/>
            <w:vAlign w:val="bottom"/>
            <w:tcBorders>
              <w:bottom w:val="single" w:sz="8" w:color="auto"/>
            </w:tcBorders>
            <w:gridSpan w:val="4"/>
          </w:tcPr>
          <w:p>
            <w:pPr>
              <w:jc w:val="center"/>
              <w:ind w:right="70"/>
              <w:spacing w:after="0"/>
              <w:rPr>
                <w:sz w:val="20"/>
                <w:szCs w:val="20"/>
                <w:color w:val="auto"/>
              </w:rPr>
            </w:pPr>
            <w:r>
              <w:rPr>
                <w:rFonts w:ascii="Arial" w:cs="Arial" w:eastAsia="Arial" w:hAnsi="Arial"/>
                <w:sz w:val="18"/>
                <w:szCs w:val="18"/>
                <w:color w:val="auto"/>
                <w:w w:val="89"/>
              </w:rPr>
              <w:t>Three Months ended June 30,</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400" w:type="dxa"/>
            <w:vAlign w:val="bottom"/>
            <w:tcBorders>
              <w:bottom w:val="single" w:sz="8" w:color="auto"/>
            </w:tcBorders>
            <w:gridSpan w:val="4"/>
          </w:tcPr>
          <w:p>
            <w:pPr>
              <w:jc w:val="center"/>
              <w:ind w:right="130"/>
              <w:spacing w:after="0"/>
              <w:rPr>
                <w:sz w:val="20"/>
                <w:szCs w:val="20"/>
                <w:color w:val="auto"/>
              </w:rPr>
            </w:pPr>
            <w:r>
              <w:rPr>
                <w:rFonts w:ascii="Arial" w:cs="Arial" w:eastAsia="Arial" w:hAnsi="Arial"/>
                <w:sz w:val="18"/>
                <w:szCs w:val="18"/>
                <w:color w:val="auto"/>
                <w:w w:val="88"/>
              </w:rPr>
              <w:t>Six months ended June 30,</w:t>
            </w:r>
          </w:p>
        </w:tc>
        <w:tc>
          <w:tcPr>
            <w:tcW w:w="100" w:type="dxa"/>
            <w:vAlign w:val="bottom"/>
          </w:tcPr>
          <w:p>
            <w:pPr>
              <w:spacing w:after="0"/>
              <w:rPr>
                <w:sz w:val="20"/>
                <w:szCs w:val="20"/>
                <w:color w:val="auto"/>
              </w:rPr>
            </w:pPr>
          </w:p>
        </w:tc>
      </w:tr>
      <w:tr>
        <w:trPr>
          <w:trHeight w:val="229"/>
        </w:trPr>
        <w:tc>
          <w:tcPr>
            <w:tcW w:w="44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Derivatives designated as net investment hedges</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2023</w:t>
            </w:r>
          </w:p>
        </w:tc>
        <w:tc>
          <w:tcPr>
            <w:tcW w:w="5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2022</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2023</w:t>
            </w:r>
          </w:p>
        </w:tc>
        <w:tc>
          <w:tcPr>
            <w:tcW w:w="1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2022</w:t>
            </w:r>
          </w:p>
        </w:tc>
        <w:tc>
          <w:tcPr>
            <w:tcW w:w="100" w:type="dxa"/>
            <w:vAlign w:val="bottom"/>
          </w:tcPr>
          <w:p>
            <w:pPr>
              <w:spacing w:after="0"/>
              <w:rPr>
                <w:sz w:val="19"/>
                <w:szCs w:val="19"/>
                <w:color w:val="auto"/>
              </w:rPr>
            </w:pPr>
          </w:p>
        </w:tc>
      </w:tr>
      <w:tr>
        <w:trPr>
          <w:trHeight w:val="223"/>
        </w:trPr>
        <w:tc>
          <w:tcPr>
            <w:tcW w:w="45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Foreign exchange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3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4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0" w:type="dxa"/>
            <w:vAlign w:val="bottom"/>
            <w:shd w:val="clear" w:color="auto" w:fill="CCEEFF"/>
          </w:tcPr>
          <w:p>
            <w:pPr>
              <w:spacing w:after="0"/>
              <w:rPr>
                <w:sz w:val="19"/>
                <w:szCs w:val="19"/>
                <w:color w:val="auto"/>
              </w:rPr>
            </w:pPr>
          </w:p>
        </w:tc>
      </w:tr>
    </w:tbl>
    <w:p>
      <w:pPr>
        <w:spacing w:after="0" w:line="32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Gains and losses representing components excluded from the assessment of effectiveness on derivatives designated as net investment hedges are recognized in accumulated other comprehensive income.</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color w:val="auto"/>
        </w:rPr>
        <w:t>Gains or losses on net investment hedges remain in accumulated other comprehensive income until disposal of the underlying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0"/>
          </w:cols>
          <w:pgMar w:left="980" w:top="121" w:right="339" w:bottom="1440" w:gutter="0" w:footer="0" w:header="0"/>
        </w:sectPr>
      </w:pPr>
    </w:p>
    <w:bookmarkStart w:id="17" w:name="page18"/>
    <w:bookmarkEnd w:id="17"/>
    <w:p>
      <w:pPr>
        <w:ind w:left="4140"/>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Fair Values of Derivative Financial Instruments and Valuation Hierarchy</w:t>
      </w:r>
    </w:p>
    <w:p>
      <w:pPr>
        <w:spacing w:after="0" w:line="252"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following table sets forth the Company's financial assets and liabilities that were accounted for at fair value on a recurring basis as of June 30, 2023 and December 31, 2022, respectively. The fair values of these financial instruments were reported under Level 2 of the fair value hierarchy.</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860" w:type="dxa"/>
            <w:vAlign w:val="bottom"/>
          </w:tcPr>
          <w:p>
            <w:pPr>
              <w:spacing w:after="0"/>
              <w:rPr>
                <w:sz w:val="17"/>
                <w:szCs w:val="17"/>
                <w:color w:val="auto"/>
              </w:rPr>
            </w:pPr>
          </w:p>
        </w:tc>
        <w:tc>
          <w:tcPr>
            <w:tcW w:w="1840" w:type="dxa"/>
            <w:vAlign w:val="bottom"/>
          </w:tcPr>
          <w:p>
            <w:pPr>
              <w:ind w:left="400"/>
              <w:spacing w:after="0"/>
              <w:rPr>
                <w:sz w:val="20"/>
                <w:szCs w:val="20"/>
                <w:color w:val="auto"/>
              </w:rPr>
            </w:pPr>
            <w:r>
              <w:rPr>
                <w:rFonts w:ascii="Arial" w:cs="Arial" w:eastAsia="Arial" w:hAnsi="Arial"/>
                <w:sz w:val="18"/>
                <w:szCs w:val="18"/>
                <w:color w:val="auto"/>
              </w:rPr>
              <w:t>Balance Sheet</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jc w:val="right"/>
              <w:ind w:right="170"/>
              <w:spacing w:after="0"/>
              <w:rPr>
                <w:sz w:val="20"/>
                <w:szCs w:val="20"/>
                <w:color w:val="auto"/>
              </w:rPr>
            </w:pPr>
            <w:r>
              <w:rPr>
                <w:rFonts w:ascii="Arial" w:cs="Arial" w:eastAsia="Arial" w:hAnsi="Arial"/>
                <w:sz w:val="18"/>
                <w:szCs w:val="18"/>
                <w:color w:val="auto"/>
                <w:w w:val="92"/>
              </w:rPr>
              <w:t>June 30,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jc w:val="right"/>
              <w:ind w:right="50"/>
              <w:spacing w:after="0"/>
              <w:rPr>
                <w:sz w:val="20"/>
                <w:szCs w:val="20"/>
                <w:color w:val="auto"/>
              </w:rPr>
            </w:pPr>
            <w:r>
              <w:rPr>
                <w:rFonts w:ascii="Arial" w:cs="Arial" w:eastAsia="Arial" w:hAnsi="Arial"/>
                <w:sz w:val="18"/>
                <w:szCs w:val="18"/>
                <w:color w:val="auto"/>
                <w:w w:val="88"/>
              </w:rPr>
              <w:t>December 31,</w:t>
            </w:r>
          </w:p>
        </w:tc>
        <w:tc>
          <w:tcPr>
            <w:tcW w:w="100" w:type="dxa"/>
            <w:vAlign w:val="bottom"/>
          </w:tcPr>
          <w:p>
            <w:pPr>
              <w:spacing w:after="0"/>
              <w:rPr>
                <w:sz w:val="17"/>
                <w:szCs w:val="17"/>
                <w:color w:val="auto"/>
              </w:rPr>
            </w:pPr>
          </w:p>
        </w:tc>
        <w:tc>
          <w:tcPr>
            <w:tcW w:w="1620" w:type="dxa"/>
            <w:vAlign w:val="bottom"/>
          </w:tcPr>
          <w:p>
            <w:pPr>
              <w:ind w:left="300"/>
              <w:spacing w:after="0"/>
              <w:rPr>
                <w:sz w:val="20"/>
                <w:szCs w:val="20"/>
                <w:color w:val="auto"/>
              </w:rPr>
            </w:pPr>
            <w:r>
              <w:rPr>
                <w:rFonts w:ascii="Arial" w:cs="Arial" w:eastAsia="Arial" w:hAnsi="Arial"/>
                <w:sz w:val="18"/>
                <w:szCs w:val="18"/>
                <w:color w:val="auto"/>
              </w:rPr>
              <w:t>Balance Sheet</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jc w:val="right"/>
              <w:ind w:right="150"/>
              <w:spacing w:after="0"/>
              <w:rPr>
                <w:sz w:val="20"/>
                <w:szCs w:val="20"/>
                <w:color w:val="auto"/>
              </w:rPr>
            </w:pPr>
            <w:r>
              <w:rPr>
                <w:rFonts w:ascii="Arial" w:cs="Arial" w:eastAsia="Arial" w:hAnsi="Arial"/>
                <w:sz w:val="18"/>
                <w:szCs w:val="18"/>
                <w:color w:val="auto"/>
                <w:w w:val="92"/>
              </w:rPr>
              <w:t>June 30,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jc w:val="right"/>
              <w:ind w:right="50"/>
              <w:spacing w:after="0"/>
              <w:rPr>
                <w:sz w:val="20"/>
                <w:szCs w:val="20"/>
                <w:color w:val="auto"/>
              </w:rPr>
            </w:pPr>
            <w:r>
              <w:rPr>
                <w:rFonts w:ascii="Arial" w:cs="Arial" w:eastAsia="Arial" w:hAnsi="Arial"/>
                <w:sz w:val="18"/>
                <w:szCs w:val="18"/>
                <w:color w:val="auto"/>
                <w:w w:val="90"/>
              </w:rPr>
              <w:t>December 31,</w:t>
            </w:r>
          </w:p>
        </w:tc>
        <w:tc>
          <w:tcPr>
            <w:tcW w:w="0" w:type="dxa"/>
            <w:vAlign w:val="bottom"/>
          </w:tcPr>
          <w:p>
            <w:pPr>
              <w:spacing w:after="0"/>
              <w:rPr>
                <w:sz w:val="1"/>
                <w:szCs w:val="1"/>
                <w:color w:val="auto"/>
              </w:rPr>
            </w:pPr>
          </w:p>
        </w:tc>
      </w:tr>
      <w:tr>
        <w:trPr>
          <w:trHeight w:val="237"/>
        </w:trPr>
        <w:tc>
          <w:tcPr>
            <w:tcW w:w="1860" w:type="dxa"/>
            <w:vAlign w:val="bottom"/>
            <w:tcBorders>
              <w:bottom w:val="single" w:sz="8" w:color="CCEEFF"/>
            </w:tcBorders>
          </w:tcPr>
          <w:p>
            <w:pPr>
              <w:spacing w:after="0"/>
              <w:rPr>
                <w:sz w:val="20"/>
                <w:szCs w:val="20"/>
                <w:color w:val="auto"/>
              </w:rPr>
            </w:pPr>
          </w:p>
        </w:tc>
        <w:tc>
          <w:tcPr>
            <w:tcW w:w="184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classification</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2023</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2022</w:t>
            </w:r>
          </w:p>
        </w:tc>
        <w:tc>
          <w:tcPr>
            <w:tcW w:w="100" w:type="dxa"/>
            <w:vAlign w:val="bottom"/>
            <w:tcBorders>
              <w:bottom w:val="single" w:sz="8" w:color="CCEEFF"/>
            </w:tcBorders>
          </w:tcPr>
          <w:p>
            <w:pPr>
              <w:spacing w:after="0"/>
              <w:rPr>
                <w:sz w:val="20"/>
                <w:szCs w:val="20"/>
                <w:color w:val="auto"/>
              </w:rPr>
            </w:pPr>
          </w:p>
        </w:tc>
        <w:tc>
          <w:tcPr>
            <w:tcW w:w="162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classification</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2023</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2022</w:t>
            </w:r>
          </w:p>
        </w:tc>
        <w:tc>
          <w:tcPr>
            <w:tcW w:w="0" w:type="dxa"/>
            <w:vAlign w:val="bottom"/>
          </w:tcPr>
          <w:p>
            <w:pPr>
              <w:spacing w:after="0"/>
              <w:rPr>
                <w:sz w:val="1"/>
                <w:szCs w:val="1"/>
                <w:color w:val="auto"/>
              </w:rPr>
            </w:pPr>
          </w:p>
        </w:tc>
      </w:tr>
      <w:tr>
        <w:trPr>
          <w:trHeight w:val="229"/>
        </w:trPr>
        <w:tc>
          <w:tcPr>
            <w:tcW w:w="18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88"/>
              </w:rPr>
              <w:t>Derivatives designated as</w:t>
            </w:r>
          </w:p>
        </w:tc>
        <w:tc>
          <w:tcPr>
            <w:tcW w:w="18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hedging instruments</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1860" w:type="dxa"/>
            <w:vAlign w:val="bottom"/>
          </w:tcPr>
          <w:p>
            <w:pPr>
              <w:ind w:left="20"/>
              <w:spacing w:after="0" w:line="169" w:lineRule="exact"/>
              <w:rPr>
                <w:sz w:val="20"/>
                <w:szCs w:val="20"/>
                <w:color w:val="auto"/>
              </w:rPr>
            </w:pPr>
            <w:r>
              <w:rPr>
                <w:rFonts w:ascii="Arial" w:cs="Arial" w:eastAsia="Arial" w:hAnsi="Arial"/>
                <w:sz w:val="18"/>
                <w:szCs w:val="18"/>
                <w:color w:val="auto"/>
              </w:rPr>
              <w:t>Foreign exchange</w:t>
            </w:r>
          </w:p>
        </w:tc>
        <w:tc>
          <w:tcPr>
            <w:tcW w:w="1840" w:type="dxa"/>
            <w:vAlign w:val="bottom"/>
          </w:tcPr>
          <w:p>
            <w:pPr>
              <w:ind w:left="20"/>
              <w:spacing w:after="0" w:line="169" w:lineRule="exact"/>
              <w:rPr>
                <w:sz w:val="20"/>
                <w:szCs w:val="20"/>
                <w:color w:val="auto"/>
              </w:rPr>
            </w:pPr>
            <w:r>
              <w:rPr>
                <w:rFonts w:ascii="Arial" w:cs="Arial" w:eastAsia="Arial" w:hAnsi="Arial"/>
                <w:sz w:val="18"/>
                <w:szCs w:val="18"/>
                <w:color w:val="auto"/>
              </w:rPr>
              <w:t>Prepaid expenses and</w:t>
            </w:r>
          </w:p>
        </w:tc>
        <w:tc>
          <w:tcPr>
            <w:tcW w:w="28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2</w:t>
            </w:r>
          </w:p>
        </w:tc>
        <w:tc>
          <w:tcPr>
            <w:tcW w:w="22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4"/>
                <w:szCs w:val="14"/>
                <w:color w:val="auto"/>
              </w:rPr>
            </w:pPr>
          </w:p>
        </w:tc>
        <w:tc>
          <w:tcPr>
            <w:tcW w:w="1620" w:type="dxa"/>
            <w:vAlign w:val="bottom"/>
            <w:vMerge w:val="restart"/>
          </w:tcPr>
          <w:p>
            <w:pPr>
              <w:ind w:left="20"/>
              <w:spacing w:after="0"/>
              <w:rPr>
                <w:sz w:val="20"/>
                <w:szCs w:val="20"/>
                <w:color w:val="auto"/>
              </w:rPr>
            </w:pPr>
            <w:r>
              <w:rPr>
                <w:rFonts w:ascii="Arial" w:cs="Arial" w:eastAsia="Arial" w:hAnsi="Arial"/>
                <w:sz w:val="18"/>
                <w:szCs w:val="18"/>
                <w:color w:val="auto"/>
              </w:rPr>
              <w:t>Accrued liabilities</w:t>
            </w:r>
          </w:p>
        </w:tc>
        <w:tc>
          <w:tcPr>
            <w:tcW w:w="28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22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7"/>
        </w:trPr>
        <w:tc>
          <w:tcPr>
            <w:tcW w:w="1860" w:type="dxa"/>
            <w:vAlign w:val="bottom"/>
          </w:tcPr>
          <w:p>
            <w:pPr>
              <w:ind w:left="20"/>
              <w:spacing w:after="0"/>
              <w:rPr>
                <w:sz w:val="20"/>
                <w:szCs w:val="20"/>
                <w:color w:val="auto"/>
              </w:rPr>
            </w:pPr>
            <w:r>
              <w:rPr>
                <w:rFonts w:ascii="Arial" w:cs="Arial" w:eastAsia="Arial" w:hAnsi="Arial"/>
                <w:sz w:val="18"/>
                <w:szCs w:val="18"/>
                <w:color w:val="auto"/>
              </w:rPr>
              <w:t>contracts cash flow</w:t>
            </w:r>
          </w:p>
        </w:tc>
        <w:tc>
          <w:tcPr>
            <w:tcW w:w="1840" w:type="dxa"/>
            <w:vAlign w:val="bottom"/>
          </w:tcPr>
          <w:p>
            <w:pPr>
              <w:ind w:left="20"/>
              <w:spacing w:after="0"/>
              <w:rPr>
                <w:sz w:val="20"/>
                <w:szCs w:val="20"/>
                <w:color w:val="auto"/>
              </w:rPr>
            </w:pPr>
            <w:r>
              <w:rPr>
                <w:rFonts w:ascii="Arial" w:cs="Arial" w:eastAsia="Arial" w:hAnsi="Arial"/>
                <w:sz w:val="18"/>
                <w:szCs w:val="18"/>
                <w:color w:val="auto"/>
              </w:rPr>
              <w:t>other current assets</w:t>
            </w:r>
          </w:p>
        </w:tc>
        <w:tc>
          <w:tcPr>
            <w:tcW w:w="280" w:type="dxa"/>
            <w:vAlign w:val="bottom"/>
            <w:gridSpan w:val="2"/>
            <w:vMerge w:val="continue"/>
          </w:tcPr>
          <w:p>
            <w:pPr>
              <w:spacing w:after="0"/>
              <w:rPr>
                <w:sz w:val="20"/>
                <w:szCs w:val="20"/>
                <w:color w:val="auto"/>
              </w:rPr>
            </w:pPr>
          </w:p>
        </w:tc>
        <w:tc>
          <w:tcPr>
            <w:tcW w:w="920" w:type="dxa"/>
            <w:vAlign w:val="bottom"/>
            <w:vMerge w:val="continue"/>
          </w:tcPr>
          <w:p>
            <w:pPr>
              <w:spacing w:after="0"/>
              <w:rPr>
                <w:sz w:val="20"/>
                <w:szCs w:val="20"/>
                <w:color w:val="auto"/>
              </w:rPr>
            </w:pPr>
          </w:p>
        </w:tc>
        <w:tc>
          <w:tcPr>
            <w:tcW w:w="220" w:type="dxa"/>
            <w:vAlign w:val="bottom"/>
            <w:gridSpan w:val="2"/>
            <w:vMerge w:val="continue"/>
          </w:tcPr>
          <w:p>
            <w:pPr>
              <w:spacing w:after="0"/>
              <w:rPr>
                <w:sz w:val="20"/>
                <w:szCs w:val="20"/>
                <w:color w:val="auto"/>
              </w:rPr>
            </w:pPr>
          </w:p>
        </w:tc>
        <w:tc>
          <w:tcPr>
            <w:tcW w:w="116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620" w:type="dxa"/>
            <w:vAlign w:val="bottom"/>
            <w:vMerge w:val="continue"/>
          </w:tcPr>
          <w:p>
            <w:pPr>
              <w:spacing w:after="0"/>
              <w:rPr>
                <w:sz w:val="20"/>
                <w:szCs w:val="20"/>
                <w:color w:val="auto"/>
              </w:rPr>
            </w:pPr>
          </w:p>
        </w:tc>
        <w:tc>
          <w:tcPr>
            <w:tcW w:w="280" w:type="dxa"/>
            <w:vAlign w:val="bottom"/>
            <w:gridSpan w:val="2"/>
            <w:vMerge w:val="continue"/>
          </w:tcPr>
          <w:p>
            <w:pPr>
              <w:spacing w:after="0"/>
              <w:rPr>
                <w:sz w:val="20"/>
                <w:szCs w:val="20"/>
                <w:color w:val="auto"/>
              </w:rPr>
            </w:pPr>
          </w:p>
        </w:tc>
        <w:tc>
          <w:tcPr>
            <w:tcW w:w="900" w:type="dxa"/>
            <w:vAlign w:val="bottom"/>
            <w:vMerge w:val="continue"/>
          </w:tcPr>
          <w:p>
            <w:pPr>
              <w:spacing w:after="0"/>
              <w:rPr>
                <w:sz w:val="20"/>
                <w:szCs w:val="20"/>
                <w:color w:val="auto"/>
              </w:rPr>
            </w:pPr>
          </w:p>
        </w:tc>
        <w:tc>
          <w:tcPr>
            <w:tcW w:w="220" w:type="dxa"/>
            <w:vAlign w:val="bottom"/>
            <w:gridSpan w:val="2"/>
            <w:vMerge w:val="continue"/>
          </w:tcPr>
          <w:p>
            <w:pPr>
              <w:spacing w:after="0"/>
              <w:rPr>
                <w:sz w:val="20"/>
                <w:szCs w:val="20"/>
                <w:color w:val="auto"/>
              </w:rPr>
            </w:pPr>
          </w:p>
        </w:tc>
        <w:tc>
          <w:tcPr>
            <w:tcW w:w="11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1860" w:type="dxa"/>
            <w:vAlign w:val="bottom"/>
            <w:shd w:val="clear" w:color="auto" w:fill="CCEEFF"/>
          </w:tcPr>
          <w:p>
            <w:pPr>
              <w:spacing w:after="0"/>
              <w:rPr>
                <w:sz w:val="15"/>
                <w:szCs w:val="15"/>
                <w:color w:val="auto"/>
              </w:rPr>
            </w:pPr>
          </w:p>
        </w:tc>
        <w:tc>
          <w:tcPr>
            <w:tcW w:w="184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w w:val="90"/>
              </w:rPr>
              <w:t>Other non-current assets</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5"/>
                <w:szCs w:val="15"/>
                <w:color w:val="auto"/>
              </w:rPr>
            </w:pPr>
          </w:p>
        </w:tc>
        <w:tc>
          <w:tcPr>
            <w:tcW w:w="1620" w:type="dxa"/>
            <w:vAlign w:val="bottom"/>
            <w:shd w:val="clear" w:color="auto" w:fill="CCEEFF"/>
          </w:tcPr>
          <w:p>
            <w:pPr>
              <w:ind w:left="20"/>
              <w:spacing w:after="0" w:line="182" w:lineRule="exact"/>
              <w:rPr>
                <w:sz w:val="20"/>
                <w:szCs w:val="20"/>
                <w:color w:val="auto"/>
              </w:rPr>
            </w:pPr>
            <w:r>
              <w:rPr>
                <w:rFonts w:ascii="Arial" w:cs="Arial" w:eastAsia="Arial" w:hAnsi="Arial"/>
                <w:sz w:val="18"/>
                <w:szCs w:val="18"/>
                <w:color w:val="auto"/>
              </w:rPr>
              <w:t>Other non-current</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1860" w:type="dxa"/>
            <w:vAlign w:val="bottom"/>
            <w:shd w:val="clear" w:color="auto" w:fill="CCEEFF"/>
          </w:tcPr>
          <w:p>
            <w:pPr>
              <w:spacing w:after="0"/>
              <w:rPr>
                <w:sz w:val="19"/>
                <w:szCs w:val="19"/>
                <w:color w:val="auto"/>
              </w:rPr>
            </w:pPr>
          </w:p>
        </w:tc>
        <w:tc>
          <w:tcPr>
            <w:tcW w:w="18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liabilities</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1860" w:type="dxa"/>
            <w:vAlign w:val="bottom"/>
          </w:tcPr>
          <w:p>
            <w:pPr>
              <w:ind w:left="20"/>
              <w:spacing w:after="0" w:line="189" w:lineRule="exact"/>
              <w:rPr>
                <w:sz w:val="20"/>
                <w:szCs w:val="20"/>
                <w:color w:val="auto"/>
              </w:rPr>
            </w:pPr>
            <w:r>
              <w:rPr>
                <w:rFonts w:ascii="Arial" w:cs="Arial" w:eastAsia="Arial" w:hAnsi="Arial"/>
                <w:sz w:val="18"/>
                <w:szCs w:val="18"/>
                <w:color w:val="auto"/>
              </w:rPr>
              <w:t>Foreign exchange</w:t>
            </w:r>
          </w:p>
        </w:tc>
        <w:tc>
          <w:tcPr>
            <w:tcW w:w="1840" w:type="dxa"/>
            <w:vAlign w:val="bottom"/>
          </w:tcPr>
          <w:p>
            <w:pPr>
              <w:ind w:left="20"/>
              <w:spacing w:after="0" w:line="189" w:lineRule="exact"/>
              <w:rPr>
                <w:sz w:val="20"/>
                <w:szCs w:val="20"/>
                <w:color w:val="auto"/>
              </w:rPr>
            </w:pPr>
            <w:r>
              <w:rPr>
                <w:rFonts w:ascii="Arial" w:cs="Arial" w:eastAsia="Arial" w:hAnsi="Arial"/>
                <w:sz w:val="18"/>
                <w:szCs w:val="18"/>
                <w:color w:val="auto"/>
              </w:rPr>
              <w:t>Prepaid expenses and</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860" w:type="dxa"/>
            <w:vAlign w:val="bottom"/>
          </w:tcPr>
          <w:p>
            <w:pPr>
              <w:ind w:left="20"/>
              <w:spacing w:after="0"/>
              <w:rPr>
                <w:sz w:val="20"/>
                <w:szCs w:val="20"/>
                <w:color w:val="auto"/>
              </w:rPr>
            </w:pPr>
            <w:r>
              <w:rPr>
                <w:rFonts w:ascii="Arial" w:cs="Arial" w:eastAsia="Arial" w:hAnsi="Arial"/>
                <w:sz w:val="18"/>
                <w:szCs w:val="18"/>
                <w:color w:val="auto"/>
              </w:rPr>
              <w:t>contracts fair value</w:t>
            </w:r>
          </w:p>
        </w:tc>
        <w:tc>
          <w:tcPr>
            <w:tcW w:w="1840" w:type="dxa"/>
            <w:vAlign w:val="bottom"/>
          </w:tcPr>
          <w:p>
            <w:pPr>
              <w:ind w:left="20"/>
              <w:spacing w:after="0"/>
              <w:rPr>
                <w:sz w:val="20"/>
                <w:szCs w:val="20"/>
                <w:color w:val="auto"/>
              </w:rPr>
            </w:pPr>
            <w:r>
              <w:rPr>
                <w:rFonts w:ascii="Arial" w:cs="Arial" w:eastAsia="Arial" w:hAnsi="Arial"/>
                <w:sz w:val="18"/>
                <w:szCs w:val="18"/>
                <w:color w:val="auto"/>
              </w:rPr>
              <w:t>other current assets</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0"/>
                <w:szCs w:val="20"/>
                <w:color w:val="auto"/>
              </w:rPr>
            </w:pPr>
          </w:p>
        </w:tc>
        <w:tc>
          <w:tcPr>
            <w:tcW w:w="1620" w:type="dxa"/>
            <w:vAlign w:val="bottom"/>
          </w:tcPr>
          <w:p>
            <w:pPr>
              <w:ind w:left="20"/>
              <w:spacing w:after="0"/>
              <w:rPr>
                <w:sz w:val="20"/>
                <w:szCs w:val="20"/>
                <w:color w:val="auto"/>
              </w:rPr>
            </w:pPr>
            <w:r>
              <w:rPr>
                <w:rFonts w:ascii="Arial" w:cs="Arial" w:eastAsia="Arial" w:hAnsi="Arial"/>
                <w:sz w:val="18"/>
                <w:szCs w:val="18"/>
                <w:color w:val="auto"/>
              </w:rPr>
              <w:t>Accrued liabilities</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75"/>
        </w:trPr>
        <w:tc>
          <w:tcPr>
            <w:tcW w:w="18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9"/>
              </w:rPr>
              <w:t>Commodities contracts</w:t>
            </w:r>
          </w:p>
        </w:tc>
        <w:tc>
          <w:tcPr>
            <w:tcW w:w="18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Prepaid expenses and</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5"/>
                <w:szCs w:val="15"/>
                <w:color w:val="auto"/>
              </w:rPr>
            </w:pPr>
          </w:p>
        </w:tc>
        <w:tc>
          <w:tcPr>
            <w:tcW w:w="162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Accrued liabilities</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43"/>
        </w:trPr>
        <w:tc>
          <w:tcPr>
            <w:tcW w:w="1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w:t>
            </w:r>
          </w:p>
        </w:tc>
        <w:tc>
          <w:tcPr>
            <w:tcW w:w="1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current assets</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2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6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2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0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8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1860" w:type="dxa"/>
            <w:vAlign w:val="bottom"/>
          </w:tcPr>
          <w:p>
            <w:pPr>
              <w:spacing w:after="0"/>
              <w:rPr>
                <w:sz w:val="15"/>
                <w:szCs w:val="15"/>
                <w:color w:val="auto"/>
              </w:rPr>
            </w:pPr>
          </w:p>
        </w:tc>
        <w:tc>
          <w:tcPr>
            <w:tcW w:w="1840" w:type="dxa"/>
            <w:vAlign w:val="bottom"/>
            <w:vMerge w:val="restart"/>
          </w:tcPr>
          <w:p>
            <w:pPr>
              <w:ind w:left="20"/>
              <w:spacing w:after="0"/>
              <w:rPr>
                <w:sz w:val="20"/>
                <w:szCs w:val="20"/>
                <w:color w:val="auto"/>
              </w:rPr>
            </w:pPr>
            <w:r>
              <w:rPr>
                <w:rFonts w:ascii="Arial" w:cs="Arial" w:eastAsia="Arial" w:hAnsi="Arial"/>
                <w:sz w:val="18"/>
                <w:szCs w:val="18"/>
                <w:color w:val="auto"/>
                <w:w w:val="90"/>
              </w:rPr>
              <w:t>Other non-current assets</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5"/>
                <w:szCs w:val="15"/>
                <w:color w:val="auto"/>
              </w:rPr>
            </w:pPr>
          </w:p>
        </w:tc>
        <w:tc>
          <w:tcPr>
            <w:tcW w:w="1620" w:type="dxa"/>
            <w:vAlign w:val="bottom"/>
          </w:tcPr>
          <w:p>
            <w:pPr>
              <w:ind w:left="20"/>
              <w:spacing w:after="0" w:line="176" w:lineRule="exact"/>
              <w:rPr>
                <w:sz w:val="20"/>
                <w:szCs w:val="20"/>
                <w:color w:val="auto"/>
              </w:rPr>
            </w:pPr>
            <w:r>
              <w:rPr>
                <w:rFonts w:ascii="Arial" w:cs="Arial" w:eastAsia="Arial" w:hAnsi="Arial"/>
                <w:sz w:val="18"/>
                <w:szCs w:val="18"/>
                <w:color w:val="auto"/>
              </w:rPr>
              <w:t>Other non-current</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1860" w:type="dxa"/>
            <w:vAlign w:val="bottom"/>
          </w:tcPr>
          <w:p>
            <w:pPr>
              <w:spacing w:after="0"/>
              <w:rPr>
                <w:sz w:val="19"/>
                <w:szCs w:val="19"/>
                <w:color w:val="auto"/>
              </w:rPr>
            </w:pPr>
          </w:p>
        </w:tc>
        <w:tc>
          <w:tcPr>
            <w:tcW w:w="18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620" w:type="dxa"/>
            <w:vAlign w:val="bottom"/>
          </w:tcPr>
          <w:p>
            <w:pPr>
              <w:ind w:left="20"/>
              <w:spacing w:after="0"/>
              <w:rPr>
                <w:sz w:val="20"/>
                <w:szCs w:val="20"/>
                <w:color w:val="auto"/>
              </w:rPr>
            </w:pPr>
            <w:r>
              <w:rPr>
                <w:rFonts w:ascii="Arial" w:cs="Arial" w:eastAsia="Arial" w:hAnsi="Arial"/>
                <w:sz w:val="18"/>
                <w:szCs w:val="18"/>
                <w:color w:val="auto"/>
              </w:rPr>
              <w:t>liabilities</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186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Net investment hedge</w:t>
            </w:r>
          </w:p>
        </w:tc>
        <w:tc>
          <w:tcPr>
            <w:tcW w:w="1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00" w:type="dxa"/>
            <w:vAlign w:val="bottom"/>
            <w:shd w:val="clear" w:color="auto" w:fill="CCEEFF"/>
          </w:tcPr>
          <w:p>
            <w:pPr>
              <w:spacing w:after="0"/>
              <w:rPr>
                <w:sz w:val="16"/>
                <w:szCs w:val="16"/>
                <w:color w:val="auto"/>
              </w:rPr>
            </w:pPr>
          </w:p>
        </w:tc>
        <w:tc>
          <w:tcPr>
            <w:tcW w:w="162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Other non-current</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1860" w:type="dxa"/>
            <w:vAlign w:val="bottom"/>
            <w:tcBorders>
              <w:bottom w:val="single" w:sz="8" w:color="CCEEFF"/>
            </w:tcBorders>
            <w:shd w:val="clear" w:color="auto" w:fill="CCEEFF"/>
          </w:tcPr>
          <w:p>
            <w:pPr>
              <w:spacing w:after="0"/>
              <w:rPr>
                <w:sz w:val="18"/>
                <w:szCs w:val="18"/>
                <w:color w:val="auto"/>
              </w:rPr>
            </w:pPr>
          </w:p>
        </w:tc>
        <w:tc>
          <w:tcPr>
            <w:tcW w:w="1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0"/>
              </w:rPr>
              <w:t>Other non-current assets</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liabilities</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86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87</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45</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23"/>
        </w:trPr>
        <w:tc>
          <w:tcPr>
            <w:tcW w:w="3700" w:type="dxa"/>
            <w:vAlign w:val="bottom"/>
            <w:tcBorders>
              <w:top w:val="single" w:sz="8" w:color="CCEEFF"/>
              <w:bottom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w w:val="90"/>
              </w:rPr>
              <w:t>Derivatives not designated as hedging instruments</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1860" w:type="dxa"/>
            <w:vAlign w:val="bottom"/>
          </w:tcPr>
          <w:p>
            <w:pPr>
              <w:ind w:left="20"/>
              <w:spacing w:after="0" w:line="176" w:lineRule="exact"/>
              <w:rPr>
                <w:sz w:val="20"/>
                <w:szCs w:val="20"/>
                <w:color w:val="auto"/>
              </w:rPr>
            </w:pPr>
            <w:r>
              <w:rPr>
                <w:rFonts w:ascii="Arial" w:cs="Arial" w:eastAsia="Arial" w:hAnsi="Arial"/>
                <w:sz w:val="18"/>
                <w:szCs w:val="18"/>
                <w:color w:val="auto"/>
              </w:rPr>
              <w:t>Foreign exchange</w:t>
            </w:r>
          </w:p>
        </w:tc>
        <w:tc>
          <w:tcPr>
            <w:tcW w:w="1840" w:type="dxa"/>
            <w:vAlign w:val="bottom"/>
          </w:tcPr>
          <w:p>
            <w:pPr>
              <w:ind w:left="20"/>
              <w:spacing w:after="0" w:line="176" w:lineRule="exact"/>
              <w:rPr>
                <w:sz w:val="20"/>
                <w:szCs w:val="20"/>
                <w:color w:val="auto"/>
              </w:rPr>
            </w:pPr>
            <w:r>
              <w:rPr>
                <w:rFonts w:ascii="Arial" w:cs="Arial" w:eastAsia="Arial" w:hAnsi="Arial"/>
                <w:sz w:val="18"/>
                <w:szCs w:val="18"/>
                <w:color w:val="auto"/>
              </w:rPr>
              <w:t>Prepaid expenses and</w:t>
            </w:r>
          </w:p>
        </w:tc>
        <w:tc>
          <w:tcPr>
            <w:tcW w:w="28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7</w:t>
            </w:r>
          </w:p>
        </w:tc>
        <w:tc>
          <w:tcPr>
            <w:tcW w:w="22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5"/>
                <w:szCs w:val="15"/>
                <w:color w:val="auto"/>
              </w:rPr>
            </w:pPr>
          </w:p>
        </w:tc>
        <w:tc>
          <w:tcPr>
            <w:tcW w:w="1620" w:type="dxa"/>
            <w:vAlign w:val="bottom"/>
            <w:vMerge w:val="restart"/>
          </w:tcPr>
          <w:p>
            <w:pPr>
              <w:ind w:left="20"/>
              <w:spacing w:after="0"/>
              <w:rPr>
                <w:sz w:val="20"/>
                <w:szCs w:val="20"/>
                <w:color w:val="auto"/>
              </w:rPr>
            </w:pPr>
            <w:r>
              <w:rPr>
                <w:rFonts w:ascii="Arial" w:cs="Arial" w:eastAsia="Arial" w:hAnsi="Arial"/>
                <w:sz w:val="18"/>
                <w:szCs w:val="18"/>
                <w:color w:val="auto"/>
              </w:rPr>
              <w:t>Accrued liabilities</w:t>
            </w:r>
          </w:p>
        </w:tc>
        <w:tc>
          <w:tcPr>
            <w:tcW w:w="28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5</w:t>
            </w:r>
          </w:p>
        </w:tc>
        <w:tc>
          <w:tcPr>
            <w:tcW w:w="22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9"/>
        </w:trPr>
        <w:tc>
          <w:tcPr>
            <w:tcW w:w="1860" w:type="dxa"/>
            <w:vAlign w:val="bottom"/>
          </w:tcPr>
          <w:p>
            <w:pPr>
              <w:ind w:left="20"/>
              <w:spacing w:after="0"/>
              <w:rPr>
                <w:sz w:val="20"/>
                <w:szCs w:val="20"/>
                <w:color w:val="auto"/>
              </w:rPr>
            </w:pPr>
            <w:r>
              <w:rPr>
                <w:rFonts w:ascii="Arial" w:cs="Arial" w:eastAsia="Arial" w:hAnsi="Arial"/>
                <w:sz w:val="18"/>
                <w:szCs w:val="18"/>
                <w:color w:val="auto"/>
              </w:rPr>
              <w:t>contracts</w:t>
            </w:r>
          </w:p>
        </w:tc>
        <w:tc>
          <w:tcPr>
            <w:tcW w:w="1840" w:type="dxa"/>
            <w:vAlign w:val="bottom"/>
          </w:tcPr>
          <w:p>
            <w:pPr>
              <w:ind w:left="20"/>
              <w:spacing w:after="0"/>
              <w:rPr>
                <w:sz w:val="20"/>
                <w:szCs w:val="20"/>
                <w:color w:val="auto"/>
              </w:rPr>
            </w:pPr>
            <w:r>
              <w:rPr>
                <w:rFonts w:ascii="Arial" w:cs="Arial" w:eastAsia="Arial" w:hAnsi="Arial"/>
                <w:sz w:val="18"/>
                <w:szCs w:val="18"/>
                <w:color w:val="auto"/>
              </w:rPr>
              <w:t>other current assets</w:t>
            </w:r>
          </w:p>
        </w:tc>
        <w:tc>
          <w:tcPr>
            <w:tcW w:w="280" w:type="dxa"/>
            <w:vAlign w:val="bottom"/>
            <w:gridSpan w:val="2"/>
            <w:vMerge w:val="continue"/>
          </w:tcPr>
          <w:p>
            <w:pPr>
              <w:spacing w:after="0"/>
              <w:rPr>
                <w:sz w:val="19"/>
                <w:szCs w:val="19"/>
                <w:color w:val="auto"/>
              </w:rPr>
            </w:pPr>
          </w:p>
        </w:tc>
        <w:tc>
          <w:tcPr>
            <w:tcW w:w="920" w:type="dxa"/>
            <w:vAlign w:val="bottom"/>
            <w:vMerge w:val="continue"/>
          </w:tcPr>
          <w:p>
            <w:pPr>
              <w:spacing w:after="0"/>
              <w:rPr>
                <w:sz w:val="19"/>
                <w:szCs w:val="19"/>
                <w:color w:val="auto"/>
              </w:rPr>
            </w:pPr>
          </w:p>
        </w:tc>
        <w:tc>
          <w:tcPr>
            <w:tcW w:w="220" w:type="dxa"/>
            <w:vAlign w:val="bottom"/>
            <w:gridSpan w:val="2"/>
            <w:vMerge w:val="continue"/>
          </w:tcPr>
          <w:p>
            <w:pPr>
              <w:spacing w:after="0"/>
              <w:rPr>
                <w:sz w:val="19"/>
                <w:szCs w:val="19"/>
                <w:color w:val="auto"/>
              </w:rPr>
            </w:pPr>
          </w:p>
        </w:tc>
        <w:tc>
          <w:tcPr>
            <w:tcW w:w="11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620" w:type="dxa"/>
            <w:vAlign w:val="bottom"/>
            <w:vMerge w:val="continue"/>
          </w:tcPr>
          <w:p>
            <w:pPr>
              <w:spacing w:after="0"/>
              <w:rPr>
                <w:sz w:val="19"/>
                <w:szCs w:val="19"/>
                <w:color w:val="auto"/>
              </w:rPr>
            </w:pPr>
          </w:p>
        </w:tc>
        <w:tc>
          <w:tcPr>
            <w:tcW w:w="280" w:type="dxa"/>
            <w:vAlign w:val="bottom"/>
            <w:gridSpan w:val="2"/>
            <w:vMerge w:val="continue"/>
          </w:tcPr>
          <w:p>
            <w:pPr>
              <w:spacing w:after="0"/>
              <w:rPr>
                <w:sz w:val="19"/>
                <w:szCs w:val="19"/>
                <w:color w:val="auto"/>
              </w:rPr>
            </w:pPr>
          </w:p>
        </w:tc>
        <w:tc>
          <w:tcPr>
            <w:tcW w:w="900" w:type="dxa"/>
            <w:vAlign w:val="bottom"/>
            <w:vMerge w:val="continue"/>
          </w:tcPr>
          <w:p>
            <w:pPr>
              <w:spacing w:after="0"/>
              <w:rPr>
                <w:sz w:val="19"/>
                <w:szCs w:val="19"/>
                <w:color w:val="auto"/>
              </w:rPr>
            </w:pPr>
          </w:p>
        </w:tc>
        <w:tc>
          <w:tcPr>
            <w:tcW w:w="220" w:type="dxa"/>
            <w:vAlign w:val="bottom"/>
            <w:gridSpan w:val="2"/>
            <w:vMerge w:val="continue"/>
          </w:tcPr>
          <w:p>
            <w:pPr>
              <w:spacing w:after="0"/>
              <w:rPr>
                <w:sz w:val="19"/>
                <w:szCs w:val="19"/>
                <w:color w:val="auto"/>
              </w:rPr>
            </w:pPr>
          </w:p>
        </w:tc>
        <w:tc>
          <w:tcPr>
            <w:tcW w:w="11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860" w:type="dxa"/>
            <w:vAlign w:val="bottom"/>
            <w:tcBorders>
              <w:top w:val="single" w:sz="8" w:color="CCEEFF"/>
              <w:bottom w:val="single" w:sz="8" w:color="CCEEFF"/>
            </w:tcBorders>
            <w:shd w:val="clear" w:color="auto" w:fill="CCEEFF"/>
          </w:tcPr>
          <w:p>
            <w:pPr>
              <w:spacing w:after="0"/>
              <w:rPr>
                <w:sz w:val="19"/>
                <w:szCs w:val="19"/>
                <w:color w:val="auto"/>
              </w:rPr>
            </w:pPr>
          </w:p>
        </w:tc>
        <w:tc>
          <w:tcPr>
            <w:tcW w:w="18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50"/>
        </w:trPr>
        <w:tc>
          <w:tcPr>
            <w:tcW w:w="186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derivatives</w:t>
            </w:r>
          </w:p>
        </w:tc>
        <w:tc>
          <w:tcPr>
            <w:tcW w:w="1840" w:type="dxa"/>
            <w:vAlign w:val="bottom"/>
            <w:shd w:val="clear" w:color="auto" w:fill="CCEEFF"/>
          </w:tcPr>
          <w:p>
            <w:pPr>
              <w:spacing w:after="0"/>
              <w:rPr>
                <w:sz w:val="21"/>
                <w:szCs w:val="21"/>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100" w:type="dxa"/>
            <w:vAlign w:val="bottom"/>
            <w:shd w:val="clear" w:color="auto" w:fill="CCEEFF"/>
          </w:tcPr>
          <w:p>
            <w:pPr>
              <w:spacing w:after="0"/>
              <w:rPr>
                <w:sz w:val="21"/>
                <w:szCs w:val="21"/>
                <w:color w:val="auto"/>
              </w:rPr>
            </w:pPr>
          </w:p>
        </w:tc>
        <w:tc>
          <w:tcPr>
            <w:tcW w:w="1620" w:type="dxa"/>
            <w:vAlign w:val="bottom"/>
            <w:shd w:val="clear" w:color="auto" w:fill="CCEEFF"/>
          </w:tcPr>
          <w:p>
            <w:pPr>
              <w:spacing w:after="0"/>
              <w:rPr>
                <w:sz w:val="21"/>
                <w:szCs w:val="21"/>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0"/>
        </w:trPr>
        <w:tc>
          <w:tcPr>
            <w:tcW w:w="1860" w:type="dxa"/>
            <w:vAlign w:val="bottom"/>
            <w:tcBorders>
              <w:top w:val="single" w:sz="8" w:color="CCEEFF"/>
            </w:tcBorders>
          </w:tcPr>
          <w:p>
            <w:pPr>
              <w:spacing w:after="0" w:line="20" w:lineRule="exact"/>
              <w:rPr>
                <w:sz w:val="1"/>
                <w:szCs w:val="1"/>
                <w:color w:val="auto"/>
              </w:rPr>
            </w:pPr>
          </w:p>
        </w:tc>
        <w:tc>
          <w:tcPr>
            <w:tcW w:w="18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540" w:type="dxa"/>
            <w:vAlign w:val="bottom"/>
          </w:tcPr>
          <w:p>
            <w:pPr>
              <w:spacing w:after="0"/>
              <w:rPr>
                <w:sz w:val="18"/>
                <w:szCs w:val="18"/>
                <w:color w:val="auto"/>
              </w:rPr>
            </w:pPr>
          </w:p>
        </w:tc>
        <w:tc>
          <w:tcPr>
            <w:tcW w:w="3280" w:type="dxa"/>
            <w:vAlign w:val="bottom"/>
            <w:gridSpan w:val="6"/>
          </w:tcPr>
          <w:p>
            <w:pPr>
              <w:jc w:val="center"/>
              <w:spacing w:after="0"/>
              <w:rPr>
                <w:sz w:val="20"/>
                <w:szCs w:val="20"/>
                <w:color w:val="auto"/>
              </w:rPr>
            </w:pPr>
            <w:r>
              <w:rPr>
                <w:rFonts w:ascii="Arial" w:cs="Arial" w:eastAsia="Arial" w:hAnsi="Arial"/>
                <w:sz w:val="18"/>
                <w:szCs w:val="18"/>
                <w:color w:val="auto"/>
                <w:w w:val="88"/>
              </w:rPr>
              <w:t>Carrying amount of the hedged assets /</w:t>
            </w:r>
          </w:p>
        </w:tc>
        <w:tc>
          <w:tcPr>
            <w:tcW w:w="0" w:type="dxa"/>
            <w:vAlign w:val="bottom"/>
          </w:tcPr>
          <w:p>
            <w:pPr>
              <w:spacing w:after="0"/>
              <w:rPr>
                <w:sz w:val="1"/>
                <w:szCs w:val="1"/>
                <w:color w:val="auto"/>
              </w:rPr>
            </w:pPr>
          </w:p>
        </w:tc>
      </w:tr>
      <w:tr>
        <w:trPr>
          <w:trHeight w:val="237"/>
        </w:trPr>
        <w:tc>
          <w:tcPr>
            <w:tcW w:w="654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9"/>
              </w:rPr>
              <w:t>liabilities</w:t>
            </w:r>
          </w:p>
        </w:tc>
        <w:tc>
          <w:tcPr>
            <w:tcW w:w="12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6540" w:type="dxa"/>
            <w:vAlign w:val="bottom"/>
            <w:vMerge w:val="restart"/>
          </w:tcPr>
          <w:p>
            <w:pPr>
              <w:ind w:left="20"/>
              <w:spacing w:after="0"/>
              <w:rPr>
                <w:sz w:val="20"/>
                <w:szCs w:val="20"/>
                <w:color w:val="auto"/>
              </w:rPr>
            </w:pPr>
            <w:r>
              <w:rPr>
                <w:rFonts w:ascii="Arial" w:cs="Arial" w:eastAsia="Arial" w:hAnsi="Arial"/>
                <w:sz w:val="18"/>
                <w:szCs w:val="18"/>
                <w:color w:val="auto"/>
              </w:rPr>
              <w:t>Line item in the Balance Sheet in which the hedged item is included</w:t>
            </w:r>
          </w:p>
        </w:tc>
        <w:tc>
          <w:tcPr>
            <w:tcW w:w="1000" w:type="dxa"/>
            <w:vAlign w:val="bottom"/>
          </w:tcPr>
          <w:p>
            <w:pPr>
              <w:jc w:val="center"/>
              <w:ind w:left="270"/>
              <w:spacing w:after="0" w:line="176" w:lineRule="exact"/>
              <w:rPr>
                <w:sz w:val="20"/>
                <w:szCs w:val="20"/>
                <w:color w:val="auto"/>
              </w:rPr>
            </w:pPr>
            <w:r>
              <w:rPr>
                <w:rFonts w:ascii="Arial" w:cs="Arial" w:eastAsia="Arial" w:hAnsi="Arial"/>
                <w:sz w:val="18"/>
                <w:szCs w:val="18"/>
                <w:color w:val="auto"/>
                <w:w w:val="86"/>
              </w:rPr>
              <w:t>June 30,</w:t>
            </w: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tcPr>
          <w:p>
            <w:pPr>
              <w:jc w:val="right"/>
              <w:ind w:right="110"/>
              <w:spacing w:after="0" w:line="176" w:lineRule="exact"/>
              <w:rPr>
                <w:sz w:val="20"/>
                <w:szCs w:val="20"/>
                <w:color w:val="auto"/>
              </w:rPr>
            </w:pPr>
            <w:r>
              <w:rPr>
                <w:rFonts w:ascii="Arial" w:cs="Arial" w:eastAsia="Arial" w:hAnsi="Arial"/>
                <w:sz w:val="18"/>
                <w:szCs w:val="18"/>
                <w:color w:val="auto"/>
                <w:w w:val="90"/>
              </w:rPr>
              <w:t>December 31,</w:t>
            </w:r>
          </w:p>
        </w:tc>
        <w:tc>
          <w:tcPr>
            <w:tcW w:w="0" w:type="dxa"/>
            <w:vAlign w:val="bottom"/>
          </w:tcPr>
          <w:p>
            <w:pPr>
              <w:spacing w:after="0"/>
              <w:rPr>
                <w:sz w:val="1"/>
                <w:szCs w:val="1"/>
                <w:color w:val="auto"/>
              </w:rPr>
            </w:pPr>
          </w:p>
        </w:tc>
      </w:tr>
      <w:tr>
        <w:trPr>
          <w:trHeight w:val="237"/>
        </w:trPr>
        <w:tc>
          <w:tcPr>
            <w:tcW w:w="6540" w:type="dxa"/>
            <w:vAlign w:val="bottom"/>
            <w:tcBorders>
              <w:bottom w:val="single" w:sz="8" w:color="auto"/>
            </w:tcBorders>
            <w:vMerge w:val="continue"/>
          </w:tcPr>
          <w:p>
            <w:pPr>
              <w:spacing w:after="0"/>
              <w:rPr>
                <w:sz w:val="20"/>
                <w:szCs w:val="20"/>
                <w:color w:val="auto"/>
              </w:rPr>
            </w:pPr>
          </w:p>
        </w:tc>
        <w:tc>
          <w:tcPr>
            <w:tcW w:w="10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2023</w:t>
            </w:r>
          </w:p>
        </w:tc>
        <w:tc>
          <w:tcPr>
            <w:tcW w:w="30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5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2022</w:t>
            </w:r>
          </w:p>
        </w:tc>
        <w:tc>
          <w:tcPr>
            <w:tcW w:w="0" w:type="dxa"/>
            <w:vAlign w:val="bottom"/>
          </w:tcPr>
          <w:p>
            <w:pPr>
              <w:spacing w:after="0"/>
              <w:rPr>
                <w:sz w:val="1"/>
                <w:szCs w:val="1"/>
                <w:color w:val="auto"/>
              </w:rPr>
            </w:pPr>
          </w:p>
        </w:tc>
      </w:tr>
      <w:tr>
        <w:trPr>
          <w:trHeight w:val="229"/>
        </w:trPr>
        <w:tc>
          <w:tcPr>
            <w:tcW w:w="6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1000" w:type="dxa"/>
            <w:vAlign w:val="bottom"/>
            <w:shd w:val="clear" w:color="auto" w:fill="CCEEFF"/>
          </w:tcPr>
          <w:p>
            <w:pPr>
              <w:jc w:val="right"/>
              <w:ind w:right="810"/>
              <w:spacing w:after="0"/>
              <w:rPr>
                <w:sz w:val="20"/>
                <w:szCs w:val="20"/>
                <w:color w:val="auto"/>
              </w:rPr>
            </w:pPr>
            <w:r>
              <w:rPr>
                <w:rFonts w:ascii="Arial" w:cs="Arial" w:eastAsia="Arial" w:hAnsi="Arial"/>
                <w:sz w:val="18"/>
                <w:szCs w:val="18"/>
                <w:color w:val="auto"/>
                <w:w w:val="79"/>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30"/>
        </w:trPr>
        <w:tc>
          <w:tcPr>
            <w:tcW w:w="6540" w:type="dxa"/>
            <w:vAlign w:val="bottom"/>
          </w:tcPr>
          <w:p>
            <w:pPr>
              <w:ind w:left="20"/>
              <w:spacing w:after="0"/>
              <w:rPr>
                <w:sz w:val="20"/>
                <w:szCs w:val="20"/>
                <w:color w:val="auto"/>
              </w:rPr>
            </w:pPr>
            <w:r>
              <w:rPr>
                <w:rFonts w:ascii="Arial" w:cs="Arial" w:eastAsia="Arial" w:hAnsi="Arial"/>
                <w:sz w:val="18"/>
                <w:szCs w:val="18"/>
                <w:color w:val="auto"/>
              </w:rPr>
              <w:t>Receivables, net</w:t>
            </w:r>
          </w:p>
        </w:tc>
        <w:tc>
          <w:tcPr>
            <w:tcW w:w="100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27</w:t>
            </w:r>
          </w:p>
        </w:tc>
        <w:tc>
          <w:tcPr>
            <w:tcW w:w="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43"/>
        </w:trPr>
        <w:tc>
          <w:tcPr>
            <w:tcW w:w="6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payable</w:t>
            </w:r>
          </w:p>
        </w:tc>
        <w:tc>
          <w:tcPr>
            <w:tcW w:w="1000" w:type="dxa"/>
            <w:vAlign w:val="bottom"/>
            <w:shd w:val="clear" w:color="auto" w:fill="CCEEFF"/>
          </w:tcPr>
          <w:p>
            <w:pPr>
              <w:spacing w:after="0"/>
              <w:rPr>
                <w:sz w:val="21"/>
                <w:szCs w:val="21"/>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163</w:t>
            </w:r>
          </w:p>
        </w:tc>
        <w:tc>
          <w:tcPr>
            <w:tcW w:w="6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bl>
    <w:p>
      <w:pPr>
        <w:spacing w:after="0" w:line="31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June 30, 2023 and December 31, 2022, the cumulative amount of fair value hedging adjustments included in the carrying amount of the hedged assets and liabilities were net gains of $4 and $1.</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Offsetting of Derivative Assets and Liabilities</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Certain derivative financial instruments are subject to agreements with counterparties similar to master netting arrangements and are eligible for offset. The Company has made an accounting policy election not to offset the fair values of these instruments within the statement of financial position. In the table below, the aggregate fair values of the Company's derivative assets and liabilities are presented on both a gross and net basis, where appropriate.</w:t>
      </w:r>
    </w:p>
    <w:p>
      <w:pPr>
        <w:spacing w:after="0" w:line="200" w:lineRule="exact"/>
        <w:rPr>
          <w:sz w:val="20"/>
          <w:szCs w:val="20"/>
          <w:color w:val="auto"/>
        </w:rPr>
      </w:pPr>
    </w:p>
    <w:p>
      <w:pPr>
        <w:spacing w:after="0" w:line="324"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0"/>
          </w:cols>
          <w:pgMar w:left="980" w:top="121" w:right="3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tbl>
      <w:tblPr>
        <w:tblLayout w:type="fixed"/>
        <w:tblInd w:w="66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600" w:type="dxa"/>
            <w:vAlign w:val="bottom"/>
          </w:tcPr>
          <w:p>
            <w:pPr>
              <w:jc w:val="center"/>
              <w:ind w:left="1050"/>
              <w:spacing w:after="0"/>
              <w:rPr>
                <w:sz w:val="20"/>
                <w:szCs w:val="20"/>
                <w:color w:val="auto"/>
              </w:rPr>
            </w:pPr>
            <w:r>
              <w:rPr>
                <w:rFonts w:ascii="Arial" w:cs="Arial" w:eastAsia="Arial" w:hAnsi="Arial"/>
                <w:sz w:val="18"/>
                <w:szCs w:val="18"/>
                <w:color w:val="auto"/>
                <w:w w:val="88"/>
              </w:rPr>
              <w:t>Gross amounts recognized in the</w:t>
            </w:r>
          </w:p>
        </w:tc>
        <w:tc>
          <w:tcPr>
            <w:tcW w:w="2540" w:type="dxa"/>
            <w:vAlign w:val="bottom"/>
          </w:tcPr>
          <w:p>
            <w:pPr>
              <w:jc w:val="center"/>
              <w:ind w:right="90"/>
              <w:spacing w:after="0"/>
              <w:rPr>
                <w:sz w:val="20"/>
                <w:szCs w:val="20"/>
                <w:color w:val="auto"/>
              </w:rPr>
            </w:pPr>
            <w:r>
              <w:rPr>
                <w:rFonts w:ascii="Arial" w:cs="Arial" w:eastAsia="Arial" w:hAnsi="Arial"/>
                <w:sz w:val="18"/>
                <w:szCs w:val="18"/>
                <w:color w:val="auto"/>
                <w:w w:val="89"/>
              </w:rPr>
              <w:t>Gross amounts not offset in the</w:t>
            </w:r>
          </w:p>
        </w:tc>
        <w:tc>
          <w:tcPr>
            <w:tcW w:w="1460" w:type="dxa"/>
            <w:vAlign w:val="bottom"/>
            <w:vMerge w:val="restart"/>
          </w:tcPr>
          <w:p>
            <w:pPr>
              <w:ind w:left="240"/>
              <w:spacing w:after="0"/>
              <w:rPr>
                <w:sz w:val="20"/>
                <w:szCs w:val="20"/>
                <w:color w:val="auto"/>
              </w:rPr>
            </w:pPr>
            <w:r>
              <w:rPr>
                <w:rFonts w:ascii="Arial" w:cs="Arial" w:eastAsia="Arial" w:hAnsi="Arial"/>
                <w:sz w:val="18"/>
                <w:szCs w:val="18"/>
                <w:color w:val="auto"/>
              </w:rPr>
              <w:t>Net amount</w:t>
            </w:r>
          </w:p>
        </w:tc>
        <w:tc>
          <w:tcPr>
            <w:tcW w:w="0" w:type="dxa"/>
            <w:vAlign w:val="bottom"/>
          </w:tcPr>
          <w:p>
            <w:pPr>
              <w:spacing w:after="0"/>
              <w:rPr>
                <w:sz w:val="1"/>
                <w:szCs w:val="1"/>
                <w:color w:val="auto"/>
              </w:rPr>
            </w:pPr>
          </w:p>
        </w:tc>
      </w:tr>
      <w:tr>
        <w:trPr>
          <w:trHeight w:val="237"/>
        </w:trPr>
        <w:tc>
          <w:tcPr>
            <w:tcW w:w="2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3600" w:type="dxa"/>
            <w:vAlign w:val="bottom"/>
            <w:tcBorders>
              <w:bottom w:val="single" w:sz="8" w:color="auto"/>
            </w:tcBorders>
          </w:tcPr>
          <w:p>
            <w:pPr>
              <w:jc w:val="center"/>
              <w:ind w:left="1050"/>
              <w:spacing w:after="0"/>
              <w:rPr>
                <w:sz w:val="20"/>
                <w:szCs w:val="20"/>
                <w:color w:val="auto"/>
              </w:rPr>
            </w:pPr>
            <w:r>
              <w:rPr>
                <w:rFonts w:ascii="Arial" w:cs="Arial" w:eastAsia="Arial" w:hAnsi="Arial"/>
                <w:sz w:val="18"/>
                <w:szCs w:val="18"/>
                <w:color w:val="auto"/>
                <w:w w:val="87"/>
              </w:rPr>
              <w:t>Balance Sheet</w:t>
            </w:r>
          </w:p>
        </w:tc>
        <w:tc>
          <w:tcPr>
            <w:tcW w:w="254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color w:val="auto"/>
                <w:w w:val="87"/>
              </w:rPr>
              <w:t>Balance Sheet</w:t>
            </w:r>
          </w:p>
        </w:tc>
        <w:tc>
          <w:tcPr>
            <w:tcW w:w="14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200" w:type="dxa"/>
            <w:vAlign w:val="bottom"/>
            <w:gridSpan w:val="2"/>
          </w:tcPr>
          <w:p>
            <w:pPr>
              <w:spacing w:after="0" w:line="189" w:lineRule="exact"/>
              <w:rPr>
                <w:sz w:val="20"/>
                <w:szCs w:val="20"/>
                <w:color w:val="auto"/>
              </w:rPr>
            </w:pPr>
            <w:r>
              <w:rPr>
                <w:rFonts w:ascii="Arial" w:cs="Arial" w:eastAsia="Arial" w:hAnsi="Arial"/>
                <w:sz w:val="18"/>
                <w:szCs w:val="18"/>
                <w:color w:val="auto"/>
              </w:rPr>
              <w:t>Balance at June 30, 2023</w:t>
            </w:r>
          </w:p>
        </w:tc>
        <w:tc>
          <w:tcPr>
            <w:tcW w:w="360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0" w:type="dxa"/>
            <w:vAlign w:val="bottom"/>
            <w:tcBorders>
              <w:top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2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Derivative assets</w:t>
            </w:r>
          </w:p>
        </w:tc>
        <w:tc>
          <w:tcPr>
            <w:tcW w:w="3600" w:type="dxa"/>
            <w:vAlign w:val="bottom"/>
            <w:shd w:val="clear" w:color="auto" w:fill="CCEEFF"/>
          </w:tcPr>
          <w:p>
            <w:pPr>
              <w:jc w:val="center"/>
              <w:ind w:left="1050"/>
              <w:spacing w:after="0"/>
              <w:rPr>
                <w:sz w:val="20"/>
                <w:szCs w:val="20"/>
                <w:color w:val="auto"/>
              </w:rPr>
            </w:pPr>
            <w:r>
              <w:rPr>
                <w:rFonts w:ascii="Arial" w:cs="Arial" w:eastAsia="Arial" w:hAnsi="Arial"/>
                <w:sz w:val="18"/>
                <w:szCs w:val="18"/>
                <w:color w:val="auto"/>
                <w:w w:val="86"/>
              </w:rPr>
              <w:t>$94</w:t>
            </w:r>
          </w:p>
        </w:tc>
        <w:tc>
          <w:tcPr>
            <w:tcW w:w="2540" w:type="dxa"/>
            <w:vAlign w:val="bottom"/>
            <w:shd w:val="clear" w:color="auto" w:fill="CCEEFF"/>
          </w:tcPr>
          <w:p>
            <w:pPr>
              <w:jc w:val="center"/>
              <w:ind w:right="90"/>
              <w:spacing w:after="0"/>
              <w:rPr>
                <w:sz w:val="20"/>
                <w:szCs w:val="20"/>
                <w:color w:val="auto"/>
              </w:rPr>
            </w:pPr>
            <w:r>
              <w:rPr>
                <w:rFonts w:ascii="Arial" w:cs="Arial" w:eastAsia="Arial" w:hAnsi="Arial"/>
                <w:sz w:val="18"/>
                <w:szCs w:val="18"/>
                <w:color w:val="auto"/>
                <w:w w:val="93"/>
              </w:rPr>
              <w:t>$16</w:t>
            </w:r>
          </w:p>
        </w:tc>
        <w:tc>
          <w:tcPr>
            <w:tcW w:w="1460" w:type="dxa"/>
            <w:vAlign w:val="bottom"/>
            <w:shd w:val="clear" w:color="auto" w:fill="CCEEFF"/>
          </w:tcPr>
          <w:p>
            <w:pPr>
              <w:jc w:val="center"/>
              <w:ind w:right="70"/>
              <w:spacing w:after="0"/>
              <w:rPr>
                <w:sz w:val="20"/>
                <w:szCs w:val="20"/>
                <w:color w:val="auto"/>
              </w:rPr>
            </w:pPr>
            <w:r>
              <w:rPr>
                <w:rFonts w:ascii="Arial" w:cs="Arial" w:eastAsia="Arial" w:hAnsi="Arial"/>
                <w:sz w:val="18"/>
                <w:szCs w:val="18"/>
                <w:color w:val="auto"/>
                <w:w w:val="86"/>
              </w:rPr>
              <w:t>$78</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200" w:type="dxa"/>
            <w:vAlign w:val="bottom"/>
            <w:gridSpan w:val="2"/>
          </w:tcPr>
          <w:p>
            <w:pPr>
              <w:spacing w:after="0"/>
              <w:rPr>
                <w:sz w:val="20"/>
                <w:szCs w:val="20"/>
                <w:color w:val="auto"/>
              </w:rPr>
            </w:pPr>
            <w:r>
              <w:rPr>
                <w:rFonts w:ascii="Arial" w:cs="Arial" w:eastAsia="Arial" w:hAnsi="Arial"/>
                <w:sz w:val="18"/>
                <w:szCs w:val="18"/>
                <w:color w:val="auto"/>
              </w:rPr>
              <w:t>Derivative liabilities</w:t>
            </w:r>
          </w:p>
        </w:tc>
        <w:tc>
          <w:tcPr>
            <w:tcW w:w="3600" w:type="dxa"/>
            <w:vAlign w:val="bottom"/>
          </w:tcPr>
          <w:p>
            <w:pPr>
              <w:jc w:val="center"/>
              <w:ind w:left="1050"/>
              <w:spacing w:after="0"/>
              <w:rPr>
                <w:sz w:val="20"/>
                <w:szCs w:val="20"/>
                <w:color w:val="auto"/>
              </w:rPr>
            </w:pPr>
            <w:r>
              <w:rPr>
                <w:rFonts w:ascii="Arial" w:cs="Arial" w:eastAsia="Arial" w:hAnsi="Arial"/>
                <w:sz w:val="18"/>
                <w:szCs w:val="18"/>
                <w:color w:val="auto"/>
                <w:w w:val="89"/>
              </w:rPr>
              <w:t>50</w:t>
            </w:r>
          </w:p>
        </w:tc>
        <w:tc>
          <w:tcPr>
            <w:tcW w:w="2540" w:type="dxa"/>
            <w:vAlign w:val="bottom"/>
          </w:tcPr>
          <w:p>
            <w:pPr>
              <w:jc w:val="center"/>
              <w:ind w:right="110"/>
              <w:spacing w:after="0"/>
              <w:rPr>
                <w:sz w:val="20"/>
                <w:szCs w:val="20"/>
                <w:color w:val="auto"/>
              </w:rPr>
            </w:pPr>
            <w:r>
              <w:rPr>
                <w:rFonts w:ascii="Arial" w:cs="Arial" w:eastAsia="Arial" w:hAnsi="Arial"/>
                <w:sz w:val="18"/>
                <w:szCs w:val="18"/>
                <w:color w:val="auto"/>
                <w:w w:val="89"/>
              </w:rPr>
              <w:t>16</w:t>
            </w:r>
          </w:p>
        </w:tc>
        <w:tc>
          <w:tcPr>
            <w:tcW w:w="1460" w:type="dxa"/>
            <w:vAlign w:val="bottom"/>
          </w:tcPr>
          <w:p>
            <w:pPr>
              <w:jc w:val="center"/>
              <w:ind w:right="70"/>
              <w:spacing w:after="0"/>
              <w:rPr>
                <w:sz w:val="20"/>
                <w:szCs w:val="20"/>
                <w:color w:val="auto"/>
              </w:rPr>
            </w:pPr>
            <w:r>
              <w:rPr>
                <w:rFonts w:ascii="Arial" w:cs="Arial" w:eastAsia="Arial" w:hAnsi="Arial"/>
                <w:sz w:val="18"/>
                <w:szCs w:val="18"/>
                <w:color w:val="auto"/>
                <w:w w:val="89"/>
              </w:rPr>
              <w:t>34</w:t>
            </w:r>
          </w:p>
        </w:tc>
        <w:tc>
          <w:tcPr>
            <w:tcW w:w="0" w:type="dxa"/>
            <w:vAlign w:val="bottom"/>
          </w:tcPr>
          <w:p>
            <w:pPr>
              <w:spacing w:after="0"/>
              <w:rPr>
                <w:sz w:val="1"/>
                <w:szCs w:val="1"/>
                <w:color w:val="auto"/>
              </w:rPr>
            </w:pPr>
          </w:p>
        </w:tc>
      </w:tr>
      <w:tr>
        <w:trPr>
          <w:trHeight w:val="276"/>
        </w:trPr>
        <w:tc>
          <w:tcPr>
            <w:tcW w:w="20" w:type="dxa"/>
            <w:vAlign w:val="bottom"/>
            <w:shd w:val="clear" w:color="auto" w:fill="CCEEFF"/>
          </w:tcPr>
          <w:p>
            <w:pPr>
              <w:spacing w:after="0"/>
              <w:rPr>
                <w:sz w:val="24"/>
                <w:szCs w:val="24"/>
                <w:color w:val="auto"/>
              </w:rPr>
            </w:pPr>
          </w:p>
        </w:tc>
        <w:tc>
          <w:tcPr>
            <w:tcW w:w="18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3600" w:type="dxa"/>
            <w:vAlign w:val="bottom"/>
            <w:shd w:val="clear" w:color="auto" w:fill="CCEEFF"/>
          </w:tcPr>
          <w:p>
            <w:pPr>
              <w:spacing w:after="0"/>
              <w:rPr>
                <w:sz w:val="24"/>
                <w:szCs w:val="24"/>
                <w:color w:val="auto"/>
              </w:rPr>
            </w:pPr>
          </w:p>
        </w:tc>
        <w:tc>
          <w:tcPr>
            <w:tcW w:w="254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200" w:type="dxa"/>
            <w:vAlign w:val="bottom"/>
            <w:tcBorders>
              <w:bottom w:val="single" w:sz="8" w:color="auto"/>
            </w:tcBorders>
            <w:gridSpan w:val="2"/>
          </w:tcPr>
          <w:p>
            <w:pPr>
              <w:spacing w:after="0" w:line="189" w:lineRule="exact"/>
              <w:rPr>
                <w:sz w:val="20"/>
                <w:szCs w:val="20"/>
                <w:color w:val="auto"/>
              </w:rPr>
            </w:pPr>
            <w:r>
              <w:rPr>
                <w:rFonts w:ascii="Arial" w:cs="Arial" w:eastAsia="Arial" w:hAnsi="Arial"/>
                <w:sz w:val="18"/>
                <w:szCs w:val="18"/>
                <w:color w:val="auto"/>
                <w:w w:val="87"/>
              </w:rPr>
              <w:t>Balance at December 31, 2022</w:t>
            </w:r>
          </w:p>
        </w:tc>
        <w:tc>
          <w:tcPr>
            <w:tcW w:w="360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2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Derivative assets</w:t>
            </w:r>
          </w:p>
        </w:tc>
        <w:tc>
          <w:tcPr>
            <w:tcW w:w="3600" w:type="dxa"/>
            <w:vAlign w:val="bottom"/>
            <w:shd w:val="clear" w:color="auto" w:fill="CCEEFF"/>
          </w:tcPr>
          <w:p>
            <w:pPr>
              <w:jc w:val="center"/>
              <w:ind w:left="1050"/>
              <w:spacing w:after="0"/>
              <w:rPr>
                <w:sz w:val="20"/>
                <w:szCs w:val="20"/>
                <w:color w:val="auto"/>
              </w:rPr>
            </w:pPr>
            <w:r>
              <w:rPr>
                <w:rFonts w:ascii="Arial" w:cs="Arial" w:eastAsia="Arial" w:hAnsi="Arial"/>
                <w:sz w:val="18"/>
                <w:szCs w:val="18"/>
                <w:color w:val="auto"/>
                <w:w w:val="86"/>
              </w:rPr>
              <w:t>117</w:t>
            </w:r>
          </w:p>
        </w:tc>
        <w:tc>
          <w:tcPr>
            <w:tcW w:w="2540" w:type="dxa"/>
            <w:vAlign w:val="bottom"/>
            <w:shd w:val="clear" w:color="auto" w:fill="CCEEFF"/>
          </w:tcPr>
          <w:p>
            <w:pPr>
              <w:jc w:val="center"/>
              <w:ind w:right="110"/>
              <w:spacing w:after="0"/>
              <w:rPr>
                <w:sz w:val="20"/>
                <w:szCs w:val="20"/>
                <w:color w:val="auto"/>
              </w:rPr>
            </w:pPr>
            <w:r>
              <w:rPr>
                <w:rFonts w:ascii="Arial" w:cs="Arial" w:eastAsia="Arial" w:hAnsi="Arial"/>
                <w:sz w:val="18"/>
                <w:szCs w:val="18"/>
                <w:color w:val="auto"/>
                <w:w w:val="89"/>
              </w:rPr>
              <w:t>13</w:t>
            </w:r>
          </w:p>
        </w:tc>
        <w:tc>
          <w:tcPr>
            <w:tcW w:w="1460" w:type="dxa"/>
            <w:vAlign w:val="bottom"/>
            <w:shd w:val="clear" w:color="auto" w:fill="CCEEFF"/>
          </w:tcPr>
          <w:p>
            <w:pPr>
              <w:jc w:val="center"/>
              <w:ind w:right="70"/>
              <w:spacing w:after="0"/>
              <w:rPr>
                <w:sz w:val="20"/>
                <w:szCs w:val="20"/>
                <w:color w:val="auto"/>
              </w:rPr>
            </w:pPr>
            <w:r>
              <w:rPr>
                <w:rFonts w:ascii="Arial" w:cs="Arial" w:eastAsia="Arial" w:hAnsi="Arial"/>
                <w:sz w:val="18"/>
                <w:szCs w:val="18"/>
                <w:color w:val="auto"/>
                <w:w w:val="86"/>
              </w:rPr>
              <w:t>104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00" w:type="dxa"/>
            <w:vAlign w:val="bottom"/>
            <w:gridSpan w:val="2"/>
          </w:tcPr>
          <w:p>
            <w:pPr>
              <w:spacing w:after="0"/>
              <w:rPr>
                <w:sz w:val="20"/>
                <w:szCs w:val="20"/>
                <w:color w:val="auto"/>
              </w:rPr>
            </w:pPr>
            <w:r>
              <w:rPr>
                <w:rFonts w:ascii="Arial" w:cs="Arial" w:eastAsia="Arial" w:hAnsi="Arial"/>
                <w:sz w:val="18"/>
                <w:szCs w:val="18"/>
                <w:color w:val="auto"/>
              </w:rPr>
              <w:t>Derivative liabilities</w:t>
            </w:r>
          </w:p>
        </w:tc>
        <w:tc>
          <w:tcPr>
            <w:tcW w:w="3600" w:type="dxa"/>
            <w:vAlign w:val="bottom"/>
          </w:tcPr>
          <w:p>
            <w:pPr>
              <w:jc w:val="center"/>
              <w:ind w:left="1050"/>
              <w:spacing w:after="0"/>
              <w:rPr>
                <w:sz w:val="20"/>
                <w:szCs w:val="20"/>
                <w:color w:val="auto"/>
              </w:rPr>
            </w:pPr>
            <w:r>
              <w:rPr>
                <w:rFonts w:ascii="Arial" w:cs="Arial" w:eastAsia="Arial" w:hAnsi="Arial"/>
                <w:sz w:val="18"/>
                <w:szCs w:val="18"/>
                <w:color w:val="auto"/>
                <w:w w:val="89"/>
              </w:rPr>
              <w:t>35</w:t>
            </w:r>
          </w:p>
        </w:tc>
        <w:tc>
          <w:tcPr>
            <w:tcW w:w="2540" w:type="dxa"/>
            <w:vAlign w:val="bottom"/>
          </w:tcPr>
          <w:p>
            <w:pPr>
              <w:jc w:val="center"/>
              <w:ind w:right="110"/>
              <w:spacing w:after="0"/>
              <w:rPr>
                <w:sz w:val="20"/>
                <w:szCs w:val="20"/>
                <w:color w:val="auto"/>
              </w:rPr>
            </w:pPr>
            <w:r>
              <w:rPr>
                <w:rFonts w:ascii="Arial" w:cs="Arial" w:eastAsia="Arial" w:hAnsi="Arial"/>
                <w:sz w:val="18"/>
                <w:szCs w:val="18"/>
                <w:color w:val="auto"/>
                <w:w w:val="89"/>
              </w:rPr>
              <w:t>13</w:t>
            </w:r>
          </w:p>
        </w:tc>
        <w:tc>
          <w:tcPr>
            <w:tcW w:w="1460" w:type="dxa"/>
            <w:vAlign w:val="bottom"/>
          </w:tcPr>
          <w:p>
            <w:pPr>
              <w:jc w:val="center"/>
              <w:ind w:right="70"/>
              <w:spacing w:after="0"/>
              <w:rPr>
                <w:sz w:val="20"/>
                <w:szCs w:val="20"/>
                <w:color w:val="auto"/>
              </w:rPr>
            </w:pPr>
            <w:r>
              <w:rPr>
                <w:rFonts w:ascii="Arial" w:cs="Arial" w:eastAsia="Arial" w:hAnsi="Arial"/>
                <w:sz w:val="18"/>
                <w:szCs w:val="18"/>
                <w:color w:val="auto"/>
                <w:w w:val="89"/>
              </w:rPr>
              <w:t>22</w:t>
            </w:r>
          </w:p>
        </w:tc>
        <w:tc>
          <w:tcPr>
            <w:tcW w:w="0" w:type="dxa"/>
            <w:vAlign w:val="bottom"/>
          </w:tcPr>
          <w:p>
            <w:pPr>
              <w:spacing w:after="0"/>
              <w:rPr>
                <w:sz w:val="1"/>
                <w:szCs w:val="1"/>
                <w:color w:val="auto"/>
              </w:rPr>
            </w:pPr>
          </w:p>
        </w:tc>
      </w:tr>
    </w:tbl>
    <w:p>
      <w:pPr>
        <w:spacing w:after="0" w:line="295" w:lineRule="exact"/>
        <w:rPr>
          <w:sz w:val="20"/>
          <w:szCs w:val="20"/>
          <w:color w:val="auto"/>
        </w:rPr>
      </w:pPr>
    </w:p>
    <w:p>
      <w:pPr>
        <w:ind w:left="180"/>
        <w:spacing w:after="0"/>
        <w:rPr>
          <w:sz w:val="20"/>
          <w:szCs w:val="20"/>
          <w:color w:val="auto"/>
        </w:rPr>
      </w:pPr>
      <w:r>
        <w:rPr>
          <w:rFonts w:ascii="Arial" w:cs="Arial" w:eastAsia="Arial" w:hAnsi="Arial"/>
          <w:sz w:val="18"/>
          <w:szCs w:val="18"/>
          <w:u w:val="single" w:color="auto"/>
          <w:color w:val="auto"/>
        </w:rPr>
        <w:t>Notional Values of Outstanding Derivative Instruments</w:t>
      </w:r>
    </w:p>
    <w:p>
      <w:pPr>
        <w:spacing w:after="0" w:line="252" w:lineRule="exact"/>
        <w:rPr>
          <w:sz w:val="20"/>
          <w:szCs w:val="20"/>
          <w:color w:val="auto"/>
        </w:rPr>
      </w:pPr>
    </w:p>
    <w:p>
      <w:pPr>
        <w:ind w:left="660" w:right="240"/>
        <w:spacing w:after="0" w:line="277" w:lineRule="auto"/>
        <w:rPr>
          <w:sz w:val="20"/>
          <w:szCs w:val="20"/>
          <w:color w:val="auto"/>
        </w:rPr>
      </w:pPr>
      <w:r>
        <w:rPr>
          <w:rFonts w:ascii="Arial" w:cs="Arial" w:eastAsia="Arial" w:hAnsi="Arial"/>
          <w:sz w:val="18"/>
          <w:szCs w:val="18"/>
          <w:color w:val="auto"/>
        </w:rPr>
        <w:t>The aggregate U.S. dollar-equivalent notional values of outstanding derivative instruments in the Consolidated Balance Sheets at June 30, 2023 and December 31, 2022 were:</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60" w:type="dxa"/>
            <w:vAlign w:val="bottom"/>
          </w:tcPr>
          <w:p>
            <w:pPr>
              <w:spacing w:after="0"/>
              <w:rPr>
                <w:sz w:val="20"/>
                <w:szCs w:val="20"/>
                <w:color w:val="auto"/>
              </w:rPr>
            </w:pPr>
          </w:p>
        </w:tc>
        <w:tc>
          <w:tcPr>
            <w:tcW w:w="4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June 30, 2023</w:t>
            </w:r>
          </w:p>
        </w:tc>
        <w:tc>
          <w:tcPr>
            <w:tcW w:w="3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380" w:type="dxa"/>
            <w:vAlign w:val="bottom"/>
            <w:gridSpan w:val="2"/>
          </w:tcPr>
          <w:p>
            <w:pPr>
              <w:ind w:left="40"/>
              <w:spacing w:after="0"/>
              <w:rPr>
                <w:sz w:val="20"/>
                <w:szCs w:val="20"/>
                <w:color w:val="auto"/>
              </w:rPr>
            </w:pPr>
            <w:r>
              <w:rPr>
                <w:rFonts w:ascii="Arial" w:cs="Arial" w:eastAsia="Arial" w:hAnsi="Arial"/>
                <w:sz w:val="18"/>
                <w:szCs w:val="18"/>
                <w:color w:val="auto"/>
              </w:rPr>
              <w:t>December 31, 2022</w:t>
            </w:r>
          </w:p>
        </w:tc>
      </w:tr>
      <w:tr>
        <w:trPr>
          <w:trHeight w:val="216"/>
        </w:trPr>
        <w:tc>
          <w:tcPr>
            <w:tcW w:w="660" w:type="dxa"/>
            <w:vAlign w:val="bottom"/>
          </w:tcPr>
          <w:p>
            <w:pPr>
              <w:spacing w:after="0"/>
              <w:rPr>
                <w:sz w:val="18"/>
                <w:szCs w:val="18"/>
                <w:color w:val="auto"/>
              </w:rPr>
            </w:pPr>
          </w:p>
        </w:tc>
        <w:tc>
          <w:tcPr>
            <w:tcW w:w="42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Derivatives designated as cash flow hedges:</w:t>
            </w:r>
          </w:p>
        </w:tc>
        <w:tc>
          <w:tcPr>
            <w:tcW w:w="110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spacing w:after="0"/>
              <w:rPr>
                <w:sz w:val="18"/>
                <w:szCs w:val="18"/>
                <w:color w:val="auto"/>
              </w:rPr>
            </w:pPr>
          </w:p>
        </w:tc>
        <w:tc>
          <w:tcPr>
            <w:tcW w:w="740" w:type="dxa"/>
            <w:vAlign w:val="bottom"/>
          </w:tcPr>
          <w:p>
            <w:pPr>
              <w:spacing w:after="0"/>
              <w:rPr>
                <w:sz w:val="18"/>
                <w:szCs w:val="18"/>
                <w:color w:val="auto"/>
              </w:rPr>
            </w:pPr>
          </w:p>
        </w:tc>
      </w:tr>
      <w:tr>
        <w:trPr>
          <w:trHeight w:val="237"/>
        </w:trPr>
        <w:tc>
          <w:tcPr>
            <w:tcW w:w="660" w:type="dxa"/>
            <w:vAlign w:val="bottom"/>
          </w:tcPr>
          <w:p>
            <w:pPr>
              <w:spacing w:after="0"/>
              <w:rPr>
                <w:sz w:val="20"/>
                <w:szCs w:val="20"/>
                <w:color w:val="auto"/>
              </w:rPr>
            </w:pPr>
          </w:p>
        </w:tc>
        <w:tc>
          <w:tcPr>
            <w:tcW w:w="4220" w:type="dxa"/>
            <w:vAlign w:val="bottom"/>
          </w:tcPr>
          <w:p>
            <w:pPr>
              <w:ind w:left="340"/>
              <w:spacing w:after="0"/>
              <w:rPr>
                <w:sz w:val="20"/>
                <w:szCs w:val="20"/>
                <w:color w:val="auto"/>
              </w:rPr>
            </w:pPr>
            <w:r>
              <w:rPr>
                <w:rFonts w:ascii="Arial" w:cs="Arial" w:eastAsia="Arial" w:hAnsi="Arial"/>
                <w:sz w:val="18"/>
                <w:szCs w:val="18"/>
                <w:color w:val="auto"/>
              </w:rPr>
              <w:t>Foreign exchange</w:t>
            </w:r>
          </w:p>
        </w:tc>
        <w:tc>
          <w:tcPr>
            <w:tcW w:w="2540" w:type="dxa"/>
            <w:vAlign w:val="bottom"/>
            <w:gridSpan w:val="2"/>
          </w:tcPr>
          <w:p>
            <w:pPr>
              <w:jc w:val="right"/>
              <w:ind w:right="1230"/>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w w:val="93"/>
              </w:rPr>
              <w:t>258</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287</w:t>
            </w:r>
          </w:p>
        </w:tc>
        <w:tc>
          <w:tcPr>
            <w:tcW w:w="740" w:type="dxa"/>
            <w:vAlign w:val="bottom"/>
          </w:tcPr>
          <w:p>
            <w:pPr>
              <w:spacing w:after="0"/>
              <w:rPr>
                <w:sz w:val="20"/>
                <w:szCs w:val="20"/>
                <w:color w:val="auto"/>
              </w:rPr>
            </w:pPr>
          </w:p>
        </w:tc>
      </w:tr>
      <w:tr>
        <w:trPr>
          <w:trHeight w:val="236"/>
        </w:trPr>
        <w:tc>
          <w:tcPr>
            <w:tcW w:w="660" w:type="dxa"/>
            <w:vAlign w:val="bottom"/>
          </w:tcPr>
          <w:p>
            <w:pPr>
              <w:spacing w:after="0"/>
              <w:rPr>
                <w:sz w:val="20"/>
                <w:szCs w:val="20"/>
                <w:color w:val="auto"/>
              </w:rPr>
            </w:pPr>
          </w:p>
        </w:tc>
        <w:tc>
          <w:tcPr>
            <w:tcW w:w="4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Commodities</w:t>
            </w:r>
          </w:p>
        </w:tc>
        <w:tc>
          <w:tcPr>
            <w:tcW w:w="110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159</w:t>
            </w:r>
          </w:p>
        </w:tc>
        <w:tc>
          <w:tcPr>
            <w:tcW w:w="9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740" w:type="dxa"/>
            <w:vAlign w:val="bottom"/>
          </w:tcPr>
          <w:p>
            <w:pPr>
              <w:spacing w:after="0"/>
              <w:rPr>
                <w:sz w:val="20"/>
                <w:szCs w:val="20"/>
                <w:color w:val="auto"/>
              </w:rPr>
            </w:pPr>
          </w:p>
        </w:tc>
      </w:tr>
      <w:tr>
        <w:trPr>
          <w:trHeight w:val="230"/>
        </w:trPr>
        <w:tc>
          <w:tcPr>
            <w:tcW w:w="660" w:type="dxa"/>
            <w:vAlign w:val="bottom"/>
          </w:tcPr>
          <w:p>
            <w:pPr>
              <w:spacing w:after="0"/>
              <w:rPr>
                <w:sz w:val="19"/>
                <w:szCs w:val="19"/>
                <w:color w:val="auto"/>
              </w:rPr>
            </w:pPr>
          </w:p>
        </w:tc>
        <w:tc>
          <w:tcPr>
            <w:tcW w:w="4220" w:type="dxa"/>
            <w:vAlign w:val="bottom"/>
          </w:tcPr>
          <w:p>
            <w:pPr>
              <w:ind w:left="20"/>
              <w:spacing w:after="0"/>
              <w:rPr>
                <w:sz w:val="20"/>
                <w:szCs w:val="20"/>
                <w:color w:val="auto"/>
              </w:rPr>
            </w:pPr>
            <w:r>
              <w:rPr>
                <w:rFonts w:ascii="Arial" w:cs="Arial" w:eastAsia="Arial" w:hAnsi="Arial"/>
                <w:sz w:val="18"/>
                <w:szCs w:val="18"/>
                <w:color w:val="auto"/>
              </w:rPr>
              <w:t>Derivatives designated as fair value hedges:</w:t>
            </w:r>
          </w:p>
        </w:tc>
        <w:tc>
          <w:tcPr>
            <w:tcW w:w="1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243"/>
        </w:trPr>
        <w:tc>
          <w:tcPr>
            <w:tcW w:w="660" w:type="dxa"/>
            <w:vAlign w:val="bottom"/>
          </w:tcPr>
          <w:p>
            <w:pPr>
              <w:spacing w:after="0"/>
              <w:rPr>
                <w:sz w:val="21"/>
                <w:szCs w:val="21"/>
                <w:color w:val="auto"/>
              </w:rPr>
            </w:pPr>
          </w:p>
        </w:tc>
        <w:tc>
          <w:tcPr>
            <w:tcW w:w="4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Foreign exchange</w:t>
            </w:r>
          </w:p>
        </w:tc>
        <w:tc>
          <w:tcPr>
            <w:tcW w:w="110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218</w:t>
            </w:r>
          </w:p>
        </w:tc>
        <w:tc>
          <w:tcPr>
            <w:tcW w:w="9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740" w:type="dxa"/>
            <w:vAlign w:val="bottom"/>
          </w:tcPr>
          <w:p>
            <w:pPr>
              <w:spacing w:after="0"/>
              <w:rPr>
                <w:sz w:val="21"/>
                <w:szCs w:val="21"/>
                <w:color w:val="auto"/>
              </w:rPr>
            </w:pPr>
          </w:p>
        </w:tc>
      </w:tr>
      <w:tr>
        <w:trPr>
          <w:trHeight w:val="230"/>
        </w:trPr>
        <w:tc>
          <w:tcPr>
            <w:tcW w:w="660" w:type="dxa"/>
            <w:vAlign w:val="bottom"/>
          </w:tcPr>
          <w:p>
            <w:pPr>
              <w:spacing w:after="0"/>
              <w:rPr>
                <w:sz w:val="19"/>
                <w:szCs w:val="19"/>
                <w:color w:val="auto"/>
              </w:rPr>
            </w:pPr>
          </w:p>
        </w:tc>
        <w:tc>
          <w:tcPr>
            <w:tcW w:w="4220" w:type="dxa"/>
            <w:vAlign w:val="bottom"/>
          </w:tcPr>
          <w:p>
            <w:pPr>
              <w:ind w:left="20"/>
              <w:spacing w:after="0"/>
              <w:rPr>
                <w:sz w:val="20"/>
                <w:szCs w:val="20"/>
                <w:color w:val="auto"/>
              </w:rPr>
            </w:pPr>
            <w:r>
              <w:rPr>
                <w:rFonts w:ascii="Arial" w:cs="Arial" w:eastAsia="Arial" w:hAnsi="Arial"/>
                <w:sz w:val="18"/>
                <w:szCs w:val="18"/>
                <w:color w:val="auto"/>
              </w:rPr>
              <w:t>Derivatives designated as net investment hedges:</w:t>
            </w:r>
          </w:p>
        </w:tc>
        <w:tc>
          <w:tcPr>
            <w:tcW w:w="1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229"/>
        </w:trPr>
        <w:tc>
          <w:tcPr>
            <w:tcW w:w="660" w:type="dxa"/>
            <w:vAlign w:val="bottom"/>
          </w:tcPr>
          <w:p>
            <w:pPr>
              <w:spacing w:after="0"/>
              <w:rPr>
                <w:sz w:val="19"/>
                <w:szCs w:val="19"/>
                <w:color w:val="auto"/>
              </w:rPr>
            </w:pPr>
          </w:p>
        </w:tc>
        <w:tc>
          <w:tcPr>
            <w:tcW w:w="4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Foreign exchange</w:t>
            </w:r>
          </w:p>
        </w:tc>
        <w:tc>
          <w:tcPr>
            <w:tcW w:w="1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875</w:t>
            </w:r>
          </w:p>
        </w:tc>
        <w:tc>
          <w:tcPr>
            <w:tcW w:w="9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875</w:t>
            </w:r>
          </w:p>
        </w:tc>
        <w:tc>
          <w:tcPr>
            <w:tcW w:w="740" w:type="dxa"/>
            <w:vAlign w:val="bottom"/>
          </w:tcPr>
          <w:p>
            <w:pPr>
              <w:spacing w:after="0"/>
              <w:rPr>
                <w:sz w:val="19"/>
                <w:szCs w:val="19"/>
                <w:color w:val="auto"/>
              </w:rPr>
            </w:pPr>
          </w:p>
        </w:tc>
      </w:tr>
      <w:tr>
        <w:trPr>
          <w:trHeight w:val="237"/>
        </w:trPr>
        <w:tc>
          <w:tcPr>
            <w:tcW w:w="660" w:type="dxa"/>
            <w:vAlign w:val="bottom"/>
          </w:tcPr>
          <w:p>
            <w:pPr>
              <w:spacing w:after="0"/>
              <w:rPr>
                <w:sz w:val="20"/>
                <w:szCs w:val="20"/>
                <w:color w:val="auto"/>
              </w:rPr>
            </w:pPr>
          </w:p>
        </w:tc>
        <w:tc>
          <w:tcPr>
            <w:tcW w:w="4220" w:type="dxa"/>
            <w:vAlign w:val="bottom"/>
          </w:tcPr>
          <w:p>
            <w:pPr>
              <w:ind w:left="20"/>
              <w:spacing w:after="0"/>
              <w:rPr>
                <w:sz w:val="20"/>
                <w:szCs w:val="20"/>
                <w:color w:val="auto"/>
              </w:rPr>
            </w:pPr>
            <w:r>
              <w:rPr>
                <w:rFonts w:ascii="Arial" w:cs="Arial" w:eastAsia="Arial" w:hAnsi="Arial"/>
                <w:sz w:val="18"/>
                <w:szCs w:val="18"/>
                <w:color w:val="auto"/>
              </w:rPr>
              <w:t>Derivatives not designated as hedges:</w:t>
            </w:r>
          </w:p>
        </w:tc>
        <w:tc>
          <w:tcPr>
            <w:tcW w:w="11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236"/>
        </w:trPr>
        <w:tc>
          <w:tcPr>
            <w:tcW w:w="660" w:type="dxa"/>
            <w:vAlign w:val="bottom"/>
          </w:tcPr>
          <w:p>
            <w:pPr>
              <w:spacing w:after="0"/>
              <w:rPr>
                <w:sz w:val="20"/>
                <w:szCs w:val="20"/>
                <w:color w:val="auto"/>
              </w:rPr>
            </w:pPr>
          </w:p>
        </w:tc>
        <w:tc>
          <w:tcPr>
            <w:tcW w:w="4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Foreign exchange</w:t>
            </w:r>
          </w:p>
        </w:tc>
        <w:tc>
          <w:tcPr>
            <w:tcW w:w="110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280</w:t>
            </w:r>
          </w:p>
        </w:tc>
        <w:tc>
          <w:tcPr>
            <w:tcW w:w="9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w:t>
            </w:r>
          </w:p>
        </w:tc>
        <w:tc>
          <w:tcPr>
            <w:tcW w:w="740" w:type="dxa"/>
            <w:vAlign w:val="bottom"/>
          </w:tcPr>
          <w:p>
            <w:pPr>
              <w:spacing w:after="0"/>
              <w:rPr>
                <w:sz w:val="20"/>
                <w:szCs w:val="20"/>
                <w:color w:val="auto"/>
              </w:rPr>
            </w:pPr>
          </w:p>
        </w:tc>
      </w:tr>
      <w:tr>
        <w:trPr>
          <w:trHeight w:val="864"/>
        </w:trPr>
        <w:tc>
          <w:tcPr>
            <w:tcW w:w="66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1100" w:type="dxa"/>
            <w:vAlign w:val="bottom"/>
          </w:tcPr>
          <w:p>
            <w:pPr>
              <w:jc w:val="right"/>
              <w:ind w:right="170"/>
              <w:spacing w:after="0"/>
              <w:rPr>
                <w:sz w:val="20"/>
                <w:szCs w:val="20"/>
                <w:color w:val="auto"/>
              </w:rPr>
            </w:pPr>
            <w:r>
              <w:rPr>
                <w:rFonts w:ascii="Arial" w:cs="Arial" w:eastAsia="Arial" w:hAnsi="Arial"/>
                <w:sz w:val="18"/>
                <w:szCs w:val="18"/>
                <w:color w:val="auto"/>
              </w:rPr>
              <w:t>18</w:t>
            </w:r>
          </w:p>
        </w:tc>
        <w:tc>
          <w:tcPr>
            <w:tcW w:w="1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15"/>
        </w:trPr>
        <w:tc>
          <w:tcPr>
            <w:tcW w:w="660" w:type="dxa"/>
            <w:vAlign w:val="bottom"/>
            <w:tcBorders>
              <w:bottom w:val="single" w:sz="8" w:color="9A9A9A"/>
            </w:tcBorders>
          </w:tcPr>
          <w:p>
            <w:pPr>
              <w:spacing w:after="0"/>
              <w:rPr>
                <w:sz w:val="10"/>
                <w:szCs w:val="10"/>
                <w:color w:val="auto"/>
              </w:rPr>
            </w:pPr>
          </w:p>
        </w:tc>
        <w:tc>
          <w:tcPr>
            <w:tcW w:w="422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64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380" w:hanging="372"/>
        <w:spacing w:after="0"/>
        <w:tabs>
          <w:tab w:leader="none" w:pos="38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Debt</w:t>
      </w:r>
    </w:p>
    <w:p>
      <w:pPr>
        <w:spacing w:after="0" w:line="297" w:lineRule="exact"/>
        <w:rPr>
          <w:sz w:val="20"/>
          <w:szCs w:val="20"/>
          <w:color w:val="auto"/>
        </w:rPr>
      </w:pPr>
    </w:p>
    <w:tbl>
      <w:tblPr>
        <w:tblLayout w:type="fixed"/>
        <w:tblInd w:w="98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280" w:type="dxa"/>
            <w:vAlign w:val="bottom"/>
            <w:tcBorders>
              <w:bottom w:val="single" w:sz="8" w:color="auto"/>
            </w:tcBorders>
            <w:gridSpan w:val="4"/>
          </w:tcPr>
          <w:p>
            <w:pPr>
              <w:jc w:val="right"/>
              <w:ind w:right="610"/>
              <w:spacing w:after="0"/>
              <w:rPr>
                <w:sz w:val="20"/>
                <w:szCs w:val="20"/>
                <w:color w:val="auto"/>
              </w:rPr>
            </w:pPr>
            <w:r>
              <w:rPr>
                <w:rFonts w:ascii="Arial" w:cs="Arial" w:eastAsia="Arial" w:hAnsi="Arial"/>
                <w:sz w:val="18"/>
                <w:szCs w:val="18"/>
                <w:color w:val="auto"/>
              </w:rPr>
              <w:t>June 30, 2023</w:t>
            </w:r>
          </w:p>
        </w:tc>
        <w:tc>
          <w:tcPr>
            <w:tcW w:w="4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280" w:type="dxa"/>
            <w:vAlign w:val="bottom"/>
            <w:tcBorders>
              <w:bottom w:val="single" w:sz="8" w:color="auto"/>
            </w:tcBorders>
            <w:gridSpan w:val="4"/>
          </w:tcPr>
          <w:p>
            <w:pPr>
              <w:jc w:val="right"/>
              <w:ind w:right="410"/>
              <w:spacing w:after="0"/>
              <w:rPr>
                <w:sz w:val="20"/>
                <w:szCs w:val="20"/>
                <w:color w:val="auto"/>
              </w:rPr>
            </w:pPr>
            <w:r>
              <w:rPr>
                <w:rFonts w:ascii="Arial" w:cs="Arial" w:eastAsia="Arial" w:hAnsi="Arial"/>
                <w:sz w:val="18"/>
                <w:szCs w:val="18"/>
                <w:color w:val="auto"/>
              </w:rPr>
              <w:t>December 31, 2022</w:t>
            </w:r>
          </w:p>
        </w:tc>
      </w:tr>
      <w:tr>
        <w:trPr>
          <w:trHeight w:val="224"/>
        </w:trPr>
        <w:tc>
          <w:tcPr>
            <w:tcW w:w="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ind w:right="170"/>
              <w:spacing w:after="0"/>
              <w:rPr>
                <w:sz w:val="20"/>
                <w:szCs w:val="20"/>
                <w:color w:val="auto"/>
              </w:rPr>
            </w:pPr>
            <w:r>
              <w:rPr>
                <w:rFonts w:ascii="Arial" w:cs="Arial" w:eastAsia="Arial" w:hAnsi="Arial"/>
                <w:sz w:val="18"/>
                <w:szCs w:val="18"/>
                <w:color w:val="auto"/>
              </w:rPr>
              <w:t>Principal</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ind w:right="110"/>
              <w:spacing w:after="0"/>
              <w:rPr>
                <w:sz w:val="20"/>
                <w:szCs w:val="20"/>
                <w:color w:val="auto"/>
              </w:rPr>
            </w:pPr>
            <w:r>
              <w:rPr>
                <w:rFonts w:ascii="Arial" w:cs="Arial" w:eastAsia="Arial" w:hAnsi="Arial"/>
                <w:sz w:val="18"/>
                <w:szCs w:val="18"/>
                <w:color w:val="auto"/>
                <w:w w:val="99"/>
              </w:rPr>
              <w:t>Carrying</w:t>
            </w: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ind w:right="170"/>
              <w:spacing w:after="0"/>
              <w:rPr>
                <w:sz w:val="20"/>
                <w:szCs w:val="20"/>
                <w:color w:val="auto"/>
              </w:rPr>
            </w:pPr>
            <w:r>
              <w:rPr>
                <w:rFonts w:ascii="Arial" w:cs="Arial" w:eastAsia="Arial" w:hAnsi="Arial"/>
                <w:sz w:val="18"/>
                <w:szCs w:val="18"/>
                <w:color w:val="auto"/>
              </w:rPr>
              <w:t>Principal</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ind w:right="110"/>
              <w:spacing w:after="0"/>
              <w:rPr>
                <w:sz w:val="20"/>
                <w:szCs w:val="20"/>
                <w:color w:val="auto"/>
              </w:rPr>
            </w:pPr>
            <w:r>
              <w:rPr>
                <w:rFonts w:ascii="Arial" w:cs="Arial" w:eastAsia="Arial" w:hAnsi="Arial"/>
                <w:sz w:val="18"/>
                <w:szCs w:val="18"/>
                <w:color w:val="auto"/>
                <w:w w:val="99"/>
              </w:rPr>
              <w:t>Carrying</w:t>
            </w:r>
          </w:p>
        </w:tc>
      </w:tr>
      <w:tr>
        <w:trPr>
          <w:trHeight w:val="242"/>
        </w:trPr>
        <w:tc>
          <w:tcPr>
            <w:tcW w:w="20" w:type="dxa"/>
            <w:vAlign w:val="bottom"/>
            <w:tcBorders>
              <w:bottom w:val="single" w:sz="8" w:color="CCEEFF"/>
            </w:tcBorders>
          </w:tcPr>
          <w:p>
            <w:pPr>
              <w:spacing w:after="0"/>
              <w:rPr>
                <w:sz w:val="21"/>
                <w:szCs w:val="21"/>
                <w:color w:val="auto"/>
              </w:rPr>
            </w:pPr>
          </w:p>
        </w:tc>
        <w:tc>
          <w:tcPr>
            <w:tcW w:w="112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346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0"/>
              </w:rPr>
              <w:t>outstanding</w:t>
            </w:r>
          </w:p>
        </w:tc>
        <w:tc>
          <w:tcPr>
            <w:tcW w:w="2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amount</w:t>
            </w:r>
          </w:p>
        </w:tc>
        <w:tc>
          <w:tcPr>
            <w:tcW w:w="4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0"/>
              </w:rPr>
              <w:t>outstanding</w:t>
            </w:r>
          </w:p>
        </w:tc>
        <w:tc>
          <w:tcPr>
            <w:tcW w:w="2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amount</w:t>
            </w:r>
          </w:p>
        </w:tc>
      </w:tr>
      <w:tr>
        <w:trPr>
          <w:trHeight w:val="203"/>
        </w:trPr>
        <w:tc>
          <w:tcPr>
            <w:tcW w:w="20" w:type="dxa"/>
            <w:vAlign w:val="bottom"/>
            <w:shd w:val="clear" w:color="auto" w:fill="CCEEFF"/>
          </w:tcPr>
          <w:p>
            <w:pPr>
              <w:spacing w:after="0"/>
              <w:rPr>
                <w:sz w:val="17"/>
                <w:szCs w:val="17"/>
                <w:color w:val="auto"/>
              </w:rPr>
            </w:pPr>
          </w:p>
        </w:tc>
        <w:tc>
          <w:tcPr>
            <w:tcW w:w="4600" w:type="dxa"/>
            <w:vAlign w:val="bottom"/>
            <w:gridSpan w:val="3"/>
            <w:shd w:val="clear" w:color="auto" w:fill="CCEEFF"/>
          </w:tcPr>
          <w:p>
            <w:pPr>
              <w:spacing w:after="0" w:line="149" w:lineRule="exact"/>
              <w:rPr>
                <w:sz w:val="20"/>
                <w:szCs w:val="20"/>
                <w:color w:val="auto"/>
              </w:rPr>
            </w:pPr>
            <w:r>
              <w:rPr>
                <w:rFonts w:ascii="Arial" w:cs="Arial" w:eastAsia="Arial" w:hAnsi="Arial"/>
                <w:sz w:val="17"/>
                <w:szCs w:val="17"/>
                <w:color w:val="auto"/>
              </w:rPr>
              <w:t>Short-term debt</w:t>
            </w:r>
          </w:p>
        </w:tc>
        <w:tc>
          <w:tcPr>
            <w:tcW w:w="120" w:type="dxa"/>
            <w:vAlign w:val="bottom"/>
            <w:shd w:val="clear" w:color="auto" w:fill="CCEEFF"/>
          </w:tcPr>
          <w:p>
            <w:pPr>
              <w:jc w:val="right"/>
              <w:spacing w:after="0" w:line="156" w:lineRule="exact"/>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line="156" w:lineRule="exact"/>
              <w:rPr>
                <w:sz w:val="20"/>
                <w:szCs w:val="20"/>
                <w:color w:val="auto"/>
              </w:rPr>
            </w:pPr>
            <w:r>
              <w:rPr>
                <w:rFonts w:ascii="Arial" w:cs="Arial" w:eastAsia="Arial" w:hAnsi="Arial"/>
                <w:sz w:val="18"/>
                <w:szCs w:val="18"/>
                <w:color w:val="auto"/>
              </w:rPr>
              <w:t>106</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line="156" w:lineRule="exact"/>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line="156" w:lineRule="exact"/>
              <w:rPr>
                <w:sz w:val="20"/>
                <w:szCs w:val="20"/>
                <w:color w:val="auto"/>
              </w:rPr>
            </w:pPr>
            <w:r>
              <w:rPr>
                <w:rFonts w:ascii="Arial" w:cs="Arial" w:eastAsia="Arial" w:hAnsi="Arial"/>
                <w:sz w:val="18"/>
                <w:szCs w:val="18"/>
                <w:color w:val="auto"/>
              </w:rPr>
              <w:t>106</w:t>
            </w:r>
          </w:p>
        </w:tc>
        <w:tc>
          <w:tcPr>
            <w:tcW w:w="4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line="156" w:lineRule="exact"/>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line="156" w:lineRule="exact"/>
              <w:rPr>
                <w:sz w:val="20"/>
                <w:szCs w:val="20"/>
                <w:color w:val="auto"/>
              </w:rPr>
            </w:pPr>
            <w:r>
              <w:rPr>
                <w:rFonts w:ascii="Arial" w:cs="Arial" w:eastAsia="Arial" w:hAnsi="Arial"/>
                <w:sz w:val="18"/>
                <w:szCs w:val="18"/>
                <w:color w:val="auto"/>
              </w:rPr>
              <w:t>76</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line="156" w:lineRule="exact"/>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line="156" w:lineRule="exact"/>
              <w:rPr>
                <w:sz w:val="20"/>
                <w:szCs w:val="20"/>
                <w:color w:val="auto"/>
              </w:rPr>
            </w:pPr>
            <w:r>
              <w:rPr>
                <w:rFonts w:ascii="Arial" w:cs="Arial" w:eastAsia="Arial" w:hAnsi="Arial"/>
                <w:sz w:val="18"/>
                <w:szCs w:val="18"/>
                <w:color w:val="auto"/>
              </w:rPr>
              <w:t>76</w:t>
            </w:r>
          </w:p>
        </w:tc>
      </w:tr>
      <w:tr>
        <w:trPr>
          <w:trHeight w:val="216"/>
        </w:trPr>
        <w:tc>
          <w:tcPr>
            <w:tcW w:w="2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34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189"/>
        </w:trPr>
        <w:tc>
          <w:tcPr>
            <w:tcW w:w="20" w:type="dxa"/>
            <w:vAlign w:val="bottom"/>
            <w:shd w:val="clear" w:color="auto" w:fill="CCEEFF"/>
          </w:tcPr>
          <w:p>
            <w:pPr>
              <w:spacing w:after="0"/>
              <w:rPr>
                <w:sz w:val="16"/>
                <w:szCs w:val="16"/>
                <w:color w:val="auto"/>
              </w:rPr>
            </w:pPr>
          </w:p>
        </w:tc>
        <w:tc>
          <w:tcPr>
            <w:tcW w:w="4600" w:type="dxa"/>
            <w:vAlign w:val="bottom"/>
            <w:gridSpan w:val="3"/>
            <w:shd w:val="clear" w:color="auto" w:fill="CCEEFF"/>
          </w:tcPr>
          <w:p>
            <w:pPr>
              <w:spacing w:after="0" w:line="189" w:lineRule="exact"/>
              <w:rPr>
                <w:sz w:val="20"/>
                <w:szCs w:val="20"/>
                <w:color w:val="auto"/>
              </w:rPr>
            </w:pPr>
            <w:r>
              <w:rPr>
                <w:rFonts w:ascii="Arial" w:cs="Arial" w:eastAsia="Arial" w:hAnsi="Arial"/>
                <w:sz w:val="18"/>
                <w:szCs w:val="18"/>
                <w:color w:val="auto"/>
              </w:rPr>
              <w:t>Long-term debt</w:t>
            </w: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r>
      <w:tr>
        <w:trPr>
          <w:trHeight w:val="34"/>
        </w:trPr>
        <w:tc>
          <w:tcPr>
            <w:tcW w:w="20" w:type="dxa"/>
            <w:vAlign w:val="bottom"/>
            <w:tcBorders>
              <w:top w:val="single" w:sz="8" w:color="CCEEFF"/>
            </w:tcBorders>
            <w:shd w:val="clear" w:color="auto" w:fill="CCEEFF"/>
          </w:tcPr>
          <w:p>
            <w:pPr>
              <w:spacing w:after="0"/>
              <w:rPr>
                <w:sz w:val="2"/>
                <w:szCs w:val="2"/>
                <w:color w:val="auto"/>
              </w:rPr>
            </w:pPr>
          </w:p>
        </w:tc>
        <w:tc>
          <w:tcPr>
            <w:tcW w:w="1120" w:type="dxa"/>
            <w:vAlign w:val="bottom"/>
            <w:tcBorders>
              <w:top w:val="single" w:sz="8" w:color="auto"/>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34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0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90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0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900" w:type="dxa"/>
            <w:vAlign w:val="bottom"/>
            <w:tcBorders>
              <w:top w:val="single" w:sz="8" w:color="CCEEFF"/>
            </w:tcBorders>
            <w:shd w:val="clear" w:color="auto" w:fill="CCEEFF"/>
          </w:tcPr>
          <w:p>
            <w:pPr>
              <w:spacing w:after="0"/>
              <w:rPr>
                <w:sz w:val="2"/>
                <w:szCs w:val="2"/>
                <w:color w:val="auto"/>
              </w:rPr>
            </w:pPr>
          </w:p>
        </w:tc>
      </w:tr>
      <w:tr>
        <w:trPr>
          <w:trHeight w:val="229"/>
        </w:trPr>
        <w:tc>
          <w:tcPr>
            <w:tcW w:w="20" w:type="dxa"/>
            <w:vAlign w:val="bottom"/>
          </w:tcPr>
          <w:p>
            <w:pPr>
              <w:spacing w:after="0"/>
              <w:rPr>
                <w:sz w:val="19"/>
                <w:szCs w:val="19"/>
                <w:color w:val="auto"/>
              </w:rPr>
            </w:pPr>
          </w:p>
        </w:tc>
        <w:tc>
          <w:tcPr>
            <w:tcW w:w="4600" w:type="dxa"/>
            <w:vAlign w:val="bottom"/>
            <w:gridSpan w:val="3"/>
          </w:tcPr>
          <w:p>
            <w:pPr>
              <w:spacing w:after="0"/>
              <w:rPr>
                <w:sz w:val="20"/>
                <w:szCs w:val="20"/>
                <w:color w:val="auto"/>
              </w:rPr>
            </w:pPr>
            <w:r>
              <w:rPr>
                <w:rFonts w:ascii="Arial" w:cs="Arial" w:eastAsia="Arial" w:hAnsi="Arial"/>
                <w:sz w:val="18"/>
                <w:szCs w:val="18"/>
                <w:color w:val="auto"/>
              </w:rPr>
              <w:t>Senior secured borrowings:</w:t>
            </w: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460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Revolving credit facilities</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w:t>
            </w:r>
          </w:p>
        </w:tc>
      </w:tr>
      <w:tr>
        <w:trPr>
          <w:trHeight w:val="237"/>
        </w:trPr>
        <w:tc>
          <w:tcPr>
            <w:tcW w:w="20" w:type="dxa"/>
            <w:vAlign w:val="bottom"/>
          </w:tcPr>
          <w:p>
            <w:pPr>
              <w:spacing w:after="0"/>
              <w:rPr>
                <w:sz w:val="20"/>
                <w:szCs w:val="20"/>
                <w:color w:val="auto"/>
              </w:rPr>
            </w:pPr>
          </w:p>
        </w:tc>
        <w:tc>
          <w:tcPr>
            <w:tcW w:w="4600" w:type="dxa"/>
            <w:vAlign w:val="bottom"/>
            <w:gridSpan w:val="3"/>
          </w:tcPr>
          <w:p>
            <w:pPr>
              <w:ind w:left="320"/>
              <w:spacing w:after="0"/>
              <w:rPr>
                <w:sz w:val="20"/>
                <w:szCs w:val="20"/>
                <w:color w:val="auto"/>
              </w:rPr>
            </w:pPr>
            <w:r>
              <w:rPr>
                <w:rFonts w:ascii="Arial" w:cs="Arial" w:eastAsia="Arial" w:hAnsi="Arial"/>
                <w:sz w:val="18"/>
                <w:szCs w:val="18"/>
                <w:color w:val="auto"/>
              </w:rPr>
              <w:t>Term loan facilities</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36"/>
        </w:trPr>
        <w:tc>
          <w:tcPr>
            <w:tcW w:w="20" w:type="dxa"/>
            <w:vAlign w:val="bottom"/>
            <w:shd w:val="clear" w:color="auto" w:fill="CCEEFF"/>
          </w:tcPr>
          <w:p>
            <w:pPr>
              <w:spacing w:after="0"/>
              <w:rPr>
                <w:sz w:val="20"/>
                <w:szCs w:val="20"/>
                <w:color w:val="auto"/>
              </w:rPr>
            </w:pPr>
          </w:p>
        </w:tc>
        <w:tc>
          <w:tcPr>
            <w:tcW w:w="4600" w:type="dxa"/>
            <w:vAlign w:val="bottom"/>
            <w:gridSpan w:val="3"/>
            <w:shd w:val="clear" w:color="auto" w:fill="CCEEFF"/>
          </w:tcPr>
          <w:p>
            <w:pPr>
              <w:ind w:left="640"/>
              <w:spacing w:after="0"/>
              <w:rPr>
                <w:sz w:val="20"/>
                <w:szCs w:val="20"/>
                <w:color w:val="auto"/>
              </w:rPr>
            </w:pPr>
            <w:r>
              <w:rPr>
                <w:rFonts w:ascii="Arial" w:cs="Arial" w:eastAsia="Arial" w:hAnsi="Arial"/>
                <w:sz w:val="18"/>
                <w:szCs w:val="18"/>
                <w:color w:val="auto"/>
              </w:rPr>
              <w:t>U.S. dollar due 2027</w:t>
            </w:r>
          </w:p>
        </w:tc>
        <w:tc>
          <w:tcPr>
            <w:tcW w:w="12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1,800</w:t>
            </w: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1,793</w:t>
            </w:r>
          </w:p>
        </w:tc>
        <w:tc>
          <w:tcPr>
            <w:tcW w:w="4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1,800</w:t>
            </w: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1,792</w:t>
            </w:r>
          </w:p>
        </w:tc>
      </w:tr>
      <w:tr>
        <w:trPr>
          <w:trHeight w:val="230"/>
        </w:trPr>
        <w:tc>
          <w:tcPr>
            <w:tcW w:w="20" w:type="dxa"/>
            <w:vAlign w:val="bottom"/>
          </w:tcPr>
          <w:p>
            <w:pPr>
              <w:spacing w:after="0"/>
              <w:rPr>
                <w:sz w:val="19"/>
                <w:szCs w:val="19"/>
                <w:color w:val="auto"/>
              </w:rPr>
            </w:pPr>
          </w:p>
        </w:tc>
        <w:tc>
          <w:tcPr>
            <w:tcW w:w="4600" w:type="dxa"/>
            <w:vAlign w:val="bottom"/>
            <w:gridSpan w:val="3"/>
          </w:tcPr>
          <w:p>
            <w:pPr>
              <w:ind w:left="640"/>
              <w:spacing w:after="0" w:line="230" w:lineRule="exact"/>
              <w:rPr>
                <w:sz w:val="20"/>
                <w:szCs w:val="20"/>
                <w:color w:val="auto"/>
              </w:rPr>
            </w:pPr>
            <w:r>
              <w:rPr>
                <w:rFonts w:ascii="Arial" w:cs="Arial" w:eastAsia="Arial" w:hAnsi="Arial"/>
                <w:sz w:val="18"/>
                <w:szCs w:val="18"/>
                <w:color w:val="auto"/>
              </w:rPr>
              <w:t>Euro due 2027</w:t>
            </w:r>
            <w:r>
              <w:rPr>
                <w:rFonts w:ascii="Arial" w:cs="Arial" w:eastAsia="Arial" w:hAnsi="Arial"/>
                <w:sz w:val="23"/>
                <w:szCs w:val="23"/>
                <w:color w:val="auto"/>
                <w:vertAlign w:val="superscript"/>
              </w:rPr>
              <w:t>1</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589</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589</w:t>
            </w: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578</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578</w:t>
            </w:r>
          </w:p>
        </w:tc>
      </w:tr>
      <w:tr>
        <w:trPr>
          <w:trHeight w:val="243"/>
        </w:trPr>
        <w:tc>
          <w:tcPr>
            <w:tcW w:w="20" w:type="dxa"/>
            <w:vAlign w:val="bottom"/>
            <w:shd w:val="clear" w:color="auto" w:fill="CCEEFF"/>
          </w:tcPr>
          <w:p>
            <w:pPr>
              <w:spacing w:after="0"/>
              <w:rPr>
                <w:sz w:val="21"/>
                <w:szCs w:val="21"/>
                <w:color w:val="auto"/>
              </w:rPr>
            </w:pPr>
          </w:p>
        </w:tc>
        <w:tc>
          <w:tcPr>
            <w:tcW w:w="4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Senior notes and debentures:</w:t>
            </w:r>
          </w:p>
        </w:tc>
        <w:tc>
          <w:tcPr>
            <w:tcW w:w="12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r>
      <w:tr>
        <w:trPr>
          <w:trHeight w:val="230"/>
        </w:trPr>
        <w:tc>
          <w:tcPr>
            <w:tcW w:w="20" w:type="dxa"/>
            <w:vAlign w:val="bottom"/>
          </w:tcPr>
          <w:p>
            <w:pPr>
              <w:spacing w:after="0"/>
              <w:rPr>
                <w:sz w:val="19"/>
                <w:szCs w:val="19"/>
                <w:color w:val="auto"/>
              </w:rPr>
            </w:pPr>
          </w:p>
        </w:tc>
        <w:tc>
          <w:tcPr>
            <w:tcW w:w="4600" w:type="dxa"/>
            <w:vAlign w:val="bottom"/>
            <w:gridSpan w:val="3"/>
          </w:tcPr>
          <w:p>
            <w:pPr>
              <w:ind w:left="320"/>
              <w:spacing w:after="0"/>
              <w:rPr>
                <w:sz w:val="20"/>
                <w:szCs w:val="20"/>
                <w:color w:val="auto"/>
              </w:rPr>
            </w:pPr>
            <w:r>
              <w:rPr>
                <w:rFonts w:ascii="Arial" w:cs="Arial" w:eastAsia="Arial" w:hAnsi="Arial"/>
                <w:sz w:val="18"/>
                <w:szCs w:val="18"/>
                <w:color w:val="auto"/>
              </w:rPr>
              <w:t>€600 at 2.625% due 2024</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655</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654</w:t>
            </w: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642</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640</w:t>
            </w:r>
          </w:p>
        </w:tc>
      </w:tr>
      <w:tr>
        <w:trPr>
          <w:trHeight w:val="229"/>
        </w:trPr>
        <w:tc>
          <w:tcPr>
            <w:tcW w:w="20" w:type="dxa"/>
            <w:vAlign w:val="bottom"/>
            <w:shd w:val="clear" w:color="auto" w:fill="CCEEFF"/>
          </w:tcPr>
          <w:p>
            <w:pPr>
              <w:spacing w:after="0"/>
              <w:rPr>
                <w:sz w:val="19"/>
                <w:szCs w:val="19"/>
                <w:color w:val="auto"/>
              </w:rPr>
            </w:pPr>
          </w:p>
        </w:tc>
        <w:tc>
          <w:tcPr>
            <w:tcW w:w="460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€600 at 3.375% due 2025</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653</w:t>
            </w:r>
          </w:p>
        </w:tc>
        <w:tc>
          <w:tcPr>
            <w:tcW w:w="4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642</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w:t>
            </w:r>
          </w:p>
        </w:tc>
      </w:tr>
      <w:tr>
        <w:trPr>
          <w:trHeight w:val="237"/>
        </w:trPr>
        <w:tc>
          <w:tcPr>
            <w:tcW w:w="20" w:type="dxa"/>
            <w:vAlign w:val="bottom"/>
          </w:tcPr>
          <w:p>
            <w:pPr>
              <w:spacing w:after="0"/>
              <w:rPr>
                <w:sz w:val="20"/>
                <w:szCs w:val="20"/>
                <w:color w:val="auto"/>
              </w:rPr>
            </w:pPr>
          </w:p>
        </w:tc>
        <w:tc>
          <w:tcPr>
            <w:tcW w:w="4600" w:type="dxa"/>
            <w:vAlign w:val="bottom"/>
            <w:gridSpan w:val="3"/>
          </w:tcPr>
          <w:p>
            <w:pPr>
              <w:ind w:left="320"/>
              <w:spacing w:after="0"/>
              <w:rPr>
                <w:sz w:val="20"/>
                <w:szCs w:val="20"/>
                <w:color w:val="auto"/>
              </w:rPr>
            </w:pPr>
            <w:r>
              <w:rPr>
                <w:rFonts w:ascii="Arial" w:cs="Arial" w:eastAsia="Arial" w:hAnsi="Arial"/>
                <w:sz w:val="18"/>
                <w:szCs w:val="18"/>
                <w:color w:val="auto"/>
              </w:rPr>
              <w:t>U.S. dollar at 4.25% due 2026</w:t>
            </w: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400</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397</w:t>
            </w:r>
          </w:p>
        </w:tc>
        <w:tc>
          <w:tcPr>
            <w:tcW w:w="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400</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397</w:t>
            </w:r>
          </w:p>
        </w:tc>
      </w:tr>
      <w:tr>
        <w:trPr>
          <w:trHeight w:val="236"/>
        </w:trPr>
        <w:tc>
          <w:tcPr>
            <w:tcW w:w="20" w:type="dxa"/>
            <w:vAlign w:val="bottom"/>
            <w:shd w:val="clear" w:color="auto" w:fill="CCEEFF"/>
          </w:tcPr>
          <w:p>
            <w:pPr>
              <w:spacing w:after="0"/>
              <w:rPr>
                <w:sz w:val="20"/>
                <w:szCs w:val="20"/>
                <w:color w:val="auto"/>
              </w:rPr>
            </w:pPr>
          </w:p>
        </w:tc>
        <w:tc>
          <w:tcPr>
            <w:tcW w:w="460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U.S. dollar at 4.75% due 2026</w:t>
            </w:r>
          </w:p>
        </w:tc>
        <w:tc>
          <w:tcPr>
            <w:tcW w:w="12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875</w:t>
            </w: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870</w:t>
            </w:r>
          </w:p>
        </w:tc>
        <w:tc>
          <w:tcPr>
            <w:tcW w:w="4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875</w:t>
            </w: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869</w:t>
            </w:r>
          </w:p>
        </w:tc>
      </w:tr>
      <w:tr>
        <w:trPr>
          <w:trHeight w:val="230"/>
        </w:trPr>
        <w:tc>
          <w:tcPr>
            <w:tcW w:w="20" w:type="dxa"/>
            <w:vAlign w:val="bottom"/>
          </w:tcPr>
          <w:p>
            <w:pPr>
              <w:spacing w:after="0"/>
              <w:rPr>
                <w:sz w:val="19"/>
                <w:szCs w:val="19"/>
                <w:color w:val="auto"/>
              </w:rPr>
            </w:pPr>
          </w:p>
        </w:tc>
        <w:tc>
          <w:tcPr>
            <w:tcW w:w="4600" w:type="dxa"/>
            <w:vAlign w:val="bottom"/>
            <w:gridSpan w:val="3"/>
          </w:tcPr>
          <w:p>
            <w:pPr>
              <w:ind w:left="320"/>
              <w:spacing w:after="0"/>
              <w:rPr>
                <w:sz w:val="20"/>
                <w:szCs w:val="20"/>
                <w:color w:val="auto"/>
              </w:rPr>
            </w:pPr>
            <w:r>
              <w:rPr>
                <w:rFonts w:ascii="Arial" w:cs="Arial" w:eastAsia="Arial" w:hAnsi="Arial"/>
                <w:sz w:val="18"/>
                <w:szCs w:val="18"/>
                <w:color w:val="auto"/>
              </w:rPr>
              <w:t>U.S. dollar at 7.375% due 2026</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350</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349</w:t>
            </w: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350</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348</w:t>
            </w:r>
          </w:p>
        </w:tc>
      </w:tr>
      <w:tr>
        <w:trPr>
          <w:trHeight w:val="243"/>
        </w:trPr>
        <w:tc>
          <w:tcPr>
            <w:tcW w:w="20" w:type="dxa"/>
            <w:vAlign w:val="bottom"/>
            <w:shd w:val="clear" w:color="auto" w:fill="CCEEFF"/>
          </w:tcPr>
          <w:p>
            <w:pPr>
              <w:spacing w:after="0"/>
              <w:rPr>
                <w:sz w:val="21"/>
                <w:szCs w:val="21"/>
                <w:color w:val="auto"/>
              </w:rPr>
            </w:pPr>
          </w:p>
        </w:tc>
        <w:tc>
          <w:tcPr>
            <w:tcW w:w="460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€500 at 5.000% due 2028..........................................</w:t>
            </w:r>
          </w:p>
        </w:tc>
        <w:tc>
          <w:tcPr>
            <w:tcW w:w="1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w:t>
            </w:r>
          </w:p>
        </w:tc>
        <w:tc>
          <w:tcPr>
            <w:tcW w:w="2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w:t>
            </w:r>
          </w:p>
        </w:tc>
        <w:tc>
          <w:tcPr>
            <w:tcW w:w="4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19"/>
                <w:szCs w:val="19"/>
                <w:color w:val="auto"/>
              </w:rPr>
            </w:pPr>
          </w:p>
        </w:tc>
        <w:tc>
          <w:tcPr>
            <w:tcW w:w="4600" w:type="dxa"/>
            <w:vAlign w:val="bottom"/>
            <w:gridSpan w:val="3"/>
          </w:tcPr>
          <w:p>
            <w:pPr>
              <w:ind w:left="320"/>
              <w:spacing w:after="0"/>
              <w:rPr>
                <w:sz w:val="20"/>
                <w:szCs w:val="20"/>
                <w:color w:val="auto"/>
              </w:rPr>
            </w:pPr>
            <w:r>
              <w:rPr>
                <w:rFonts w:ascii="Arial" w:cs="Arial" w:eastAsia="Arial" w:hAnsi="Arial"/>
                <w:sz w:val="18"/>
                <w:szCs w:val="18"/>
                <w:color w:val="auto"/>
              </w:rPr>
              <w:t>€500 at 2.875% due 2026</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546</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544</w:t>
            </w: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536</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532</w:t>
            </w:r>
          </w:p>
        </w:tc>
      </w:tr>
      <w:tr>
        <w:trPr>
          <w:trHeight w:val="229"/>
        </w:trPr>
        <w:tc>
          <w:tcPr>
            <w:tcW w:w="20" w:type="dxa"/>
            <w:vAlign w:val="bottom"/>
            <w:shd w:val="clear" w:color="auto" w:fill="CCEEFF"/>
          </w:tcPr>
          <w:p>
            <w:pPr>
              <w:spacing w:after="0"/>
              <w:rPr>
                <w:sz w:val="19"/>
                <w:szCs w:val="19"/>
                <w:color w:val="auto"/>
              </w:rPr>
            </w:pPr>
          </w:p>
        </w:tc>
        <w:tc>
          <w:tcPr>
            <w:tcW w:w="460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U.S. dollar at 5.25% due 2030</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w:t>
            </w:r>
          </w:p>
        </w:tc>
        <w:tc>
          <w:tcPr>
            <w:tcW w:w="4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w:t>
            </w:r>
          </w:p>
        </w:tc>
      </w:tr>
      <w:tr>
        <w:trPr>
          <w:trHeight w:val="237"/>
        </w:trPr>
        <w:tc>
          <w:tcPr>
            <w:tcW w:w="20" w:type="dxa"/>
            <w:vAlign w:val="bottom"/>
          </w:tcPr>
          <w:p>
            <w:pPr>
              <w:spacing w:after="0"/>
              <w:rPr>
                <w:sz w:val="20"/>
                <w:szCs w:val="20"/>
                <w:color w:val="auto"/>
              </w:rPr>
            </w:pPr>
          </w:p>
        </w:tc>
        <w:tc>
          <w:tcPr>
            <w:tcW w:w="4600" w:type="dxa"/>
            <w:vAlign w:val="bottom"/>
            <w:gridSpan w:val="3"/>
          </w:tcPr>
          <w:p>
            <w:pPr>
              <w:ind w:left="320"/>
              <w:spacing w:after="0"/>
              <w:rPr>
                <w:sz w:val="20"/>
                <w:szCs w:val="20"/>
                <w:color w:val="auto"/>
              </w:rPr>
            </w:pPr>
            <w:r>
              <w:rPr>
                <w:rFonts w:ascii="Arial" w:cs="Arial" w:eastAsia="Arial" w:hAnsi="Arial"/>
                <w:sz w:val="18"/>
                <w:szCs w:val="18"/>
                <w:color w:val="auto"/>
              </w:rPr>
              <w:t>U.S. dollar at 7.50% due 2096</w:t>
            </w: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40</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40</w:t>
            </w:r>
          </w:p>
        </w:tc>
        <w:tc>
          <w:tcPr>
            <w:tcW w:w="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40</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36"/>
        </w:trPr>
        <w:tc>
          <w:tcPr>
            <w:tcW w:w="20" w:type="dxa"/>
            <w:vAlign w:val="bottom"/>
            <w:shd w:val="clear" w:color="auto" w:fill="CCEEFF"/>
          </w:tcPr>
          <w:p>
            <w:pPr>
              <w:spacing w:after="0"/>
              <w:rPr>
                <w:sz w:val="20"/>
                <w:szCs w:val="20"/>
                <w:color w:val="auto"/>
              </w:rPr>
            </w:pPr>
          </w:p>
        </w:tc>
        <w:tc>
          <w:tcPr>
            <w:tcW w:w="4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 indebtedness in various currencies</w:t>
            </w:r>
          </w:p>
        </w:tc>
        <w:tc>
          <w:tcPr>
            <w:tcW w:w="12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20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40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w:t>
            </w:r>
          </w:p>
        </w:tc>
        <w:tc>
          <w:tcPr>
            <w:tcW w:w="20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w:t>
            </w:r>
          </w:p>
        </w:tc>
      </w:tr>
      <w:tr>
        <w:trPr>
          <w:trHeight w:val="223"/>
        </w:trPr>
        <w:tc>
          <w:tcPr>
            <w:tcW w:w="20" w:type="dxa"/>
            <w:vAlign w:val="bottom"/>
          </w:tcPr>
          <w:p>
            <w:pPr>
              <w:spacing w:after="0"/>
              <w:rPr>
                <w:sz w:val="19"/>
                <w:szCs w:val="19"/>
                <w:color w:val="auto"/>
              </w:rPr>
            </w:pPr>
          </w:p>
        </w:tc>
        <w:tc>
          <w:tcPr>
            <w:tcW w:w="4600" w:type="dxa"/>
            <w:vAlign w:val="bottom"/>
            <w:gridSpan w:val="3"/>
          </w:tcPr>
          <w:p>
            <w:pPr>
              <w:ind w:left="640"/>
              <w:spacing w:after="0"/>
              <w:rPr>
                <w:sz w:val="20"/>
                <w:szCs w:val="20"/>
                <w:color w:val="auto"/>
              </w:rPr>
            </w:pPr>
            <w:r>
              <w:rPr>
                <w:rFonts w:ascii="Arial" w:cs="Arial" w:eastAsia="Arial" w:hAnsi="Arial"/>
                <w:sz w:val="18"/>
                <w:szCs w:val="18"/>
                <w:color w:val="auto"/>
              </w:rPr>
              <w:t>Total long-term debt</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7,161</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7,126</w:t>
            </w: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6,934</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6,901</w:t>
            </w:r>
          </w:p>
        </w:tc>
      </w:tr>
      <w:tr>
        <w:trPr>
          <w:trHeight w:val="243"/>
        </w:trPr>
        <w:tc>
          <w:tcPr>
            <w:tcW w:w="20" w:type="dxa"/>
            <w:vAlign w:val="bottom"/>
            <w:shd w:val="clear" w:color="auto" w:fill="CCEEFF"/>
          </w:tcPr>
          <w:p>
            <w:pPr>
              <w:spacing w:after="0"/>
              <w:rPr>
                <w:sz w:val="21"/>
                <w:szCs w:val="21"/>
                <w:color w:val="auto"/>
              </w:rPr>
            </w:pPr>
          </w:p>
        </w:tc>
        <w:tc>
          <w:tcPr>
            <w:tcW w:w="4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Less current maturities</w:t>
            </w:r>
          </w:p>
        </w:tc>
        <w:tc>
          <w:tcPr>
            <w:tcW w:w="12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2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4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2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w:t>
            </w:r>
          </w:p>
        </w:tc>
      </w:tr>
      <w:tr>
        <w:trPr>
          <w:trHeight w:val="223"/>
        </w:trPr>
        <w:tc>
          <w:tcPr>
            <w:tcW w:w="20" w:type="dxa"/>
            <w:vAlign w:val="bottom"/>
          </w:tcPr>
          <w:p>
            <w:pPr>
              <w:spacing w:after="0"/>
              <w:rPr>
                <w:sz w:val="19"/>
                <w:szCs w:val="19"/>
                <w:color w:val="auto"/>
              </w:rPr>
            </w:pPr>
          </w:p>
        </w:tc>
        <w:tc>
          <w:tcPr>
            <w:tcW w:w="4600" w:type="dxa"/>
            <w:vAlign w:val="bottom"/>
            <w:gridSpan w:val="3"/>
          </w:tcPr>
          <w:p>
            <w:pPr>
              <w:ind w:left="640"/>
              <w:spacing w:after="0"/>
              <w:rPr>
                <w:sz w:val="20"/>
                <w:szCs w:val="20"/>
                <w:color w:val="auto"/>
              </w:rPr>
            </w:pPr>
            <w:r>
              <w:rPr>
                <w:rFonts w:ascii="Arial" w:cs="Arial" w:eastAsia="Arial" w:hAnsi="Arial"/>
                <w:sz w:val="18"/>
                <w:szCs w:val="18"/>
                <w:color w:val="auto"/>
              </w:rPr>
              <w:t>Total long-term debt, less current maturities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7,021</w:t>
            </w:r>
          </w:p>
        </w:tc>
        <w:tc>
          <w:tcPr>
            <w:tcW w:w="2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6,986</w:t>
            </w:r>
          </w:p>
        </w:tc>
        <w:tc>
          <w:tcPr>
            <w:tcW w:w="4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6,825</w:t>
            </w:r>
          </w:p>
        </w:tc>
        <w:tc>
          <w:tcPr>
            <w:tcW w:w="2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6,792</w:t>
            </w:r>
          </w:p>
        </w:tc>
      </w:tr>
      <w:tr>
        <w:trPr>
          <w:trHeight w:val="21"/>
        </w:trPr>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 €540 at June 30, 2023 and December 31, 2022</w:t>
      </w:r>
    </w:p>
    <w:p>
      <w:pPr>
        <w:spacing w:after="0" w:line="23" w:lineRule="exact"/>
        <w:rPr>
          <w:sz w:val="20"/>
          <w:szCs w:val="20"/>
          <w:color w:val="auto"/>
        </w:rPr>
      </w:pPr>
    </w:p>
    <w:p>
      <w:pPr>
        <w:ind w:left="660"/>
        <w:spacing w:after="0" w:line="260" w:lineRule="auto"/>
        <w:rPr>
          <w:sz w:val="20"/>
          <w:szCs w:val="20"/>
          <w:color w:val="auto"/>
        </w:rPr>
      </w:pPr>
      <w:r>
        <w:rPr>
          <w:rFonts w:ascii="Arial" w:cs="Arial" w:eastAsia="Arial" w:hAnsi="Arial"/>
          <w:sz w:val="18"/>
          <w:szCs w:val="18"/>
          <w:color w:val="auto"/>
        </w:rPr>
        <w:t>The estimated fair value of the Company’s long-term borrowings, using a market approach incorporating Level 2 inputs such as quoted market prices for the same or similar issues, was $7,140 at June 30, 2023 and $6,922 at December 31, 2022.</w:t>
      </w:r>
    </w:p>
    <w:p>
      <w:pPr>
        <w:spacing w:after="0" w:line="212"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In May 2023, the Company issued €500 principal amount of 5.000% senior unsecured notes due 2028 issued at par by its subsidiary Crown European Holdings S.A. The Company paid $8 in issuance costs that will be amortized over the term of the notes.</w:t>
      </w:r>
    </w:p>
    <w:p>
      <w:pPr>
        <w:spacing w:after="0" w:line="197"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The U.S. dollar term loan interest rate was SOFR plus 1.35% and the Euro term loan interest rate was EURIBOR plus 1.25% at June 30, 2023 and at December 31, 2022.</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360" w:hanging="352"/>
        <w:spacing w:after="0"/>
        <w:tabs>
          <w:tab w:leader="none" w:pos="3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Pension and Other Postretirement Benefits</w:t>
      </w:r>
    </w:p>
    <w:p>
      <w:pPr>
        <w:spacing w:after="0" w:line="256"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The components of net periodic pension and other postretirement benefits costs for the three and six months ended June 30, 2023 and 2022 were as follows:</w:t>
      </w:r>
    </w:p>
    <w:p>
      <w:pPr>
        <w:spacing w:after="0" w:line="89" w:lineRule="exact"/>
        <w:rPr>
          <w:sz w:val="20"/>
          <w:szCs w:val="20"/>
          <w:color w:val="auto"/>
        </w:rPr>
      </w:pPr>
    </w:p>
    <w:tbl>
      <w:tblPr>
        <w:tblLayout w:type="fixed"/>
        <w:tblInd w:w="660"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100" w:type="dxa"/>
            <w:vAlign w:val="bottom"/>
            <w:gridSpan w:val="6"/>
          </w:tcPr>
          <w:p>
            <w:pPr>
              <w:jc w:val="center"/>
              <w:ind w:right="130"/>
              <w:spacing w:after="0"/>
              <w:rPr>
                <w:sz w:val="20"/>
                <w:szCs w:val="20"/>
                <w:color w:val="auto"/>
              </w:rPr>
            </w:pPr>
            <w:r>
              <w:rPr>
                <w:rFonts w:ascii="Arial" w:cs="Arial" w:eastAsia="Arial" w:hAnsi="Arial"/>
                <w:sz w:val="18"/>
                <w:szCs w:val="18"/>
                <w:color w:val="auto"/>
                <w:w w:val="90"/>
              </w:rPr>
              <w:t>Three Months Ended</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100" w:type="dxa"/>
            <w:vAlign w:val="bottom"/>
            <w:gridSpan w:val="6"/>
          </w:tcPr>
          <w:p>
            <w:pPr>
              <w:jc w:val="center"/>
              <w:ind w:right="150"/>
              <w:spacing w:after="0"/>
              <w:rPr>
                <w:sz w:val="20"/>
                <w:szCs w:val="20"/>
                <w:color w:val="auto"/>
              </w:rPr>
            </w:pPr>
            <w:r>
              <w:rPr>
                <w:rFonts w:ascii="Arial" w:cs="Arial" w:eastAsia="Arial" w:hAnsi="Arial"/>
                <w:sz w:val="18"/>
                <w:szCs w:val="18"/>
                <w:color w:val="auto"/>
                <w:w w:val="91"/>
              </w:rPr>
              <w:t>Six Months Ended</w:t>
            </w:r>
          </w:p>
        </w:tc>
      </w:tr>
      <w:tr>
        <w:trPr>
          <w:trHeight w:val="230"/>
        </w:trPr>
        <w:tc>
          <w:tcPr>
            <w:tcW w:w="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5"/>
          </w:tcPr>
          <w:p>
            <w:pPr>
              <w:jc w:val="center"/>
              <w:ind w:left="470"/>
              <w:spacing w:after="0"/>
              <w:rPr>
                <w:sz w:val="20"/>
                <w:szCs w:val="20"/>
                <w:color w:val="auto"/>
              </w:rPr>
            </w:pPr>
            <w:r>
              <w:rPr>
                <w:rFonts w:ascii="Arial" w:cs="Arial" w:eastAsia="Arial" w:hAnsi="Arial"/>
                <w:sz w:val="18"/>
                <w:szCs w:val="18"/>
                <w:color w:val="auto"/>
                <w:w w:val="86"/>
              </w:rPr>
              <w:t>June 30,</w:t>
            </w:r>
          </w:p>
        </w:tc>
        <w:tc>
          <w:tcPr>
            <w:tcW w:w="7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5"/>
          </w:tcPr>
          <w:p>
            <w:pPr>
              <w:jc w:val="center"/>
              <w:ind w:left="470"/>
              <w:spacing w:after="0"/>
              <w:rPr>
                <w:sz w:val="20"/>
                <w:szCs w:val="20"/>
                <w:color w:val="auto"/>
              </w:rPr>
            </w:pPr>
            <w:r>
              <w:rPr>
                <w:rFonts w:ascii="Arial" w:cs="Arial" w:eastAsia="Arial" w:hAnsi="Arial"/>
                <w:sz w:val="18"/>
                <w:szCs w:val="18"/>
                <w:color w:val="auto"/>
                <w:w w:val="86"/>
              </w:rPr>
              <w:t>June 30,</w:t>
            </w:r>
          </w:p>
        </w:tc>
        <w:tc>
          <w:tcPr>
            <w:tcW w:w="780" w:type="dxa"/>
            <w:vAlign w:val="bottom"/>
            <w:tcBorders>
              <w:bottom w:val="single" w:sz="8" w:color="auto"/>
            </w:tcBorders>
          </w:tcPr>
          <w:p>
            <w:pPr>
              <w:spacing w:after="0"/>
              <w:rPr>
                <w:sz w:val="20"/>
                <w:szCs w:val="20"/>
                <w:color w:val="auto"/>
              </w:rPr>
            </w:pPr>
          </w:p>
        </w:tc>
      </w:tr>
      <w:tr>
        <w:trPr>
          <w:trHeight w:val="196"/>
        </w:trPr>
        <w:tc>
          <w:tcPr>
            <w:tcW w:w="20" w:type="dxa"/>
            <w:vAlign w:val="bottom"/>
          </w:tcPr>
          <w:p>
            <w:pPr>
              <w:spacing w:after="0"/>
              <w:rPr>
                <w:sz w:val="17"/>
                <w:szCs w:val="17"/>
                <w:color w:val="auto"/>
              </w:rPr>
            </w:pPr>
          </w:p>
        </w:tc>
        <w:tc>
          <w:tcPr>
            <w:tcW w:w="4620" w:type="dxa"/>
            <w:vAlign w:val="bottom"/>
            <w:gridSpan w:val="3"/>
          </w:tcPr>
          <w:p>
            <w:pPr>
              <w:spacing w:after="0" w:line="196" w:lineRule="exact"/>
              <w:rPr>
                <w:sz w:val="20"/>
                <w:szCs w:val="20"/>
                <w:color w:val="auto"/>
              </w:rPr>
            </w:pPr>
            <w:r>
              <w:rPr>
                <w:rFonts w:ascii="Arial" w:cs="Arial" w:eastAsia="Arial" w:hAnsi="Arial"/>
                <w:sz w:val="18"/>
                <w:szCs w:val="18"/>
                <w:color w:val="auto"/>
              </w:rPr>
              <w:t>Pension benefits – U.S. plans</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jc w:val="right"/>
              <w:ind w:right="250"/>
              <w:spacing w:after="0" w:line="196" w:lineRule="exact"/>
              <w:rPr>
                <w:sz w:val="20"/>
                <w:szCs w:val="20"/>
                <w:color w:val="auto"/>
              </w:rPr>
            </w:pPr>
            <w:r>
              <w:rPr>
                <w:rFonts w:ascii="Arial" w:cs="Arial" w:eastAsia="Arial" w:hAnsi="Arial"/>
                <w:sz w:val="18"/>
                <w:szCs w:val="18"/>
                <w:color w:val="auto"/>
              </w:rPr>
              <w:t>2023</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jc w:val="right"/>
              <w:ind w:right="250"/>
              <w:spacing w:after="0" w:line="196" w:lineRule="exact"/>
              <w:rPr>
                <w:sz w:val="20"/>
                <w:szCs w:val="20"/>
                <w:color w:val="auto"/>
              </w:rPr>
            </w:pPr>
            <w:r>
              <w:rPr>
                <w:rFonts w:ascii="Arial" w:cs="Arial" w:eastAsia="Arial" w:hAnsi="Arial"/>
                <w:sz w:val="18"/>
                <w:szCs w:val="18"/>
                <w:color w:val="auto"/>
              </w:rPr>
              <w:t>2022</w:t>
            </w: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ind w:right="250"/>
              <w:spacing w:after="0" w:line="196" w:lineRule="exact"/>
              <w:rPr>
                <w:sz w:val="20"/>
                <w:szCs w:val="20"/>
                <w:color w:val="auto"/>
              </w:rPr>
            </w:pPr>
            <w:r>
              <w:rPr>
                <w:rFonts w:ascii="Arial" w:cs="Arial" w:eastAsia="Arial" w:hAnsi="Arial"/>
                <w:sz w:val="18"/>
                <w:szCs w:val="18"/>
                <w:color w:val="auto"/>
              </w:rPr>
              <w:t>2023</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jc w:val="right"/>
              <w:ind w:right="270"/>
              <w:spacing w:after="0" w:line="196" w:lineRule="exact"/>
              <w:rPr>
                <w:sz w:val="20"/>
                <w:szCs w:val="20"/>
                <w:color w:val="auto"/>
              </w:rPr>
            </w:pPr>
            <w:r>
              <w:rPr>
                <w:rFonts w:ascii="Arial" w:cs="Arial" w:eastAsia="Arial" w:hAnsi="Arial"/>
                <w:sz w:val="18"/>
                <w:szCs w:val="18"/>
                <w:color w:val="auto"/>
                <w:w w:val="99"/>
              </w:rPr>
              <w:t>2022</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2100" w:type="dxa"/>
            <w:vAlign w:val="bottom"/>
            <w:tcBorders>
              <w:top w:val="single" w:sz="8" w:color="auto"/>
              <w:bottom w:val="single" w:sz="8" w:color="CCEEFF"/>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21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Service cost</w:t>
            </w:r>
          </w:p>
        </w:tc>
        <w:tc>
          <w:tcPr>
            <w:tcW w:w="2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29"/>
        </w:trPr>
        <w:tc>
          <w:tcPr>
            <w:tcW w:w="20" w:type="dxa"/>
            <w:vAlign w:val="bottom"/>
          </w:tcPr>
          <w:p>
            <w:pPr>
              <w:spacing w:after="0"/>
              <w:rPr>
                <w:sz w:val="19"/>
                <w:szCs w:val="19"/>
                <w:color w:val="auto"/>
              </w:rPr>
            </w:pPr>
          </w:p>
        </w:tc>
        <w:tc>
          <w:tcPr>
            <w:tcW w:w="4620" w:type="dxa"/>
            <w:vAlign w:val="bottom"/>
            <w:gridSpan w:val="3"/>
          </w:tcPr>
          <w:p>
            <w:pPr>
              <w:spacing w:after="0"/>
              <w:rPr>
                <w:sz w:val="20"/>
                <w:szCs w:val="20"/>
                <w:color w:val="auto"/>
              </w:rPr>
            </w:pPr>
            <w:r>
              <w:rPr>
                <w:rFonts w:ascii="Arial" w:cs="Arial" w:eastAsia="Arial" w:hAnsi="Arial"/>
                <w:sz w:val="18"/>
                <w:szCs w:val="18"/>
                <w:color w:val="auto"/>
              </w:rPr>
              <w:t>Interest cost</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43"/>
        </w:trPr>
        <w:tc>
          <w:tcPr>
            <w:tcW w:w="20" w:type="dxa"/>
            <w:vAlign w:val="bottom"/>
            <w:shd w:val="clear" w:color="auto" w:fill="CCEEFF"/>
          </w:tcPr>
          <w:p>
            <w:pPr>
              <w:spacing w:after="0"/>
              <w:rPr>
                <w:sz w:val="21"/>
                <w:szCs w:val="21"/>
                <w:color w:val="auto"/>
              </w:rPr>
            </w:pPr>
          </w:p>
        </w:tc>
        <w:tc>
          <w:tcPr>
            <w:tcW w:w="4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Expected return on plan assets</w:t>
            </w: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r>
      <w:tr>
        <w:trPr>
          <w:trHeight w:val="229"/>
        </w:trPr>
        <w:tc>
          <w:tcPr>
            <w:tcW w:w="20" w:type="dxa"/>
            <w:vAlign w:val="bottom"/>
            <w:tcBorders>
              <w:bottom w:val="single" w:sz="8" w:color="CCEEFF"/>
            </w:tcBorders>
          </w:tcPr>
          <w:p>
            <w:pPr>
              <w:spacing w:after="0"/>
              <w:rPr>
                <w:sz w:val="19"/>
                <w:szCs w:val="19"/>
                <w:color w:val="auto"/>
              </w:rPr>
            </w:pPr>
          </w:p>
        </w:tc>
        <w:tc>
          <w:tcPr>
            <w:tcW w:w="462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color w:val="auto"/>
              </w:rPr>
              <w:t>Recognized net loss</w:t>
            </w: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2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20" w:type="dxa"/>
            <w:vAlign w:val="bottom"/>
            <w:tcBorders>
              <w:bottom w:val="single" w:sz="8" w:color="CCEEFF"/>
            </w:tcBorders>
          </w:tcPr>
          <w:p>
            <w:pPr>
              <w:spacing w:after="0"/>
              <w:rPr>
                <w:sz w:val="19"/>
                <w:szCs w:val="19"/>
                <w:color w:val="auto"/>
              </w:rPr>
            </w:pPr>
          </w:p>
        </w:tc>
        <w:tc>
          <w:tcPr>
            <w:tcW w:w="4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2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462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Net periodic cost</w:t>
            </w:r>
          </w:p>
        </w:tc>
        <w:tc>
          <w:tcPr>
            <w:tcW w:w="220" w:type="dxa"/>
            <w:vAlign w:val="bottom"/>
            <w:tcBorders>
              <w:bottom w:val="single" w:sz="8" w:color="auto"/>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21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gridSpan w:val="2"/>
          </w:tcPr>
          <w:p>
            <w:pPr>
              <w:spacing w:after="0" w:line="20" w:lineRule="exact"/>
              <w:rPr>
                <w:sz w:val="1"/>
                <w:szCs w:val="1"/>
                <w:color w:val="auto"/>
              </w:rPr>
            </w:pPr>
          </w:p>
        </w:tc>
      </w:tr>
      <w:tr>
        <w:trPr>
          <w:trHeight w:val="419"/>
        </w:trPr>
        <w:tc>
          <w:tcPr>
            <w:tcW w:w="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100" w:type="dxa"/>
            <w:vAlign w:val="bottom"/>
            <w:gridSpan w:val="6"/>
          </w:tcPr>
          <w:p>
            <w:pPr>
              <w:jc w:val="center"/>
              <w:ind w:right="90"/>
              <w:spacing w:after="0"/>
              <w:rPr>
                <w:sz w:val="20"/>
                <w:szCs w:val="20"/>
                <w:color w:val="auto"/>
              </w:rPr>
            </w:pPr>
            <w:r>
              <w:rPr>
                <w:rFonts w:ascii="Arial" w:cs="Arial" w:eastAsia="Arial" w:hAnsi="Arial"/>
                <w:sz w:val="18"/>
                <w:szCs w:val="18"/>
                <w:color w:val="auto"/>
                <w:w w:val="90"/>
              </w:rPr>
              <w:t>Three Months Ended</w:t>
            </w: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100" w:type="dxa"/>
            <w:vAlign w:val="bottom"/>
            <w:gridSpan w:val="6"/>
          </w:tcPr>
          <w:p>
            <w:pPr>
              <w:jc w:val="center"/>
              <w:ind w:right="110"/>
              <w:spacing w:after="0"/>
              <w:rPr>
                <w:sz w:val="20"/>
                <w:szCs w:val="20"/>
                <w:color w:val="auto"/>
              </w:rPr>
            </w:pPr>
            <w:r>
              <w:rPr>
                <w:rFonts w:ascii="Arial" w:cs="Arial" w:eastAsia="Arial" w:hAnsi="Arial"/>
                <w:sz w:val="18"/>
                <w:szCs w:val="18"/>
                <w:color w:val="auto"/>
                <w:w w:val="91"/>
              </w:rPr>
              <w:t>Six Months Ended</w:t>
            </w:r>
          </w:p>
        </w:tc>
      </w:tr>
      <w:tr>
        <w:trPr>
          <w:trHeight w:val="230"/>
        </w:trPr>
        <w:tc>
          <w:tcPr>
            <w:tcW w:w="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5"/>
          </w:tcPr>
          <w:p>
            <w:pPr>
              <w:jc w:val="center"/>
              <w:ind w:left="510"/>
              <w:spacing w:after="0"/>
              <w:rPr>
                <w:sz w:val="20"/>
                <w:szCs w:val="20"/>
                <w:color w:val="auto"/>
              </w:rPr>
            </w:pPr>
            <w:r>
              <w:rPr>
                <w:rFonts w:ascii="Arial" w:cs="Arial" w:eastAsia="Arial" w:hAnsi="Arial"/>
                <w:sz w:val="18"/>
                <w:szCs w:val="18"/>
                <w:color w:val="auto"/>
                <w:w w:val="86"/>
              </w:rPr>
              <w:t>June 30,</w:t>
            </w:r>
          </w:p>
        </w:tc>
        <w:tc>
          <w:tcPr>
            <w:tcW w:w="7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5"/>
          </w:tcPr>
          <w:p>
            <w:pPr>
              <w:jc w:val="center"/>
              <w:ind w:left="470"/>
              <w:spacing w:after="0"/>
              <w:rPr>
                <w:sz w:val="20"/>
                <w:szCs w:val="20"/>
                <w:color w:val="auto"/>
              </w:rPr>
            </w:pPr>
            <w:r>
              <w:rPr>
                <w:rFonts w:ascii="Arial" w:cs="Arial" w:eastAsia="Arial" w:hAnsi="Arial"/>
                <w:sz w:val="18"/>
                <w:szCs w:val="18"/>
                <w:color w:val="auto"/>
                <w:w w:val="86"/>
              </w:rPr>
              <w:t>June 30,</w:t>
            </w:r>
          </w:p>
        </w:tc>
        <w:tc>
          <w:tcPr>
            <w:tcW w:w="780" w:type="dxa"/>
            <w:vAlign w:val="bottom"/>
            <w:tcBorders>
              <w:bottom w:val="single" w:sz="8" w:color="auto"/>
            </w:tcBorders>
          </w:tcPr>
          <w:p>
            <w:pPr>
              <w:spacing w:after="0"/>
              <w:rPr>
                <w:sz w:val="20"/>
                <w:szCs w:val="20"/>
                <w:color w:val="auto"/>
              </w:rPr>
            </w:pPr>
          </w:p>
        </w:tc>
      </w:tr>
      <w:tr>
        <w:trPr>
          <w:trHeight w:val="196"/>
        </w:trPr>
        <w:tc>
          <w:tcPr>
            <w:tcW w:w="20" w:type="dxa"/>
            <w:vAlign w:val="bottom"/>
          </w:tcPr>
          <w:p>
            <w:pPr>
              <w:spacing w:after="0"/>
              <w:rPr>
                <w:sz w:val="17"/>
                <w:szCs w:val="17"/>
                <w:color w:val="auto"/>
              </w:rPr>
            </w:pPr>
          </w:p>
        </w:tc>
        <w:tc>
          <w:tcPr>
            <w:tcW w:w="4620" w:type="dxa"/>
            <w:vAlign w:val="bottom"/>
            <w:gridSpan w:val="3"/>
          </w:tcPr>
          <w:p>
            <w:pPr>
              <w:spacing w:after="0" w:line="196" w:lineRule="exact"/>
              <w:rPr>
                <w:sz w:val="20"/>
                <w:szCs w:val="20"/>
                <w:color w:val="auto"/>
              </w:rPr>
            </w:pPr>
            <w:r>
              <w:rPr>
                <w:rFonts w:ascii="Arial" w:cs="Arial" w:eastAsia="Arial" w:hAnsi="Arial"/>
                <w:sz w:val="18"/>
                <w:szCs w:val="18"/>
                <w:color w:val="auto"/>
              </w:rPr>
              <w:t>Pension benefits – Non-U.S. plans</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jc w:val="right"/>
              <w:ind w:right="230"/>
              <w:spacing w:after="0" w:line="196" w:lineRule="exact"/>
              <w:rPr>
                <w:sz w:val="20"/>
                <w:szCs w:val="20"/>
                <w:color w:val="auto"/>
              </w:rPr>
            </w:pPr>
            <w:r>
              <w:rPr>
                <w:rFonts w:ascii="Arial" w:cs="Arial" w:eastAsia="Arial" w:hAnsi="Arial"/>
                <w:sz w:val="18"/>
                <w:szCs w:val="18"/>
                <w:color w:val="auto"/>
              </w:rPr>
              <w:t>2023</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jc w:val="right"/>
              <w:ind w:right="230"/>
              <w:spacing w:after="0" w:line="196" w:lineRule="exact"/>
              <w:rPr>
                <w:sz w:val="20"/>
                <w:szCs w:val="20"/>
                <w:color w:val="auto"/>
              </w:rPr>
            </w:pPr>
            <w:r>
              <w:rPr>
                <w:rFonts w:ascii="Arial" w:cs="Arial" w:eastAsia="Arial" w:hAnsi="Arial"/>
                <w:sz w:val="18"/>
                <w:szCs w:val="18"/>
                <w:color w:val="auto"/>
              </w:rPr>
              <w:t>2022</w:t>
            </w: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ind w:right="250"/>
              <w:spacing w:after="0" w:line="196" w:lineRule="exact"/>
              <w:rPr>
                <w:sz w:val="20"/>
                <w:szCs w:val="20"/>
                <w:color w:val="auto"/>
              </w:rPr>
            </w:pPr>
            <w:r>
              <w:rPr>
                <w:rFonts w:ascii="Arial" w:cs="Arial" w:eastAsia="Arial" w:hAnsi="Arial"/>
                <w:sz w:val="18"/>
                <w:szCs w:val="18"/>
                <w:color w:val="auto"/>
              </w:rPr>
              <w:t>2023</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jc w:val="right"/>
              <w:ind w:right="250"/>
              <w:spacing w:after="0" w:line="196" w:lineRule="exact"/>
              <w:rPr>
                <w:sz w:val="20"/>
                <w:szCs w:val="20"/>
                <w:color w:val="auto"/>
              </w:rPr>
            </w:pPr>
            <w:r>
              <w:rPr>
                <w:rFonts w:ascii="Arial" w:cs="Arial" w:eastAsia="Arial" w:hAnsi="Arial"/>
                <w:sz w:val="18"/>
                <w:szCs w:val="18"/>
                <w:color w:val="auto"/>
              </w:rPr>
              <w:t>2022</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100" w:type="dxa"/>
            <w:vAlign w:val="bottom"/>
            <w:tcBorders>
              <w:top w:val="single" w:sz="8" w:color="auto"/>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CCEEFF"/>
            </w:tcBorders>
          </w:tcPr>
          <w:p>
            <w:pPr>
              <w:spacing w:after="0" w:line="20" w:lineRule="exact"/>
              <w:rPr>
                <w:sz w:val="1"/>
                <w:szCs w:val="1"/>
                <w:color w:val="auto"/>
              </w:rPr>
            </w:pPr>
          </w:p>
        </w:tc>
        <w:tc>
          <w:tcPr>
            <w:tcW w:w="21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Service cost</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shd w:val="clear" w:color="auto" w:fill="CCEEFF"/>
          </w:tcPr>
          <w:p>
            <w:pPr>
              <w:spacing w:after="0"/>
              <w:rPr>
                <w:sz w:val="19"/>
                <w:szCs w:val="19"/>
                <w:color w:val="auto"/>
              </w:rPr>
            </w:pPr>
          </w:p>
        </w:tc>
        <w:tc>
          <w:tcPr>
            <w:tcW w:w="240" w:type="dxa"/>
            <w:vAlign w:val="bottom"/>
            <w:gridSpan w:val="2"/>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 w:type="dxa"/>
            <w:vAlign w:val="bottom"/>
            <w:shd w:val="clear" w:color="auto" w:fill="CCEEFF"/>
          </w:tcPr>
          <w:p>
            <w:pPr>
              <w:spacing w:after="0"/>
              <w:rPr>
                <w:sz w:val="19"/>
                <w:szCs w:val="19"/>
                <w:color w:val="auto"/>
              </w:rPr>
            </w:pPr>
          </w:p>
        </w:tc>
        <w:tc>
          <w:tcPr>
            <w:tcW w:w="220" w:type="dxa"/>
            <w:vAlign w:val="bottom"/>
            <w:gridSpan w:val="2"/>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29"/>
        </w:trPr>
        <w:tc>
          <w:tcPr>
            <w:tcW w:w="20" w:type="dxa"/>
            <w:vAlign w:val="bottom"/>
          </w:tcPr>
          <w:p>
            <w:pPr>
              <w:spacing w:after="0"/>
              <w:rPr>
                <w:sz w:val="19"/>
                <w:szCs w:val="19"/>
                <w:color w:val="auto"/>
              </w:rPr>
            </w:pPr>
          </w:p>
        </w:tc>
        <w:tc>
          <w:tcPr>
            <w:tcW w:w="4620" w:type="dxa"/>
            <w:vAlign w:val="bottom"/>
            <w:gridSpan w:val="3"/>
          </w:tcPr>
          <w:p>
            <w:pPr>
              <w:spacing w:after="0"/>
              <w:rPr>
                <w:sz w:val="20"/>
                <w:szCs w:val="20"/>
                <w:color w:val="auto"/>
              </w:rPr>
            </w:pPr>
            <w:r>
              <w:rPr>
                <w:rFonts w:ascii="Arial" w:cs="Arial" w:eastAsia="Arial" w:hAnsi="Arial"/>
                <w:sz w:val="18"/>
                <w:szCs w:val="18"/>
                <w:color w:val="auto"/>
              </w:rPr>
              <w:t>Interest cost</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43"/>
        </w:trPr>
        <w:tc>
          <w:tcPr>
            <w:tcW w:w="20" w:type="dxa"/>
            <w:vAlign w:val="bottom"/>
            <w:shd w:val="clear" w:color="auto" w:fill="CCEEFF"/>
          </w:tcPr>
          <w:p>
            <w:pPr>
              <w:spacing w:after="0"/>
              <w:rPr>
                <w:sz w:val="21"/>
                <w:szCs w:val="21"/>
                <w:color w:val="auto"/>
              </w:rPr>
            </w:pPr>
          </w:p>
        </w:tc>
        <w:tc>
          <w:tcPr>
            <w:tcW w:w="4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Expected return on plan assets</w:t>
            </w: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29"/>
        </w:trPr>
        <w:tc>
          <w:tcPr>
            <w:tcW w:w="20" w:type="dxa"/>
            <w:vAlign w:val="bottom"/>
          </w:tcPr>
          <w:p>
            <w:pPr>
              <w:spacing w:after="0"/>
              <w:rPr>
                <w:sz w:val="19"/>
                <w:szCs w:val="19"/>
                <w:color w:val="auto"/>
              </w:rPr>
            </w:pPr>
          </w:p>
        </w:tc>
        <w:tc>
          <w:tcPr>
            <w:tcW w:w="4620" w:type="dxa"/>
            <w:vAlign w:val="bottom"/>
            <w:gridSpan w:val="3"/>
          </w:tcPr>
          <w:p>
            <w:pPr>
              <w:spacing w:after="0"/>
              <w:rPr>
                <w:sz w:val="20"/>
                <w:szCs w:val="20"/>
                <w:color w:val="auto"/>
              </w:rPr>
            </w:pPr>
            <w:r>
              <w:rPr>
                <w:rFonts w:ascii="Arial" w:cs="Arial" w:eastAsia="Arial" w:hAnsi="Arial"/>
                <w:sz w:val="18"/>
                <w:szCs w:val="18"/>
                <w:color w:val="auto"/>
              </w:rPr>
              <w:t>Recognized net loss</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30"/>
        </w:trPr>
        <w:tc>
          <w:tcPr>
            <w:tcW w:w="20" w:type="dxa"/>
            <w:vAlign w:val="bottom"/>
            <w:tcBorders>
              <w:bottom w:val="single" w:sz="8" w:color="CCEEFF"/>
            </w:tcBorders>
            <w:shd w:val="clear" w:color="auto" w:fill="CCEEFF"/>
          </w:tcPr>
          <w:p>
            <w:pPr>
              <w:spacing w:after="0"/>
              <w:rPr>
                <w:sz w:val="19"/>
                <w:szCs w:val="19"/>
                <w:color w:val="auto"/>
              </w:rPr>
            </w:pPr>
          </w:p>
        </w:tc>
        <w:tc>
          <w:tcPr>
            <w:tcW w:w="462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Special termination benefits</w:t>
            </w:r>
          </w:p>
        </w:tc>
        <w:tc>
          <w:tcPr>
            <w:tcW w:w="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20"/>
                <w:szCs w:val="20"/>
                <w:color w:val="auto"/>
              </w:rPr>
            </w:pPr>
          </w:p>
        </w:tc>
        <w:tc>
          <w:tcPr>
            <w:tcW w:w="4620" w:type="dxa"/>
            <w:vAlign w:val="bottom"/>
            <w:gridSpan w:val="3"/>
          </w:tcPr>
          <w:p>
            <w:pPr>
              <w:spacing w:after="0"/>
              <w:rPr>
                <w:sz w:val="20"/>
                <w:szCs w:val="20"/>
                <w:color w:val="auto"/>
              </w:rPr>
            </w:pPr>
            <w:r>
              <w:rPr>
                <w:rFonts w:ascii="Arial" w:cs="Arial" w:eastAsia="Arial" w:hAnsi="Arial"/>
                <w:sz w:val="18"/>
                <w:szCs w:val="18"/>
                <w:color w:val="auto"/>
              </w:rPr>
              <w:t>Net periodic cost</w:t>
            </w:r>
          </w:p>
        </w:tc>
        <w:tc>
          <w:tcPr>
            <w:tcW w:w="20" w:type="dxa"/>
            <w:vAlign w:val="bottom"/>
          </w:tcPr>
          <w:p>
            <w:pPr>
              <w:spacing w:after="0"/>
              <w:rPr>
                <w:sz w:val="20"/>
                <w:szCs w:val="20"/>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20" w:type="dxa"/>
            <w:vAlign w:val="bottom"/>
            <w:tcBorders>
              <w:bottom w:val="single" w:sz="8" w:color="auto"/>
            </w:tcBorders>
          </w:tcPr>
          <w:p>
            <w:pPr>
              <w:spacing w:after="0"/>
              <w:rPr>
                <w:sz w:val="20"/>
                <w:szCs w:val="20"/>
                <w:color w:val="auto"/>
              </w:rPr>
            </w:pPr>
          </w:p>
        </w:tc>
        <w:tc>
          <w:tcPr>
            <w:tcW w:w="240" w:type="dxa"/>
            <w:vAlign w:val="bottom"/>
            <w:gridSpan w:val="2"/>
          </w:tcPr>
          <w:p>
            <w:pPr>
              <w:spacing w:after="0"/>
              <w:rPr>
                <w:sz w:val="20"/>
                <w:szCs w:val="20"/>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20" w:type="dxa"/>
            <w:vAlign w:val="bottom"/>
            <w:tcBorders>
              <w:bottom w:val="single" w:sz="8" w:color="auto"/>
            </w:tcBorders>
          </w:tcPr>
          <w:p>
            <w:pPr>
              <w:spacing w:after="0"/>
              <w:rPr>
                <w:sz w:val="20"/>
                <w:szCs w:val="20"/>
                <w:color w:val="auto"/>
              </w:rPr>
            </w:pPr>
          </w:p>
        </w:tc>
        <w:tc>
          <w:tcPr>
            <w:tcW w:w="220" w:type="dxa"/>
            <w:vAlign w:val="bottom"/>
            <w:gridSpan w:val="2"/>
          </w:tcPr>
          <w:p>
            <w:pPr>
              <w:spacing w:after="0"/>
              <w:rPr>
                <w:sz w:val="20"/>
                <w:szCs w:val="20"/>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r>
      <w:tr>
        <w:trPr>
          <w:trHeight w:val="27"/>
        </w:trPr>
        <w:tc>
          <w:tcPr>
            <w:tcW w:w="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21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gridSpan w:val="2"/>
          </w:tcPr>
          <w:p>
            <w:pPr>
              <w:spacing w:after="0"/>
              <w:rPr>
                <w:sz w:val="2"/>
                <w:szCs w:val="2"/>
                <w:color w:val="auto"/>
              </w:rPr>
            </w:pPr>
          </w:p>
        </w:tc>
        <w:tc>
          <w:tcPr>
            <w:tcW w:w="240" w:type="dxa"/>
            <w:vAlign w:val="bottom"/>
            <w:gridSpan w:val="2"/>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gridSpan w:val="2"/>
          </w:tcPr>
          <w:p>
            <w:pPr>
              <w:spacing w:after="0"/>
              <w:rPr>
                <w:sz w:val="2"/>
                <w:szCs w:val="2"/>
                <w:color w:val="auto"/>
              </w:rPr>
            </w:pPr>
          </w:p>
        </w:tc>
        <w:tc>
          <w:tcPr>
            <w:tcW w:w="220" w:type="dxa"/>
            <w:vAlign w:val="bottom"/>
            <w:gridSpan w:val="2"/>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r>
      <w:tr>
        <w:trPr>
          <w:trHeight w:val="600"/>
        </w:trPr>
        <w:tc>
          <w:tcPr>
            <w:tcW w:w="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100" w:type="dxa"/>
            <w:vAlign w:val="bottom"/>
            <w:gridSpan w:val="6"/>
          </w:tcPr>
          <w:p>
            <w:pPr>
              <w:jc w:val="center"/>
              <w:ind w:right="90"/>
              <w:spacing w:after="0"/>
              <w:rPr>
                <w:sz w:val="20"/>
                <w:szCs w:val="20"/>
                <w:color w:val="auto"/>
              </w:rPr>
            </w:pPr>
            <w:r>
              <w:rPr>
                <w:rFonts w:ascii="Arial" w:cs="Arial" w:eastAsia="Arial" w:hAnsi="Arial"/>
                <w:sz w:val="18"/>
                <w:szCs w:val="18"/>
                <w:color w:val="auto"/>
                <w:w w:val="90"/>
              </w:rPr>
              <w:t>Three Months Ended</w:t>
            </w: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100" w:type="dxa"/>
            <w:vAlign w:val="bottom"/>
            <w:gridSpan w:val="6"/>
          </w:tcPr>
          <w:p>
            <w:pPr>
              <w:jc w:val="center"/>
              <w:ind w:right="110"/>
              <w:spacing w:after="0"/>
              <w:rPr>
                <w:sz w:val="20"/>
                <w:szCs w:val="20"/>
                <w:color w:val="auto"/>
              </w:rPr>
            </w:pPr>
            <w:r>
              <w:rPr>
                <w:rFonts w:ascii="Arial" w:cs="Arial" w:eastAsia="Arial" w:hAnsi="Arial"/>
                <w:sz w:val="18"/>
                <w:szCs w:val="18"/>
                <w:color w:val="auto"/>
                <w:w w:val="91"/>
              </w:rPr>
              <w:t>Six Months Ended</w:t>
            </w:r>
          </w:p>
        </w:tc>
      </w:tr>
      <w:tr>
        <w:trPr>
          <w:trHeight w:val="230"/>
        </w:trPr>
        <w:tc>
          <w:tcPr>
            <w:tcW w:w="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5"/>
          </w:tcPr>
          <w:p>
            <w:pPr>
              <w:jc w:val="center"/>
              <w:ind w:left="510"/>
              <w:spacing w:after="0"/>
              <w:rPr>
                <w:sz w:val="20"/>
                <w:szCs w:val="20"/>
                <w:color w:val="auto"/>
              </w:rPr>
            </w:pPr>
            <w:r>
              <w:rPr>
                <w:rFonts w:ascii="Arial" w:cs="Arial" w:eastAsia="Arial" w:hAnsi="Arial"/>
                <w:sz w:val="18"/>
                <w:szCs w:val="18"/>
                <w:color w:val="auto"/>
                <w:w w:val="86"/>
              </w:rPr>
              <w:t>June 30,</w:t>
            </w:r>
          </w:p>
        </w:tc>
        <w:tc>
          <w:tcPr>
            <w:tcW w:w="7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5"/>
          </w:tcPr>
          <w:p>
            <w:pPr>
              <w:jc w:val="center"/>
              <w:ind w:left="470"/>
              <w:spacing w:after="0"/>
              <w:rPr>
                <w:sz w:val="20"/>
                <w:szCs w:val="20"/>
                <w:color w:val="auto"/>
              </w:rPr>
            </w:pPr>
            <w:r>
              <w:rPr>
                <w:rFonts w:ascii="Arial" w:cs="Arial" w:eastAsia="Arial" w:hAnsi="Arial"/>
                <w:sz w:val="18"/>
                <w:szCs w:val="18"/>
                <w:color w:val="auto"/>
                <w:w w:val="86"/>
              </w:rPr>
              <w:t>June 30,</w:t>
            </w:r>
          </w:p>
        </w:tc>
        <w:tc>
          <w:tcPr>
            <w:tcW w:w="780" w:type="dxa"/>
            <w:vAlign w:val="bottom"/>
            <w:tcBorders>
              <w:bottom w:val="single" w:sz="8" w:color="auto"/>
            </w:tcBorders>
          </w:tcPr>
          <w:p>
            <w:pPr>
              <w:spacing w:after="0"/>
              <w:rPr>
                <w:sz w:val="20"/>
                <w:szCs w:val="20"/>
                <w:color w:val="auto"/>
              </w:rPr>
            </w:pPr>
          </w:p>
        </w:tc>
      </w:tr>
      <w:tr>
        <w:trPr>
          <w:trHeight w:val="183"/>
        </w:trPr>
        <w:tc>
          <w:tcPr>
            <w:tcW w:w="20" w:type="dxa"/>
            <w:vAlign w:val="bottom"/>
          </w:tcPr>
          <w:p>
            <w:pPr>
              <w:spacing w:after="0"/>
              <w:rPr>
                <w:sz w:val="15"/>
                <w:szCs w:val="15"/>
                <w:color w:val="auto"/>
              </w:rPr>
            </w:pPr>
          </w:p>
        </w:tc>
        <w:tc>
          <w:tcPr>
            <w:tcW w:w="4620" w:type="dxa"/>
            <w:vAlign w:val="bottom"/>
            <w:gridSpan w:val="3"/>
          </w:tcPr>
          <w:p>
            <w:pPr>
              <w:spacing w:after="0" w:line="182" w:lineRule="exact"/>
              <w:rPr>
                <w:sz w:val="20"/>
                <w:szCs w:val="20"/>
                <w:color w:val="auto"/>
              </w:rPr>
            </w:pPr>
            <w:r>
              <w:rPr>
                <w:rFonts w:ascii="Arial" w:cs="Arial" w:eastAsia="Arial" w:hAnsi="Arial"/>
                <w:sz w:val="18"/>
                <w:szCs w:val="18"/>
                <w:color w:val="auto"/>
              </w:rPr>
              <w:t>Other postretirement benefits</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jc w:val="right"/>
              <w:ind w:right="230"/>
              <w:spacing w:after="0" w:line="182" w:lineRule="exact"/>
              <w:rPr>
                <w:sz w:val="20"/>
                <w:szCs w:val="20"/>
                <w:color w:val="auto"/>
              </w:rPr>
            </w:pPr>
            <w:r>
              <w:rPr>
                <w:rFonts w:ascii="Arial" w:cs="Arial" w:eastAsia="Arial" w:hAnsi="Arial"/>
                <w:sz w:val="18"/>
                <w:szCs w:val="18"/>
                <w:color w:val="auto"/>
              </w:rPr>
              <w:t>2023</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ind w:right="230"/>
              <w:spacing w:after="0" w:line="182" w:lineRule="exact"/>
              <w:rPr>
                <w:sz w:val="20"/>
                <w:szCs w:val="20"/>
                <w:color w:val="auto"/>
              </w:rPr>
            </w:pPr>
            <w:r>
              <w:rPr>
                <w:rFonts w:ascii="Arial" w:cs="Arial" w:eastAsia="Arial" w:hAnsi="Arial"/>
                <w:sz w:val="18"/>
                <w:szCs w:val="18"/>
                <w:color w:val="auto"/>
              </w:rPr>
              <w:t>2022</w:t>
            </w: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jc w:val="right"/>
              <w:ind w:right="250"/>
              <w:spacing w:after="0" w:line="182" w:lineRule="exact"/>
              <w:rPr>
                <w:sz w:val="20"/>
                <w:szCs w:val="20"/>
                <w:color w:val="auto"/>
              </w:rPr>
            </w:pPr>
            <w:r>
              <w:rPr>
                <w:rFonts w:ascii="Arial" w:cs="Arial" w:eastAsia="Arial" w:hAnsi="Arial"/>
                <w:sz w:val="18"/>
                <w:szCs w:val="18"/>
                <w:color w:val="auto"/>
              </w:rPr>
              <w:t>2023</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tcPr>
          <w:p>
            <w:pPr>
              <w:jc w:val="right"/>
              <w:ind w:right="250"/>
              <w:spacing w:after="0" w:line="182" w:lineRule="exact"/>
              <w:rPr>
                <w:sz w:val="20"/>
                <w:szCs w:val="20"/>
                <w:color w:val="auto"/>
              </w:rPr>
            </w:pPr>
            <w:r>
              <w:rPr>
                <w:rFonts w:ascii="Arial" w:cs="Arial" w:eastAsia="Arial" w:hAnsi="Arial"/>
                <w:sz w:val="18"/>
                <w:szCs w:val="18"/>
                <w:color w:val="auto"/>
              </w:rPr>
              <w:t>2022</w:t>
            </w:r>
          </w:p>
        </w:tc>
      </w:tr>
      <w:tr>
        <w:trPr>
          <w:trHeight w:val="20"/>
        </w:trPr>
        <w:tc>
          <w:tcPr>
            <w:tcW w:w="20" w:type="dxa"/>
            <w:vAlign w:val="bottom"/>
          </w:tcPr>
          <w:p>
            <w:pPr>
              <w:spacing w:after="0" w:line="20" w:lineRule="exact"/>
              <w:rPr>
                <w:sz w:val="1"/>
                <w:szCs w:val="1"/>
                <w:color w:val="auto"/>
              </w:rPr>
            </w:pPr>
          </w:p>
        </w:tc>
        <w:tc>
          <w:tcPr>
            <w:tcW w:w="2100" w:type="dxa"/>
            <w:vAlign w:val="bottom"/>
            <w:tcBorders>
              <w:top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Interest cost</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37"/>
        </w:trPr>
        <w:tc>
          <w:tcPr>
            <w:tcW w:w="20" w:type="dxa"/>
            <w:vAlign w:val="bottom"/>
          </w:tcPr>
          <w:p>
            <w:pPr>
              <w:spacing w:after="0"/>
              <w:rPr>
                <w:sz w:val="20"/>
                <w:szCs w:val="20"/>
                <w:color w:val="auto"/>
              </w:rPr>
            </w:pPr>
          </w:p>
        </w:tc>
        <w:tc>
          <w:tcPr>
            <w:tcW w:w="4620" w:type="dxa"/>
            <w:vAlign w:val="bottom"/>
            <w:gridSpan w:val="3"/>
          </w:tcPr>
          <w:p>
            <w:pPr>
              <w:spacing w:after="0"/>
              <w:rPr>
                <w:sz w:val="20"/>
                <w:szCs w:val="20"/>
                <w:color w:val="auto"/>
              </w:rPr>
            </w:pPr>
            <w:r>
              <w:rPr>
                <w:rFonts w:ascii="Arial" w:cs="Arial" w:eastAsia="Arial" w:hAnsi="Arial"/>
                <w:sz w:val="18"/>
                <w:szCs w:val="18"/>
                <w:color w:val="auto"/>
              </w:rPr>
              <w:t>Recognized prior service credit</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36"/>
        </w:trPr>
        <w:tc>
          <w:tcPr>
            <w:tcW w:w="20" w:type="dxa"/>
            <w:vAlign w:val="bottom"/>
            <w:tcBorders>
              <w:bottom w:val="single" w:sz="8" w:color="CCEEFF"/>
            </w:tcBorders>
            <w:shd w:val="clear" w:color="auto" w:fill="CCEEFF"/>
          </w:tcPr>
          <w:p>
            <w:pPr>
              <w:spacing w:after="0"/>
              <w:rPr>
                <w:sz w:val="20"/>
                <w:szCs w:val="20"/>
                <w:color w:val="auto"/>
              </w:rPr>
            </w:pPr>
          </w:p>
        </w:tc>
        <w:tc>
          <w:tcPr>
            <w:tcW w:w="462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Recognized net loss</w:t>
            </w:r>
          </w:p>
        </w:tc>
        <w:tc>
          <w:tcPr>
            <w:tcW w:w="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tcBorders>
              <w:bottom w:val="single" w:sz="8" w:color="auto"/>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23"/>
        </w:trPr>
        <w:tc>
          <w:tcPr>
            <w:tcW w:w="20" w:type="dxa"/>
            <w:vAlign w:val="bottom"/>
          </w:tcPr>
          <w:p>
            <w:pPr>
              <w:spacing w:after="0"/>
              <w:rPr>
                <w:sz w:val="19"/>
                <w:szCs w:val="19"/>
                <w:color w:val="auto"/>
              </w:rPr>
            </w:pPr>
          </w:p>
        </w:tc>
        <w:tc>
          <w:tcPr>
            <w:tcW w:w="4620" w:type="dxa"/>
            <w:vAlign w:val="bottom"/>
            <w:gridSpan w:val="3"/>
          </w:tcPr>
          <w:p>
            <w:pPr>
              <w:spacing w:after="0"/>
              <w:rPr>
                <w:sz w:val="20"/>
                <w:szCs w:val="20"/>
                <w:color w:val="auto"/>
              </w:rPr>
            </w:pPr>
            <w:r>
              <w:rPr>
                <w:rFonts w:ascii="Arial" w:cs="Arial" w:eastAsia="Arial" w:hAnsi="Arial"/>
                <w:sz w:val="18"/>
                <w:szCs w:val="18"/>
                <w:color w:val="auto"/>
              </w:rPr>
              <w:t>Net periodic cost / (benefit)</w:t>
            </w:r>
          </w:p>
        </w:tc>
        <w:tc>
          <w:tcPr>
            <w:tcW w:w="220" w:type="dxa"/>
            <w:vAlign w:val="bottom"/>
            <w:gridSpan w:val="2"/>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w:t>
            </w:r>
          </w:p>
        </w:tc>
        <w:tc>
          <w:tcPr>
            <w:tcW w:w="500" w:type="dxa"/>
            <w:vAlign w:val="bottom"/>
            <w:gridSpan w:val="4"/>
          </w:tcPr>
          <w:p>
            <w:pPr>
              <w:jc w:val="right"/>
              <w:ind w:right="5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w:t>
            </w:r>
          </w:p>
        </w:tc>
        <w:tc>
          <w:tcPr>
            <w:tcW w:w="660" w:type="dxa"/>
            <w:vAlign w:val="bottom"/>
            <w:gridSpan w:val="3"/>
          </w:tcPr>
          <w:p>
            <w:pPr>
              <w:jc w:val="right"/>
              <w:ind w:right="3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w:t>
            </w:r>
          </w:p>
        </w:tc>
        <w:tc>
          <w:tcPr>
            <w:tcW w:w="500" w:type="dxa"/>
            <w:vAlign w:val="bottom"/>
            <w:gridSpan w:val="4"/>
          </w:tcPr>
          <w:p>
            <w:pPr>
              <w:jc w:val="right"/>
              <w:ind w:right="7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0"/>
        </w:trPr>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The components of net periodic cost / (benefit) other than the service cost component are included in other pension and postretirement in the Consolidated Statement of Operations.</w:t>
      </w:r>
    </w:p>
    <w:p>
      <w:pPr>
        <w:spacing w:after="0" w:line="19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provides information about amounts reclassified from accumulated other comprehensive income.</w:t>
      </w:r>
    </w:p>
    <w:p>
      <w:pPr>
        <w:spacing w:after="0" w:line="293"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2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20" w:type="dxa"/>
            <w:vAlign w:val="bottom"/>
            <w:gridSpan w:val="4"/>
          </w:tcPr>
          <w:p>
            <w:pPr>
              <w:jc w:val="right"/>
              <w:ind w:right="150"/>
              <w:spacing w:after="0"/>
              <w:rPr>
                <w:sz w:val="20"/>
                <w:szCs w:val="20"/>
                <w:color w:val="auto"/>
              </w:rPr>
            </w:pPr>
            <w:r>
              <w:rPr>
                <w:rFonts w:ascii="Arial" w:cs="Arial" w:eastAsia="Arial" w:hAnsi="Arial"/>
                <w:sz w:val="18"/>
                <w:szCs w:val="18"/>
                <w:color w:val="auto"/>
                <w:w w:val="92"/>
              </w:rPr>
              <w:t>Three Months Ended</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40" w:type="dxa"/>
            <w:vAlign w:val="bottom"/>
            <w:gridSpan w:val="4"/>
          </w:tcPr>
          <w:p>
            <w:pPr>
              <w:ind w:left="100"/>
              <w:spacing w:after="0"/>
              <w:rPr>
                <w:sz w:val="20"/>
                <w:szCs w:val="20"/>
                <w:color w:val="auto"/>
              </w:rPr>
            </w:pPr>
            <w:r>
              <w:rPr>
                <w:rFonts w:ascii="Arial" w:cs="Arial" w:eastAsia="Arial" w:hAnsi="Arial"/>
                <w:sz w:val="18"/>
                <w:szCs w:val="18"/>
                <w:color w:val="auto"/>
              </w:rPr>
              <w:t>Six Months Ended</w:t>
            </w:r>
          </w:p>
        </w:tc>
        <w:tc>
          <w:tcPr>
            <w:tcW w:w="140" w:type="dxa"/>
            <w:vAlign w:val="bottom"/>
          </w:tcPr>
          <w:p>
            <w:pPr>
              <w:spacing w:after="0"/>
              <w:rPr>
                <w:sz w:val="19"/>
                <w:szCs w:val="19"/>
                <w:color w:val="auto"/>
              </w:rPr>
            </w:pPr>
          </w:p>
        </w:tc>
        <w:tc>
          <w:tcPr>
            <w:tcW w:w="2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June 30,</w:t>
            </w:r>
          </w:p>
        </w:tc>
        <w:tc>
          <w:tcPr>
            <w:tcW w:w="6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gridSpan w:val="3"/>
          </w:tcPr>
          <w:p>
            <w:pPr>
              <w:ind w:left="480"/>
              <w:spacing w:after="0"/>
              <w:rPr>
                <w:sz w:val="20"/>
                <w:szCs w:val="20"/>
                <w:color w:val="auto"/>
              </w:rPr>
            </w:pPr>
            <w:r>
              <w:rPr>
                <w:rFonts w:ascii="Arial" w:cs="Arial" w:eastAsia="Arial" w:hAnsi="Arial"/>
                <w:sz w:val="18"/>
                <w:szCs w:val="18"/>
                <w:color w:val="auto"/>
                <w:w w:val="86"/>
              </w:rPr>
              <w:t>June 30,</w:t>
            </w:r>
          </w:p>
        </w:tc>
        <w:tc>
          <w:tcPr>
            <w:tcW w:w="64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2"/>
        </w:trPr>
        <w:tc>
          <w:tcPr>
            <w:tcW w:w="2560" w:type="dxa"/>
            <w:vAlign w:val="bottom"/>
            <w:gridSpan w:val="2"/>
          </w:tcPr>
          <w:p>
            <w:pPr>
              <w:jc w:val="center"/>
              <w:ind w:right="80"/>
              <w:spacing w:after="0" w:line="162" w:lineRule="exact"/>
              <w:rPr>
                <w:sz w:val="20"/>
                <w:szCs w:val="20"/>
                <w:color w:val="auto"/>
              </w:rPr>
            </w:pPr>
            <w:r>
              <w:rPr>
                <w:rFonts w:ascii="Arial" w:cs="Arial" w:eastAsia="Arial" w:hAnsi="Arial"/>
                <w:sz w:val="18"/>
                <w:szCs w:val="18"/>
                <w:color w:val="auto"/>
                <w:w w:val="89"/>
              </w:rPr>
              <w:t>Details about accumulated other</w:t>
            </w: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60" w:type="dxa"/>
            <w:vAlign w:val="bottom"/>
          </w:tcPr>
          <w:p>
            <w:pPr>
              <w:ind w:left="60"/>
              <w:spacing w:after="0" w:line="162" w:lineRule="exact"/>
              <w:rPr>
                <w:sz w:val="20"/>
                <w:szCs w:val="20"/>
                <w:color w:val="auto"/>
              </w:rPr>
            </w:pPr>
            <w:r>
              <w:rPr>
                <w:rFonts w:ascii="Arial" w:cs="Arial" w:eastAsia="Arial" w:hAnsi="Arial"/>
                <w:sz w:val="18"/>
                <w:szCs w:val="18"/>
                <w:color w:val="auto"/>
                <w:w w:val="92"/>
              </w:rPr>
              <w:t>Affected line items in the statement of</w:t>
            </w:r>
          </w:p>
        </w:tc>
        <w:tc>
          <w:tcPr>
            <w:tcW w:w="0" w:type="dxa"/>
            <w:vAlign w:val="bottom"/>
          </w:tcPr>
          <w:p>
            <w:pPr>
              <w:spacing w:after="0"/>
              <w:rPr>
                <w:sz w:val="1"/>
                <w:szCs w:val="1"/>
                <w:color w:val="auto"/>
              </w:rPr>
            </w:pPr>
          </w:p>
        </w:tc>
      </w:tr>
      <w:tr>
        <w:trPr>
          <w:trHeight w:val="188"/>
        </w:trPr>
        <w:tc>
          <w:tcPr>
            <w:tcW w:w="2560" w:type="dxa"/>
            <w:vAlign w:val="bottom"/>
            <w:gridSpan w:val="2"/>
          </w:tcPr>
          <w:p>
            <w:pPr>
              <w:jc w:val="center"/>
              <w:ind w:right="100"/>
              <w:spacing w:after="0" w:line="189" w:lineRule="exact"/>
              <w:rPr>
                <w:sz w:val="20"/>
                <w:szCs w:val="20"/>
                <w:color w:val="auto"/>
              </w:rPr>
            </w:pPr>
            <w:r>
              <w:rPr>
                <w:rFonts w:ascii="Arial" w:cs="Arial" w:eastAsia="Arial" w:hAnsi="Arial"/>
                <w:sz w:val="18"/>
                <w:szCs w:val="18"/>
                <w:color w:val="auto"/>
                <w:w w:val="89"/>
              </w:rPr>
              <w:t>comprehensive income</w:t>
            </w: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60" w:type="dxa"/>
            <w:vAlign w:val="bottom"/>
          </w:tcPr>
          <w:p>
            <w:pPr>
              <w:ind w:left="1060"/>
              <w:spacing w:after="0" w:line="189" w:lineRule="exact"/>
              <w:rPr>
                <w:sz w:val="20"/>
                <w:szCs w:val="20"/>
                <w:color w:val="auto"/>
              </w:rPr>
            </w:pPr>
            <w:r>
              <w:rPr>
                <w:rFonts w:ascii="Arial" w:cs="Arial" w:eastAsia="Arial" w:hAnsi="Arial"/>
                <w:sz w:val="18"/>
                <w:szCs w:val="18"/>
                <w:color w:val="auto"/>
              </w:rPr>
              <w:t>operations</w:t>
            </w:r>
          </w:p>
        </w:tc>
        <w:tc>
          <w:tcPr>
            <w:tcW w:w="0" w:type="dxa"/>
            <w:vAlign w:val="bottom"/>
          </w:tcPr>
          <w:p>
            <w:pPr>
              <w:spacing w:after="0"/>
              <w:rPr>
                <w:sz w:val="1"/>
                <w:szCs w:val="1"/>
                <w:color w:val="auto"/>
              </w:rPr>
            </w:pPr>
          </w:p>
        </w:tc>
      </w:tr>
      <w:tr>
        <w:trPr>
          <w:trHeight w:val="230"/>
        </w:trPr>
        <w:tc>
          <w:tcPr>
            <w:tcW w:w="24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components</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2023</w:t>
            </w:r>
          </w:p>
        </w:tc>
        <w:tc>
          <w:tcPr>
            <w:tcW w:w="1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4"/>
              </w:rPr>
              <w:t>2022</w:t>
            </w: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2023</w:t>
            </w:r>
          </w:p>
        </w:tc>
        <w:tc>
          <w:tcPr>
            <w:tcW w:w="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84"/>
              </w:rPr>
              <w:t>2022</w:t>
            </w:r>
          </w:p>
        </w:tc>
        <w:tc>
          <w:tcPr>
            <w:tcW w:w="140" w:type="dxa"/>
            <w:vAlign w:val="bottom"/>
          </w:tcPr>
          <w:p>
            <w:pPr>
              <w:spacing w:after="0"/>
              <w:rPr>
                <w:sz w:val="20"/>
                <w:szCs w:val="20"/>
                <w:color w:val="auto"/>
              </w:rPr>
            </w:pPr>
          </w:p>
        </w:tc>
        <w:tc>
          <w:tcPr>
            <w:tcW w:w="28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5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Actuarial losses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3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24</w:t>
            </w:r>
          </w:p>
        </w:tc>
        <w:tc>
          <w:tcPr>
            <w:tcW w:w="3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40" w:type="dxa"/>
            <w:vAlign w:val="bottom"/>
            <w:shd w:val="clear" w:color="auto" w:fill="CCEEFF"/>
          </w:tcPr>
          <w:p>
            <w:pPr>
              <w:spacing w:after="0"/>
              <w:rPr>
                <w:sz w:val="19"/>
                <w:szCs w:val="19"/>
                <w:color w:val="auto"/>
              </w:rPr>
            </w:pPr>
          </w:p>
        </w:tc>
        <w:tc>
          <w:tcPr>
            <w:tcW w:w="2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pension and postretirement</w:t>
            </w:r>
          </w:p>
        </w:tc>
        <w:tc>
          <w:tcPr>
            <w:tcW w:w="0" w:type="dxa"/>
            <w:vAlign w:val="bottom"/>
          </w:tcPr>
          <w:p>
            <w:pPr>
              <w:spacing w:after="0"/>
              <w:rPr>
                <w:sz w:val="1"/>
                <w:szCs w:val="1"/>
                <w:color w:val="auto"/>
              </w:rPr>
            </w:pPr>
          </w:p>
        </w:tc>
      </w:tr>
      <w:tr>
        <w:trPr>
          <w:trHeight w:val="230"/>
        </w:trPr>
        <w:tc>
          <w:tcPr>
            <w:tcW w:w="2560" w:type="dxa"/>
            <w:vAlign w:val="bottom"/>
            <w:gridSpan w:val="2"/>
          </w:tcPr>
          <w:p>
            <w:pPr>
              <w:ind w:left="20"/>
              <w:spacing w:after="0"/>
              <w:rPr>
                <w:sz w:val="20"/>
                <w:szCs w:val="20"/>
                <w:color w:val="auto"/>
              </w:rPr>
            </w:pPr>
            <w:r>
              <w:rPr>
                <w:rFonts w:ascii="Arial" w:cs="Arial" w:eastAsia="Arial" w:hAnsi="Arial"/>
                <w:sz w:val="18"/>
                <w:szCs w:val="18"/>
                <w:color w:val="auto"/>
              </w:rPr>
              <w:t>Prior service credit</w:t>
            </w: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ind w:left="4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40" w:type="dxa"/>
            <w:vAlign w:val="bottom"/>
          </w:tcPr>
          <w:p>
            <w:pPr>
              <w:spacing w:after="0"/>
              <w:rPr>
                <w:sz w:val="19"/>
                <w:szCs w:val="19"/>
                <w:color w:val="auto"/>
              </w:rPr>
            </w:pPr>
          </w:p>
        </w:tc>
        <w:tc>
          <w:tcPr>
            <w:tcW w:w="2860" w:type="dxa"/>
            <w:vAlign w:val="bottom"/>
          </w:tcPr>
          <w:p>
            <w:pPr>
              <w:ind w:left="20"/>
              <w:spacing w:after="0"/>
              <w:rPr>
                <w:sz w:val="20"/>
                <w:szCs w:val="20"/>
                <w:color w:val="auto"/>
              </w:rPr>
            </w:pPr>
            <w:r>
              <w:rPr>
                <w:rFonts w:ascii="Arial" w:cs="Arial" w:eastAsia="Arial" w:hAnsi="Arial"/>
                <w:sz w:val="18"/>
                <w:szCs w:val="18"/>
                <w:color w:val="auto"/>
              </w:rPr>
              <w:t>Other pension and postretirement</w:t>
            </w:r>
          </w:p>
        </w:tc>
        <w:tc>
          <w:tcPr>
            <w:tcW w:w="0" w:type="dxa"/>
            <w:vAlign w:val="bottom"/>
          </w:tcPr>
          <w:p>
            <w:pPr>
              <w:spacing w:after="0"/>
              <w:rPr>
                <w:sz w:val="1"/>
                <w:szCs w:val="1"/>
                <w:color w:val="auto"/>
              </w:rPr>
            </w:pPr>
          </w:p>
        </w:tc>
      </w:tr>
      <w:tr>
        <w:trPr>
          <w:trHeight w:val="169"/>
        </w:trPr>
        <w:tc>
          <w:tcPr>
            <w:tcW w:w="2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ind w:left="460"/>
              <w:spacing w:after="0"/>
              <w:rPr>
                <w:sz w:val="20"/>
                <w:szCs w:val="20"/>
                <w:color w:val="auto"/>
              </w:rPr>
            </w:pPr>
            <w:r>
              <w:rPr>
                <w:rFonts w:ascii="Arial" w:cs="Arial" w:eastAsia="Arial" w:hAnsi="Arial"/>
                <w:sz w:val="18"/>
                <w:szCs w:val="18"/>
                <w:color w:val="auto"/>
              </w:rPr>
              <w:t>24</w:t>
            </w: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40" w:type="dxa"/>
            <w:vAlign w:val="bottom"/>
            <w:shd w:val="clear" w:color="auto" w:fill="CCEEFF"/>
          </w:tcPr>
          <w:p>
            <w:pPr>
              <w:spacing w:after="0"/>
              <w:rPr>
                <w:sz w:val="14"/>
                <w:szCs w:val="14"/>
                <w:color w:val="auto"/>
              </w:rPr>
            </w:pPr>
          </w:p>
        </w:tc>
        <w:tc>
          <w:tcPr>
            <w:tcW w:w="2860" w:type="dxa"/>
            <w:vAlign w:val="bottom"/>
            <w:shd w:val="clear" w:color="auto" w:fill="CCEEFF"/>
          </w:tcPr>
          <w:p>
            <w:pPr>
              <w:ind w:left="20"/>
              <w:spacing w:after="0" w:line="169" w:lineRule="exact"/>
              <w:rPr>
                <w:sz w:val="20"/>
                <w:szCs w:val="20"/>
                <w:color w:val="auto"/>
              </w:rPr>
            </w:pPr>
            <w:r>
              <w:rPr>
                <w:rFonts w:ascii="Arial" w:cs="Arial" w:eastAsia="Arial" w:hAnsi="Arial"/>
                <w:sz w:val="18"/>
                <w:szCs w:val="18"/>
                <w:color w:val="auto"/>
                <w:w w:val="93"/>
              </w:rPr>
              <w:t>Income before taxes and equity in net</w:t>
            </w:r>
          </w:p>
        </w:tc>
        <w:tc>
          <w:tcPr>
            <w:tcW w:w="0" w:type="dxa"/>
            <w:vAlign w:val="bottom"/>
          </w:tcPr>
          <w:p>
            <w:pPr>
              <w:spacing w:after="0"/>
              <w:rPr>
                <w:sz w:val="1"/>
                <w:szCs w:val="1"/>
                <w:color w:val="auto"/>
              </w:rPr>
            </w:pPr>
          </w:p>
        </w:tc>
      </w:tr>
      <w:tr>
        <w:trPr>
          <w:trHeight w:val="230"/>
        </w:trPr>
        <w:tc>
          <w:tcPr>
            <w:tcW w:w="2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40" w:type="dxa"/>
            <w:vAlign w:val="bottom"/>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earnings of affiliates</w:t>
            </w:r>
          </w:p>
        </w:tc>
        <w:tc>
          <w:tcPr>
            <w:tcW w:w="0" w:type="dxa"/>
            <w:vAlign w:val="bottom"/>
          </w:tcPr>
          <w:p>
            <w:pPr>
              <w:spacing w:after="0"/>
              <w:rPr>
                <w:sz w:val="1"/>
                <w:szCs w:val="1"/>
                <w:color w:val="auto"/>
              </w:rPr>
            </w:pPr>
          </w:p>
        </w:tc>
      </w:tr>
      <w:tr>
        <w:trPr>
          <w:trHeight w:val="243"/>
        </w:trPr>
        <w:tc>
          <w:tcPr>
            <w:tcW w:w="246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4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w w:val="99"/>
              </w:rPr>
              <w:t>(5)</w:t>
            </w:r>
          </w:p>
        </w:tc>
        <w:tc>
          <w:tcPr>
            <w:tcW w:w="1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40" w:type="dxa"/>
            <w:vAlign w:val="bottom"/>
            <w:tcBorders>
              <w:bottom w:val="single" w:sz="8" w:color="CCEEFF"/>
            </w:tcBorders>
          </w:tcPr>
          <w:p>
            <w:pPr>
              <w:spacing w:after="0"/>
              <w:rPr>
                <w:sz w:val="21"/>
                <w:szCs w:val="21"/>
                <w:color w:val="auto"/>
              </w:rPr>
            </w:pPr>
          </w:p>
        </w:tc>
        <w:tc>
          <w:tcPr>
            <w:tcW w:w="28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Provision for income taxes</w:t>
            </w:r>
          </w:p>
        </w:tc>
        <w:tc>
          <w:tcPr>
            <w:tcW w:w="0" w:type="dxa"/>
            <w:vAlign w:val="bottom"/>
          </w:tcPr>
          <w:p>
            <w:pPr>
              <w:spacing w:after="0"/>
              <w:rPr>
                <w:sz w:val="1"/>
                <w:szCs w:val="1"/>
                <w:color w:val="auto"/>
              </w:rPr>
            </w:pPr>
          </w:p>
        </w:tc>
      </w:tr>
      <w:tr>
        <w:trPr>
          <w:trHeight w:val="248"/>
        </w:trPr>
        <w:tc>
          <w:tcPr>
            <w:tcW w:w="25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reclassified</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ind w:left="460"/>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40" w:type="dxa"/>
            <w:vAlign w:val="bottom"/>
            <w:tcBorders>
              <w:bottom w:val="single" w:sz="8" w:color="CCEEFF"/>
            </w:tcBorders>
            <w:shd w:val="clear" w:color="auto" w:fill="CCEEFF"/>
          </w:tcPr>
          <w:p>
            <w:pPr>
              <w:spacing w:after="0"/>
              <w:rPr>
                <w:sz w:val="21"/>
                <w:szCs w:val="21"/>
                <w:color w:val="auto"/>
              </w:rPr>
            </w:pPr>
          </w:p>
        </w:tc>
        <w:tc>
          <w:tcPr>
            <w:tcW w:w="2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0" w:type="dxa"/>
            <w:vAlign w:val="bottom"/>
          </w:tcPr>
          <w:p>
            <w:pPr>
              <w:spacing w:after="0"/>
              <w:rPr>
                <w:sz w:val="1"/>
                <w:szCs w:val="1"/>
                <w:color w:val="auto"/>
              </w:rPr>
            </w:pPr>
          </w:p>
        </w:tc>
      </w:tr>
      <w:tr>
        <w:trPr>
          <w:trHeight w:val="20"/>
        </w:trPr>
        <w:tc>
          <w:tcPr>
            <w:tcW w:w="24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8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1" w:name="page22"/>
    <w:bookmarkEnd w:id="21"/>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400" w:hanging="392"/>
        <w:spacing w:after="0"/>
        <w:tabs>
          <w:tab w:leader="none" w:pos="40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Capital Stock</w:t>
      </w:r>
    </w:p>
    <w:p>
      <w:pPr>
        <w:spacing w:after="0" w:line="256" w:lineRule="exact"/>
        <w:rPr>
          <w:sz w:val="20"/>
          <w:szCs w:val="20"/>
          <w:color w:val="auto"/>
        </w:rPr>
      </w:pPr>
    </w:p>
    <w:p>
      <w:pPr>
        <w:jc w:val="both"/>
        <w:ind w:left="660"/>
        <w:spacing w:after="0" w:line="296" w:lineRule="auto"/>
        <w:rPr>
          <w:sz w:val="20"/>
          <w:szCs w:val="20"/>
          <w:color w:val="auto"/>
        </w:rPr>
      </w:pPr>
      <w:r>
        <w:rPr>
          <w:rFonts w:ascii="Arial" w:cs="Arial" w:eastAsia="Arial" w:hAnsi="Arial"/>
          <w:sz w:val="16"/>
          <w:szCs w:val="16"/>
          <w:color w:val="auto"/>
        </w:rPr>
        <w:t>On December 9, 2021, the Company's Board of Directors authorized the repurchase of an aggregate amount of $3,000 of Company common stock through the end of 2024. Share repurchases under the Company's program may be made in the open market or through privately negotiated transactions, and at times and in such amounts as management deems appropriate. The timing and actual number of shares repurchased will depend on a variety of factors including price, corporate and regulatory requirements and other market conditions. The Company has remaining Board authorization to repurchase an additional $2,300 of the Company's common stock under the program as of June 30, 2023.</w:t>
      </w:r>
    </w:p>
    <w:p>
      <w:pPr>
        <w:spacing w:after="0" w:line="188" w:lineRule="exact"/>
        <w:rPr>
          <w:sz w:val="20"/>
          <w:szCs w:val="20"/>
          <w:color w:val="auto"/>
        </w:rPr>
      </w:pPr>
    </w:p>
    <w:p>
      <w:pPr>
        <w:jc w:val="both"/>
        <w:ind w:left="660"/>
        <w:spacing w:after="0" w:line="263" w:lineRule="auto"/>
        <w:rPr>
          <w:sz w:val="20"/>
          <w:szCs w:val="20"/>
          <w:color w:val="auto"/>
        </w:rPr>
      </w:pPr>
      <w:r>
        <w:rPr>
          <w:rFonts w:ascii="Arial" w:cs="Arial" w:eastAsia="Arial" w:hAnsi="Arial"/>
          <w:sz w:val="18"/>
          <w:szCs w:val="18"/>
          <w:color w:val="auto"/>
        </w:rPr>
        <w:t>For the three and six months ended June 30, 2023 and 2022, the Company declared and paid cash dividends of $0.24 per share and $0.48 per share and $0.22 per share and $0.44 per share, respectively. Additionally, on July 27, 2023, the Company's Board of Directors declared a dividend of $0.24 per share payable on August 24, 2023 to shareholders of record as of August 10, 2023.</w:t>
      </w:r>
    </w:p>
    <w:p>
      <w:pPr>
        <w:spacing w:after="0" w:line="200" w:lineRule="exact"/>
        <w:rPr>
          <w:sz w:val="20"/>
          <w:szCs w:val="20"/>
          <w:color w:val="auto"/>
        </w:rPr>
      </w:pPr>
    </w:p>
    <w:p>
      <w:pPr>
        <w:spacing w:after="0" w:line="250" w:lineRule="exact"/>
        <w:rPr>
          <w:sz w:val="20"/>
          <w:szCs w:val="20"/>
          <w:color w:val="auto"/>
        </w:rPr>
      </w:pPr>
    </w:p>
    <w:p>
      <w:pPr>
        <w:ind w:left="360" w:hanging="352"/>
        <w:spacing w:after="0"/>
        <w:tabs>
          <w:tab w:leader="none" w:pos="36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Accumulated Other Comprehensive Loss Attributable to Crown Holdings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provides information about the changes in each component of accumulated other comprehensive income/(loss).</w:t>
      </w:r>
    </w:p>
    <w:p>
      <w:pPr>
        <w:spacing w:after="0" w:line="262" w:lineRule="exact"/>
        <w:rPr>
          <w:sz w:val="20"/>
          <w:szCs w:val="20"/>
          <w:color w:val="auto"/>
        </w:rPr>
      </w:pPr>
    </w:p>
    <w:tbl>
      <w:tblPr>
        <w:tblLayout w:type="fixed"/>
        <w:tblInd w:w="660" w:type="dxa"/>
        <w:tblCellMar>
          <w:top w:w="0" w:type="dxa"/>
          <w:left w:w="0" w:type="dxa"/>
          <w:bottom w:w="0" w:type="dxa"/>
          <w:right w:w="0" w:type="dxa"/>
        </w:tblCellMar>
      </w:tblPr>
      <w:tr>
        <w:trPr>
          <w:trHeight w:val="207"/>
        </w:trPr>
        <w:tc>
          <w:tcPr>
            <w:tcW w:w="5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center"/>
              <w:ind w:right="50"/>
              <w:spacing w:after="0"/>
              <w:rPr>
                <w:sz w:val="20"/>
                <w:szCs w:val="20"/>
                <w:color w:val="auto"/>
              </w:rPr>
            </w:pPr>
            <w:r>
              <w:rPr>
                <w:rFonts w:ascii="Arial" w:cs="Arial" w:eastAsia="Arial" w:hAnsi="Arial"/>
                <w:sz w:val="18"/>
                <w:szCs w:val="18"/>
                <w:color w:val="auto"/>
                <w:w w:val="93"/>
              </w:rPr>
              <w:t>Defined</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center"/>
              <w:ind w:right="50"/>
              <w:spacing w:after="0"/>
              <w:rPr>
                <w:sz w:val="20"/>
                <w:szCs w:val="20"/>
                <w:color w:val="auto"/>
              </w:rPr>
            </w:pPr>
            <w:r>
              <w:rPr>
                <w:rFonts w:ascii="Arial" w:cs="Arial" w:eastAsia="Arial" w:hAnsi="Arial"/>
                <w:sz w:val="18"/>
                <w:szCs w:val="18"/>
                <w:color w:val="auto"/>
                <w:w w:val="91"/>
              </w:rPr>
              <w:t>Foreign</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jc w:val="right"/>
              <w:ind w:right="90"/>
              <w:spacing w:after="0"/>
              <w:rPr>
                <w:sz w:val="20"/>
                <w:szCs w:val="20"/>
                <w:color w:val="auto"/>
              </w:rPr>
            </w:pPr>
            <w:r>
              <w:rPr>
                <w:rFonts w:ascii="Arial" w:cs="Arial" w:eastAsia="Arial" w:hAnsi="Arial"/>
                <w:sz w:val="18"/>
                <w:szCs w:val="18"/>
                <w:color w:val="auto"/>
                <w:w w:val="90"/>
              </w:rPr>
              <w:t>Gains and</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188"/>
        </w:trPr>
        <w:tc>
          <w:tcPr>
            <w:tcW w:w="5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jc w:val="center"/>
              <w:ind w:right="50"/>
              <w:spacing w:after="0" w:line="189" w:lineRule="exact"/>
              <w:rPr>
                <w:sz w:val="20"/>
                <w:szCs w:val="20"/>
                <w:color w:val="auto"/>
              </w:rPr>
            </w:pPr>
            <w:r>
              <w:rPr>
                <w:rFonts w:ascii="Arial" w:cs="Arial" w:eastAsia="Arial" w:hAnsi="Arial"/>
                <w:sz w:val="18"/>
                <w:szCs w:val="18"/>
                <w:color w:val="auto"/>
                <w:w w:val="92"/>
              </w:rPr>
              <w:t>benefit</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center"/>
              <w:ind w:right="30"/>
              <w:spacing w:after="0" w:line="189" w:lineRule="exact"/>
              <w:rPr>
                <w:sz w:val="20"/>
                <w:szCs w:val="20"/>
                <w:color w:val="auto"/>
              </w:rPr>
            </w:pPr>
            <w:r>
              <w:rPr>
                <w:rFonts w:ascii="Arial" w:cs="Arial" w:eastAsia="Arial" w:hAnsi="Arial"/>
                <w:sz w:val="18"/>
                <w:szCs w:val="18"/>
                <w:color w:val="auto"/>
                <w:w w:val="89"/>
              </w:rPr>
              <w:t>currency</w:t>
            </w:r>
          </w:p>
        </w:tc>
        <w:tc>
          <w:tcPr>
            <w:tcW w:w="200" w:type="dxa"/>
            <w:vAlign w:val="bottom"/>
          </w:tcPr>
          <w:p>
            <w:pPr>
              <w:spacing w:after="0"/>
              <w:rPr>
                <w:sz w:val="16"/>
                <w:szCs w:val="16"/>
                <w:color w:val="auto"/>
              </w:rPr>
            </w:pPr>
          </w:p>
        </w:tc>
        <w:tc>
          <w:tcPr>
            <w:tcW w:w="1080" w:type="dxa"/>
            <w:vAlign w:val="bottom"/>
            <w:gridSpan w:val="2"/>
          </w:tcPr>
          <w:p>
            <w:pPr>
              <w:ind w:left="20"/>
              <w:spacing w:after="0" w:line="189" w:lineRule="exact"/>
              <w:rPr>
                <w:sz w:val="20"/>
                <w:szCs w:val="20"/>
                <w:color w:val="auto"/>
              </w:rPr>
            </w:pPr>
            <w:r>
              <w:rPr>
                <w:rFonts w:ascii="Arial" w:cs="Arial" w:eastAsia="Arial" w:hAnsi="Arial"/>
                <w:sz w:val="18"/>
                <w:szCs w:val="18"/>
                <w:color w:val="auto"/>
                <w:w w:val="87"/>
              </w:rPr>
              <w:t>losses on cash</w:t>
            </w: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230"/>
        </w:trPr>
        <w:tc>
          <w:tcPr>
            <w:tcW w:w="52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88"/>
              </w:rPr>
              <w:t>plans</w:t>
            </w:r>
          </w:p>
        </w:tc>
        <w:tc>
          <w:tcPr>
            <w:tcW w:w="16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91"/>
              </w:rPr>
              <w:t>translation</w:t>
            </w:r>
          </w:p>
        </w:tc>
        <w:tc>
          <w:tcPr>
            <w:tcW w:w="200" w:type="dxa"/>
            <w:vAlign w:val="bottom"/>
            <w:tcBorders>
              <w:bottom w:val="single" w:sz="8" w:color="CCEEFF"/>
            </w:tcBorders>
          </w:tcPr>
          <w:p>
            <w:pPr>
              <w:spacing w:after="0"/>
              <w:rPr>
                <w:sz w:val="20"/>
                <w:szCs w:val="20"/>
                <w:color w:val="auto"/>
              </w:rPr>
            </w:pPr>
          </w:p>
        </w:tc>
        <w:tc>
          <w:tcPr>
            <w:tcW w:w="108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w w:val="99"/>
              </w:rPr>
              <w:t>flow hedges</w:t>
            </w:r>
          </w:p>
        </w:tc>
        <w:tc>
          <w:tcPr>
            <w:tcW w:w="18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Total</w:t>
            </w:r>
          </w:p>
        </w:tc>
      </w:tr>
      <w:tr>
        <w:trPr>
          <w:trHeight w:val="223"/>
        </w:trPr>
        <w:tc>
          <w:tcPr>
            <w:tcW w:w="5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January 1, 2022</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5"/>
              </w:rPr>
              <w:t>(768)</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(1,158)</w:t>
            </w: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(1,898)</w:t>
            </w:r>
          </w:p>
        </w:tc>
      </w:tr>
      <w:tr>
        <w:trPr>
          <w:trHeight w:val="237"/>
        </w:trPr>
        <w:tc>
          <w:tcPr>
            <w:tcW w:w="5280" w:type="dxa"/>
            <w:vAlign w:val="bottom"/>
          </w:tcPr>
          <w:p>
            <w:pPr>
              <w:ind w:left="20"/>
              <w:spacing w:after="0"/>
              <w:rPr>
                <w:sz w:val="20"/>
                <w:szCs w:val="20"/>
                <w:color w:val="auto"/>
              </w:rPr>
            </w:pPr>
            <w:r>
              <w:rPr>
                <w:rFonts w:ascii="Arial" w:cs="Arial" w:eastAsia="Arial" w:hAnsi="Arial"/>
                <w:sz w:val="18"/>
                <w:szCs w:val="18"/>
                <w:color w:val="auto"/>
              </w:rPr>
              <w:t>Other comprehensive (loss) / income before reclassifications</w:t>
            </w:r>
          </w:p>
        </w:tc>
        <w:tc>
          <w:tcPr>
            <w:tcW w:w="140" w:type="dxa"/>
            <w:vAlign w:val="bottom"/>
          </w:tcPr>
          <w:p>
            <w:pPr>
              <w:spacing w:after="0"/>
              <w:rPr>
                <w:sz w:val="20"/>
                <w:szCs w:val="20"/>
                <w:color w:val="auto"/>
              </w:rPr>
            </w:pPr>
          </w:p>
        </w:tc>
        <w:tc>
          <w:tcPr>
            <w:tcW w:w="760" w:type="dxa"/>
            <w:vAlign w:val="bottom"/>
          </w:tcPr>
          <w:p>
            <w:pPr>
              <w:ind w:left="5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36"/>
        </w:trPr>
        <w:tc>
          <w:tcPr>
            <w:tcW w:w="52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5"/>
              </w:rPr>
              <w:t>Amounts reclassified from accumulated other comprehensive income</w:t>
            </w:r>
          </w:p>
        </w:tc>
        <w:tc>
          <w:tcPr>
            <w:tcW w:w="14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ind w:left="500"/>
              <w:spacing w:after="0"/>
              <w:rPr>
                <w:sz w:val="20"/>
                <w:szCs w:val="20"/>
                <w:color w:val="auto"/>
              </w:rPr>
            </w:pPr>
            <w:r>
              <w:rPr>
                <w:rFonts w:ascii="Arial" w:cs="Arial" w:eastAsia="Arial" w:hAnsi="Arial"/>
                <w:sz w:val="18"/>
                <w:szCs w:val="18"/>
                <w:color w:val="auto"/>
              </w:rPr>
              <w:t>18</w:t>
            </w:r>
          </w:p>
        </w:tc>
        <w:tc>
          <w:tcPr>
            <w:tcW w:w="16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8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23"/>
        </w:trPr>
        <w:tc>
          <w:tcPr>
            <w:tcW w:w="5280" w:type="dxa"/>
            <w:vAlign w:val="bottom"/>
          </w:tcPr>
          <w:p>
            <w:pPr>
              <w:ind w:left="20"/>
              <w:spacing w:after="0"/>
              <w:rPr>
                <w:sz w:val="20"/>
                <w:szCs w:val="20"/>
                <w:color w:val="auto"/>
              </w:rPr>
            </w:pPr>
            <w:r>
              <w:rPr>
                <w:rFonts w:ascii="Arial" w:cs="Arial" w:eastAsia="Arial" w:hAnsi="Arial"/>
                <w:sz w:val="18"/>
                <w:szCs w:val="18"/>
                <w:color w:val="auto"/>
              </w:rPr>
              <w:t>Other comprehensive income</w:t>
            </w: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18</w:t>
            </w:r>
          </w:p>
        </w:tc>
        <w:tc>
          <w:tcPr>
            <w:tcW w:w="1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2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1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w:t>
            </w:r>
          </w:p>
        </w:tc>
      </w:tr>
      <w:tr>
        <w:trPr>
          <w:trHeight w:val="257"/>
        </w:trPr>
        <w:tc>
          <w:tcPr>
            <w:tcW w:w="5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June 30, 2022</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5"/>
              </w:rPr>
              <w:t>(750)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(1,183)</w:t>
            </w: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(1,946)</w:t>
            </w:r>
          </w:p>
        </w:tc>
      </w:tr>
      <w:tr>
        <w:trPr>
          <w:trHeight w:val="20"/>
        </w:trPr>
        <w:tc>
          <w:tcPr>
            <w:tcW w:w="52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r>
      <w:tr>
        <w:trPr>
          <w:trHeight w:val="109"/>
        </w:trPr>
        <w:tc>
          <w:tcPr>
            <w:tcW w:w="5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9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9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r>
      <w:tr>
        <w:trPr>
          <w:trHeight w:val="230"/>
        </w:trPr>
        <w:tc>
          <w:tcPr>
            <w:tcW w:w="5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January 1, 2023</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5"/>
              </w:rPr>
              <w:t>(686)</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(1,197)</w:t>
            </w: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(1,892)</w:t>
            </w:r>
          </w:p>
        </w:tc>
      </w:tr>
      <w:tr>
        <w:trPr>
          <w:trHeight w:val="230"/>
        </w:trPr>
        <w:tc>
          <w:tcPr>
            <w:tcW w:w="5280" w:type="dxa"/>
            <w:vAlign w:val="bottom"/>
          </w:tcPr>
          <w:p>
            <w:pPr>
              <w:ind w:left="20"/>
              <w:spacing w:after="0"/>
              <w:rPr>
                <w:sz w:val="20"/>
                <w:szCs w:val="20"/>
                <w:color w:val="auto"/>
              </w:rPr>
            </w:pPr>
            <w:r>
              <w:rPr>
                <w:rFonts w:ascii="Arial" w:cs="Arial" w:eastAsia="Arial" w:hAnsi="Arial"/>
                <w:sz w:val="18"/>
                <w:szCs w:val="18"/>
                <w:color w:val="auto"/>
              </w:rPr>
              <w:t>Other comprehensive (loss) / income before reclassifications</w:t>
            </w:r>
          </w:p>
        </w:tc>
        <w:tc>
          <w:tcPr>
            <w:tcW w:w="140" w:type="dxa"/>
            <w:vAlign w:val="bottom"/>
          </w:tcPr>
          <w:p>
            <w:pPr>
              <w:spacing w:after="0"/>
              <w:rPr>
                <w:sz w:val="19"/>
                <w:szCs w:val="19"/>
                <w:color w:val="auto"/>
              </w:rPr>
            </w:pPr>
          </w:p>
        </w:tc>
        <w:tc>
          <w:tcPr>
            <w:tcW w:w="760" w:type="dxa"/>
            <w:vAlign w:val="bottom"/>
          </w:tcPr>
          <w:p>
            <w:pPr>
              <w:ind w:left="5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167</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153</w:t>
            </w:r>
          </w:p>
        </w:tc>
      </w:tr>
      <w:tr>
        <w:trPr>
          <w:trHeight w:val="243"/>
        </w:trPr>
        <w:tc>
          <w:tcPr>
            <w:tcW w:w="52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5"/>
              </w:rPr>
              <w:t>Amounts reclassified from accumulated other comprehensive income</w:t>
            </w:r>
          </w:p>
        </w:tc>
        <w:tc>
          <w:tcPr>
            <w:tcW w:w="14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ind w:left="500"/>
              <w:spacing w:after="0"/>
              <w:rPr>
                <w:sz w:val="20"/>
                <w:szCs w:val="20"/>
                <w:color w:val="auto"/>
              </w:rPr>
            </w:pPr>
            <w:r>
              <w:rPr>
                <w:rFonts w:ascii="Arial" w:cs="Arial" w:eastAsia="Arial" w:hAnsi="Arial"/>
                <w:sz w:val="18"/>
                <w:szCs w:val="18"/>
                <w:color w:val="auto"/>
              </w:rPr>
              <w:t>19</w:t>
            </w:r>
          </w:p>
        </w:tc>
        <w:tc>
          <w:tcPr>
            <w:tcW w:w="16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8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23"/>
        </w:trPr>
        <w:tc>
          <w:tcPr>
            <w:tcW w:w="5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comprehensive income</w:t>
            </w: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19</w:t>
            </w:r>
          </w:p>
        </w:tc>
        <w:tc>
          <w:tcPr>
            <w:tcW w:w="1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w:t>
            </w:r>
          </w:p>
        </w:tc>
        <w:tc>
          <w:tcPr>
            <w:tcW w:w="2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w:t>
            </w:r>
          </w:p>
        </w:tc>
      </w:tr>
      <w:tr>
        <w:trPr>
          <w:trHeight w:val="248"/>
        </w:trPr>
        <w:tc>
          <w:tcPr>
            <w:tcW w:w="5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June 30, 2023</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w w:val="95"/>
              </w:rPr>
              <w:t>(667)</w:t>
            </w:r>
          </w:p>
        </w:tc>
        <w:tc>
          <w:tcPr>
            <w:tcW w:w="1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(1,030)</w:t>
            </w:r>
          </w:p>
        </w:tc>
        <w:tc>
          <w:tcPr>
            <w:tcW w:w="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(1,714)</w:t>
            </w:r>
          </w:p>
        </w:tc>
      </w:tr>
      <w:tr>
        <w:trPr>
          <w:trHeight w:val="20"/>
        </w:trPr>
        <w:tc>
          <w:tcPr>
            <w:tcW w:w="52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See </w:t>
      </w:r>
      <w:r>
        <w:rPr>
          <w:rFonts w:ascii="Arial" w:cs="Arial" w:eastAsia="Arial" w:hAnsi="Arial"/>
          <w:sz w:val="18"/>
          <w:szCs w:val="18"/>
          <w:u w:val="single" w:color="auto"/>
          <w:color w:val="0000FF"/>
        </w:rPr>
        <w:t>Note J</w:t>
      </w:r>
      <w:r>
        <w:rPr>
          <w:rFonts w:ascii="Arial" w:cs="Arial" w:eastAsia="Arial" w:hAnsi="Arial"/>
          <w:sz w:val="18"/>
          <w:szCs w:val="18"/>
          <w:color w:val="auto"/>
        </w:rPr>
        <w:t xml:space="preserve"> and </w:t>
      </w:r>
      <w:r>
        <w:rPr>
          <w:rFonts w:ascii="Arial" w:cs="Arial" w:eastAsia="Arial" w:hAnsi="Arial"/>
          <w:sz w:val="18"/>
          <w:szCs w:val="18"/>
          <w:u w:val="single" w:color="auto"/>
          <w:color w:val="0000FF"/>
        </w:rPr>
        <w:t>Note L</w:t>
      </w:r>
      <w:r>
        <w:rPr>
          <w:rFonts w:ascii="Arial" w:cs="Arial" w:eastAsia="Arial" w:hAnsi="Arial"/>
          <w:sz w:val="18"/>
          <w:szCs w:val="18"/>
          <w:color w:val="auto"/>
        </w:rPr>
        <w:t xml:space="preserve"> for further details of amounts related to cash flow hedges and defined benefit plans.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80" w:type="dxa"/>
            <w:vAlign w:val="bottom"/>
            <w:gridSpan w:val="4"/>
          </w:tcPr>
          <w:p>
            <w:pPr>
              <w:spacing w:after="0"/>
              <w:rPr>
                <w:sz w:val="20"/>
                <w:szCs w:val="20"/>
                <w:color w:val="auto"/>
              </w:rPr>
            </w:pPr>
            <w:r>
              <w:rPr>
                <w:rFonts w:ascii="Arial" w:cs="Arial" w:eastAsia="Arial" w:hAnsi="Arial"/>
                <w:sz w:val="18"/>
                <w:szCs w:val="18"/>
                <w:b w:val="1"/>
                <w:bCs w:val="1"/>
                <w:color w:val="auto"/>
              </w:rPr>
              <w:t>O.   Revenue</w:t>
            </w: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0"/>
        </w:trPr>
        <w:tc>
          <w:tcPr>
            <w:tcW w:w="4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480"/>
        </w:trPr>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20" w:type="dxa"/>
            <w:vAlign w:val="bottom"/>
            <w:gridSpan w:val="2"/>
          </w:tcPr>
          <w:p>
            <w:pPr>
              <w:spacing w:after="0"/>
              <w:rPr>
                <w:sz w:val="20"/>
                <w:szCs w:val="20"/>
                <w:color w:val="auto"/>
              </w:rPr>
            </w:pPr>
            <w:r>
              <w:rPr>
                <w:rFonts w:ascii="Arial" w:cs="Arial" w:eastAsia="Arial" w:hAnsi="Arial"/>
                <w:sz w:val="18"/>
                <w:szCs w:val="18"/>
                <w:color w:val="auto"/>
              </w:rPr>
              <w:t>The Company recognized revenue as follows:</w:t>
            </w: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445"/>
        </w:trPr>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140" w:type="dxa"/>
            <w:vAlign w:val="bottom"/>
            <w:gridSpan w:val="4"/>
          </w:tcPr>
          <w:p>
            <w:pPr>
              <w:jc w:val="right"/>
              <w:ind w:right="330"/>
              <w:spacing w:after="0"/>
              <w:rPr>
                <w:sz w:val="20"/>
                <w:szCs w:val="20"/>
                <w:color w:val="auto"/>
              </w:rPr>
            </w:pPr>
            <w:r>
              <w:rPr>
                <w:rFonts w:ascii="Arial" w:cs="Arial" w:eastAsia="Arial" w:hAnsi="Arial"/>
                <w:sz w:val="18"/>
                <w:szCs w:val="18"/>
                <w:color w:val="auto"/>
              </w:rPr>
              <w:t>Three Months Ended</w:t>
            </w: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120" w:type="dxa"/>
            <w:vAlign w:val="bottom"/>
            <w:gridSpan w:val="4"/>
          </w:tcPr>
          <w:p>
            <w:pPr>
              <w:jc w:val="right"/>
              <w:ind w:right="410"/>
              <w:spacing w:after="0"/>
              <w:rPr>
                <w:sz w:val="20"/>
                <w:szCs w:val="20"/>
                <w:color w:val="auto"/>
              </w:rPr>
            </w:pPr>
            <w:r>
              <w:rPr>
                <w:rFonts w:ascii="Arial" w:cs="Arial" w:eastAsia="Arial" w:hAnsi="Arial"/>
                <w:sz w:val="18"/>
                <w:szCs w:val="18"/>
                <w:color w:val="auto"/>
              </w:rPr>
              <w:t>Six Months Ended</w:t>
            </w:r>
          </w:p>
        </w:tc>
      </w:tr>
      <w:tr>
        <w:trPr>
          <w:trHeight w:val="230"/>
        </w:trPr>
        <w:tc>
          <w:tcPr>
            <w:tcW w:w="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2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June 30,</w:t>
            </w:r>
          </w:p>
        </w:tc>
        <w:tc>
          <w:tcPr>
            <w:tcW w:w="8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June 30,</w:t>
            </w:r>
          </w:p>
        </w:tc>
        <w:tc>
          <w:tcPr>
            <w:tcW w:w="800" w:type="dxa"/>
            <w:vAlign w:val="bottom"/>
            <w:tcBorders>
              <w:bottom w:val="single" w:sz="8" w:color="auto"/>
            </w:tcBorders>
          </w:tcPr>
          <w:p>
            <w:pPr>
              <w:spacing w:after="0"/>
              <w:rPr>
                <w:sz w:val="20"/>
                <w:szCs w:val="20"/>
                <w:color w:val="auto"/>
              </w:rPr>
            </w:pPr>
          </w:p>
        </w:tc>
      </w:tr>
      <w:tr>
        <w:trPr>
          <w:trHeight w:val="230"/>
        </w:trPr>
        <w:tc>
          <w:tcPr>
            <w:tcW w:w="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20" w:type="dxa"/>
            <w:vAlign w:val="bottom"/>
            <w:tcBorders>
              <w:bottom w:val="single" w:sz="8" w:color="CCEEFF"/>
            </w:tcBorders>
          </w:tcPr>
          <w:p>
            <w:pPr>
              <w:spacing w:after="0"/>
              <w:rPr>
                <w:sz w:val="20"/>
                <w:szCs w:val="20"/>
                <w:color w:val="auto"/>
              </w:rPr>
            </w:pPr>
          </w:p>
        </w:tc>
        <w:tc>
          <w:tcPr>
            <w:tcW w:w="42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2023</w:t>
            </w:r>
          </w:p>
        </w:tc>
        <w:tc>
          <w:tcPr>
            <w:tcW w:w="22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2022</w:t>
            </w:r>
          </w:p>
        </w:tc>
        <w:tc>
          <w:tcPr>
            <w:tcW w:w="2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2023</w:t>
            </w:r>
          </w:p>
        </w:tc>
        <w:tc>
          <w:tcPr>
            <w:tcW w:w="2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2022</w:t>
            </w:r>
          </w:p>
        </w:tc>
      </w:tr>
      <w:tr>
        <w:trPr>
          <w:trHeight w:val="229"/>
        </w:trPr>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Revenue recognized over time</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1,658</w:t>
            </w:r>
          </w:p>
        </w:tc>
        <w:tc>
          <w:tcPr>
            <w:tcW w:w="2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1,883</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3,322</w:t>
            </w:r>
          </w:p>
        </w:tc>
        <w:tc>
          <w:tcPr>
            <w:tcW w:w="2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3,600</w:t>
            </w:r>
          </w:p>
        </w:tc>
      </w:tr>
      <w:tr>
        <w:trPr>
          <w:trHeight w:val="230"/>
        </w:trPr>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620" w:type="dxa"/>
            <w:vAlign w:val="bottom"/>
            <w:gridSpan w:val="2"/>
          </w:tcPr>
          <w:p>
            <w:pPr>
              <w:ind w:left="20"/>
              <w:spacing w:after="0"/>
              <w:rPr>
                <w:sz w:val="20"/>
                <w:szCs w:val="20"/>
                <w:color w:val="auto"/>
              </w:rPr>
            </w:pPr>
            <w:r>
              <w:rPr>
                <w:rFonts w:ascii="Arial" w:cs="Arial" w:eastAsia="Arial" w:hAnsi="Arial"/>
                <w:sz w:val="18"/>
                <w:szCs w:val="18"/>
                <w:color w:val="auto"/>
              </w:rPr>
              <w:t>Revenue recognized at a point in time</w:t>
            </w: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1,451</w:t>
            </w:r>
          </w:p>
        </w:tc>
        <w:tc>
          <w:tcPr>
            <w:tcW w:w="2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1,627</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2,761</w:t>
            </w:r>
          </w:p>
        </w:tc>
        <w:tc>
          <w:tcPr>
            <w:tcW w:w="2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3,072</w:t>
            </w:r>
          </w:p>
        </w:tc>
      </w:tr>
      <w:tr>
        <w:trPr>
          <w:trHeight w:val="257"/>
        </w:trPr>
        <w:tc>
          <w:tcPr>
            <w:tcW w:w="4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3,109</w:t>
            </w:r>
          </w:p>
        </w:tc>
        <w:tc>
          <w:tcPr>
            <w:tcW w:w="5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3,510</w:t>
            </w:r>
          </w:p>
        </w:tc>
        <w:tc>
          <w:tcPr>
            <w:tcW w:w="4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6,083</w:t>
            </w:r>
          </w:p>
        </w:tc>
        <w:tc>
          <w:tcPr>
            <w:tcW w:w="4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6,672</w:t>
            </w:r>
          </w:p>
        </w:tc>
      </w:tr>
      <w:tr>
        <w:trPr>
          <w:trHeight w:val="20"/>
        </w:trPr>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4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bl>
    <w:p>
      <w:pPr>
        <w:spacing w:after="0" w:line="35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See </w:t>
      </w:r>
      <w:r>
        <w:rPr>
          <w:rFonts w:ascii="Arial" w:cs="Arial" w:eastAsia="Arial" w:hAnsi="Arial"/>
          <w:sz w:val="18"/>
          <w:szCs w:val="18"/>
          <w:u w:val="single" w:color="auto"/>
          <w:color w:val="0000FF"/>
        </w:rPr>
        <w:t>Note Q</w:t>
      </w:r>
      <w:r>
        <w:rPr>
          <w:rFonts w:ascii="Arial" w:cs="Arial" w:eastAsia="Arial" w:hAnsi="Arial"/>
          <w:sz w:val="18"/>
          <w:szCs w:val="18"/>
          <w:color w:val="auto"/>
        </w:rPr>
        <w:t xml:space="preserve"> for further disaggregation of the Company's revenue.</w:t>
      </w:r>
    </w:p>
    <w:p>
      <w:pPr>
        <w:spacing w:after="0" w:line="185"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The Company has applied the practical expedient to exclude disclosure of remaining performance obligations as its binding orders typically have a term of one year or less.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2" w:name="page23"/>
    <w:bookmarkEnd w:id="22"/>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both"/>
        <w:ind w:left="660"/>
        <w:spacing w:after="0" w:line="257" w:lineRule="auto"/>
        <w:rPr>
          <w:sz w:val="20"/>
          <w:szCs w:val="20"/>
          <w:color w:val="auto"/>
        </w:rPr>
      </w:pPr>
      <w:r>
        <w:rPr>
          <w:rFonts w:ascii="Arial" w:cs="Arial" w:eastAsia="Arial" w:hAnsi="Arial"/>
          <w:sz w:val="18"/>
          <w:szCs w:val="18"/>
          <w:color w:val="auto"/>
        </w:rPr>
        <w:t>Contract assets are typically recognized for work in process related to the Company's three-piece printed products and equipment business. Contract assets and liabilities are reported in a net position on a contract-by-contract basis. The Company had net contract assets of $20 and $18 as of June 30, 2023 and December 31, 2022, respectively, included in prepaid and other current assets. During the three and six months ended June 30, 2023, the Company satisfied performance obligations related to contract assets at December 31, 2022 and also recorded new contract assets primarily related to work in process for the equipment business.</w:t>
      </w:r>
    </w:p>
    <w:p>
      <w:pPr>
        <w:spacing w:after="0" w:line="386" w:lineRule="exact"/>
        <w:rPr>
          <w:sz w:val="20"/>
          <w:szCs w:val="20"/>
          <w:color w:val="auto"/>
        </w:rPr>
      </w:pPr>
    </w:p>
    <w:p>
      <w:pPr>
        <w:ind w:left="320" w:hanging="312"/>
        <w:spacing w:after="0"/>
        <w:tabs>
          <w:tab w:leader="none" w:pos="32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Earnings Per Share</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computations of basic and diluted earnings per share attributable to the Company.</w:t>
      </w:r>
    </w:p>
    <w:p>
      <w:pPr>
        <w:spacing w:after="0" w:line="293"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5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60" w:type="dxa"/>
            <w:vAlign w:val="bottom"/>
            <w:gridSpan w:val="4"/>
          </w:tcPr>
          <w:p>
            <w:pPr>
              <w:jc w:val="right"/>
              <w:ind w:right="290"/>
              <w:spacing w:after="0"/>
              <w:rPr>
                <w:sz w:val="20"/>
                <w:szCs w:val="20"/>
                <w:color w:val="auto"/>
              </w:rPr>
            </w:pPr>
            <w:r>
              <w:rPr>
                <w:rFonts w:ascii="Arial" w:cs="Arial" w:eastAsia="Arial" w:hAnsi="Arial"/>
                <w:sz w:val="18"/>
                <w:szCs w:val="18"/>
                <w:color w:val="auto"/>
                <w:w w:val="98"/>
              </w:rPr>
              <w:t>Three Months Ended</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100" w:type="dxa"/>
            <w:vAlign w:val="bottom"/>
            <w:gridSpan w:val="4"/>
          </w:tcPr>
          <w:p>
            <w:pPr>
              <w:jc w:val="right"/>
              <w:ind w:right="410"/>
              <w:spacing w:after="0"/>
              <w:rPr>
                <w:sz w:val="20"/>
                <w:szCs w:val="20"/>
                <w:color w:val="auto"/>
              </w:rPr>
            </w:pPr>
            <w:r>
              <w:rPr>
                <w:rFonts w:ascii="Arial" w:cs="Arial" w:eastAsia="Arial" w:hAnsi="Arial"/>
                <w:sz w:val="18"/>
                <w:szCs w:val="18"/>
                <w:color w:val="auto"/>
              </w:rPr>
              <w:t>Six Months Ended</w:t>
            </w:r>
          </w:p>
        </w:tc>
        <w:tc>
          <w:tcPr>
            <w:tcW w:w="0" w:type="dxa"/>
            <w:vAlign w:val="bottom"/>
          </w:tcPr>
          <w:p>
            <w:pPr>
              <w:spacing w:after="0"/>
              <w:rPr>
                <w:sz w:val="1"/>
                <w:szCs w:val="1"/>
                <w:color w:val="auto"/>
              </w:rPr>
            </w:pPr>
          </w:p>
        </w:tc>
      </w:tr>
      <w:tr>
        <w:trPr>
          <w:trHeight w:val="243"/>
        </w:trPr>
        <w:tc>
          <w:tcPr>
            <w:tcW w:w="53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June 30,</w:t>
            </w:r>
          </w:p>
        </w:tc>
        <w:tc>
          <w:tcPr>
            <w:tcW w:w="760" w:type="dxa"/>
            <w:vAlign w:val="bottom"/>
            <w:tcBorders>
              <w:bottom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June 30,</w:t>
            </w:r>
          </w:p>
        </w:tc>
        <w:tc>
          <w:tcPr>
            <w:tcW w:w="8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3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2023</w:t>
            </w:r>
          </w:p>
        </w:tc>
        <w:tc>
          <w:tcPr>
            <w:tcW w:w="2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2022</w:t>
            </w:r>
          </w:p>
        </w:tc>
        <w:tc>
          <w:tcPr>
            <w:tcW w:w="2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2023</w:t>
            </w:r>
          </w:p>
        </w:tc>
        <w:tc>
          <w:tcPr>
            <w:tcW w:w="2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2022</w:t>
            </w:r>
          </w:p>
        </w:tc>
        <w:tc>
          <w:tcPr>
            <w:tcW w:w="0" w:type="dxa"/>
            <w:vAlign w:val="bottom"/>
          </w:tcPr>
          <w:p>
            <w:pPr>
              <w:spacing w:after="0"/>
              <w:rPr>
                <w:sz w:val="1"/>
                <w:szCs w:val="1"/>
                <w:color w:val="auto"/>
              </w:rPr>
            </w:pPr>
          </w:p>
        </w:tc>
      </w:tr>
      <w:tr>
        <w:trPr>
          <w:trHeight w:val="221"/>
        </w:trPr>
        <w:tc>
          <w:tcPr>
            <w:tcW w:w="532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Net income attributable to Crown Holdings</w:t>
            </w:r>
          </w:p>
        </w:tc>
        <w:tc>
          <w:tcPr>
            <w:tcW w:w="220" w:type="dxa"/>
            <w:vAlign w:val="bottom"/>
            <w:tcBorders>
              <w:bottom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157</w:t>
            </w:r>
          </w:p>
        </w:tc>
        <w:tc>
          <w:tcPr>
            <w:tcW w:w="2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295</w:t>
            </w:r>
          </w:p>
        </w:tc>
        <w:tc>
          <w:tcPr>
            <w:tcW w:w="2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259</w:t>
            </w:r>
          </w:p>
        </w:tc>
        <w:tc>
          <w:tcPr>
            <w:tcW w:w="2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511</w:t>
            </w:r>
          </w:p>
        </w:tc>
        <w:tc>
          <w:tcPr>
            <w:tcW w:w="0" w:type="dxa"/>
            <w:vAlign w:val="bottom"/>
          </w:tcPr>
          <w:p>
            <w:pPr>
              <w:spacing w:after="0"/>
              <w:rPr>
                <w:sz w:val="1"/>
                <w:szCs w:val="1"/>
                <w:color w:val="auto"/>
              </w:rPr>
            </w:pPr>
          </w:p>
        </w:tc>
      </w:tr>
      <w:tr>
        <w:trPr>
          <w:trHeight w:val="20"/>
        </w:trPr>
        <w:tc>
          <w:tcPr>
            <w:tcW w:w="53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Weighted average shares outstanding:</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32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Basic</w:t>
            </w:r>
          </w:p>
        </w:tc>
        <w:tc>
          <w:tcPr>
            <w:tcW w:w="22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119.4</w:t>
            </w:r>
          </w:p>
        </w:tc>
        <w:tc>
          <w:tcPr>
            <w:tcW w:w="2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121.0</w:t>
            </w:r>
          </w:p>
        </w:tc>
        <w:tc>
          <w:tcPr>
            <w:tcW w:w="2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119.3</w:t>
            </w:r>
          </w:p>
        </w:tc>
        <w:tc>
          <w:tcPr>
            <w:tcW w:w="2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122.3</w:t>
            </w:r>
          </w:p>
        </w:tc>
        <w:tc>
          <w:tcPr>
            <w:tcW w:w="0" w:type="dxa"/>
            <w:vAlign w:val="bottom"/>
          </w:tcPr>
          <w:p>
            <w:pPr>
              <w:spacing w:after="0"/>
              <w:rPr>
                <w:sz w:val="1"/>
                <w:szCs w:val="1"/>
                <w:color w:val="auto"/>
              </w:rPr>
            </w:pPr>
          </w:p>
        </w:tc>
      </w:tr>
      <w:tr>
        <w:trPr>
          <w:trHeight w:val="229"/>
        </w:trPr>
        <w:tc>
          <w:tcPr>
            <w:tcW w:w="5320" w:type="dxa"/>
            <w:vAlign w:val="bottom"/>
          </w:tcPr>
          <w:p>
            <w:pPr>
              <w:ind w:left="340"/>
              <w:spacing w:after="0"/>
              <w:rPr>
                <w:sz w:val="20"/>
                <w:szCs w:val="20"/>
                <w:color w:val="auto"/>
              </w:rPr>
            </w:pPr>
            <w:r>
              <w:rPr>
                <w:rFonts w:ascii="Arial" w:cs="Arial" w:eastAsia="Arial" w:hAnsi="Arial"/>
                <w:sz w:val="18"/>
                <w:szCs w:val="18"/>
                <w:color w:val="auto"/>
              </w:rPr>
              <w:t>Dilutive restricted stock</w:t>
            </w: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2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w:t>
            </w:r>
          </w:p>
        </w:tc>
        <w:tc>
          <w:tcPr>
            <w:tcW w:w="2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2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23"/>
        </w:trPr>
        <w:tc>
          <w:tcPr>
            <w:tcW w:w="5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Diluted</w:t>
            </w:r>
          </w:p>
        </w:tc>
        <w:tc>
          <w:tcPr>
            <w:tcW w:w="2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119.6</w:t>
            </w:r>
          </w:p>
        </w:tc>
        <w:tc>
          <w:tcPr>
            <w:tcW w:w="2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121.6</w:t>
            </w:r>
          </w:p>
        </w:tc>
        <w:tc>
          <w:tcPr>
            <w:tcW w:w="24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119.6</w:t>
            </w:r>
          </w:p>
        </w:tc>
        <w:tc>
          <w:tcPr>
            <w:tcW w:w="2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123.0</w:t>
            </w:r>
          </w:p>
        </w:tc>
        <w:tc>
          <w:tcPr>
            <w:tcW w:w="0" w:type="dxa"/>
            <w:vAlign w:val="bottom"/>
          </w:tcPr>
          <w:p>
            <w:pPr>
              <w:spacing w:after="0"/>
              <w:rPr>
                <w:sz w:val="1"/>
                <w:szCs w:val="1"/>
                <w:color w:val="auto"/>
              </w:rPr>
            </w:pPr>
          </w:p>
        </w:tc>
      </w:tr>
      <w:tr>
        <w:trPr>
          <w:trHeight w:val="223"/>
        </w:trPr>
        <w:tc>
          <w:tcPr>
            <w:tcW w:w="5320" w:type="dxa"/>
            <w:vAlign w:val="bottom"/>
          </w:tcPr>
          <w:p>
            <w:pPr>
              <w:ind w:left="20"/>
              <w:spacing w:after="0"/>
              <w:rPr>
                <w:sz w:val="20"/>
                <w:szCs w:val="20"/>
                <w:color w:val="auto"/>
              </w:rPr>
            </w:pPr>
            <w:r>
              <w:rPr>
                <w:rFonts w:ascii="Arial" w:cs="Arial" w:eastAsia="Arial" w:hAnsi="Arial"/>
                <w:sz w:val="18"/>
                <w:szCs w:val="18"/>
                <w:color w:val="auto"/>
              </w:rPr>
              <w:t>Basic earnings per share</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w:t>
            </w:r>
          </w:p>
        </w:tc>
        <w:tc>
          <w:tcPr>
            <w:tcW w:w="2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w:t>
            </w:r>
          </w:p>
        </w:tc>
        <w:tc>
          <w:tcPr>
            <w:tcW w:w="24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w:t>
            </w:r>
          </w:p>
        </w:tc>
        <w:tc>
          <w:tcPr>
            <w:tcW w:w="2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4.18</w:t>
            </w:r>
          </w:p>
        </w:tc>
        <w:tc>
          <w:tcPr>
            <w:tcW w:w="0" w:type="dxa"/>
            <w:vAlign w:val="bottom"/>
          </w:tcPr>
          <w:p>
            <w:pPr>
              <w:spacing w:after="0"/>
              <w:rPr>
                <w:sz w:val="1"/>
                <w:szCs w:val="1"/>
                <w:color w:val="auto"/>
              </w:rPr>
            </w:pPr>
          </w:p>
        </w:tc>
      </w:tr>
      <w:tr>
        <w:trPr>
          <w:trHeight w:val="20"/>
        </w:trPr>
        <w:tc>
          <w:tcPr>
            <w:tcW w:w="53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5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Diluted earnings per share</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2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2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4.15</w:t>
            </w:r>
          </w:p>
        </w:tc>
        <w:tc>
          <w:tcPr>
            <w:tcW w:w="0" w:type="dxa"/>
            <w:vAlign w:val="bottom"/>
          </w:tcPr>
          <w:p>
            <w:pPr>
              <w:spacing w:after="0"/>
              <w:rPr>
                <w:sz w:val="1"/>
                <w:szCs w:val="1"/>
                <w:color w:val="auto"/>
              </w:rPr>
            </w:pPr>
          </w:p>
        </w:tc>
      </w:tr>
      <w:tr>
        <w:trPr>
          <w:trHeight w:val="20"/>
        </w:trPr>
        <w:tc>
          <w:tcPr>
            <w:tcW w:w="53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For the three and six months ended June 30, 2023 and 2022, 0.04 million and 0.1 million and 0.2 million and 0.3 million contingently issuable common shares were excluded from the computation of diluted earnings per share because the effect would be anti-dilutive.</w:t>
      </w:r>
    </w:p>
    <w:p>
      <w:pPr>
        <w:spacing w:after="0" w:line="193" w:lineRule="exact"/>
        <w:rPr>
          <w:sz w:val="20"/>
          <w:szCs w:val="20"/>
          <w:color w:val="auto"/>
        </w:rPr>
      </w:pPr>
    </w:p>
    <w:p>
      <w:pPr>
        <w:ind w:left="380" w:hanging="372"/>
        <w:spacing w:after="0"/>
        <w:tabs>
          <w:tab w:leader="none" w:pos="38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Segment Information</w:t>
      </w:r>
    </w:p>
    <w:p>
      <w:pPr>
        <w:spacing w:after="0" w:line="256"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The Company evaluates performance and allocates resources based on segment income, which is not a defined term under GAAP. The Company defines segment income as income from operations adjusted to exclude intangibles amortization charges and provisions for restructuring and other. Segment income should not be considered in isolation or as a substitute for net income prepared in accordance with GAAP and may not be comparable to calculations of similarly titled measures by other companies.</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tables below present information about the Company's operating segments.</w:t>
      </w:r>
    </w:p>
    <w:p>
      <w:pPr>
        <w:spacing w:after="0" w:line="293" w:lineRule="exact"/>
        <w:rPr>
          <w:sz w:val="20"/>
          <w:szCs w:val="20"/>
          <w:color w:val="auto"/>
        </w:rPr>
      </w:pPr>
    </w:p>
    <w:tbl>
      <w:tblPr>
        <w:tblLayout w:type="fixed"/>
        <w:tblInd w:w="660" w:type="dxa"/>
        <w:tblCellMar>
          <w:top w:w="0" w:type="dxa"/>
          <w:left w:w="0" w:type="dxa"/>
          <w:bottom w:w="0" w:type="dxa"/>
          <w:right w:w="0" w:type="dxa"/>
        </w:tblCellMar>
      </w:tblPr>
      <w:tr>
        <w:trPr>
          <w:trHeight w:val="237"/>
        </w:trPr>
        <w:tc>
          <w:tcPr>
            <w:tcW w:w="45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gridSpan w:val="4"/>
          </w:tcPr>
          <w:p>
            <w:pPr>
              <w:jc w:val="center"/>
              <w:ind w:right="130"/>
              <w:spacing w:after="0"/>
              <w:rPr>
                <w:sz w:val="20"/>
                <w:szCs w:val="20"/>
                <w:color w:val="auto"/>
              </w:rPr>
            </w:pPr>
            <w:r>
              <w:rPr>
                <w:rFonts w:ascii="Arial" w:cs="Arial" w:eastAsia="Arial" w:hAnsi="Arial"/>
                <w:sz w:val="18"/>
                <w:szCs w:val="18"/>
                <w:color w:val="auto"/>
                <w:w w:val="89"/>
              </w:rPr>
              <w:t>External Sales</w:t>
            </w:r>
          </w:p>
        </w:tc>
        <w:tc>
          <w:tcPr>
            <w:tcW w:w="2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gridSpan w:val="4"/>
          </w:tcPr>
          <w:p>
            <w:pPr>
              <w:jc w:val="center"/>
              <w:ind w:right="130"/>
              <w:spacing w:after="0"/>
              <w:rPr>
                <w:sz w:val="20"/>
                <w:szCs w:val="20"/>
                <w:color w:val="auto"/>
              </w:rPr>
            </w:pPr>
            <w:r>
              <w:rPr>
                <w:rFonts w:ascii="Arial" w:cs="Arial" w:eastAsia="Arial" w:hAnsi="Arial"/>
                <w:sz w:val="18"/>
                <w:szCs w:val="18"/>
                <w:color w:val="auto"/>
                <w:w w:val="89"/>
              </w:rPr>
              <w:t>External Sales</w:t>
            </w:r>
          </w:p>
        </w:tc>
      </w:tr>
      <w:tr>
        <w:trPr>
          <w:trHeight w:val="229"/>
        </w:trPr>
        <w:tc>
          <w:tcPr>
            <w:tcW w:w="4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100" w:type="dxa"/>
            <w:vAlign w:val="bottom"/>
            <w:gridSpan w:val="4"/>
          </w:tcPr>
          <w:p>
            <w:pPr>
              <w:jc w:val="center"/>
              <w:ind w:right="130"/>
              <w:spacing w:after="0"/>
              <w:rPr>
                <w:sz w:val="20"/>
                <w:szCs w:val="20"/>
                <w:color w:val="auto"/>
              </w:rPr>
            </w:pPr>
            <w:r>
              <w:rPr>
                <w:rFonts w:ascii="Arial" w:cs="Arial" w:eastAsia="Arial" w:hAnsi="Arial"/>
                <w:sz w:val="18"/>
                <w:szCs w:val="18"/>
                <w:color w:val="auto"/>
                <w:w w:val="90"/>
              </w:rPr>
              <w:t>Three Months Ended</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100" w:type="dxa"/>
            <w:vAlign w:val="bottom"/>
            <w:gridSpan w:val="4"/>
          </w:tcPr>
          <w:p>
            <w:pPr>
              <w:jc w:val="center"/>
              <w:ind w:right="110"/>
              <w:spacing w:after="0"/>
              <w:rPr>
                <w:sz w:val="20"/>
                <w:szCs w:val="20"/>
                <w:color w:val="auto"/>
              </w:rPr>
            </w:pPr>
            <w:r>
              <w:rPr>
                <w:rFonts w:ascii="Arial" w:cs="Arial" w:eastAsia="Arial" w:hAnsi="Arial"/>
                <w:sz w:val="18"/>
                <w:szCs w:val="18"/>
                <w:color w:val="auto"/>
                <w:w w:val="91"/>
              </w:rPr>
              <w:t>Six Months Ended</w:t>
            </w:r>
          </w:p>
        </w:tc>
      </w:tr>
      <w:tr>
        <w:trPr>
          <w:trHeight w:val="230"/>
        </w:trPr>
        <w:tc>
          <w:tcPr>
            <w:tcW w:w="45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jc w:val="center"/>
              <w:ind w:left="470"/>
              <w:spacing w:after="0"/>
              <w:rPr>
                <w:sz w:val="20"/>
                <w:szCs w:val="20"/>
                <w:color w:val="auto"/>
              </w:rPr>
            </w:pPr>
            <w:r>
              <w:rPr>
                <w:rFonts w:ascii="Arial" w:cs="Arial" w:eastAsia="Arial" w:hAnsi="Arial"/>
                <w:sz w:val="18"/>
                <w:szCs w:val="18"/>
                <w:color w:val="auto"/>
                <w:w w:val="86"/>
              </w:rPr>
              <w:t>June 30,</w:t>
            </w:r>
          </w:p>
        </w:tc>
        <w:tc>
          <w:tcPr>
            <w:tcW w:w="78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jc w:val="center"/>
              <w:ind w:left="470"/>
              <w:spacing w:after="0"/>
              <w:rPr>
                <w:sz w:val="20"/>
                <w:szCs w:val="20"/>
                <w:color w:val="auto"/>
              </w:rPr>
            </w:pPr>
            <w:r>
              <w:rPr>
                <w:rFonts w:ascii="Arial" w:cs="Arial" w:eastAsia="Arial" w:hAnsi="Arial"/>
                <w:sz w:val="18"/>
                <w:szCs w:val="18"/>
                <w:color w:val="auto"/>
                <w:w w:val="86"/>
              </w:rPr>
              <w:t>June 30,</w:t>
            </w:r>
          </w:p>
        </w:tc>
        <w:tc>
          <w:tcPr>
            <w:tcW w:w="780" w:type="dxa"/>
            <w:vAlign w:val="bottom"/>
            <w:tcBorders>
              <w:bottom w:val="single" w:sz="8" w:color="auto"/>
            </w:tcBorders>
          </w:tcPr>
          <w:p>
            <w:pPr>
              <w:spacing w:after="0"/>
              <w:rPr>
                <w:sz w:val="20"/>
                <w:szCs w:val="20"/>
                <w:color w:val="auto"/>
              </w:rPr>
            </w:pPr>
          </w:p>
        </w:tc>
      </w:tr>
      <w:tr>
        <w:trPr>
          <w:trHeight w:val="230"/>
        </w:trPr>
        <w:tc>
          <w:tcPr>
            <w:tcW w:w="458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2023</w:t>
            </w:r>
          </w:p>
        </w:tc>
        <w:tc>
          <w:tcPr>
            <w:tcW w:w="24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2022</w:t>
            </w:r>
          </w:p>
        </w:tc>
        <w:tc>
          <w:tcPr>
            <w:tcW w:w="24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2023</w:t>
            </w:r>
          </w:p>
        </w:tc>
        <w:tc>
          <w:tcPr>
            <w:tcW w:w="2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2022</w:t>
            </w:r>
          </w:p>
        </w:tc>
      </w:tr>
      <w:tr>
        <w:trPr>
          <w:trHeight w:val="229"/>
        </w:trPr>
        <w:tc>
          <w:tcPr>
            <w:tcW w:w="4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Americas Beverage</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1,292</w:t>
            </w:r>
          </w:p>
        </w:tc>
        <w:tc>
          <w:tcPr>
            <w:tcW w:w="24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1,378</w:t>
            </w: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2,553</w:t>
            </w:r>
          </w:p>
        </w:tc>
        <w:tc>
          <w:tcPr>
            <w:tcW w:w="2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2,604</w:t>
            </w:r>
          </w:p>
        </w:tc>
      </w:tr>
      <w:tr>
        <w:trPr>
          <w:trHeight w:val="230"/>
        </w:trPr>
        <w:tc>
          <w:tcPr>
            <w:tcW w:w="4580" w:type="dxa"/>
            <w:vAlign w:val="bottom"/>
          </w:tcPr>
          <w:p>
            <w:pPr>
              <w:ind w:left="20"/>
              <w:spacing w:after="0"/>
              <w:rPr>
                <w:sz w:val="20"/>
                <w:szCs w:val="20"/>
                <w:color w:val="auto"/>
              </w:rPr>
            </w:pPr>
            <w:r>
              <w:rPr>
                <w:rFonts w:ascii="Arial" w:cs="Arial" w:eastAsia="Arial" w:hAnsi="Arial"/>
                <w:sz w:val="18"/>
                <w:szCs w:val="18"/>
                <w:color w:val="auto"/>
              </w:rPr>
              <w:t>European Beverage</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532</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599</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1,011</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1,109</w:t>
            </w:r>
          </w:p>
        </w:tc>
      </w:tr>
      <w:tr>
        <w:trPr>
          <w:trHeight w:val="243"/>
        </w:trPr>
        <w:tc>
          <w:tcPr>
            <w:tcW w:w="4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Asia Pacific</w:t>
            </w:r>
          </w:p>
        </w:tc>
        <w:tc>
          <w:tcPr>
            <w:tcW w:w="22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w:t>
            </w:r>
          </w:p>
        </w:tc>
        <w:tc>
          <w:tcPr>
            <w:tcW w:w="2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w:t>
            </w:r>
          </w:p>
        </w:tc>
        <w:tc>
          <w:tcPr>
            <w:tcW w:w="2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670</w:t>
            </w:r>
          </w:p>
        </w:tc>
        <w:tc>
          <w:tcPr>
            <w:tcW w:w="2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845</w:t>
            </w:r>
          </w:p>
        </w:tc>
      </w:tr>
      <w:tr>
        <w:trPr>
          <w:trHeight w:val="230"/>
        </w:trPr>
        <w:tc>
          <w:tcPr>
            <w:tcW w:w="4580" w:type="dxa"/>
            <w:vAlign w:val="bottom"/>
          </w:tcPr>
          <w:p>
            <w:pPr>
              <w:ind w:left="20"/>
              <w:spacing w:after="0"/>
              <w:rPr>
                <w:sz w:val="20"/>
                <w:szCs w:val="20"/>
                <w:color w:val="auto"/>
              </w:rPr>
            </w:pPr>
            <w:r>
              <w:rPr>
                <w:rFonts w:ascii="Arial" w:cs="Arial" w:eastAsia="Arial" w:hAnsi="Arial"/>
                <w:sz w:val="18"/>
                <w:szCs w:val="18"/>
                <w:color w:val="auto"/>
              </w:rPr>
              <w:t>Transit Packaging</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597</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691</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1,161</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1,348</w:t>
            </w:r>
          </w:p>
        </w:tc>
      </w:tr>
      <w:tr>
        <w:trPr>
          <w:trHeight w:val="230"/>
        </w:trPr>
        <w:tc>
          <w:tcPr>
            <w:tcW w:w="4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356</w:t>
            </w:r>
          </w:p>
        </w:tc>
        <w:tc>
          <w:tcPr>
            <w:tcW w:w="24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410</w:t>
            </w:r>
          </w:p>
        </w:tc>
        <w:tc>
          <w:tcPr>
            <w:tcW w:w="2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688</w:t>
            </w:r>
          </w:p>
        </w:tc>
        <w:tc>
          <w:tcPr>
            <w:tcW w:w="2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766</w:t>
            </w:r>
          </w:p>
        </w:tc>
      </w:tr>
      <w:tr>
        <w:trPr>
          <w:trHeight w:val="236"/>
        </w:trPr>
        <w:tc>
          <w:tcPr>
            <w:tcW w:w="4580" w:type="dxa"/>
            <w:vAlign w:val="bottom"/>
          </w:tcPr>
          <w:p>
            <w:pPr>
              <w:ind w:left="20"/>
              <w:spacing w:after="0"/>
              <w:rPr>
                <w:sz w:val="20"/>
                <w:szCs w:val="20"/>
                <w:color w:val="auto"/>
              </w:rPr>
            </w:pPr>
            <w:r>
              <w:rPr>
                <w:rFonts w:ascii="Arial" w:cs="Arial" w:eastAsia="Arial" w:hAnsi="Arial"/>
                <w:sz w:val="18"/>
                <w:szCs w:val="18"/>
                <w:color w:val="auto"/>
              </w:rPr>
              <w:t>Total</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3,109</w:t>
            </w:r>
          </w:p>
        </w:tc>
        <w:tc>
          <w:tcPr>
            <w:tcW w:w="50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3,510</w:t>
            </w:r>
          </w:p>
        </w:tc>
        <w:tc>
          <w:tcPr>
            <w:tcW w:w="46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6,083</w:t>
            </w:r>
          </w:p>
        </w:tc>
        <w:tc>
          <w:tcPr>
            <w:tcW w:w="48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6,672</w:t>
            </w:r>
          </w:p>
        </w:tc>
      </w:tr>
      <w:tr>
        <w:trPr>
          <w:trHeight w:val="21"/>
        </w:trPr>
        <w:tc>
          <w:tcPr>
            <w:tcW w:w="45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The primary sources of revenue included in Other are the Company's food can, aerosol can, and closures businesses in North America, and beverage tooling and equipment operations in the U.S. and U.K.</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3" w:name="page24"/>
    <w:bookmarkEnd w:id="23"/>
    <w:p>
      <w:pPr>
        <w:ind w:left="4140"/>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20" w:type="dxa"/>
            <w:vAlign w:val="bottom"/>
          </w:tcPr>
          <w:p>
            <w:pPr>
              <w:spacing w:after="0"/>
              <w:rPr>
                <w:sz w:val="20"/>
                <w:szCs w:val="20"/>
                <w:color w:val="auto"/>
              </w:rPr>
            </w:pPr>
          </w:p>
        </w:tc>
        <w:tc>
          <w:tcPr>
            <w:tcW w:w="2020" w:type="dxa"/>
            <w:vAlign w:val="bottom"/>
            <w:tcBorders>
              <w:bottom w:val="single" w:sz="8" w:color="auto"/>
            </w:tcBorders>
            <w:gridSpan w:val="4"/>
          </w:tcPr>
          <w:p>
            <w:pPr>
              <w:jc w:val="center"/>
              <w:ind w:left="210"/>
              <w:spacing w:after="0"/>
              <w:rPr>
                <w:sz w:val="20"/>
                <w:szCs w:val="20"/>
                <w:color w:val="auto"/>
              </w:rPr>
            </w:pPr>
            <w:r>
              <w:rPr>
                <w:rFonts w:ascii="Arial" w:cs="Arial" w:eastAsia="Arial" w:hAnsi="Arial"/>
                <w:sz w:val="18"/>
                <w:szCs w:val="18"/>
                <w:color w:val="auto"/>
                <w:w w:val="87"/>
              </w:rPr>
              <w:t>Intersegment Sales</w:t>
            </w:r>
          </w:p>
        </w:tc>
        <w:tc>
          <w:tcPr>
            <w:tcW w:w="30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gridSpan w:val="4"/>
          </w:tcPr>
          <w:p>
            <w:pPr>
              <w:jc w:val="center"/>
              <w:ind w:right="130"/>
              <w:spacing w:after="0"/>
              <w:rPr>
                <w:sz w:val="20"/>
                <w:szCs w:val="20"/>
                <w:color w:val="auto"/>
              </w:rPr>
            </w:pPr>
            <w:r>
              <w:rPr>
                <w:rFonts w:ascii="Arial" w:cs="Arial" w:eastAsia="Arial" w:hAnsi="Arial"/>
                <w:sz w:val="18"/>
                <w:szCs w:val="18"/>
                <w:color w:val="auto"/>
                <w:w w:val="87"/>
              </w:rPr>
              <w:t>Intersegment Sales</w:t>
            </w:r>
          </w:p>
        </w:tc>
      </w:tr>
      <w:tr>
        <w:trPr>
          <w:trHeight w:val="224"/>
        </w:trPr>
        <w:tc>
          <w:tcPr>
            <w:tcW w:w="4620" w:type="dxa"/>
            <w:vAlign w:val="bottom"/>
          </w:tcPr>
          <w:p>
            <w:pPr>
              <w:spacing w:after="0"/>
              <w:rPr>
                <w:sz w:val="19"/>
                <w:szCs w:val="19"/>
                <w:color w:val="auto"/>
              </w:rPr>
            </w:pPr>
          </w:p>
        </w:tc>
        <w:tc>
          <w:tcPr>
            <w:tcW w:w="2020" w:type="dxa"/>
            <w:vAlign w:val="bottom"/>
            <w:gridSpan w:val="4"/>
          </w:tcPr>
          <w:p>
            <w:pPr>
              <w:jc w:val="center"/>
              <w:ind w:left="210"/>
              <w:spacing w:after="0"/>
              <w:rPr>
                <w:sz w:val="20"/>
                <w:szCs w:val="20"/>
                <w:color w:val="auto"/>
              </w:rPr>
            </w:pPr>
            <w:r>
              <w:rPr>
                <w:rFonts w:ascii="Arial" w:cs="Arial" w:eastAsia="Arial" w:hAnsi="Arial"/>
                <w:sz w:val="18"/>
                <w:szCs w:val="18"/>
                <w:color w:val="auto"/>
                <w:w w:val="90"/>
              </w:rPr>
              <w:t>Three Months Ended</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100" w:type="dxa"/>
            <w:vAlign w:val="bottom"/>
            <w:gridSpan w:val="4"/>
          </w:tcPr>
          <w:p>
            <w:pPr>
              <w:jc w:val="center"/>
              <w:ind w:right="150"/>
              <w:spacing w:after="0"/>
              <w:rPr>
                <w:sz w:val="20"/>
                <w:szCs w:val="20"/>
                <w:color w:val="auto"/>
              </w:rPr>
            </w:pPr>
            <w:r>
              <w:rPr>
                <w:rFonts w:ascii="Arial" w:cs="Arial" w:eastAsia="Arial" w:hAnsi="Arial"/>
                <w:sz w:val="18"/>
                <w:szCs w:val="18"/>
                <w:color w:val="auto"/>
                <w:w w:val="91"/>
              </w:rPr>
              <w:t>Six Months Ended</w:t>
            </w:r>
          </w:p>
        </w:tc>
      </w:tr>
      <w:tr>
        <w:trPr>
          <w:trHeight w:val="242"/>
        </w:trPr>
        <w:tc>
          <w:tcPr>
            <w:tcW w:w="4620" w:type="dxa"/>
            <w:vAlign w:val="bottom"/>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gridSpan w:val="3"/>
          </w:tcPr>
          <w:p>
            <w:pPr>
              <w:jc w:val="center"/>
              <w:ind w:right="350"/>
              <w:spacing w:after="0"/>
              <w:rPr>
                <w:sz w:val="20"/>
                <w:szCs w:val="20"/>
                <w:color w:val="auto"/>
              </w:rPr>
            </w:pPr>
            <w:r>
              <w:rPr>
                <w:rFonts w:ascii="Arial" w:cs="Arial" w:eastAsia="Arial" w:hAnsi="Arial"/>
                <w:sz w:val="18"/>
                <w:szCs w:val="18"/>
                <w:color w:val="auto"/>
                <w:w w:val="86"/>
              </w:rPr>
              <w:t>June 30,</w:t>
            </w:r>
          </w:p>
        </w:tc>
        <w:tc>
          <w:tcPr>
            <w:tcW w:w="300" w:type="dxa"/>
            <w:vAlign w:val="bottom"/>
            <w:tcBorders>
              <w:bottom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gridSpan w:val="3"/>
          </w:tcPr>
          <w:p>
            <w:pPr>
              <w:jc w:val="center"/>
              <w:ind w:left="470"/>
              <w:spacing w:after="0"/>
              <w:rPr>
                <w:sz w:val="20"/>
                <w:szCs w:val="20"/>
                <w:color w:val="auto"/>
              </w:rPr>
            </w:pPr>
            <w:r>
              <w:rPr>
                <w:rFonts w:ascii="Arial" w:cs="Arial" w:eastAsia="Arial" w:hAnsi="Arial"/>
                <w:sz w:val="18"/>
                <w:szCs w:val="18"/>
                <w:color w:val="auto"/>
                <w:w w:val="86"/>
              </w:rPr>
              <w:t>June 30,</w:t>
            </w:r>
          </w:p>
        </w:tc>
        <w:tc>
          <w:tcPr>
            <w:tcW w:w="780" w:type="dxa"/>
            <w:vAlign w:val="bottom"/>
            <w:tcBorders>
              <w:bottom w:val="single" w:sz="8" w:color="auto"/>
            </w:tcBorders>
          </w:tcPr>
          <w:p>
            <w:pPr>
              <w:spacing w:after="0"/>
              <w:rPr>
                <w:sz w:val="21"/>
                <w:szCs w:val="21"/>
                <w:color w:val="auto"/>
              </w:rPr>
            </w:pPr>
          </w:p>
        </w:tc>
      </w:tr>
      <w:tr>
        <w:trPr>
          <w:trHeight w:val="223"/>
        </w:trPr>
        <w:tc>
          <w:tcPr>
            <w:tcW w:w="4620" w:type="dxa"/>
            <w:vAlign w:val="bottom"/>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2023</w:t>
            </w:r>
          </w:p>
        </w:tc>
        <w:tc>
          <w:tcPr>
            <w:tcW w:w="30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2022</w:t>
            </w:r>
          </w:p>
        </w:tc>
        <w:tc>
          <w:tcPr>
            <w:tcW w:w="30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2023</w:t>
            </w:r>
          </w:p>
        </w:tc>
        <w:tc>
          <w:tcPr>
            <w:tcW w:w="2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2022</w:t>
            </w:r>
          </w:p>
        </w:tc>
      </w:tr>
      <w:tr>
        <w:trPr>
          <w:trHeight w:val="237"/>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Americas Beverage</w:t>
            </w:r>
          </w:p>
        </w:tc>
        <w:tc>
          <w:tcPr>
            <w:tcW w:w="74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w w:val="79"/>
              </w:rPr>
              <w:t>$</w:t>
            </w:r>
          </w:p>
        </w:tc>
        <w:tc>
          <w:tcPr>
            <w:tcW w:w="30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55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4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29"/>
        </w:trPr>
        <w:tc>
          <w:tcPr>
            <w:tcW w:w="4620" w:type="dxa"/>
            <w:vAlign w:val="bottom"/>
          </w:tcPr>
          <w:p>
            <w:pPr>
              <w:ind w:left="20"/>
              <w:spacing w:after="0"/>
              <w:rPr>
                <w:sz w:val="20"/>
                <w:szCs w:val="20"/>
                <w:color w:val="auto"/>
              </w:rPr>
            </w:pPr>
            <w:r>
              <w:rPr>
                <w:rFonts w:ascii="Arial" w:cs="Arial" w:eastAsia="Arial" w:hAnsi="Arial"/>
                <w:sz w:val="18"/>
                <w:szCs w:val="18"/>
                <w:color w:val="auto"/>
              </w:rPr>
              <w:t>European Beverage</w:t>
            </w:r>
          </w:p>
        </w:tc>
        <w:tc>
          <w:tcPr>
            <w:tcW w:w="740" w:type="dxa"/>
            <w:vAlign w:val="bottom"/>
          </w:tcPr>
          <w:p>
            <w:pPr>
              <w:spacing w:after="0"/>
              <w:rPr>
                <w:sz w:val="19"/>
                <w:szCs w:val="19"/>
                <w:color w:val="auto"/>
              </w:rPr>
            </w:pPr>
          </w:p>
        </w:tc>
        <w:tc>
          <w:tcPr>
            <w:tcW w:w="300" w:type="dxa"/>
            <w:vAlign w:val="bottom"/>
          </w:tcPr>
          <w:p>
            <w:pPr>
              <w:ind w:left="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30</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30"/>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Transit Packaging</w:t>
            </w:r>
          </w:p>
        </w:tc>
        <w:tc>
          <w:tcPr>
            <w:tcW w:w="740" w:type="dxa"/>
            <w:vAlign w:val="bottom"/>
            <w:shd w:val="clear" w:color="auto" w:fill="CCEEFF"/>
          </w:tcPr>
          <w:p>
            <w:pPr>
              <w:spacing w:after="0"/>
              <w:rPr>
                <w:sz w:val="19"/>
                <w:szCs w:val="19"/>
                <w:color w:val="auto"/>
              </w:rPr>
            </w:pPr>
          </w:p>
        </w:tc>
        <w:tc>
          <w:tcPr>
            <w:tcW w:w="300" w:type="dxa"/>
            <w:vAlign w:val="bottom"/>
            <w:shd w:val="clear" w:color="auto" w:fill="CCEEFF"/>
          </w:tcPr>
          <w:p>
            <w:pPr>
              <w:ind w:left="60"/>
              <w:spacing w:after="0"/>
              <w:rPr>
                <w:sz w:val="20"/>
                <w:szCs w:val="20"/>
                <w:color w:val="auto"/>
              </w:rPr>
            </w:pPr>
            <w:r>
              <w:rPr>
                <w:rFonts w:ascii="Arial" w:cs="Arial" w:eastAsia="Arial" w:hAnsi="Arial"/>
                <w:sz w:val="18"/>
                <w:szCs w:val="18"/>
                <w:color w:val="auto"/>
              </w:rPr>
              <w:t>14</w:t>
            </w:r>
          </w:p>
        </w:tc>
        <w:tc>
          <w:tcPr>
            <w:tcW w:w="2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43"/>
        </w:trPr>
        <w:tc>
          <w:tcPr>
            <w:tcW w:w="46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74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46</w:t>
            </w:r>
          </w:p>
        </w:tc>
        <w:tc>
          <w:tcPr>
            <w:tcW w:w="240" w:type="dxa"/>
            <w:vAlign w:val="bottom"/>
            <w:tcBorders>
              <w:bottom w:val="single" w:sz="8" w:color="CCEEFF"/>
            </w:tcBorders>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24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w:t>
            </w:r>
          </w:p>
        </w:tc>
        <w:tc>
          <w:tcPr>
            <w:tcW w:w="22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w:t>
            </w:r>
          </w:p>
        </w:tc>
      </w:tr>
      <w:tr>
        <w:trPr>
          <w:trHeight w:val="248"/>
        </w:trPr>
        <w:tc>
          <w:tcPr>
            <w:tcW w:w="4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740" w:type="dxa"/>
            <w:vAlign w:val="bottom"/>
            <w:tcBorders>
              <w:bottom w:val="single" w:sz="8" w:color="auto"/>
            </w:tcBorders>
            <w:shd w:val="clear" w:color="auto" w:fill="CCEEFF"/>
          </w:tcPr>
          <w:p>
            <w:pPr>
              <w:jc w:val="right"/>
              <w:ind w:right="550"/>
              <w:spacing w:after="0"/>
              <w:rPr>
                <w:sz w:val="20"/>
                <w:szCs w:val="20"/>
                <w:color w:val="auto"/>
              </w:rPr>
            </w:pPr>
            <w:r>
              <w:rPr>
                <w:rFonts w:ascii="Arial" w:cs="Arial" w:eastAsia="Arial" w:hAnsi="Arial"/>
                <w:sz w:val="18"/>
                <w:szCs w:val="18"/>
                <w:color w:val="auto"/>
                <w:w w:val="79"/>
              </w:rPr>
              <w:t>$</w:t>
            </w:r>
          </w:p>
        </w:tc>
        <w:tc>
          <w:tcPr>
            <w:tcW w:w="30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60</w:t>
            </w:r>
          </w:p>
        </w:tc>
        <w:tc>
          <w:tcPr>
            <w:tcW w:w="2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ind w:right="550"/>
              <w:spacing w:after="0"/>
              <w:rPr>
                <w:sz w:val="20"/>
                <w:szCs w:val="20"/>
                <w:color w:val="auto"/>
              </w:rPr>
            </w:pPr>
            <w:r>
              <w:rPr>
                <w:rFonts w:ascii="Arial" w:cs="Arial" w:eastAsia="Arial" w:hAnsi="Arial"/>
                <w:sz w:val="18"/>
                <w:szCs w:val="18"/>
                <w:color w:val="auto"/>
                <w:w w:val="79"/>
              </w:rPr>
              <w:t>$</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2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w:t>
            </w: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Intersegment sales primarily include sales of cans, ends and parts and equipment used in the manufacturing process.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20" w:type="dxa"/>
            <w:vAlign w:val="bottom"/>
          </w:tcPr>
          <w:p>
            <w:pPr>
              <w:spacing w:after="0"/>
              <w:rPr>
                <w:sz w:val="20"/>
                <w:szCs w:val="20"/>
                <w:color w:val="auto"/>
              </w:rPr>
            </w:pPr>
          </w:p>
        </w:tc>
        <w:tc>
          <w:tcPr>
            <w:tcW w:w="1980" w:type="dxa"/>
            <w:vAlign w:val="bottom"/>
            <w:tcBorders>
              <w:bottom w:val="single" w:sz="8" w:color="auto"/>
            </w:tcBorders>
            <w:gridSpan w:val="4"/>
          </w:tcPr>
          <w:p>
            <w:pPr>
              <w:jc w:val="center"/>
              <w:ind w:left="270"/>
              <w:spacing w:after="0"/>
              <w:rPr>
                <w:sz w:val="20"/>
                <w:szCs w:val="20"/>
                <w:color w:val="auto"/>
              </w:rPr>
            </w:pPr>
            <w:r>
              <w:rPr>
                <w:rFonts w:ascii="Arial" w:cs="Arial" w:eastAsia="Arial" w:hAnsi="Arial"/>
                <w:sz w:val="18"/>
                <w:szCs w:val="18"/>
                <w:color w:val="auto"/>
                <w:w w:val="89"/>
              </w:rPr>
              <w:t>Segment Income</w:t>
            </w:r>
          </w:p>
        </w:tc>
        <w:tc>
          <w:tcPr>
            <w:tcW w:w="34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gridSpan w:val="4"/>
          </w:tcPr>
          <w:p>
            <w:pPr>
              <w:jc w:val="center"/>
              <w:ind w:right="150"/>
              <w:spacing w:after="0"/>
              <w:rPr>
                <w:sz w:val="20"/>
                <w:szCs w:val="20"/>
                <w:color w:val="auto"/>
              </w:rPr>
            </w:pPr>
            <w:r>
              <w:rPr>
                <w:rFonts w:ascii="Arial" w:cs="Arial" w:eastAsia="Arial" w:hAnsi="Arial"/>
                <w:sz w:val="18"/>
                <w:szCs w:val="18"/>
                <w:color w:val="auto"/>
                <w:w w:val="89"/>
              </w:rPr>
              <w:t>Segment Income</w:t>
            </w:r>
          </w:p>
        </w:tc>
      </w:tr>
      <w:tr>
        <w:trPr>
          <w:trHeight w:val="222"/>
        </w:trPr>
        <w:tc>
          <w:tcPr>
            <w:tcW w:w="4620" w:type="dxa"/>
            <w:vAlign w:val="bottom"/>
          </w:tcPr>
          <w:p>
            <w:pPr>
              <w:spacing w:after="0"/>
              <w:rPr>
                <w:sz w:val="19"/>
                <w:szCs w:val="19"/>
                <w:color w:val="auto"/>
              </w:rPr>
            </w:pPr>
          </w:p>
        </w:tc>
        <w:tc>
          <w:tcPr>
            <w:tcW w:w="1980" w:type="dxa"/>
            <w:vAlign w:val="bottom"/>
            <w:gridSpan w:val="4"/>
          </w:tcPr>
          <w:p>
            <w:pPr>
              <w:jc w:val="center"/>
              <w:ind w:left="250"/>
              <w:spacing w:after="0"/>
              <w:rPr>
                <w:sz w:val="20"/>
                <w:szCs w:val="20"/>
                <w:color w:val="auto"/>
              </w:rPr>
            </w:pPr>
            <w:r>
              <w:rPr>
                <w:rFonts w:ascii="Arial" w:cs="Arial" w:eastAsia="Arial" w:hAnsi="Arial"/>
                <w:sz w:val="18"/>
                <w:szCs w:val="18"/>
                <w:color w:val="auto"/>
                <w:w w:val="90"/>
              </w:rPr>
              <w:t>Three Months Ended</w:t>
            </w: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100" w:type="dxa"/>
            <w:vAlign w:val="bottom"/>
            <w:gridSpan w:val="4"/>
          </w:tcPr>
          <w:p>
            <w:pPr>
              <w:jc w:val="center"/>
              <w:ind w:right="150"/>
              <w:spacing w:after="0"/>
              <w:rPr>
                <w:sz w:val="20"/>
                <w:szCs w:val="20"/>
                <w:color w:val="auto"/>
              </w:rPr>
            </w:pPr>
            <w:r>
              <w:rPr>
                <w:rFonts w:ascii="Arial" w:cs="Arial" w:eastAsia="Arial" w:hAnsi="Arial"/>
                <w:sz w:val="18"/>
                <w:szCs w:val="18"/>
                <w:color w:val="auto"/>
                <w:w w:val="91"/>
              </w:rPr>
              <w:t>Six Months Ended</w:t>
            </w:r>
          </w:p>
        </w:tc>
      </w:tr>
      <w:tr>
        <w:trPr>
          <w:trHeight w:val="237"/>
        </w:trPr>
        <w:tc>
          <w:tcPr>
            <w:tcW w:w="4620" w:type="dxa"/>
            <w:vAlign w:val="bottom"/>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3"/>
          </w:tcPr>
          <w:p>
            <w:pPr>
              <w:jc w:val="center"/>
              <w:ind w:right="270"/>
              <w:spacing w:after="0"/>
              <w:rPr>
                <w:sz w:val="20"/>
                <w:szCs w:val="20"/>
                <w:color w:val="auto"/>
              </w:rPr>
            </w:pPr>
            <w:r>
              <w:rPr>
                <w:rFonts w:ascii="Arial" w:cs="Arial" w:eastAsia="Arial" w:hAnsi="Arial"/>
                <w:sz w:val="18"/>
                <w:szCs w:val="18"/>
                <w:color w:val="auto"/>
                <w:w w:val="86"/>
              </w:rPr>
              <w:t>June 30,</w:t>
            </w:r>
          </w:p>
        </w:tc>
        <w:tc>
          <w:tcPr>
            <w:tcW w:w="34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jc w:val="center"/>
              <w:ind w:left="470"/>
              <w:spacing w:after="0"/>
              <w:rPr>
                <w:sz w:val="20"/>
                <w:szCs w:val="20"/>
                <w:color w:val="auto"/>
              </w:rPr>
            </w:pPr>
            <w:r>
              <w:rPr>
                <w:rFonts w:ascii="Arial" w:cs="Arial" w:eastAsia="Arial" w:hAnsi="Arial"/>
                <w:sz w:val="18"/>
                <w:szCs w:val="18"/>
                <w:color w:val="auto"/>
                <w:w w:val="86"/>
              </w:rPr>
              <w:t>June 30,</w:t>
            </w:r>
          </w:p>
        </w:tc>
        <w:tc>
          <w:tcPr>
            <w:tcW w:w="780" w:type="dxa"/>
            <w:vAlign w:val="bottom"/>
            <w:tcBorders>
              <w:bottom w:val="single" w:sz="8" w:color="auto"/>
            </w:tcBorders>
          </w:tcPr>
          <w:p>
            <w:pPr>
              <w:spacing w:after="0"/>
              <w:rPr>
                <w:sz w:val="20"/>
                <w:szCs w:val="20"/>
                <w:color w:val="auto"/>
              </w:rPr>
            </w:pPr>
          </w:p>
        </w:tc>
      </w:tr>
      <w:tr>
        <w:trPr>
          <w:trHeight w:val="229"/>
        </w:trPr>
        <w:tc>
          <w:tcPr>
            <w:tcW w:w="46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2023</w:t>
            </w:r>
          </w:p>
        </w:tc>
        <w:tc>
          <w:tcPr>
            <w:tcW w:w="34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2022</w:t>
            </w: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ind w:right="250"/>
              <w:spacing w:after="0"/>
              <w:rPr>
                <w:sz w:val="20"/>
                <w:szCs w:val="20"/>
                <w:color w:val="auto"/>
              </w:rPr>
            </w:pPr>
            <w:r>
              <w:rPr>
                <w:rFonts w:ascii="Arial" w:cs="Arial" w:eastAsia="Arial" w:hAnsi="Arial"/>
                <w:sz w:val="18"/>
                <w:szCs w:val="18"/>
                <w:color w:val="auto"/>
              </w:rPr>
              <w:t>2023</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jc w:val="right"/>
              <w:ind w:right="250"/>
              <w:spacing w:after="0"/>
              <w:rPr>
                <w:sz w:val="20"/>
                <w:szCs w:val="20"/>
                <w:color w:val="auto"/>
              </w:rPr>
            </w:pPr>
            <w:r>
              <w:rPr>
                <w:rFonts w:ascii="Arial" w:cs="Arial" w:eastAsia="Arial" w:hAnsi="Arial"/>
                <w:sz w:val="18"/>
                <w:szCs w:val="18"/>
                <w:color w:val="auto"/>
              </w:rPr>
              <w:t>2022</w:t>
            </w:r>
          </w:p>
        </w:tc>
      </w:tr>
      <w:tr>
        <w:trPr>
          <w:trHeight w:val="223"/>
        </w:trPr>
        <w:tc>
          <w:tcPr>
            <w:tcW w:w="4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Americas Beverage</w:t>
            </w:r>
          </w:p>
        </w:tc>
        <w:tc>
          <w:tcPr>
            <w:tcW w:w="700" w:type="dxa"/>
            <w:vAlign w:val="bottom"/>
            <w:tcBorders>
              <w:top w:val="single" w:sz="8" w:color="auto"/>
            </w:tcBorders>
            <w:shd w:val="clear" w:color="auto" w:fill="CCEEFF"/>
          </w:tcPr>
          <w:p>
            <w:pPr>
              <w:jc w:val="right"/>
              <w:ind w:right="490"/>
              <w:spacing w:after="0"/>
              <w:rPr>
                <w:sz w:val="20"/>
                <w:szCs w:val="20"/>
                <w:color w:val="auto"/>
              </w:rPr>
            </w:pPr>
            <w:r>
              <w:rPr>
                <w:rFonts w:ascii="Arial" w:cs="Arial" w:eastAsia="Arial" w:hAnsi="Arial"/>
                <w:sz w:val="18"/>
                <w:szCs w:val="18"/>
                <w:color w:val="auto"/>
                <w:w w:val="99"/>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211</w:t>
            </w:r>
          </w:p>
        </w:tc>
        <w:tc>
          <w:tcPr>
            <w:tcW w:w="240" w:type="dxa"/>
            <w:vAlign w:val="bottom"/>
            <w:tcBorders>
              <w:top w:val="single" w:sz="8" w:color="CCEEFF"/>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216</w:t>
            </w:r>
          </w:p>
        </w:tc>
        <w:tc>
          <w:tcPr>
            <w:tcW w:w="24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389</w:t>
            </w:r>
          </w:p>
        </w:tc>
        <w:tc>
          <w:tcPr>
            <w:tcW w:w="2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380</w:t>
            </w:r>
          </w:p>
        </w:tc>
      </w:tr>
      <w:tr>
        <w:trPr>
          <w:trHeight w:val="237"/>
        </w:trPr>
        <w:tc>
          <w:tcPr>
            <w:tcW w:w="4620" w:type="dxa"/>
            <w:vAlign w:val="bottom"/>
          </w:tcPr>
          <w:p>
            <w:pPr>
              <w:ind w:left="20"/>
              <w:spacing w:after="0"/>
              <w:rPr>
                <w:sz w:val="20"/>
                <w:szCs w:val="20"/>
                <w:color w:val="auto"/>
              </w:rPr>
            </w:pPr>
            <w:r>
              <w:rPr>
                <w:rFonts w:ascii="Arial" w:cs="Arial" w:eastAsia="Arial" w:hAnsi="Arial"/>
                <w:sz w:val="18"/>
                <w:szCs w:val="18"/>
                <w:color w:val="auto"/>
              </w:rPr>
              <w:t>European Beverage</w:t>
            </w:r>
          </w:p>
        </w:tc>
        <w:tc>
          <w:tcPr>
            <w:tcW w:w="70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74</w:t>
            </w:r>
          </w:p>
        </w:tc>
        <w:tc>
          <w:tcPr>
            <w:tcW w:w="2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56</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119</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109</w:t>
            </w:r>
          </w:p>
        </w:tc>
      </w:tr>
      <w:tr>
        <w:trPr>
          <w:trHeight w:val="236"/>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Asia Pacific</w:t>
            </w:r>
          </w:p>
        </w:tc>
        <w:tc>
          <w:tcPr>
            <w:tcW w:w="700" w:type="dxa"/>
            <w:vAlign w:val="bottom"/>
            <w:shd w:val="clear" w:color="auto" w:fill="CCEEFF"/>
          </w:tcPr>
          <w:p>
            <w:pPr>
              <w:spacing w:after="0"/>
              <w:rPr>
                <w:sz w:val="20"/>
                <w:szCs w:val="20"/>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24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2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2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r>
      <w:tr>
        <w:trPr>
          <w:trHeight w:val="229"/>
        </w:trPr>
        <w:tc>
          <w:tcPr>
            <w:tcW w:w="4620" w:type="dxa"/>
            <w:vAlign w:val="bottom"/>
          </w:tcPr>
          <w:p>
            <w:pPr>
              <w:ind w:left="20"/>
              <w:spacing w:after="0"/>
              <w:rPr>
                <w:sz w:val="20"/>
                <w:szCs w:val="20"/>
                <w:color w:val="auto"/>
              </w:rPr>
            </w:pPr>
            <w:r>
              <w:rPr>
                <w:rFonts w:ascii="Arial" w:cs="Arial" w:eastAsia="Arial" w:hAnsi="Arial"/>
                <w:sz w:val="18"/>
                <w:szCs w:val="18"/>
                <w:color w:val="auto"/>
              </w:rPr>
              <w:t>Transit Packaging</w:t>
            </w:r>
          </w:p>
        </w:tc>
        <w:tc>
          <w:tcPr>
            <w:tcW w:w="7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w:t>
            </w:r>
          </w:p>
        </w:tc>
        <w:tc>
          <w:tcPr>
            <w:tcW w:w="240" w:type="dxa"/>
            <w:vAlign w:val="bottom"/>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w:t>
            </w:r>
          </w:p>
        </w:tc>
        <w:tc>
          <w:tcPr>
            <w:tcW w:w="2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w:t>
            </w:r>
          </w:p>
        </w:tc>
        <w:tc>
          <w:tcPr>
            <w:tcW w:w="2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w:t>
            </w:r>
          </w:p>
        </w:tc>
      </w:tr>
      <w:tr>
        <w:trPr>
          <w:trHeight w:val="257"/>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reportable segments</w:t>
            </w:r>
          </w:p>
        </w:tc>
        <w:tc>
          <w:tcPr>
            <w:tcW w:w="70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w w:val="99"/>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412</w:t>
            </w:r>
          </w:p>
        </w:tc>
        <w:tc>
          <w:tcPr>
            <w:tcW w:w="940" w:type="dxa"/>
            <w:vAlign w:val="bottom"/>
            <w:gridSpan w:val="2"/>
            <w:shd w:val="clear" w:color="auto" w:fill="CCEEFF"/>
          </w:tcPr>
          <w:p>
            <w:pPr>
              <w:jc w:val="right"/>
              <w:ind w:right="51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401</w:t>
            </w:r>
          </w:p>
        </w:tc>
        <w:tc>
          <w:tcPr>
            <w:tcW w:w="4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749</w:t>
            </w:r>
          </w:p>
        </w:tc>
        <w:tc>
          <w:tcPr>
            <w:tcW w:w="5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732</w:t>
            </w: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bl>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620" w:type="dxa"/>
            <w:vAlign w:val="bottom"/>
            <w:gridSpan w:val="7"/>
          </w:tcPr>
          <w:p>
            <w:pPr>
              <w:spacing w:after="0"/>
              <w:rPr>
                <w:sz w:val="20"/>
                <w:szCs w:val="20"/>
                <w:color w:val="auto"/>
              </w:rPr>
            </w:pPr>
            <w:r>
              <w:rPr>
                <w:rFonts w:ascii="Arial" w:cs="Arial" w:eastAsia="Arial" w:hAnsi="Arial"/>
                <w:sz w:val="18"/>
                <w:szCs w:val="18"/>
                <w:color w:val="auto"/>
                <w:w w:val="92"/>
              </w:rPr>
              <w:t>A reconciliation of segment income of reportable segments to income before income taxes is as follows: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49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440" w:type="dxa"/>
            <w:vAlign w:val="bottom"/>
            <w:gridSpan w:val="5"/>
          </w:tcPr>
          <w:p>
            <w:pPr>
              <w:ind w:left="220"/>
              <w:spacing w:after="0"/>
              <w:rPr>
                <w:sz w:val="20"/>
                <w:szCs w:val="20"/>
                <w:color w:val="auto"/>
              </w:rPr>
            </w:pPr>
            <w:r>
              <w:rPr>
                <w:rFonts w:ascii="Arial" w:cs="Arial" w:eastAsia="Arial" w:hAnsi="Arial"/>
                <w:sz w:val="18"/>
                <w:szCs w:val="18"/>
                <w:color w:val="auto"/>
              </w:rPr>
              <w:t>Three Months Ended</w:t>
            </w:r>
          </w:p>
        </w:tc>
        <w:tc>
          <w:tcPr>
            <w:tcW w:w="240" w:type="dxa"/>
            <w:vAlign w:val="bottom"/>
          </w:tcPr>
          <w:p>
            <w:pPr>
              <w:spacing w:after="0"/>
              <w:rPr>
                <w:sz w:val="22"/>
                <w:szCs w:val="22"/>
                <w:color w:val="auto"/>
              </w:rPr>
            </w:pPr>
          </w:p>
        </w:tc>
        <w:tc>
          <w:tcPr>
            <w:tcW w:w="2220" w:type="dxa"/>
            <w:vAlign w:val="bottom"/>
            <w:gridSpan w:val="4"/>
          </w:tcPr>
          <w:p>
            <w:pPr>
              <w:jc w:val="right"/>
              <w:ind w:right="470"/>
              <w:spacing w:after="0"/>
              <w:rPr>
                <w:sz w:val="20"/>
                <w:szCs w:val="20"/>
                <w:color w:val="auto"/>
              </w:rPr>
            </w:pPr>
            <w:r>
              <w:rPr>
                <w:rFonts w:ascii="Arial" w:cs="Arial" w:eastAsia="Arial" w:hAnsi="Arial"/>
                <w:sz w:val="18"/>
                <w:szCs w:val="18"/>
                <w:color w:val="auto"/>
              </w:rPr>
              <w:t>Six Months Ended</w:t>
            </w:r>
          </w:p>
        </w:tc>
        <w:tc>
          <w:tcPr>
            <w:tcW w:w="0" w:type="dxa"/>
            <w:vAlign w:val="bottom"/>
          </w:tcPr>
          <w:p>
            <w:pPr>
              <w:spacing w:after="0"/>
              <w:rPr>
                <w:sz w:val="1"/>
                <w:szCs w:val="1"/>
                <w:color w:val="auto"/>
              </w:rPr>
            </w:pPr>
          </w:p>
        </w:tc>
      </w:tr>
      <w:tr>
        <w:trPr>
          <w:trHeight w:val="243"/>
        </w:trPr>
        <w:tc>
          <w:tcPr>
            <w:tcW w:w="494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8"/>
                <w:szCs w:val="18"/>
                <w:color w:val="auto"/>
              </w:rPr>
              <w:t>June 30,</w:t>
            </w:r>
          </w:p>
        </w:tc>
        <w:tc>
          <w:tcPr>
            <w:tcW w:w="820" w:type="dxa"/>
            <w:vAlign w:val="bottom"/>
            <w:tcBorders>
              <w:bottom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8"/>
                <w:szCs w:val="18"/>
                <w:color w:val="auto"/>
              </w:rPr>
              <w:t>June 30,</w:t>
            </w:r>
          </w:p>
        </w:tc>
        <w:tc>
          <w:tcPr>
            <w:tcW w:w="8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9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2023</w:t>
            </w:r>
          </w:p>
        </w:tc>
        <w:tc>
          <w:tcPr>
            <w:tcW w:w="2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2022</w:t>
            </w:r>
          </w:p>
        </w:tc>
        <w:tc>
          <w:tcPr>
            <w:tcW w:w="2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2023</w:t>
            </w:r>
          </w:p>
        </w:tc>
        <w:tc>
          <w:tcPr>
            <w:tcW w:w="2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2022</w:t>
            </w:r>
          </w:p>
        </w:tc>
        <w:tc>
          <w:tcPr>
            <w:tcW w:w="0" w:type="dxa"/>
            <w:vAlign w:val="bottom"/>
          </w:tcPr>
          <w:p>
            <w:pPr>
              <w:spacing w:after="0"/>
              <w:rPr>
                <w:sz w:val="1"/>
                <w:szCs w:val="1"/>
                <w:color w:val="auto"/>
              </w:rPr>
            </w:pPr>
          </w:p>
        </w:tc>
      </w:tr>
      <w:tr>
        <w:trPr>
          <w:trHeight w:val="237"/>
        </w:trPr>
        <w:tc>
          <w:tcPr>
            <w:tcW w:w="4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Segment income of reportable segments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w:t>
            </w: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w:t>
            </w:r>
          </w:p>
        </w:tc>
        <w:tc>
          <w:tcPr>
            <w:tcW w:w="24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749</w:t>
            </w: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732</w:t>
            </w:r>
          </w:p>
        </w:tc>
        <w:tc>
          <w:tcPr>
            <w:tcW w:w="0" w:type="dxa"/>
            <w:vAlign w:val="bottom"/>
          </w:tcPr>
          <w:p>
            <w:pPr>
              <w:spacing w:after="0"/>
              <w:rPr>
                <w:sz w:val="1"/>
                <w:szCs w:val="1"/>
                <w:color w:val="auto"/>
              </w:rPr>
            </w:pPr>
          </w:p>
        </w:tc>
      </w:tr>
      <w:tr>
        <w:trPr>
          <w:trHeight w:val="229"/>
        </w:trPr>
        <w:tc>
          <w:tcPr>
            <w:tcW w:w="4940" w:type="dxa"/>
            <w:vAlign w:val="bottom"/>
          </w:tcPr>
          <w:p>
            <w:pPr>
              <w:ind w:left="20"/>
              <w:spacing w:after="0"/>
              <w:rPr>
                <w:sz w:val="20"/>
                <w:szCs w:val="20"/>
                <w:color w:val="auto"/>
              </w:rPr>
            </w:pPr>
            <w:r>
              <w:rPr>
                <w:rFonts w:ascii="Arial" w:cs="Arial" w:eastAsia="Arial" w:hAnsi="Arial"/>
                <w:sz w:val="18"/>
                <w:szCs w:val="18"/>
                <w:color w:val="auto"/>
              </w:rPr>
              <w:t>Segment income of other</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36</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62</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63</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30"/>
        </w:trPr>
        <w:tc>
          <w:tcPr>
            <w:tcW w:w="4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Corporate and unallocated items</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2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37"/>
        </w:trPr>
        <w:tc>
          <w:tcPr>
            <w:tcW w:w="4940" w:type="dxa"/>
            <w:vAlign w:val="bottom"/>
          </w:tcPr>
          <w:p>
            <w:pPr>
              <w:ind w:left="20"/>
              <w:spacing w:after="0"/>
              <w:rPr>
                <w:sz w:val="20"/>
                <w:szCs w:val="20"/>
                <w:color w:val="auto"/>
              </w:rPr>
            </w:pPr>
            <w:r>
              <w:rPr>
                <w:rFonts w:ascii="Arial" w:cs="Arial" w:eastAsia="Arial" w:hAnsi="Arial"/>
                <w:sz w:val="18"/>
                <w:szCs w:val="18"/>
                <w:color w:val="auto"/>
              </w:rPr>
              <w:t>Restructuring and other, net</w:t>
            </w: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w:t>
            </w: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73</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36"/>
        </w:trPr>
        <w:tc>
          <w:tcPr>
            <w:tcW w:w="4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intangibles</w:t>
            </w:r>
          </w:p>
        </w:tc>
        <w:tc>
          <w:tcPr>
            <w:tcW w:w="24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2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2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2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30"/>
        </w:trPr>
        <w:tc>
          <w:tcPr>
            <w:tcW w:w="4940" w:type="dxa"/>
            <w:vAlign w:val="bottom"/>
          </w:tcPr>
          <w:p>
            <w:pPr>
              <w:ind w:left="20"/>
              <w:spacing w:after="0"/>
              <w:rPr>
                <w:sz w:val="20"/>
                <w:szCs w:val="20"/>
                <w:color w:val="auto"/>
              </w:rPr>
            </w:pPr>
            <w:r>
              <w:rPr>
                <w:rFonts w:ascii="Arial" w:cs="Arial" w:eastAsia="Arial" w:hAnsi="Arial"/>
                <w:sz w:val="18"/>
                <w:szCs w:val="18"/>
                <w:color w:val="auto"/>
              </w:rPr>
              <w:t>Other pension and postretirement</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(27)</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43"/>
        </w:trPr>
        <w:tc>
          <w:tcPr>
            <w:tcW w:w="4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2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2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2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2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30"/>
        </w:trPr>
        <w:tc>
          <w:tcPr>
            <w:tcW w:w="4940" w:type="dxa"/>
            <w:vAlign w:val="bottom"/>
          </w:tcPr>
          <w:p>
            <w:pPr>
              <w:ind w:left="20"/>
              <w:spacing w:after="0"/>
              <w:rPr>
                <w:sz w:val="20"/>
                <w:szCs w:val="20"/>
                <w:color w:val="auto"/>
              </w:rPr>
            </w:pPr>
            <w:r>
              <w:rPr>
                <w:rFonts w:ascii="Arial" w:cs="Arial" w:eastAsia="Arial" w:hAnsi="Arial"/>
                <w:sz w:val="18"/>
                <w:szCs w:val="18"/>
                <w:color w:val="auto"/>
              </w:rPr>
              <w:t>Interest income</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30"/>
        </w:trPr>
        <w:tc>
          <w:tcPr>
            <w:tcW w:w="4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Foreign exchange</w:t>
            </w: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4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4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4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69"/>
        </w:trPr>
        <w:tc>
          <w:tcPr>
            <w:tcW w:w="4940" w:type="dxa"/>
            <w:vAlign w:val="bottom"/>
          </w:tcPr>
          <w:p>
            <w:pPr>
              <w:ind w:left="20"/>
              <w:spacing w:after="0" w:line="169" w:lineRule="exact"/>
              <w:rPr>
                <w:sz w:val="20"/>
                <w:szCs w:val="20"/>
                <w:color w:val="auto"/>
              </w:rPr>
            </w:pPr>
            <w:r>
              <w:rPr>
                <w:rFonts w:ascii="Arial" w:cs="Arial" w:eastAsia="Arial" w:hAnsi="Arial"/>
                <w:sz w:val="18"/>
                <w:szCs w:val="18"/>
                <w:color w:val="auto"/>
                <w:w w:val="93"/>
              </w:rPr>
              <w:t>Income from operations before taxes and equity in net earnings of</w:t>
            </w:r>
          </w:p>
        </w:tc>
        <w:tc>
          <w:tcPr>
            <w:tcW w:w="240" w:type="dxa"/>
            <w:vAlign w:val="bottom"/>
            <w:vMerge w:val="restart"/>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239</w:t>
            </w:r>
          </w:p>
        </w:tc>
        <w:tc>
          <w:tcPr>
            <w:tcW w:w="52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402</w:t>
            </w:r>
          </w:p>
        </w:tc>
        <w:tc>
          <w:tcPr>
            <w:tcW w:w="240" w:type="dxa"/>
            <w:vAlign w:val="bottom"/>
          </w:tcPr>
          <w:p>
            <w:pPr>
              <w:spacing w:after="0"/>
              <w:rPr>
                <w:sz w:val="14"/>
                <w:szCs w:val="14"/>
                <w:color w:val="auto"/>
              </w:rPr>
            </w:pPr>
          </w:p>
        </w:tc>
        <w:tc>
          <w:tcPr>
            <w:tcW w:w="240" w:type="dxa"/>
            <w:vAlign w:val="bottom"/>
            <w:vMerge w:val="restart"/>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400</w:t>
            </w:r>
          </w:p>
        </w:tc>
        <w:tc>
          <w:tcPr>
            <w:tcW w:w="50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709</w:t>
            </w:r>
          </w:p>
        </w:tc>
        <w:tc>
          <w:tcPr>
            <w:tcW w:w="0" w:type="dxa"/>
            <w:vAlign w:val="bottom"/>
          </w:tcPr>
          <w:p>
            <w:pPr>
              <w:spacing w:after="0"/>
              <w:rPr>
                <w:sz w:val="1"/>
                <w:szCs w:val="1"/>
                <w:color w:val="auto"/>
              </w:rPr>
            </w:pPr>
          </w:p>
        </w:tc>
      </w:tr>
      <w:tr>
        <w:trPr>
          <w:trHeight w:val="135"/>
        </w:trPr>
        <w:tc>
          <w:tcPr>
            <w:tcW w:w="4940" w:type="dxa"/>
            <w:vAlign w:val="bottom"/>
            <w:vMerge w:val="restart"/>
          </w:tcPr>
          <w:p>
            <w:pPr>
              <w:ind w:left="20"/>
              <w:spacing w:after="0" w:line="202" w:lineRule="exact"/>
              <w:rPr>
                <w:sz w:val="20"/>
                <w:szCs w:val="20"/>
                <w:color w:val="auto"/>
              </w:rPr>
            </w:pPr>
            <w:r>
              <w:rPr>
                <w:rFonts w:ascii="Arial" w:cs="Arial" w:eastAsia="Arial" w:hAnsi="Arial"/>
                <w:sz w:val="18"/>
                <w:szCs w:val="18"/>
                <w:color w:val="auto"/>
              </w:rPr>
              <w:t>affiliates</w:t>
            </w:r>
          </w:p>
        </w:tc>
        <w:tc>
          <w:tcPr>
            <w:tcW w:w="240" w:type="dxa"/>
            <w:vAlign w:val="bottom"/>
            <w:vMerge w:val="continue"/>
          </w:tcPr>
          <w:p>
            <w:pPr>
              <w:spacing w:after="0"/>
              <w:rPr>
                <w:sz w:val="11"/>
                <w:szCs w:val="11"/>
                <w:color w:val="auto"/>
              </w:rPr>
            </w:pPr>
          </w:p>
        </w:tc>
        <w:tc>
          <w:tcPr>
            <w:tcW w:w="860" w:type="dxa"/>
            <w:vAlign w:val="bottom"/>
            <w:vMerge w:val="continue"/>
          </w:tcPr>
          <w:p>
            <w:pPr>
              <w:spacing w:after="0"/>
              <w:rPr>
                <w:sz w:val="11"/>
                <w:szCs w:val="11"/>
                <w:color w:val="auto"/>
              </w:rPr>
            </w:pPr>
          </w:p>
        </w:tc>
        <w:tc>
          <w:tcPr>
            <w:tcW w:w="520" w:type="dxa"/>
            <w:vAlign w:val="bottom"/>
            <w:gridSpan w:val="2"/>
            <w:vMerge w:val="continue"/>
          </w:tcPr>
          <w:p>
            <w:pPr>
              <w:spacing w:after="0"/>
              <w:rPr>
                <w:sz w:val="11"/>
                <w:szCs w:val="11"/>
                <w:color w:val="auto"/>
              </w:rPr>
            </w:pPr>
          </w:p>
        </w:tc>
        <w:tc>
          <w:tcPr>
            <w:tcW w:w="82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500" w:type="dxa"/>
            <w:vAlign w:val="bottom"/>
            <w:gridSpan w:val="2"/>
            <w:vMerge w:val="continue"/>
          </w:tcPr>
          <w:p>
            <w:pPr>
              <w:spacing w:after="0"/>
              <w:rPr>
                <w:sz w:val="11"/>
                <w:szCs w:val="11"/>
                <w:color w:val="auto"/>
              </w:rPr>
            </w:pPr>
          </w:p>
        </w:tc>
        <w:tc>
          <w:tcPr>
            <w:tcW w:w="8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67"/>
        </w:trPr>
        <w:tc>
          <w:tcPr>
            <w:tcW w:w="4940" w:type="dxa"/>
            <w:vAlign w:val="bottom"/>
            <w:vMerge w:val="continue"/>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240" w:type="dxa"/>
            <w:vAlign w:val="bottom"/>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240" w:type="dxa"/>
            <w:vAlign w:val="bottom"/>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7"/>
          <w:szCs w:val="17"/>
          <w:color w:val="auto"/>
        </w:rPr>
        <w:t>For the three and six months ended June 30, 2023, intercompany profits of $8 and $9 were eliminated within segment income of other.</w:t>
      </w:r>
    </w:p>
    <w:p>
      <w:pPr>
        <w:spacing w:after="0" w:line="264" w:lineRule="exact"/>
        <w:rPr>
          <w:sz w:val="20"/>
          <w:szCs w:val="20"/>
          <w:color w:val="auto"/>
        </w:rPr>
      </w:pPr>
    </w:p>
    <w:p>
      <w:pPr>
        <w:spacing w:after="0"/>
        <w:rPr>
          <w:sz w:val="20"/>
          <w:szCs w:val="20"/>
          <w:color w:val="auto"/>
        </w:rPr>
      </w:pPr>
      <w:r>
        <w:rPr>
          <w:rFonts w:ascii="Arial" w:cs="Arial" w:eastAsia="Arial" w:hAnsi="Arial"/>
          <w:sz w:val="17"/>
          <w:szCs w:val="17"/>
          <w:color w:val="auto"/>
        </w:rPr>
        <w:t>For the three and six months ended June 30, 2022, intercompany profits of $5 and $9 were eliminated within segment income of other.</w:t>
      </w:r>
    </w:p>
    <w:p>
      <w:pPr>
        <w:spacing w:after="0" w:line="26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Corporate and unallocated items includes corporate and division administrative costs, technology costs, and unallocated items such as stock-based compensation.</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also has a 20% minority interest in a European tinplate business, accounted for under the equity method and accordingly, those results are not included in sales or segment income. The Company's proportionate share of net income from this investment was $5 and $7 for the three and six months ended June 30, 2023 and $8 and $23, respectively, for the three and six months ended June 30, 2022. The Company received distributions of $83 for the six months ended June 30, 2023.</w:t>
      </w:r>
    </w:p>
    <w:p>
      <w:pPr>
        <w:sectPr>
          <w:pgSz w:w="11900" w:h="16838" w:orient="portrait"/>
          <w:cols w:equalWidth="0" w:num="1">
            <w:col w:w="10580"/>
          </w:cols>
          <w:pgMar w:left="980" w:top="121" w:right="339" w:bottom="1440" w:gutter="0" w:footer="0" w:header="0"/>
        </w:sectPr>
      </w:pPr>
    </w:p>
    <w:p>
      <w:pPr>
        <w:spacing w:after="0" w:line="200" w:lineRule="exact"/>
        <w:rPr>
          <w:sz w:val="20"/>
          <w:szCs w:val="20"/>
          <w:color w:val="auto"/>
        </w:rPr>
      </w:pPr>
    </w:p>
    <w:p>
      <w:pPr>
        <w:spacing w:after="0" w:line="324" w:lineRule="exact"/>
        <w:rPr>
          <w:sz w:val="20"/>
          <w:szCs w:val="20"/>
          <w:color w:val="auto"/>
        </w:rPr>
      </w:pPr>
    </w:p>
    <w:p>
      <w:pPr>
        <w:ind w:left="4880"/>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85090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0"/>
          </w:cols>
          <w:pgMar w:left="980" w:top="121" w:right="339" w:bottom="1440" w:gutter="0" w:footer="0" w:header="0"/>
          <w:type w:val="continuous"/>
        </w:sectPr>
      </w:pPr>
    </w:p>
    <w:bookmarkStart w:id="24" w:name="page25"/>
    <w:bookmarkEnd w:id="24"/>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252" w:lineRule="exact"/>
        <w:rPr>
          <w:sz w:val="20"/>
          <w:szCs w:val="20"/>
          <w:color w:val="auto"/>
        </w:rPr>
      </w:pPr>
    </w:p>
    <w:p>
      <w:pPr>
        <w:ind w:left="180" w:right="3700" w:hanging="179"/>
        <w:spacing w:after="0" w:line="282" w:lineRule="auto"/>
        <w:rPr>
          <w:sz w:val="20"/>
          <w:szCs w:val="20"/>
          <w:color w:val="auto"/>
        </w:rPr>
      </w:pPr>
      <w:r>
        <w:rPr>
          <w:rFonts w:ascii="Arial" w:cs="Arial" w:eastAsia="Arial" w:hAnsi="Arial"/>
          <w:sz w:val="18"/>
          <w:szCs w:val="18"/>
          <w:b w:val="1"/>
          <w:bCs w:val="1"/>
          <w:color w:val="auto"/>
        </w:rPr>
        <w:t>Item 2.</w:t>
      </w:r>
      <w:r>
        <w:rPr>
          <w:sz w:val="20"/>
          <w:szCs w:val="20"/>
          <w:color w:val="auto"/>
        </w:rPr>
        <w:t xml:space="preserve"> </w:t>
      </w:r>
      <w:r>
        <w:rPr>
          <w:rFonts w:ascii="Arial" w:cs="Arial" w:eastAsia="Arial" w:hAnsi="Arial"/>
          <w:sz w:val="18"/>
          <w:szCs w:val="18"/>
          <w:b w:val="1"/>
          <w:bCs w:val="1"/>
          <w:color w:val="auto"/>
        </w:rPr>
        <w:t xml:space="preserve">Management's Discussion and Analysis of Financial Condition and Results of Operations </w:t>
      </w:r>
      <w:r>
        <w:rPr>
          <w:rFonts w:ascii="Arial" w:cs="Arial" w:eastAsia="Arial" w:hAnsi="Arial"/>
          <w:sz w:val="18"/>
          <w:szCs w:val="18"/>
          <w:color w:val="auto"/>
        </w:rPr>
        <w:t>(dollars in millions)</w:t>
      </w:r>
    </w:p>
    <w:p>
      <w:pPr>
        <w:spacing w:after="0" w:line="189" w:lineRule="exact"/>
        <w:rPr>
          <w:sz w:val="20"/>
          <w:szCs w:val="20"/>
          <w:color w:val="auto"/>
        </w:rPr>
      </w:pPr>
    </w:p>
    <w:p>
      <w:pPr>
        <w:ind w:left="180"/>
        <w:spacing w:after="0"/>
        <w:rPr>
          <w:sz w:val="20"/>
          <w:szCs w:val="20"/>
          <w:color w:val="auto"/>
        </w:rPr>
      </w:pPr>
      <w:r>
        <w:rPr>
          <w:rFonts w:ascii="Arial" w:cs="Arial" w:eastAsia="Arial" w:hAnsi="Arial"/>
          <w:sz w:val="18"/>
          <w:szCs w:val="18"/>
          <w:b w:val="1"/>
          <w:bCs w:val="1"/>
          <w:u w:val="single" w:color="auto"/>
          <w:color w:val="auto"/>
        </w:rPr>
        <w:t>Introduction</w:t>
      </w:r>
    </w:p>
    <w:p>
      <w:pPr>
        <w:spacing w:after="0" w:line="256" w:lineRule="exact"/>
        <w:rPr>
          <w:sz w:val="20"/>
          <w:szCs w:val="20"/>
          <w:color w:val="auto"/>
        </w:rPr>
      </w:pPr>
    </w:p>
    <w:p>
      <w:pPr>
        <w:jc w:val="both"/>
        <w:ind w:left="660"/>
        <w:spacing w:after="0" w:line="279" w:lineRule="auto"/>
        <w:rPr>
          <w:sz w:val="20"/>
          <w:szCs w:val="20"/>
          <w:color w:val="auto"/>
        </w:rPr>
      </w:pPr>
      <w:r>
        <w:rPr>
          <w:rFonts w:ascii="Arial" w:cs="Arial" w:eastAsia="Arial" w:hAnsi="Arial"/>
          <w:sz w:val="17"/>
          <w:szCs w:val="17"/>
          <w:color w:val="auto"/>
        </w:rPr>
        <w:t>The following discussion presents management's analysis of the results of operations for the three and six months ended June 30, 2023 compared to 2022 and changes in financial condition and liquidity from December 31, 2022. This discussion should be read in conjunction with the consolidated financial statements and notes thereto included in the Company's Annual Report on Form 10-K for the year ended December 31, 2022, along with the consolidated financial statements and related notes included in and referred to within this report.</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Business Strategy and Trends</w:t>
      </w:r>
    </w:p>
    <w:p>
      <w:pPr>
        <w:spacing w:after="0" w:line="243" w:lineRule="exact"/>
        <w:rPr>
          <w:sz w:val="20"/>
          <w:szCs w:val="20"/>
          <w:color w:val="auto"/>
        </w:rPr>
      </w:pPr>
    </w:p>
    <w:p>
      <w:pPr>
        <w:jc w:val="both"/>
        <w:ind w:left="660"/>
        <w:spacing w:after="0" w:line="241" w:lineRule="auto"/>
        <w:rPr>
          <w:sz w:val="20"/>
          <w:szCs w:val="20"/>
          <w:color w:val="auto"/>
        </w:rPr>
      </w:pPr>
      <w:r>
        <w:rPr>
          <w:rFonts w:ascii="Arial" w:cs="Arial" w:eastAsia="Arial" w:hAnsi="Arial"/>
          <w:sz w:val="18"/>
          <w:szCs w:val="18"/>
          <w:color w:val="auto"/>
        </w:rPr>
        <w:t>The Company, through its subsidiaries, is a leading global supplier of aluminum and steel beverage, food and aerosol cans to consumer marketing companies, as well as transit and protective packaging products, equipment and services to a broad range of end markets. The Company has a diverse portfolio of global packaging businesses that generate significant operating cash flow enabling the Company to invest for growth while returning cash to shareholders. Beverage cans are the world's most sustainable and recycled beverage packaging and continue to gain market share in new beverage product launches.</w:t>
      </w:r>
    </w:p>
    <w:p>
      <w:pPr>
        <w:spacing w:after="0" w:line="230" w:lineRule="exact"/>
        <w:rPr>
          <w:sz w:val="20"/>
          <w:szCs w:val="20"/>
          <w:color w:val="auto"/>
        </w:rPr>
      </w:pPr>
    </w:p>
    <w:p>
      <w:pPr>
        <w:jc w:val="both"/>
        <w:ind w:left="660"/>
        <w:spacing w:after="0" w:line="286" w:lineRule="auto"/>
        <w:rPr>
          <w:sz w:val="20"/>
          <w:szCs w:val="20"/>
          <w:color w:val="auto"/>
        </w:rPr>
      </w:pPr>
      <w:r>
        <w:rPr>
          <w:rFonts w:ascii="Arial" w:cs="Arial" w:eastAsia="Arial" w:hAnsi="Arial"/>
          <w:sz w:val="17"/>
          <w:szCs w:val="17"/>
          <w:color w:val="auto"/>
        </w:rPr>
        <w:t>For several years, global industry demand for beverage cans has been growing. In North America, beverage can growth has accelerated in recent years mainly due to the outsized portion of new beverage products being introduced in cans versus other packaging formats. In addition, markets such as Brazil, Europe, Mexico and Southeast Asia have also experienced higher volumes and market expansion.</w:t>
      </w:r>
    </w:p>
    <w:p>
      <w:pPr>
        <w:spacing w:after="0" w:line="192" w:lineRule="exact"/>
        <w:rPr>
          <w:sz w:val="20"/>
          <w:szCs w:val="20"/>
          <w:color w:val="auto"/>
        </w:rPr>
      </w:pPr>
    </w:p>
    <w:p>
      <w:pPr>
        <w:jc w:val="both"/>
        <w:ind w:left="660"/>
        <w:spacing w:after="0" w:line="263" w:lineRule="auto"/>
        <w:rPr>
          <w:sz w:val="20"/>
          <w:szCs w:val="20"/>
          <w:color w:val="auto"/>
        </w:rPr>
      </w:pPr>
      <w:r>
        <w:rPr>
          <w:rFonts w:ascii="Arial" w:cs="Arial" w:eastAsia="Arial" w:hAnsi="Arial"/>
          <w:sz w:val="18"/>
          <w:szCs w:val="18"/>
          <w:color w:val="auto"/>
        </w:rPr>
        <w:t>The Company's capital allocation strategy also focuses on maintaining a strong balance sheet with a target leverage ratio between 3.0x and 3.5x and returning capital to shareholders in the form of dividends and the repurchase of Company shares. In December 2021, the Board of Directors authorized the repurchase of $3.0 billion in Company common stock through the end of 2024.</w:t>
      </w:r>
    </w:p>
    <w:p>
      <w:pPr>
        <w:spacing w:after="0" w:line="211"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 xml:space="preserve">The Company continues to actively elevate its commitment to sustainability, which is a core value of the Company. In 2020, the Company debuted </w:t>
      </w:r>
      <w:r>
        <w:rPr>
          <w:rFonts w:ascii="Arial" w:cs="Arial" w:eastAsia="Arial" w:hAnsi="Arial"/>
          <w:sz w:val="18"/>
          <w:szCs w:val="18"/>
          <w:b w:val="1"/>
          <w:bCs w:val="1"/>
          <w:color w:val="auto"/>
        </w:rPr>
        <w:t>Twenty</w:t>
      </w:r>
      <w:r>
        <w:rPr>
          <w:rFonts w:ascii="Arial" w:cs="Arial" w:eastAsia="Arial" w:hAnsi="Arial"/>
          <w:sz w:val="18"/>
          <w:szCs w:val="18"/>
          <w:color w:val="auto"/>
        </w:rPr>
        <w:t>by</w:t>
      </w:r>
      <w:r>
        <w:rPr>
          <w:rFonts w:ascii="Arial" w:cs="Arial" w:eastAsia="Arial" w:hAnsi="Arial"/>
          <w:sz w:val="18"/>
          <w:szCs w:val="18"/>
          <w:b w:val="1"/>
          <w:bCs w:val="1"/>
          <w:color w:val="auto"/>
        </w:rPr>
        <w:t>30</w:t>
      </w:r>
      <w:r>
        <w:rPr>
          <w:rFonts w:ascii="Arial" w:cs="Arial" w:eastAsia="Arial" w:hAnsi="Arial"/>
          <w:sz w:val="18"/>
          <w:szCs w:val="18"/>
          <w:color w:val="auto"/>
        </w:rPr>
        <w:t>, a robust program that outlines twenty measurable, science based, environmental, social and governance goals to be completed by</w:t>
      </w:r>
      <w:r>
        <w:rPr>
          <w:rFonts w:ascii="Arial" w:cs="Arial" w:eastAsia="Arial" w:hAnsi="Arial"/>
          <w:sz w:val="18"/>
          <w:szCs w:val="18"/>
          <w:b w:val="1"/>
          <w:bCs w:val="1"/>
          <w:color w:val="auto"/>
        </w:rPr>
        <w:t xml:space="preserve"> </w:t>
      </w:r>
      <w:r>
        <w:rPr>
          <w:rFonts w:ascii="Arial" w:cs="Arial" w:eastAsia="Arial" w:hAnsi="Arial"/>
          <w:sz w:val="18"/>
          <w:szCs w:val="18"/>
          <w:color w:val="auto"/>
        </w:rPr>
        <w:t>2030 or sooner. In September 2021, the Company joined The Climate Pledge, a commitment to be net-zero carbon across business operations by 2040.</w:t>
      </w:r>
    </w:p>
    <w:p>
      <w:pPr>
        <w:spacing w:after="0" w:line="214"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To date the war between Russia and Ukraine has not had a direct material impact on the Company's business, financial condition, or results of operations.</w:t>
      </w:r>
    </w:p>
    <w:p>
      <w:pPr>
        <w:spacing w:after="0" w:line="197" w:lineRule="exact"/>
        <w:rPr>
          <w:sz w:val="20"/>
          <w:szCs w:val="20"/>
          <w:color w:val="auto"/>
        </w:rPr>
      </w:pPr>
    </w:p>
    <w:p>
      <w:pPr>
        <w:jc w:val="both"/>
        <w:ind w:left="660"/>
        <w:spacing w:after="0" w:line="272" w:lineRule="auto"/>
        <w:rPr>
          <w:sz w:val="20"/>
          <w:szCs w:val="20"/>
          <w:color w:val="auto"/>
        </w:rPr>
      </w:pPr>
      <w:r>
        <w:rPr>
          <w:rFonts w:ascii="Arial" w:cs="Arial" w:eastAsia="Arial" w:hAnsi="Arial"/>
          <w:sz w:val="17"/>
          <w:szCs w:val="17"/>
          <w:color w:val="auto"/>
        </w:rPr>
        <w:t>The Company continues to actively manage the challenges of supply chain disruptions, foreign exchange and interest rate fluctuations and inflationary pressures, including fluctuations in raw material, energy and transportation costs. The Company generally attempts to mitigate aluminum and steel price risk by matching its purchase obligations with its sales agreements. Additionally, the Company attempts to mitigate inflationary pressures on energy and raw material costs with contractual pass-through provisions that include annual selling price adjustments based on price indexes. The Company also uses commodity forward contracts to manage its exposure to raw material costs. The ability to mitigate inflationary risks through these measures varies by region and the impact on the results of the Company’s segments is discussed, as applicable, in the heading "Results of Operations" below.</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Results of Operations</w:t>
      </w:r>
    </w:p>
    <w:p>
      <w:pPr>
        <w:spacing w:after="0" w:line="256" w:lineRule="exact"/>
        <w:rPr>
          <w:sz w:val="20"/>
          <w:szCs w:val="20"/>
          <w:color w:val="auto"/>
        </w:rPr>
      </w:pPr>
    </w:p>
    <w:p>
      <w:pPr>
        <w:jc w:val="both"/>
        <w:ind w:left="660"/>
        <w:spacing w:after="0" w:line="263" w:lineRule="auto"/>
        <w:rPr>
          <w:sz w:val="20"/>
          <w:szCs w:val="20"/>
          <w:color w:val="auto"/>
        </w:rPr>
      </w:pPr>
      <w:r>
        <w:rPr>
          <w:rFonts w:ascii="Arial" w:cs="Arial" w:eastAsia="Arial" w:hAnsi="Arial"/>
          <w:sz w:val="18"/>
          <w:szCs w:val="18"/>
          <w:color w:val="auto"/>
        </w:rPr>
        <w:t>The key measure used by the Company in assessing performance is segment income, a non-GAAP measure defined by the Company as income from operations adjusted to exclude intangibles amortization charges, Restructuring and Other and the impact of fair value adjustments to inventory acquired in an acquisition.</w:t>
      </w:r>
    </w:p>
    <w:p>
      <w:pPr>
        <w:spacing w:after="0" w:line="211"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The foreign currency translation impacts referred to in the discussion below were primarily due to changes in the Mexican peso in the Company's Americas Beverage segment, the euro and pound sterling in the Company's European Beverage segment and the Thai baht and Chinese yuan in the Company's Asia Pacific segment. The Company's Transit Packaging segment is a global business. The foreign currency translation impacts referred to in the discussion</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5" w:name="page26"/>
    <w:bookmarkEnd w:id="25"/>
    <w:p>
      <w:pPr>
        <w:ind w:left="4140"/>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below for Transit Packaging are primarily related to the euro, the Mexican peso and the Indian rupee. The Company calculates the impact of foreign currency translation by multiplying or dividing, as appropriate, current year U.S. dollar results by the current year average foreign exchange rates and then multiplying or dividing, as appropriate, those amounts by the applicable prior year average exchange rates.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3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7"/>
              </w:rPr>
              <w:t>Net Sales and Segment Income</w:t>
            </w:r>
          </w:p>
        </w:tc>
        <w:tc>
          <w:tcPr>
            <w:tcW w:w="2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76"/>
        </w:trPr>
        <w:tc>
          <w:tcPr>
            <w:tcW w:w="236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60" w:type="dxa"/>
            <w:vAlign w:val="bottom"/>
            <w:gridSpan w:val="4"/>
          </w:tcPr>
          <w:p>
            <w:pPr>
              <w:jc w:val="center"/>
              <w:ind w:right="130"/>
              <w:spacing w:after="0"/>
              <w:rPr>
                <w:sz w:val="20"/>
                <w:szCs w:val="20"/>
                <w:color w:val="auto"/>
              </w:rPr>
            </w:pPr>
            <w:r>
              <w:rPr>
                <w:rFonts w:ascii="Arial" w:cs="Arial" w:eastAsia="Arial" w:hAnsi="Arial"/>
                <w:sz w:val="18"/>
                <w:szCs w:val="18"/>
                <w:color w:val="auto"/>
                <w:w w:val="90"/>
              </w:rPr>
              <w:t>Three Months Ended</w:t>
            </w: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60" w:type="dxa"/>
            <w:vAlign w:val="bottom"/>
            <w:gridSpan w:val="4"/>
          </w:tcPr>
          <w:p>
            <w:pPr>
              <w:jc w:val="center"/>
              <w:ind w:right="110"/>
              <w:spacing w:after="0"/>
              <w:rPr>
                <w:sz w:val="20"/>
                <w:szCs w:val="20"/>
                <w:color w:val="auto"/>
              </w:rPr>
            </w:pPr>
            <w:r>
              <w:rPr>
                <w:rFonts w:ascii="Arial" w:cs="Arial" w:eastAsia="Arial" w:hAnsi="Arial"/>
                <w:sz w:val="18"/>
                <w:szCs w:val="18"/>
                <w:color w:val="auto"/>
                <w:w w:val="91"/>
              </w:rPr>
              <w:t>Six Months Ended</w:t>
            </w:r>
          </w:p>
        </w:tc>
      </w:tr>
      <w:tr>
        <w:trPr>
          <w:trHeight w:val="237"/>
        </w:trPr>
        <w:tc>
          <w:tcPr>
            <w:tcW w:w="236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3"/>
          </w:tcPr>
          <w:p>
            <w:pPr>
              <w:jc w:val="center"/>
              <w:ind w:left="470"/>
              <w:spacing w:after="0"/>
              <w:rPr>
                <w:sz w:val="20"/>
                <w:szCs w:val="20"/>
                <w:color w:val="auto"/>
              </w:rPr>
            </w:pPr>
            <w:r>
              <w:rPr>
                <w:rFonts w:ascii="Arial" w:cs="Arial" w:eastAsia="Arial" w:hAnsi="Arial"/>
                <w:sz w:val="18"/>
                <w:szCs w:val="18"/>
                <w:color w:val="auto"/>
                <w:w w:val="86"/>
              </w:rPr>
              <w:t>June 30,</w:t>
            </w:r>
          </w:p>
        </w:tc>
        <w:tc>
          <w:tcPr>
            <w:tcW w:w="780" w:type="dxa"/>
            <w:vAlign w:val="bottom"/>
            <w:tcBorders>
              <w:bottom w:val="single" w:sz="8" w:color="auto"/>
            </w:tcBorders>
          </w:tcPr>
          <w:p>
            <w:pPr>
              <w:spacing w:after="0"/>
              <w:rPr>
                <w:sz w:val="20"/>
                <w:szCs w:val="20"/>
                <w:color w:val="auto"/>
              </w:rPr>
            </w:pPr>
          </w:p>
        </w:tc>
        <w:tc>
          <w:tcPr>
            <w:tcW w:w="4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3"/>
          </w:tcPr>
          <w:p>
            <w:pPr>
              <w:jc w:val="center"/>
              <w:ind w:left="450"/>
              <w:spacing w:after="0"/>
              <w:rPr>
                <w:sz w:val="20"/>
                <w:szCs w:val="20"/>
                <w:color w:val="auto"/>
              </w:rPr>
            </w:pPr>
            <w:r>
              <w:rPr>
                <w:rFonts w:ascii="Arial" w:cs="Arial" w:eastAsia="Arial" w:hAnsi="Arial"/>
                <w:sz w:val="18"/>
                <w:szCs w:val="18"/>
                <w:color w:val="auto"/>
                <w:w w:val="86"/>
              </w:rPr>
              <w:t>June 30,</w:t>
            </w:r>
          </w:p>
        </w:tc>
        <w:tc>
          <w:tcPr>
            <w:tcW w:w="760" w:type="dxa"/>
            <w:vAlign w:val="bottom"/>
            <w:tcBorders>
              <w:bottom w:val="single" w:sz="8" w:color="auto"/>
            </w:tcBorders>
          </w:tcPr>
          <w:p>
            <w:pPr>
              <w:spacing w:after="0"/>
              <w:rPr>
                <w:sz w:val="20"/>
                <w:szCs w:val="20"/>
                <w:color w:val="auto"/>
              </w:rPr>
            </w:pPr>
          </w:p>
        </w:tc>
      </w:tr>
      <w:tr>
        <w:trPr>
          <w:trHeight w:val="230"/>
        </w:trPr>
        <w:tc>
          <w:tcPr>
            <w:tcW w:w="2360" w:type="dxa"/>
            <w:vAlign w:val="bottom"/>
            <w:tcBorders>
              <w:bottom w:val="single" w:sz="8" w:color="CCEEFF"/>
            </w:tcBorders>
          </w:tcPr>
          <w:p>
            <w:pPr>
              <w:spacing w:after="0"/>
              <w:rPr>
                <w:sz w:val="19"/>
                <w:szCs w:val="19"/>
                <w:color w:val="auto"/>
              </w:rPr>
            </w:pPr>
          </w:p>
        </w:tc>
        <w:tc>
          <w:tcPr>
            <w:tcW w:w="21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2023</w:t>
            </w:r>
          </w:p>
        </w:tc>
        <w:tc>
          <w:tcPr>
            <w:tcW w:w="2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2022</w:t>
            </w:r>
          </w:p>
        </w:tc>
        <w:tc>
          <w:tcPr>
            <w:tcW w:w="4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2023</w:t>
            </w:r>
          </w:p>
        </w:tc>
        <w:tc>
          <w:tcPr>
            <w:tcW w:w="2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2022</w:t>
            </w:r>
          </w:p>
        </w:tc>
      </w:tr>
      <w:tr>
        <w:trPr>
          <w:trHeight w:val="223"/>
        </w:trPr>
        <w:tc>
          <w:tcPr>
            <w:tcW w:w="2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214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3,109</w:t>
            </w:r>
          </w:p>
        </w:tc>
        <w:tc>
          <w:tcPr>
            <w:tcW w:w="2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3,510</w:t>
            </w:r>
          </w:p>
        </w:tc>
        <w:tc>
          <w:tcPr>
            <w:tcW w:w="4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6,083</w:t>
            </w:r>
          </w:p>
        </w:tc>
        <w:tc>
          <w:tcPr>
            <w:tcW w:w="2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6,672</w:t>
            </w: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Three months ended June 30, 2023 compared to 2022</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Net sales decreased primarily due to $288 from the pass-through of lower aluminum, steel and other commodity costs and lower volumes across the European Beverage, Asia Pacific, Transit Packaging and Other segments, partially offset by higher volumes in the Americas Beverage segment and favorable foreign currency translation of $11.</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Six months ended June 30, 2023 compared to 2022</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Net sales decreased primarily due to $388 from the pass-through of lower aluminum, steel and other commodity costs, lower volumes across the European Beverage, Asia Pacific, Transit Packaging and Other segments, and unfavorable foreign currency translation of $25, partially offset by higher volumes in the Americas Beverage segment.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Americas Beverage</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Americas Beverage segment manufactures aluminum beverage cans and ends, steel crowns, glass bottles and aluminum closures and supplies a variety of customers from its operations in the U.S., Brazil, Canada, Colombia and Mexico.</w:t>
      </w:r>
    </w:p>
    <w:p>
      <w:pPr>
        <w:spacing w:after="0" w:line="197"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U.S. and Canadian beverage can markets have experienced recent growth due to the introduction of new beverage products in cans versus other packaging formats. In Brazil and Mexico, the Company's sales unit volumes have increased in recent years primarily due to market growth driven by increased per capita incomes and consumption, combined with an increased preference for cans over other forms of beverage packing.</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To meet volume requirements in these markets, the Company began commercial production of the following:</w:t>
      </w:r>
    </w:p>
    <w:p>
      <w:pPr>
        <w:spacing w:after="0" w:line="252" w:lineRule="exact"/>
        <w:rPr>
          <w:sz w:val="20"/>
          <w:szCs w:val="20"/>
          <w:color w:val="auto"/>
        </w:rPr>
      </w:pPr>
    </w:p>
    <w:p>
      <w:pPr>
        <w:ind w:left="1300" w:hanging="332"/>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Martinsville, Virginia - line one in November 2022 and line two in March 2023</w:t>
      </w:r>
    </w:p>
    <w:p>
      <w:pPr>
        <w:spacing w:after="0" w:line="23" w:lineRule="exact"/>
        <w:rPr>
          <w:rFonts w:ascii="Arial" w:cs="Arial" w:eastAsia="Arial" w:hAnsi="Arial"/>
          <w:sz w:val="18"/>
          <w:szCs w:val="18"/>
          <w:color w:val="auto"/>
        </w:rPr>
      </w:pPr>
    </w:p>
    <w:p>
      <w:pPr>
        <w:ind w:left="1300" w:hanging="332"/>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Monterrey, Mexico - April 2022</w:t>
      </w:r>
    </w:p>
    <w:p>
      <w:pPr>
        <w:spacing w:after="0" w:line="9" w:lineRule="exact"/>
        <w:rPr>
          <w:rFonts w:ascii="Arial" w:cs="Arial" w:eastAsia="Arial" w:hAnsi="Arial"/>
          <w:sz w:val="18"/>
          <w:szCs w:val="18"/>
          <w:color w:val="auto"/>
        </w:rPr>
      </w:pPr>
    </w:p>
    <w:p>
      <w:pPr>
        <w:ind w:left="1300" w:hanging="332"/>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Uberaba, Brazil - line one in May 2022 and line two in October 2022</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The Company also expects to commence production at a new two-line plant in Mesquite, Nevada in the second half of 2023.</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Net sales and segment income in the Americas Beverage segment were as follows: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100" w:type="dxa"/>
            <w:vAlign w:val="bottom"/>
            <w:gridSpan w:val="4"/>
          </w:tcPr>
          <w:p>
            <w:pPr>
              <w:jc w:val="center"/>
              <w:ind w:right="130"/>
              <w:spacing w:after="0"/>
              <w:rPr>
                <w:sz w:val="20"/>
                <w:szCs w:val="20"/>
                <w:color w:val="auto"/>
              </w:rPr>
            </w:pPr>
            <w:r>
              <w:rPr>
                <w:rFonts w:ascii="Arial" w:cs="Arial" w:eastAsia="Arial" w:hAnsi="Arial"/>
                <w:sz w:val="18"/>
                <w:szCs w:val="18"/>
                <w:color w:val="auto"/>
                <w:w w:val="90"/>
              </w:rPr>
              <w:t>Three Months Ended</w:t>
            </w: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120" w:type="dxa"/>
            <w:vAlign w:val="bottom"/>
            <w:gridSpan w:val="4"/>
          </w:tcPr>
          <w:p>
            <w:pPr>
              <w:jc w:val="center"/>
              <w:ind w:right="130"/>
              <w:spacing w:after="0"/>
              <w:rPr>
                <w:sz w:val="20"/>
                <w:szCs w:val="20"/>
                <w:color w:val="auto"/>
              </w:rPr>
            </w:pPr>
            <w:r>
              <w:rPr>
                <w:rFonts w:ascii="Arial" w:cs="Arial" w:eastAsia="Arial" w:hAnsi="Arial"/>
                <w:sz w:val="18"/>
                <w:szCs w:val="18"/>
                <w:color w:val="auto"/>
                <w:w w:val="91"/>
              </w:rPr>
              <w:t>Six Months Ended</w:t>
            </w:r>
          </w:p>
        </w:tc>
      </w:tr>
      <w:tr>
        <w:trPr>
          <w:trHeight w:val="237"/>
        </w:trPr>
        <w:tc>
          <w:tcPr>
            <w:tcW w:w="46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jc w:val="center"/>
              <w:ind w:left="470"/>
              <w:spacing w:after="0"/>
              <w:rPr>
                <w:sz w:val="20"/>
                <w:szCs w:val="20"/>
                <w:color w:val="auto"/>
              </w:rPr>
            </w:pPr>
            <w:r>
              <w:rPr>
                <w:rFonts w:ascii="Arial" w:cs="Arial" w:eastAsia="Arial" w:hAnsi="Arial"/>
                <w:sz w:val="18"/>
                <w:szCs w:val="18"/>
                <w:color w:val="auto"/>
                <w:w w:val="86"/>
              </w:rPr>
              <w:t>June 30,</w:t>
            </w:r>
          </w:p>
        </w:tc>
        <w:tc>
          <w:tcPr>
            <w:tcW w:w="780" w:type="dxa"/>
            <w:vAlign w:val="bottom"/>
            <w:tcBorders>
              <w:bottom w:val="single" w:sz="8" w:color="auto"/>
            </w:tcBorders>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jc w:val="center"/>
              <w:ind w:left="470"/>
              <w:spacing w:after="0"/>
              <w:rPr>
                <w:sz w:val="20"/>
                <w:szCs w:val="20"/>
                <w:color w:val="auto"/>
              </w:rPr>
            </w:pPr>
            <w:r>
              <w:rPr>
                <w:rFonts w:ascii="Arial" w:cs="Arial" w:eastAsia="Arial" w:hAnsi="Arial"/>
                <w:sz w:val="18"/>
                <w:szCs w:val="18"/>
                <w:color w:val="auto"/>
                <w:w w:val="86"/>
              </w:rPr>
              <w:t>June 30,</w:t>
            </w:r>
          </w:p>
        </w:tc>
        <w:tc>
          <w:tcPr>
            <w:tcW w:w="800" w:type="dxa"/>
            <w:vAlign w:val="bottom"/>
            <w:tcBorders>
              <w:bottom w:val="single" w:sz="8" w:color="auto"/>
            </w:tcBorders>
          </w:tcPr>
          <w:p>
            <w:pPr>
              <w:spacing w:after="0"/>
              <w:rPr>
                <w:sz w:val="20"/>
                <w:szCs w:val="20"/>
                <w:color w:val="auto"/>
              </w:rPr>
            </w:pPr>
          </w:p>
        </w:tc>
      </w:tr>
      <w:tr>
        <w:trPr>
          <w:trHeight w:val="230"/>
        </w:trPr>
        <w:tc>
          <w:tcPr>
            <w:tcW w:w="46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2023</w:t>
            </w:r>
          </w:p>
        </w:tc>
        <w:tc>
          <w:tcPr>
            <w:tcW w:w="2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2022</w:t>
            </w:r>
          </w:p>
        </w:tc>
        <w:tc>
          <w:tcPr>
            <w:tcW w:w="4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2023</w:t>
            </w:r>
          </w:p>
        </w:tc>
        <w:tc>
          <w:tcPr>
            <w:tcW w:w="2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2022</w:t>
            </w:r>
          </w:p>
        </w:tc>
      </w:tr>
      <w:tr>
        <w:trPr>
          <w:trHeight w:val="223"/>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1,292</w:t>
            </w:r>
          </w:p>
        </w:tc>
        <w:tc>
          <w:tcPr>
            <w:tcW w:w="2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1,378</w:t>
            </w:r>
          </w:p>
        </w:tc>
        <w:tc>
          <w:tcPr>
            <w:tcW w:w="4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2,553</w:t>
            </w:r>
          </w:p>
        </w:tc>
        <w:tc>
          <w:tcPr>
            <w:tcW w:w="2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2,604</w:t>
            </w:r>
          </w:p>
        </w:tc>
      </w:tr>
      <w:tr>
        <w:trPr>
          <w:trHeight w:val="230"/>
        </w:trPr>
        <w:tc>
          <w:tcPr>
            <w:tcW w:w="4620" w:type="dxa"/>
            <w:vAlign w:val="bottom"/>
          </w:tcPr>
          <w:p>
            <w:pPr>
              <w:ind w:left="20"/>
              <w:spacing w:after="0"/>
              <w:rPr>
                <w:sz w:val="20"/>
                <w:szCs w:val="20"/>
                <w:color w:val="auto"/>
              </w:rPr>
            </w:pPr>
            <w:r>
              <w:rPr>
                <w:rFonts w:ascii="Arial" w:cs="Arial" w:eastAsia="Arial" w:hAnsi="Arial"/>
                <w:sz w:val="18"/>
                <w:szCs w:val="18"/>
                <w:color w:val="auto"/>
              </w:rPr>
              <w:t>Segment income</w:t>
            </w: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211</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216</w:t>
            </w: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389</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380</w:t>
            </w:r>
          </w:p>
        </w:tc>
      </w:tr>
    </w:tbl>
    <w:p>
      <w:pPr>
        <w:spacing w:after="0" w:line="32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Three months ended June 30, 2023 compared to 2022</w:t>
      </w:r>
    </w:p>
    <w:p>
      <w:pPr>
        <w:spacing w:after="0" w:line="252"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Net sales decreased primarily due to the pass-through of lower aluminum costs, partially offset by contractual pass-through mechanisms put in place to recover inflation, 2.5% higher volumes in North America and favorable foreign currency translation of $14.</w:t>
      </w:r>
    </w:p>
    <w:p>
      <w:pPr>
        <w:sectPr>
          <w:pgSz w:w="11900" w:h="16838" w:orient="portrait"/>
          <w:cols w:equalWidth="0" w:num="1">
            <w:col w:w="10580"/>
          </w:cols>
          <w:pgMar w:left="98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4880"/>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85090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0"/>
          </w:cols>
          <w:pgMar w:left="980" w:top="121" w:right="339" w:bottom="1440" w:gutter="0" w:footer="0" w:header="0"/>
          <w:type w:val="continuous"/>
        </w:sectPr>
      </w:pPr>
    </w:p>
    <w:bookmarkStart w:id="26" w:name="page27"/>
    <w:bookmarkEnd w:id="26"/>
    <w:p>
      <w:pPr>
        <w:ind w:left="4140"/>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Segment income decreased primarily due to insurance recoveries of $20 in 2022 for incremental costs and lost profits from prior quarters related to the Bowling Green tornado and increased depreciation of $4 for recent capacity expansions in 2023, partially offset by higher volumes and favorable foreign currency translation of $4.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Six months ended June 30, 2023 compared to 2022</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 sales decreased primarily due to the pass-through of lower aluminum costs, partially offset by contractual pass-through mechanisms put in place to recover inflation, 4% higher volumes and favorable foreign currency translation of $24.</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Segment income increased primarily due to inflation mechanisms put in place to recover cost increases and higher volumes, partially offset by start-up costs and increased depreciation of $10 for recent capacity expansions.</w:t>
      </w:r>
    </w:p>
    <w:p>
      <w:pPr>
        <w:spacing w:after="0" w:line="197"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In March 2023 a Brazilian beverage can customer filed for bankruptcy and the Company's exposure as of June 30, 2023 is approximately $77. The Company possesses a security interest related to the supply agreement which was considered in the Company's allowance for credit losses. The Company will continue to monitor the bankruptcy plan and consider the impact on the Company's results of operations and cash flows.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European Beverage</w:t>
      </w:r>
    </w:p>
    <w:p>
      <w:pPr>
        <w:spacing w:after="0" w:line="256"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Company's European Beverage segment manufactures aluminum beverage cans and ends and supplies a variety of customers from its operations throughout Europe, the Middle East and North Africa. In recent years, the European beverage can market has been growing due to the introduction of new beverage products in cans versus other packaging formats. In 2023 high speed production lines are being added to plants in Parma, Italy and Agoncillo, Spain, and the Company expects to complete the relocation to a new two-line plant in Peterborough, United Kingdom.</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February 2023, twin earthquakes struck near the Company's Osmaniye, Turkey plant. There was no significant damage to the physical plant structure, equipment or inventory. The plant resumed production and shipments to customers able to receive deliveries by the end of February. This event did not have a material impact on the Company's results of operations or cash flows.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Net sales and segment income in the European Beverage segment were as follows: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60" w:type="dxa"/>
            <w:vAlign w:val="bottom"/>
            <w:gridSpan w:val="4"/>
          </w:tcPr>
          <w:p>
            <w:pPr>
              <w:jc w:val="center"/>
              <w:ind w:right="130"/>
              <w:spacing w:after="0"/>
              <w:rPr>
                <w:sz w:val="20"/>
                <w:szCs w:val="20"/>
                <w:color w:val="auto"/>
              </w:rPr>
            </w:pPr>
            <w:r>
              <w:rPr>
                <w:rFonts w:ascii="Arial" w:cs="Arial" w:eastAsia="Arial" w:hAnsi="Arial"/>
                <w:sz w:val="18"/>
                <w:szCs w:val="18"/>
                <w:color w:val="auto"/>
                <w:w w:val="90"/>
              </w:rPr>
              <w:t>Three Months Ended</w:t>
            </w: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60" w:type="dxa"/>
            <w:vAlign w:val="bottom"/>
            <w:gridSpan w:val="4"/>
          </w:tcPr>
          <w:p>
            <w:pPr>
              <w:jc w:val="center"/>
              <w:ind w:right="110"/>
              <w:spacing w:after="0"/>
              <w:rPr>
                <w:sz w:val="20"/>
                <w:szCs w:val="20"/>
                <w:color w:val="auto"/>
              </w:rPr>
            </w:pPr>
            <w:r>
              <w:rPr>
                <w:rFonts w:ascii="Arial" w:cs="Arial" w:eastAsia="Arial" w:hAnsi="Arial"/>
                <w:sz w:val="18"/>
                <w:szCs w:val="18"/>
                <w:color w:val="auto"/>
                <w:w w:val="91"/>
              </w:rPr>
              <w:t>Six Months Ended</w:t>
            </w:r>
          </w:p>
        </w:tc>
      </w:tr>
      <w:tr>
        <w:trPr>
          <w:trHeight w:val="237"/>
        </w:trPr>
        <w:tc>
          <w:tcPr>
            <w:tcW w:w="45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3"/>
          </w:tcPr>
          <w:p>
            <w:pPr>
              <w:jc w:val="center"/>
              <w:ind w:left="470"/>
              <w:spacing w:after="0"/>
              <w:rPr>
                <w:sz w:val="20"/>
                <w:szCs w:val="20"/>
                <w:color w:val="auto"/>
              </w:rPr>
            </w:pPr>
            <w:r>
              <w:rPr>
                <w:rFonts w:ascii="Arial" w:cs="Arial" w:eastAsia="Arial" w:hAnsi="Arial"/>
                <w:sz w:val="18"/>
                <w:szCs w:val="18"/>
                <w:color w:val="auto"/>
                <w:w w:val="86"/>
              </w:rPr>
              <w:t>June 30,</w:t>
            </w:r>
          </w:p>
        </w:tc>
        <w:tc>
          <w:tcPr>
            <w:tcW w:w="780" w:type="dxa"/>
            <w:vAlign w:val="bottom"/>
            <w:tcBorders>
              <w:bottom w:val="single" w:sz="8" w:color="auto"/>
            </w:tcBorders>
          </w:tcPr>
          <w:p>
            <w:pPr>
              <w:spacing w:after="0"/>
              <w:rPr>
                <w:sz w:val="20"/>
                <w:szCs w:val="20"/>
                <w:color w:val="auto"/>
              </w:rPr>
            </w:pPr>
          </w:p>
        </w:tc>
        <w:tc>
          <w:tcPr>
            <w:tcW w:w="4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3"/>
          </w:tcPr>
          <w:p>
            <w:pPr>
              <w:jc w:val="center"/>
              <w:ind w:left="450"/>
              <w:spacing w:after="0"/>
              <w:rPr>
                <w:sz w:val="20"/>
                <w:szCs w:val="20"/>
                <w:color w:val="auto"/>
              </w:rPr>
            </w:pPr>
            <w:r>
              <w:rPr>
                <w:rFonts w:ascii="Arial" w:cs="Arial" w:eastAsia="Arial" w:hAnsi="Arial"/>
                <w:sz w:val="18"/>
                <w:szCs w:val="18"/>
                <w:color w:val="auto"/>
                <w:w w:val="86"/>
              </w:rPr>
              <w:t>June 30,</w:t>
            </w:r>
          </w:p>
        </w:tc>
        <w:tc>
          <w:tcPr>
            <w:tcW w:w="760" w:type="dxa"/>
            <w:vAlign w:val="bottom"/>
            <w:tcBorders>
              <w:bottom w:val="single" w:sz="8" w:color="auto"/>
            </w:tcBorders>
          </w:tcPr>
          <w:p>
            <w:pPr>
              <w:spacing w:after="0"/>
              <w:rPr>
                <w:sz w:val="20"/>
                <w:szCs w:val="20"/>
                <w:color w:val="auto"/>
              </w:rPr>
            </w:pPr>
          </w:p>
        </w:tc>
      </w:tr>
      <w:tr>
        <w:trPr>
          <w:trHeight w:val="229"/>
        </w:trPr>
        <w:tc>
          <w:tcPr>
            <w:tcW w:w="45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2023</w:t>
            </w:r>
          </w:p>
        </w:tc>
        <w:tc>
          <w:tcPr>
            <w:tcW w:w="2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2022</w:t>
            </w:r>
          </w:p>
        </w:tc>
        <w:tc>
          <w:tcPr>
            <w:tcW w:w="4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2023</w:t>
            </w:r>
          </w:p>
        </w:tc>
        <w:tc>
          <w:tcPr>
            <w:tcW w:w="2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2022</w:t>
            </w:r>
          </w:p>
        </w:tc>
      </w:tr>
      <w:tr>
        <w:trPr>
          <w:trHeight w:val="223"/>
        </w:trPr>
        <w:tc>
          <w:tcPr>
            <w:tcW w:w="4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w:t>
            </w: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599</w:t>
            </w:r>
          </w:p>
        </w:tc>
        <w:tc>
          <w:tcPr>
            <w:tcW w:w="4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1,011</w:t>
            </w:r>
          </w:p>
        </w:tc>
        <w:tc>
          <w:tcPr>
            <w:tcW w:w="2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1,109</w:t>
            </w:r>
          </w:p>
        </w:tc>
      </w:tr>
      <w:tr>
        <w:trPr>
          <w:trHeight w:val="230"/>
        </w:trPr>
        <w:tc>
          <w:tcPr>
            <w:tcW w:w="4520" w:type="dxa"/>
            <w:vAlign w:val="bottom"/>
          </w:tcPr>
          <w:p>
            <w:pPr>
              <w:ind w:left="20"/>
              <w:spacing w:after="0"/>
              <w:rPr>
                <w:sz w:val="20"/>
                <w:szCs w:val="20"/>
                <w:color w:val="auto"/>
              </w:rPr>
            </w:pPr>
            <w:r>
              <w:rPr>
                <w:rFonts w:ascii="Arial" w:cs="Arial" w:eastAsia="Arial" w:hAnsi="Arial"/>
                <w:sz w:val="18"/>
                <w:szCs w:val="18"/>
                <w:color w:val="auto"/>
              </w:rPr>
              <w:t>Segment income</w:t>
            </w: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74</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56</w:t>
            </w: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119</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109</w:t>
            </w:r>
          </w:p>
        </w:tc>
      </w:tr>
    </w:tbl>
    <w:p>
      <w:pPr>
        <w:spacing w:after="0" w:line="32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Three and six months ended June 30, 2023 compared to 2022</w:t>
      </w:r>
    </w:p>
    <w:p>
      <w:pPr>
        <w:spacing w:after="0" w:line="25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Net sales decreased primarily due to lower volumes, the pass-through of lower aluminum costs, and unfavorable foreign currency translation of $18 for the six months ended June 30, 2023, partially offset by the contractual recovery of prior years' inflationary cost increases.</w:t>
      </w:r>
    </w:p>
    <w:p>
      <w:pPr>
        <w:spacing w:after="0" w:line="1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Segment income increased primarily due to contractual pass-through mechanisms put in place to recover inflation, partially offset by lower volumes.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Asia Pacific</w:t>
      </w:r>
    </w:p>
    <w:p>
      <w:pPr>
        <w:spacing w:after="0" w:line="16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Company's Asia Pacific segment consists of beverage can operations in Cambodia, China, Indonesia, Malaysia, Myanmar, Singapore, Thailand and Vietnam and non-beverage can operations, primarily food cans and specialty packaging. In recent years, the beverage can market in Southeast Asia has been growing driven by increased per capita incomes and consumption, combined with an increased preference for cans over other forms of beverage packaging. To meet volume requirements in Southeast Asia, the Company began commercial production of a third line in Phnom Penh, Cambodia in August 2022.</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0"/>
          </w:cols>
          <w:pgMar w:left="980" w:top="121" w:right="339" w:bottom="1440" w:gutter="0" w:footer="0" w:header="0"/>
        </w:sectPr>
      </w:pPr>
    </w:p>
    <w:bookmarkStart w:id="27" w:name="page28"/>
    <w:bookmarkEnd w:id="27"/>
    <w:p>
      <w:pPr>
        <w:ind w:left="4140"/>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June 2022, the Company's Yangon, Myanmar beverage can plant was temporarily idled due to currency restrictions, which resulted in the inability to source U.S. dollars required to procure U.S. dollar raw materials. During the first six months of 2023, the Company has been able to complete U.S. dollar conversions and resumed production on a limited basis. For the six months ended June, 30, 2023, the plant had net sales of $6. Property, plant and equipment as of June 30, 2023 was $53, including $25 of land and buildings and $28 of machinery and equipment. The Company will continue to monitor the economic conditions and the impact to its business in Myanmar, including any alternative uses for its machinery and equipment.</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Net sales and segment income in the Asia Pacific segment were as follows: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640" w:type="dxa"/>
            <w:vAlign w:val="bottom"/>
          </w:tcPr>
          <w:p>
            <w:pPr>
              <w:spacing w:after="0"/>
              <w:rPr>
                <w:sz w:val="19"/>
                <w:szCs w:val="19"/>
                <w:color w:val="auto"/>
              </w:rPr>
            </w:pPr>
          </w:p>
        </w:tc>
        <w:tc>
          <w:tcPr>
            <w:tcW w:w="1980" w:type="dxa"/>
            <w:vAlign w:val="bottom"/>
            <w:gridSpan w:val="4"/>
          </w:tcPr>
          <w:p>
            <w:pPr>
              <w:jc w:val="center"/>
              <w:ind w:left="250"/>
              <w:spacing w:after="0"/>
              <w:rPr>
                <w:sz w:val="20"/>
                <w:szCs w:val="20"/>
                <w:color w:val="auto"/>
              </w:rPr>
            </w:pPr>
            <w:r>
              <w:rPr>
                <w:rFonts w:ascii="Arial" w:cs="Arial" w:eastAsia="Arial" w:hAnsi="Arial"/>
                <w:sz w:val="18"/>
                <w:szCs w:val="18"/>
                <w:color w:val="auto"/>
                <w:w w:val="90"/>
              </w:rPr>
              <w:t>Three Months Ended</w:t>
            </w:r>
          </w:p>
        </w:tc>
        <w:tc>
          <w:tcPr>
            <w:tcW w:w="3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100" w:type="dxa"/>
            <w:vAlign w:val="bottom"/>
            <w:gridSpan w:val="4"/>
          </w:tcPr>
          <w:p>
            <w:pPr>
              <w:jc w:val="center"/>
              <w:ind w:right="150"/>
              <w:spacing w:after="0"/>
              <w:rPr>
                <w:sz w:val="20"/>
                <w:szCs w:val="20"/>
                <w:color w:val="auto"/>
              </w:rPr>
            </w:pPr>
            <w:r>
              <w:rPr>
                <w:rFonts w:ascii="Arial" w:cs="Arial" w:eastAsia="Arial" w:hAnsi="Arial"/>
                <w:sz w:val="18"/>
                <w:szCs w:val="18"/>
                <w:color w:val="auto"/>
                <w:w w:val="91"/>
              </w:rPr>
              <w:t>Six Months Ended</w:t>
            </w:r>
          </w:p>
        </w:tc>
      </w:tr>
      <w:tr>
        <w:trPr>
          <w:trHeight w:val="237"/>
        </w:trPr>
        <w:tc>
          <w:tcPr>
            <w:tcW w:w="4640" w:type="dxa"/>
            <w:vAlign w:val="bottom"/>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3"/>
          </w:tcPr>
          <w:p>
            <w:pPr>
              <w:jc w:val="center"/>
              <w:ind w:right="270"/>
              <w:spacing w:after="0"/>
              <w:rPr>
                <w:sz w:val="20"/>
                <w:szCs w:val="20"/>
                <w:color w:val="auto"/>
              </w:rPr>
            </w:pPr>
            <w:r>
              <w:rPr>
                <w:rFonts w:ascii="Arial" w:cs="Arial" w:eastAsia="Arial" w:hAnsi="Arial"/>
                <w:sz w:val="18"/>
                <w:szCs w:val="18"/>
                <w:color w:val="auto"/>
                <w:w w:val="86"/>
              </w:rPr>
              <w:t>June 30,</w:t>
            </w:r>
          </w:p>
        </w:tc>
        <w:tc>
          <w:tcPr>
            <w:tcW w:w="340" w:type="dxa"/>
            <w:vAlign w:val="bottom"/>
            <w:tcBorders>
              <w:bottom w:val="single" w:sz="8" w:color="auto"/>
            </w:tcBorders>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jc w:val="center"/>
              <w:ind w:left="470"/>
              <w:spacing w:after="0"/>
              <w:rPr>
                <w:sz w:val="20"/>
                <w:szCs w:val="20"/>
                <w:color w:val="auto"/>
              </w:rPr>
            </w:pPr>
            <w:r>
              <w:rPr>
                <w:rFonts w:ascii="Arial" w:cs="Arial" w:eastAsia="Arial" w:hAnsi="Arial"/>
                <w:sz w:val="18"/>
                <w:szCs w:val="18"/>
                <w:color w:val="auto"/>
                <w:w w:val="86"/>
              </w:rPr>
              <w:t>June 30,</w:t>
            </w:r>
          </w:p>
        </w:tc>
        <w:tc>
          <w:tcPr>
            <w:tcW w:w="780" w:type="dxa"/>
            <w:vAlign w:val="bottom"/>
            <w:tcBorders>
              <w:bottom w:val="single" w:sz="8" w:color="auto"/>
            </w:tcBorders>
          </w:tcPr>
          <w:p>
            <w:pPr>
              <w:spacing w:after="0"/>
              <w:rPr>
                <w:sz w:val="20"/>
                <w:szCs w:val="20"/>
                <w:color w:val="auto"/>
              </w:rPr>
            </w:pPr>
          </w:p>
        </w:tc>
      </w:tr>
      <w:tr>
        <w:trPr>
          <w:trHeight w:val="229"/>
        </w:trPr>
        <w:tc>
          <w:tcPr>
            <w:tcW w:w="46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2023</w:t>
            </w:r>
          </w:p>
        </w:tc>
        <w:tc>
          <w:tcPr>
            <w:tcW w:w="36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2022</w:t>
            </w:r>
          </w:p>
        </w:tc>
        <w:tc>
          <w:tcPr>
            <w:tcW w:w="3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ind w:right="250"/>
              <w:spacing w:after="0"/>
              <w:rPr>
                <w:sz w:val="20"/>
                <w:szCs w:val="20"/>
                <w:color w:val="auto"/>
              </w:rPr>
            </w:pPr>
            <w:r>
              <w:rPr>
                <w:rFonts w:ascii="Arial" w:cs="Arial" w:eastAsia="Arial" w:hAnsi="Arial"/>
                <w:sz w:val="18"/>
                <w:szCs w:val="18"/>
                <w:color w:val="auto"/>
              </w:rPr>
              <w:t>2023</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jc w:val="right"/>
              <w:ind w:right="270"/>
              <w:spacing w:after="0"/>
              <w:rPr>
                <w:sz w:val="20"/>
                <w:szCs w:val="20"/>
                <w:color w:val="auto"/>
              </w:rPr>
            </w:pPr>
            <w:r>
              <w:rPr>
                <w:rFonts w:ascii="Arial" w:cs="Arial" w:eastAsia="Arial" w:hAnsi="Arial"/>
                <w:sz w:val="18"/>
                <w:szCs w:val="18"/>
                <w:color w:val="auto"/>
                <w:w w:val="99"/>
              </w:rPr>
              <w:t>2022</w:t>
            </w:r>
          </w:p>
        </w:tc>
      </w:tr>
      <w:tr>
        <w:trPr>
          <w:trHeight w:val="223"/>
        </w:trPr>
        <w:tc>
          <w:tcPr>
            <w:tcW w:w="46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700" w:type="dxa"/>
            <w:vAlign w:val="bottom"/>
            <w:tcBorders>
              <w:top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332</w:t>
            </w:r>
          </w:p>
        </w:tc>
        <w:tc>
          <w:tcPr>
            <w:tcW w:w="220" w:type="dxa"/>
            <w:vAlign w:val="bottom"/>
            <w:tcBorders>
              <w:top w:val="single" w:sz="8" w:color="CCEEFF"/>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432</w:t>
            </w:r>
          </w:p>
        </w:tc>
        <w:tc>
          <w:tcPr>
            <w:tcW w:w="44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670</w:t>
            </w:r>
          </w:p>
        </w:tc>
        <w:tc>
          <w:tcPr>
            <w:tcW w:w="2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845</w:t>
            </w:r>
          </w:p>
        </w:tc>
      </w:tr>
      <w:tr>
        <w:trPr>
          <w:trHeight w:val="230"/>
        </w:trPr>
        <w:tc>
          <w:tcPr>
            <w:tcW w:w="4640" w:type="dxa"/>
            <w:vAlign w:val="bottom"/>
          </w:tcPr>
          <w:p>
            <w:pPr>
              <w:ind w:left="20"/>
              <w:spacing w:after="0"/>
              <w:rPr>
                <w:sz w:val="20"/>
                <w:szCs w:val="20"/>
                <w:color w:val="auto"/>
              </w:rPr>
            </w:pPr>
            <w:r>
              <w:rPr>
                <w:rFonts w:ascii="Arial" w:cs="Arial" w:eastAsia="Arial" w:hAnsi="Arial"/>
                <w:sz w:val="18"/>
                <w:szCs w:val="18"/>
                <w:color w:val="auto"/>
              </w:rPr>
              <w:t>Segment income</w:t>
            </w:r>
          </w:p>
        </w:tc>
        <w:tc>
          <w:tcPr>
            <w:tcW w:w="70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38</w:t>
            </w: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55</w:t>
            </w: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74</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108</w:t>
            </w:r>
          </w:p>
        </w:tc>
      </w:tr>
    </w:tbl>
    <w:p>
      <w:pPr>
        <w:spacing w:after="0" w:line="32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Three and six months ended June 30, 2023 compared to 2022</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Net sales and segment income decreased primarily due to lower volumes. Net sales were also negatively impacted by the pass-through of lower aluminum costs and unfavorable foreign currency translation. The impact of foreign currency translation on net sales was $3 and $9 for the three and six months ended June 30, 2023.</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Transit Packaging</w:t>
      </w:r>
    </w:p>
    <w:p>
      <w:pPr>
        <w:spacing w:after="0" w:line="243"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Company's Transit Packaging segment includes the Company's worldwide industrial products, protective solutions, and automation, equipment and tools business. Industrial products include steel strap, plastic strap, industrial film and other related products that are used in a wide range of industries. Protective solutions include transit protection products, such as airbags, edge protectors, and honeycomb products that help prevent movement of, and/or damage to, a wide range of industrial and consumer goods during transport. Automation, equipment and tools includes manual, semi-automatic and automatic equipment and tools, which are primarily used in end-of-line operations to apply consumables such as strap and film.</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Net sales and segment income in the Transit Packaging segment were as follows:</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40" w:type="dxa"/>
            <w:vAlign w:val="bottom"/>
          </w:tcPr>
          <w:p>
            <w:pPr>
              <w:spacing w:after="0"/>
              <w:rPr>
                <w:sz w:val="19"/>
                <w:szCs w:val="19"/>
                <w:color w:val="auto"/>
              </w:rPr>
            </w:pPr>
          </w:p>
        </w:tc>
        <w:tc>
          <w:tcPr>
            <w:tcW w:w="1980" w:type="dxa"/>
            <w:vAlign w:val="bottom"/>
            <w:gridSpan w:val="4"/>
          </w:tcPr>
          <w:p>
            <w:pPr>
              <w:jc w:val="center"/>
              <w:ind w:left="250"/>
              <w:spacing w:after="0"/>
              <w:rPr>
                <w:sz w:val="20"/>
                <w:szCs w:val="20"/>
                <w:color w:val="auto"/>
              </w:rPr>
            </w:pPr>
            <w:r>
              <w:rPr>
                <w:rFonts w:ascii="Arial" w:cs="Arial" w:eastAsia="Arial" w:hAnsi="Arial"/>
                <w:sz w:val="18"/>
                <w:szCs w:val="18"/>
                <w:color w:val="auto"/>
                <w:w w:val="90"/>
              </w:rPr>
              <w:t>Three Months Ended</w:t>
            </w:r>
          </w:p>
        </w:tc>
        <w:tc>
          <w:tcPr>
            <w:tcW w:w="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120" w:type="dxa"/>
            <w:vAlign w:val="bottom"/>
            <w:gridSpan w:val="4"/>
          </w:tcPr>
          <w:p>
            <w:pPr>
              <w:jc w:val="center"/>
              <w:ind w:right="130"/>
              <w:spacing w:after="0"/>
              <w:rPr>
                <w:sz w:val="20"/>
                <w:szCs w:val="20"/>
                <w:color w:val="auto"/>
              </w:rPr>
            </w:pPr>
            <w:r>
              <w:rPr>
                <w:rFonts w:ascii="Arial" w:cs="Arial" w:eastAsia="Arial" w:hAnsi="Arial"/>
                <w:sz w:val="18"/>
                <w:szCs w:val="18"/>
                <w:color w:val="auto"/>
                <w:w w:val="91"/>
              </w:rPr>
              <w:t>Six Months Ended</w:t>
            </w:r>
          </w:p>
        </w:tc>
      </w:tr>
      <w:tr>
        <w:trPr>
          <w:trHeight w:val="230"/>
        </w:trPr>
        <w:tc>
          <w:tcPr>
            <w:tcW w:w="4640" w:type="dxa"/>
            <w:vAlign w:val="bottom"/>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3"/>
          </w:tcPr>
          <w:p>
            <w:pPr>
              <w:jc w:val="center"/>
              <w:ind w:right="270"/>
              <w:spacing w:after="0"/>
              <w:rPr>
                <w:sz w:val="20"/>
                <w:szCs w:val="20"/>
                <w:color w:val="auto"/>
              </w:rPr>
            </w:pPr>
            <w:r>
              <w:rPr>
                <w:rFonts w:ascii="Arial" w:cs="Arial" w:eastAsia="Arial" w:hAnsi="Arial"/>
                <w:sz w:val="18"/>
                <w:szCs w:val="18"/>
                <w:color w:val="auto"/>
                <w:w w:val="86"/>
              </w:rPr>
              <w:t>June 30,</w:t>
            </w:r>
          </w:p>
        </w:tc>
        <w:tc>
          <w:tcPr>
            <w:tcW w:w="340" w:type="dxa"/>
            <w:vAlign w:val="bottom"/>
            <w:tcBorders>
              <w:bottom w:val="single" w:sz="8" w:color="auto"/>
            </w:tcBorders>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jc w:val="center"/>
              <w:ind w:left="470"/>
              <w:spacing w:after="0"/>
              <w:rPr>
                <w:sz w:val="20"/>
                <w:szCs w:val="20"/>
                <w:color w:val="auto"/>
              </w:rPr>
            </w:pPr>
            <w:r>
              <w:rPr>
                <w:rFonts w:ascii="Arial" w:cs="Arial" w:eastAsia="Arial" w:hAnsi="Arial"/>
                <w:sz w:val="18"/>
                <w:szCs w:val="18"/>
                <w:color w:val="auto"/>
                <w:w w:val="86"/>
              </w:rPr>
              <w:t>June 30,</w:t>
            </w:r>
          </w:p>
        </w:tc>
        <w:tc>
          <w:tcPr>
            <w:tcW w:w="800" w:type="dxa"/>
            <w:vAlign w:val="bottom"/>
            <w:tcBorders>
              <w:bottom w:val="single" w:sz="8" w:color="auto"/>
            </w:tcBorders>
          </w:tcPr>
          <w:p>
            <w:pPr>
              <w:spacing w:after="0"/>
              <w:rPr>
                <w:sz w:val="20"/>
                <w:szCs w:val="20"/>
                <w:color w:val="auto"/>
              </w:rPr>
            </w:pPr>
          </w:p>
        </w:tc>
      </w:tr>
      <w:tr>
        <w:trPr>
          <w:trHeight w:val="230"/>
        </w:trPr>
        <w:tc>
          <w:tcPr>
            <w:tcW w:w="46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2022</w:t>
            </w:r>
          </w:p>
        </w:tc>
        <w:tc>
          <w:tcPr>
            <w:tcW w:w="340" w:type="dxa"/>
            <w:vAlign w:val="bottom"/>
          </w:tcPr>
          <w:p>
            <w:pPr>
              <w:spacing w:after="0"/>
              <w:rPr>
                <w:sz w:val="20"/>
                <w:szCs w:val="20"/>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2022</w:t>
            </w:r>
          </w:p>
        </w:tc>
        <w:tc>
          <w:tcPr>
            <w:tcW w:w="3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ind w:right="270"/>
              <w:spacing w:after="0"/>
              <w:rPr>
                <w:sz w:val="20"/>
                <w:szCs w:val="20"/>
                <w:color w:val="auto"/>
              </w:rPr>
            </w:pPr>
            <w:r>
              <w:rPr>
                <w:rFonts w:ascii="Arial" w:cs="Arial" w:eastAsia="Arial" w:hAnsi="Arial"/>
                <w:sz w:val="18"/>
                <w:szCs w:val="18"/>
                <w:color w:val="auto"/>
              </w:rPr>
              <w:t>2023</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jc w:val="right"/>
              <w:ind w:right="270"/>
              <w:spacing w:after="0"/>
              <w:rPr>
                <w:sz w:val="20"/>
                <w:szCs w:val="20"/>
                <w:color w:val="auto"/>
              </w:rPr>
            </w:pPr>
            <w:r>
              <w:rPr>
                <w:rFonts w:ascii="Arial" w:cs="Arial" w:eastAsia="Arial" w:hAnsi="Arial"/>
                <w:sz w:val="18"/>
                <w:szCs w:val="18"/>
                <w:color w:val="auto"/>
              </w:rPr>
              <w:t>2022</w:t>
            </w:r>
          </w:p>
        </w:tc>
      </w:tr>
      <w:tr>
        <w:trPr>
          <w:trHeight w:val="229"/>
        </w:trPr>
        <w:tc>
          <w:tcPr>
            <w:tcW w:w="46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700" w:type="dxa"/>
            <w:vAlign w:val="bottom"/>
            <w:tcBorders>
              <w:top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597</w:t>
            </w:r>
          </w:p>
        </w:tc>
        <w:tc>
          <w:tcPr>
            <w:tcW w:w="220" w:type="dxa"/>
            <w:vAlign w:val="bottom"/>
            <w:tcBorders>
              <w:top w:val="single" w:sz="8" w:color="CCEEFF"/>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color w:val="auto"/>
                <w:w w:val="99"/>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691</w:t>
            </w:r>
          </w:p>
        </w:tc>
        <w:tc>
          <w:tcPr>
            <w:tcW w:w="4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1,161</w:t>
            </w:r>
          </w:p>
        </w:tc>
        <w:tc>
          <w:tcPr>
            <w:tcW w:w="2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1,348</w:t>
            </w:r>
          </w:p>
        </w:tc>
      </w:tr>
      <w:tr>
        <w:trPr>
          <w:trHeight w:val="230"/>
        </w:trPr>
        <w:tc>
          <w:tcPr>
            <w:tcW w:w="4640" w:type="dxa"/>
            <w:vAlign w:val="bottom"/>
          </w:tcPr>
          <w:p>
            <w:pPr>
              <w:ind w:left="20"/>
              <w:spacing w:after="0"/>
              <w:rPr>
                <w:sz w:val="20"/>
                <w:szCs w:val="20"/>
                <w:color w:val="auto"/>
              </w:rPr>
            </w:pPr>
            <w:r>
              <w:rPr>
                <w:rFonts w:ascii="Arial" w:cs="Arial" w:eastAsia="Arial" w:hAnsi="Arial"/>
                <w:sz w:val="18"/>
                <w:szCs w:val="18"/>
                <w:color w:val="auto"/>
              </w:rPr>
              <w:t>Segment income</w:t>
            </w:r>
          </w:p>
        </w:tc>
        <w:tc>
          <w:tcPr>
            <w:tcW w:w="70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89</w:t>
            </w: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74</w:t>
            </w: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167</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135</w:t>
            </w:r>
          </w:p>
        </w:tc>
      </w:tr>
    </w:tbl>
    <w:p>
      <w:pPr>
        <w:spacing w:after="0" w:line="32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Three and six months ended June 30, 2023 compared to 2022</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 sales decreased primarily due to lower volumes and $20 from the impact of unfavorable foreign currency translation for the six months ended June 30, 2023.</w:t>
      </w:r>
    </w:p>
    <w:p>
      <w:pPr>
        <w:spacing w:after="0" w:line="19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Segment income increased primarily due to costs savings from headcount reductions across the business, partially offset by lower volumes. Additionally, the three and six months ended June 30, 2022 were negatively impacted by $8 and $14, respectively, from the repricing of higher cost inventory from the prior year in the steel strap business.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Other</w:t>
      </w:r>
    </w:p>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Other includes the Company's food can, aerosol can and closures businesses in North America, and beverage tooling and equipment operations in the U.S. and U.K. The Company added a third two-piece food can line to its Owatonna, Minnesota plant in 2022 and expects to add a pet food can line to its Dubuque, Iowa plant in 2023.</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Net sales and segment income in Other were as follows:</w:t>
      </w:r>
    </w:p>
    <w:p>
      <w:pPr>
        <w:sectPr>
          <w:pgSz w:w="11900" w:h="16838" w:orient="portrait"/>
          <w:cols w:equalWidth="0" w:num="1">
            <w:col w:w="10580"/>
          </w:cols>
          <w:pgMar w:left="980" w:top="121" w:right="33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ind w:left="4880"/>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85090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0"/>
          </w:cols>
          <w:pgMar w:left="980" w:top="121" w:right="339" w:bottom="1440" w:gutter="0" w:footer="0" w:header="0"/>
          <w:type w:val="continuous"/>
        </w:sectPr>
      </w:pPr>
    </w:p>
    <w:bookmarkStart w:id="28" w:name="page29"/>
    <w:bookmarkEnd w:id="28"/>
    <w:p>
      <w:pPr>
        <w:ind w:left="4140"/>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640" w:type="dxa"/>
            <w:vAlign w:val="bottom"/>
          </w:tcPr>
          <w:p>
            <w:pPr>
              <w:spacing w:after="0"/>
              <w:rPr>
                <w:sz w:val="19"/>
                <w:szCs w:val="19"/>
                <w:color w:val="auto"/>
              </w:rPr>
            </w:pPr>
          </w:p>
        </w:tc>
        <w:tc>
          <w:tcPr>
            <w:tcW w:w="1980" w:type="dxa"/>
            <w:vAlign w:val="bottom"/>
            <w:gridSpan w:val="4"/>
          </w:tcPr>
          <w:p>
            <w:pPr>
              <w:jc w:val="center"/>
              <w:ind w:left="250"/>
              <w:spacing w:after="0"/>
              <w:rPr>
                <w:sz w:val="20"/>
                <w:szCs w:val="20"/>
                <w:color w:val="auto"/>
              </w:rPr>
            </w:pPr>
            <w:r>
              <w:rPr>
                <w:rFonts w:ascii="Arial" w:cs="Arial" w:eastAsia="Arial" w:hAnsi="Arial"/>
                <w:sz w:val="18"/>
                <w:szCs w:val="18"/>
                <w:color w:val="auto"/>
                <w:w w:val="90"/>
              </w:rPr>
              <w:t>Three Months Ended</w:t>
            </w:r>
          </w:p>
        </w:tc>
        <w:tc>
          <w:tcPr>
            <w:tcW w:w="3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100" w:type="dxa"/>
            <w:vAlign w:val="bottom"/>
            <w:gridSpan w:val="4"/>
          </w:tcPr>
          <w:p>
            <w:pPr>
              <w:jc w:val="center"/>
              <w:ind w:right="150"/>
              <w:spacing w:after="0"/>
              <w:rPr>
                <w:sz w:val="20"/>
                <w:szCs w:val="20"/>
                <w:color w:val="auto"/>
              </w:rPr>
            </w:pPr>
            <w:r>
              <w:rPr>
                <w:rFonts w:ascii="Arial" w:cs="Arial" w:eastAsia="Arial" w:hAnsi="Arial"/>
                <w:sz w:val="18"/>
                <w:szCs w:val="18"/>
                <w:color w:val="auto"/>
                <w:w w:val="91"/>
              </w:rPr>
              <w:t>Six Months Ended</w:t>
            </w:r>
          </w:p>
        </w:tc>
      </w:tr>
      <w:tr>
        <w:trPr>
          <w:trHeight w:val="237"/>
        </w:trPr>
        <w:tc>
          <w:tcPr>
            <w:tcW w:w="4640" w:type="dxa"/>
            <w:vAlign w:val="bottom"/>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3"/>
          </w:tcPr>
          <w:p>
            <w:pPr>
              <w:jc w:val="center"/>
              <w:ind w:right="270"/>
              <w:spacing w:after="0"/>
              <w:rPr>
                <w:sz w:val="20"/>
                <w:szCs w:val="20"/>
                <w:color w:val="auto"/>
              </w:rPr>
            </w:pPr>
            <w:r>
              <w:rPr>
                <w:rFonts w:ascii="Arial" w:cs="Arial" w:eastAsia="Arial" w:hAnsi="Arial"/>
                <w:sz w:val="18"/>
                <w:szCs w:val="18"/>
                <w:color w:val="auto"/>
                <w:w w:val="86"/>
              </w:rPr>
              <w:t>June 30,</w:t>
            </w:r>
          </w:p>
        </w:tc>
        <w:tc>
          <w:tcPr>
            <w:tcW w:w="340" w:type="dxa"/>
            <w:vAlign w:val="bottom"/>
            <w:tcBorders>
              <w:bottom w:val="single" w:sz="8" w:color="auto"/>
            </w:tcBorders>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jc w:val="center"/>
              <w:ind w:left="470"/>
              <w:spacing w:after="0"/>
              <w:rPr>
                <w:sz w:val="20"/>
                <w:szCs w:val="20"/>
                <w:color w:val="auto"/>
              </w:rPr>
            </w:pPr>
            <w:r>
              <w:rPr>
                <w:rFonts w:ascii="Arial" w:cs="Arial" w:eastAsia="Arial" w:hAnsi="Arial"/>
                <w:sz w:val="18"/>
                <w:szCs w:val="18"/>
                <w:color w:val="auto"/>
                <w:w w:val="86"/>
              </w:rPr>
              <w:t>June 30,</w:t>
            </w:r>
          </w:p>
        </w:tc>
        <w:tc>
          <w:tcPr>
            <w:tcW w:w="780" w:type="dxa"/>
            <w:vAlign w:val="bottom"/>
            <w:tcBorders>
              <w:bottom w:val="single" w:sz="8" w:color="auto"/>
            </w:tcBorders>
          </w:tcPr>
          <w:p>
            <w:pPr>
              <w:spacing w:after="0"/>
              <w:rPr>
                <w:sz w:val="20"/>
                <w:szCs w:val="20"/>
                <w:color w:val="auto"/>
              </w:rPr>
            </w:pPr>
          </w:p>
        </w:tc>
      </w:tr>
      <w:tr>
        <w:trPr>
          <w:trHeight w:val="229"/>
        </w:trPr>
        <w:tc>
          <w:tcPr>
            <w:tcW w:w="46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2023</w:t>
            </w:r>
          </w:p>
        </w:tc>
        <w:tc>
          <w:tcPr>
            <w:tcW w:w="36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2022</w:t>
            </w:r>
          </w:p>
        </w:tc>
        <w:tc>
          <w:tcPr>
            <w:tcW w:w="3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ind w:right="250"/>
              <w:spacing w:after="0"/>
              <w:rPr>
                <w:sz w:val="20"/>
                <w:szCs w:val="20"/>
                <w:color w:val="auto"/>
              </w:rPr>
            </w:pPr>
            <w:r>
              <w:rPr>
                <w:rFonts w:ascii="Arial" w:cs="Arial" w:eastAsia="Arial" w:hAnsi="Arial"/>
                <w:sz w:val="18"/>
                <w:szCs w:val="18"/>
                <w:color w:val="auto"/>
              </w:rPr>
              <w:t>2023</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jc w:val="right"/>
              <w:ind w:right="270"/>
              <w:spacing w:after="0"/>
              <w:rPr>
                <w:sz w:val="20"/>
                <w:szCs w:val="20"/>
                <w:color w:val="auto"/>
              </w:rPr>
            </w:pPr>
            <w:r>
              <w:rPr>
                <w:rFonts w:ascii="Arial" w:cs="Arial" w:eastAsia="Arial" w:hAnsi="Arial"/>
                <w:sz w:val="18"/>
                <w:szCs w:val="18"/>
                <w:color w:val="auto"/>
                <w:w w:val="99"/>
              </w:rPr>
              <w:t>2022</w:t>
            </w:r>
          </w:p>
        </w:tc>
      </w:tr>
      <w:tr>
        <w:trPr>
          <w:trHeight w:val="223"/>
        </w:trPr>
        <w:tc>
          <w:tcPr>
            <w:tcW w:w="46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700" w:type="dxa"/>
            <w:vAlign w:val="bottom"/>
            <w:tcBorders>
              <w:top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356</w:t>
            </w:r>
          </w:p>
        </w:tc>
        <w:tc>
          <w:tcPr>
            <w:tcW w:w="220" w:type="dxa"/>
            <w:vAlign w:val="bottom"/>
            <w:tcBorders>
              <w:top w:val="single" w:sz="8" w:color="CCEEFF"/>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410</w:t>
            </w:r>
          </w:p>
        </w:tc>
        <w:tc>
          <w:tcPr>
            <w:tcW w:w="44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688</w:t>
            </w:r>
          </w:p>
        </w:tc>
        <w:tc>
          <w:tcPr>
            <w:tcW w:w="2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766</w:t>
            </w:r>
          </w:p>
        </w:tc>
      </w:tr>
      <w:tr>
        <w:trPr>
          <w:trHeight w:val="230"/>
        </w:trPr>
        <w:tc>
          <w:tcPr>
            <w:tcW w:w="4640" w:type="dxa"/>
            <w:vAlign w:val="bottom"/>
          </w:tcPr>
          <w:p>
            <w:pPr>
              <w:ind w:left="20"/>
              <w:spacing w:after="0"/>
              <w:rPr>
                <w:sz w:val="20"/>
                <w:szCs w:val="20"/>
                <w:color w:val="auto"/>
              </w:rPr>
            </w:pPr>
            <w:r>
              <w:rPr>
                <w:rFonts w:ascii="Arial" w:cs="Arial" w:eastAsia="Arial" w:hAnsi="Arial"/>
                <w:sz w:val="18"/>
                <w:szCs w:val="18"/>
                <w:color w:val="auto"/>
              </w:rPr>
              <w:t>Segment income</w:t>
            </w:r>
          </w:p>
        </w:tc>
        <w:tc>
          <w:tcPr>
            <w:tcW w:w="70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36</w:t>
            </w: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62</w:t>
            </w: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63</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156</w:t>
            </w:r>
          </w:p>
        </w:tc>
      </w:tr>
    </w:tbl>
    <w:p>
      <w:pPr>
        <w:spacing w:after="0" w:line="32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Three and six months ended June 30, 2023 compared to 2022</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 sales decreased primarily due to lower volumes across all businesses and the pass-through of lower steel costs, partially offset by contractual pass-through mechanisms put in place to recover inflation.</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Segment income decreased primarily due to lower volumes. Additionally, segment income decreased in the six months ended June 30, 2023 due to a steel repricing gain of $48 in the six months ended June 30, 2022 as compared to a repricing loss of $12 in 2023.</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Corporate and unallocated</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Corporate and unallocated items include corporate and administrative costs, technology costs, and unallocated items such as stock-based compensation and insurance costs.</w:t>
      </w:r>
    </w:p>
    <w:p>
      <w:pPr>
        <w:spacing w:after="0" w:line="200" w:lineRule="exact"/>
        <w:rPr>
          <w:sz w:val="20"/>
          <w:szCs w:val="20"/>
          <w:color w:val="auto"/>
        </w:rPr>
      </w:pP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540" w:type="dxa"/>
            <w:vAlign w:val="bottom"/>
          </w:tcPr>
          <w:p>
            <w:pPr>
              <w:spacing w:after="0"/>
              <w:rPr>
                <w:sz w:val="20"/>
                <w:szCs w:val="20"/>
                <w:color w:val="auto"/>
              </w:rPr>
            </w:pPr>
          </w:p>
        </w:tc>
        <w:tc>
          <w:tcPr>
            <w:tcW w:w="1980" w:type="dxa"/>
            <w:vAlign w:val="bottom"/>
            <w:gridSpan w:val="4"/>
          </w:tcPr>
          <w:p>
            <w:pPr>
              <w:jc w:val="center"/>
              <w:ind w:left="250"/>
              <w:spacing w:after="0"/>
              <w:rPr>
                <w:sz w:val="20"/>
                <w:szCs w:val="20"/>
                <w:color w:val="auto"/>
              </w:rPr>
            </w:pPr>
            <w:r>
              <w:rPr>
                <w:rFonts w:ascii="Arial" w:cs="Arial" w:eastAsia="Arial" w:hAnsi="Arial"/>
                <w:sz w:val="18"/>
                <w:szCs w:val="18"/>
                <w:color w:val="auto"/>
                <w:w w:val="90"/>
              </w:rPr>
              <w:t>Three Months Ended</w:t>
            </w:r>
          </w:p>
        </w:tc>
        <w:tc>
          <w:tcPr>
            <w:tcW w:w="3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80" w:type="dxa"/>
            <w:vAlign w:val="bottom"/>
            <w:gridSpan w:val="4"/>
          </w:tcPr>
          <w:p>
            <w:pPr>
              <w:jc w:val="center"/>
              <w:ind w:right="130"/>
              <w:spacing w:after="0"/>
              <w:rPr>
                <w:sz w:val="20"/>
                <w:szCs w:val="20"/>
                <w:color w:val="auto"/>
              </w:rPr>
            </w:pPr>
            <w:r>
              <w:rPr>
                <w:rFonts w:ascii="Arial" w:cs="Arial" w:eastAsia="Arial" w:hAnsi="Arial"/>
                <w:sz w:val="18"/>
                <w:szCs w:val="18"/>
                <w:color w:val="auto"/>
                <w:w w:val="91"/>
              </w:rPr>
              <w:t>Six Months Ended</w:t>
            </w:r>
          </w:p>
        </w:tc>
      </w:tr>
      <w:tr>
        <w:trPr>
          <w:trHeight w:val="243"/>
        </w:trPr>
        <w:tc>
          <w:tcPr>
            <w:tcW w:w="4540" w:type="dxa"/>
            <w:vAlign w:val="bottom"/>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gridSpan w:val="3"/>
          </w:tcPr>
          <w:p>
            <w:pPr>
              <w:jc w:val="center"/>
              <w:ind w:right="290"/>
              <w:spacing w:after="0"/>
              <w:rPr>
                <w:sz w:val="20"/>
                <w:szCs w:val="20"/>
                <w:color w:val="auto"/>
              </w:rPr>
            </w:pPr>
            <w:r>
              <w:rPr>
                <w:rFonts w:ascii="Arial" w:cs="Arial" w:eastAsia="Arial" w:hAnsi="Arial"/>
                <w:sz w:val="18"/>
                <w:szCs w:val="18"/>
                <w:color w:val="auto"/>
                <w:w w:val="86"/>
              </w:rPr>
              <w:t>June 30,</w:t>
            </w:r>
          </w:p>
        </w:tc>
        <w:tc>
          <w:tcPr>
            <w:tcW w:w="320" w:type="dxa"/>
            <w:vAlign w:val="bottom"/>
            <w:tcBorders>
              <w:bottom w:val="single" w:sz="8" w:color="auto"/>
            </w:tcBorders>
          </w:tcPr>
          <w:p>
            <w:pPr>
              <w:spacing w:after="0"/>
              <w:rPr>
                <w:sz w:val="21"/>
                <w:szCs w:val="21"/>
                <w:color w:val="auto"/>
              </w:rPr>
            </w:pPr>
          </w:p>
        </w:tc>
        <w:tc>
          <w:tcPr>
            <w:tcW w:w="4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gridSpan w:val="3"/>
          </w:tcPr>
          <w:p>
            <w:pPr>
              <w:jc w:val="center"/>
              <w:ind w:left="490"/>
              <w:spacing w:after="0"/>
              <w:rPr>
                <w:sz w:val="20"/>
                <w:szCs w:val="20"/>
                <w:color w:val="auto"/>
              </w:rPr>
            </w:pPr>
            <w:r>
              <w:rPr>
                <w:rFonts w:ascii="Arial" w:cs="Arial" w:eastAsia="Arial" w:hAnsi="Arial"/>
                <w:sz w:val="18"/>
                <w:szCs w:val="18"/>
                <w:color w:val="auto"/>
                <w:w w:val="86"/>
              </w:rPr>
              <w:t>June 30,</w:t>
            </w:r>
          </w:p>
        </w:tc>
        <w:tc>
          <w:tcPr>
            <w:tcW w:w="780" w:type="dxa"/>
            <w:vAlign w:val="bottom"/>
            <w:tcBorders>
              <w:bottom w:val="single" w:sz="8" w:color="auto"/>
            </w:tcBorders>
          </w:tcPr>
          <w:p>
            <w:pPr>
              <w:spacing w:after="0"/>
              <w:rPr>
                <w:sz w:val="21"/>
                <w:szCs w:val="21"/>
                <w:color w:val="auto"/>
              </w:rPr>
            </w:pPr>
          </w:p>
        </w:tc>
      </w:tr>
      <w:tr>
        <w:trPr>
          <w:trHeight w:val="223"/>
        </w:trPr>
        <w:tc>
          <w:tcPr>
            <w:tcW w:w="4540" w:type="dxa"/>
            <w:vAlign w:val="bottom"/>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2023</w:t>
            </w:r>
          </w:p>
        </w:tc>
        <w:tc>
          <w:tcPr>
            <w:tcW w:w="34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2022</w:t>
            </w:r>
          </w:p>
        </w:tc>
        <w:tc>
          <w:tcPr>
            <w:tcW w:w="320" w:type="dxa"/>
            <w:vAlign w:val="bottom"/>
            <w:tcBorders>
              <w:bottom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2023</w:t>
            </w:r>
          </w:p>
        </w:tc>
        <w:tc>
          <w:tcPr>
            <w:tcW w:w="2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2022</w:t>
            </w:r>
          </w:p>
        </w:tc>
      </w:tr>
      <w:tr>
        <w:trPr>
          <w:trHeight w:val="237"/>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Corporate and unallocated expense</w:t>
            </w:r>
          </w:p>
        </w:tc>
        <w:tc>
          <w:tcPr>
            <w:tcW w:w="72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w w:val="99"/>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(34)</w:t>
            </w:r>
          </w:p>
        </w:tc>
        <w:tc>
          <w:tcPr>
            <w:tcW w:w="920" w:type="dxa"/>
            <w:vAlign w:val="bottom"/>
            <w:gridSpan w:val="2"/>
            <w:shd w:val="clear" w:color="auto" w:fill="CCEEFF"/>
          </w:tcPr>
          <w:p>
            <w:pPr>
              <w:jc w:val="right"/>
              <w:ind w:right="49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(31)</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r>
    </w:tbl>
    <w:p>
      <w:pPr>
        <w:spacing w:after="0" w:line="31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Corporate and unallocated expenses increased for the three and six months ended June 30, 2023 compared to 2022, primarily due to higher unallocated insurance costs.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Restructuring and other</w:t>
      </w:r>
    </w:p>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the three and six months ended June 30, 2023, restructuring and other, net charges of $6 and $17, respectively, primarily included business reorganization activities in the Company's European Beverage segment. The Company continues to review its costs structure and may record additional restructuring charges in the future.</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the three and six months ended June 30, 2022, restructuring and other, net gains of $73 and $74, respectively, primarily included a $113 gain from the sale of the Transit Packaging segment's Kiwiplan business, partially offset by $29 of charges related to an overhead cost reduction program initiated by the Transit Packaging segment.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Other pension and postretirement</w:t>
      </w:r>
    </w:p>
    <w:p>
      <w:pPr>
        <w:spacing w:after="0" w:line="243"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Other pension and postretirement costs increased to $16 and $27 for the three and six months ended June 30, 2023 as compared to benefits of $4 and $8 for the three and six months ended June 30, 2022 due to higher post-retirement expense as unamortized gains from prior year plan amendments are now fully amortized, $6 for a one-time pension termination charge related to business reorganization activities in Europe and higher pension expense due to higher interest rates and lower expected return on plan assets.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Interest expense</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three and six months ended June 30, 2023 compared to 2022, interest expense increased from $64 to $110 and $118 to $212 due to higher outstanding debt balances and higher interest rates.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Equity in net earnings of affiliates</w:t>
      </w:r>
    </w:p>
    <w:p>
      <w:pPr>
        <w:spacing w:after="0" w:line="24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three and six months ended June 30, 2023 to 2022, equity in net earnings of affiliates decreased from $12 and $7 and from $29 to $10, primarily due to lower earnings in the Company's European tinplate equity method investment.</w:t>
      </w:r>
    </w:p>
    <w:p>
      <w:pPr>
        <w:sectPr>
          <w:pgSz w:w="11900" w:h="16838" w:orient="portrait"/>
          <w:cols w:equalWidth="0" w:num="1">
            <w:col w:w="10580"/>
          </w:cols>
          <w:pgMar w:left="980" w:top="121" w:right="339" w:bottom="1440" w:gutter="0" w:footer="0" w:header="0"/>
        </w:sectPr>
      </w:pPr>
    </w:p>
    <w:p>
      <w:pPr>
        <w:spacing w:after="0" w:line="200" w:lineRule="exact"/>
        <w:rPr>
          <w:sz w:val="20"/>
          <w:szCs w:val="20"/>
          <w:color w:val="auto"/>
        </w:rPr>
      </w:pPr>
    </w:p>
    <w:p>
      <w:pPr>
        <w:spacing w:after="0" w:line="308" w:lineRule="exact"/>
        <w:rPr>
          <w:sz w:val="20"/>
          <w:szCs w:val="20"/>
          <w:color w:val="auto"/>
        </w:rPr>
      </w:pPr>
    </w:p>
    <w:p>
      <w:pPr>
        <w:ind w:left="4880"/>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85090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0"/>
          </w:cols>
          <w:pgMar w:left="980" w:top="121" w:right="339" w:bottom="1440" w:gutter="0" w:footer="0" w:header="0"/>
          <w:type w:val="continuous"/>
        </w:sectPr>
      </w:pPr>
    </w:p>
    <w:bookmarkStart w:id="29" w:name="page30"/>
    <w:bookmarkEnd w:id="29"/>
    <w:p>
      <w:pPr>
        <w:ind w:left="4140"/>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Net income attributable to noncontrolling interest</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three and six months ended June 30, 2023 compared to 2022, net income from noncontrolling interests decreased from $34 to $30 and $64 to $50, primarily due to lower earnings in the Company's beverage can operations in Brazil.</w:t>
      </w:r>
    </w:p>
    <w:p>
      <w:pPr>
        <w:spacing w:after="0" w:line="193" w:lineRule="exact"/>
        <w:rPr>
          <w:sz w:val="20"/>
          <w:szCs w:val="20"/>
          <w:color w:val="auto"/>
        </w:rPr>
      </w:pPr>
    </w:p>
    <w:p>
      <w:pPr>
        <w:ind w:left="3400"/>
        <w:spacing w:after="0"/>
        <w:rPr>
          <w:sz w:val="20"/>
          <w:szCs w:val="20"/>
          <w:color w:val="auto"/>
        </w:rPr>
      </w:pPr>
      <w:r>
        <w:rPr>
          <w:rFonts w:ascii="Arial" w:cs="Arial" w:eastAsia="Arial" w:hAnsi="Arial"/>
          <w:sz w:val="18"/>
          <w:szCs w:val="18"/>
          <w:b w:val="1"/>
          <w:bCs w:val="1"/>
          <w:u w:val="single" w:color="auto"/>
          <w:color w:val="auto"/>
        </w:rPr>
        <w:t>Liquidity and Capital Resources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Cash from Operations</w:t>
      </w:r>
    </w:p>
    <w:p>
      <w:pPr>
        <w:spacing w:after="0" w:line="256"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Cash provided by operating activities increased from $196 for the six months ended June 30, 2022 to $293 for the six months ended June 30, 2023, primarily due to working capital improvements offset by lower earnings.</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Days sales outstanding for trade receivables, excluding the impact of unbilled receivables, decreased from 36 days as of June 30, 2022 to 34 days as of June 30, 2023.</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color w:val="auto"/>
        </w:rPr>
        <w:t>Inventory turnover increased from 64 days at June 30, 2022 to 70 days at June 30, 2023 primarily due to inventory builds in certain segments.</w:t>
      </w:r>
    </w:p>
    <w:p>
      <w:pPr>
        <w:spacing w:after="0" w:line="2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Days outstanding for trade payables decreased from 102 days at June 30, 2022 to 81 days at June 30, 2023 primarily resulting from decreased purchases due to higher year end inventory levels.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Investing Activities</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Cash used for investing activities increased from $130 for the six months ended June 30, 2022 to $378 for the six months ended June 30, 2023, primarily due to higher capital expenditures partially offset by a $56 distribution from equity method investment in the six months ended June 30, 2023. Additionally, the six months ended June 30, 2022 included proceeds received from the sale of the Company's Transit Packaging segment's Kiwiplan business in April 2022.</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The Company currently expects capital expenditures in 2023 to be approximately $900.</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Financing Activities</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Financing activities used cash of $38 for the six months ended June 30, 2022 and provided cash of $101 for the six months ended June 30, 2023.</w:t>
      </w:r>
    </w:p>
    <w:p>
      <w:pPr>
        <w:spacing w:after="0" w:line="27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May 2023, the Company issued €500 principal amount of 5.0% senior unsecured notes due 2028. In March 2022, the Company issued $500 principal amount of 5.250% senior unsecured notes due 2030. Additionally, during the six months ended June 30, 2022, the Company repurchased $600 of common stock.</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Liquidity</w:t>
      </w:r>
    </w:p>
    <w:p>
      <w:pPr>
        <w:spacing w:after="0" w:line="25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As of June 30, 2023, $464 of the Company's $547 of cash and cash equivalents was located outside the U.S. The Company is not currently aware of any legal restrictions under foreign law that materially impact its access to cash held outside the U.S. The Company funds its cash needs in the U.S. through a combination of cash flows from operations, dividends from certain foreign subsidiaries, borrowings under its revolving credit facility and the acceleration of cash receipts under its receivable securitization and factoring facilities. Of the cash and cash equivalents located outside the U.S., $390 was held by subsidiaries for which earnings are considered indefinitely reinvested.</w:t>
      </w:r>
    </w:p>
    <w:p>
      <w:pPr>
        <w:spacing w:after="0" w:line="20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Company's revolving credit agreements provide capacity of $1,650. As of June 30, 2023, the Company had available capacity of $1,584 under its revolving credit facilities. The Company could have borrowed this amount at June 30, 2023 and still have been in compliance with its leverage ratio covenants.</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Company's debt agreements contain covenants that limit the ability of the Company and its subsidiaries to, among other things, incur additional debt, pay dividends or repurchase capital stock, make certain other restricted payments, create liens and engage in sale and leaseback transactions. These restrictions are subject to a number of exceptions,</w:t>
      </w:r>
    </w:p>
    <w:p>
      <w:pPr>
        <w:sectPr>
          <w:pgSz w:w="11900" w:h="16838" w:orient="portrait"/>
          <w:cols w:equalWidth="0" w:num="1">
            <w:col w:w="10580"/>
          </w:cols>
          <w:pgMar w:left="980" w:top="121" w:right="339" w:bottom="1440" w:gutter="0" w:footer="0" w:header="0"/>
        </w:sectPr>
      </w:pPr>
    </w:p>
    <w:p>
      <w:pPr>
        <w:spacing w:after="0" w:line="200" w:lineRule="exact"/>
        <w:rPr>
          <w:sz w:val="20"/>
          <w:szCs w:val="20"/>
          <w:color w:val="auto"/>
        </w:rPr>
      </w:pPr>
    </w:p>
    <w:p>
      <w:pPr>
        <w:spacing w:after="0" w:line="321" w:lineRule="exact"/>
        <w:rPr>
          <w:sz w:val="20"/>
          <w:szCs w:val="20"/>
          <w:color w:val="auto"/>
        </w:rPr>
      </w:pPr>
    </w:p>
    <w:p>
      <w:pPr>
        <w:ind w:left="4880"/>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85090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0"/>
          </w:cols>
          <w:pgMar w:left="980" w:top="121" w:right="339" w:bottom="1440" w:gutter="0" w:footer="0" w:header="0"/>
          <w:type w:val="continuous"/>
        </w:sectPr>
      </w:pPr>
    </w:p>
    <w:bookmarkStart w:id="30" w:name="page31"/>
    <w:bookmarkEnd w:id="30"/>
    <w:p>
      <w:pPr>
        <w:ind w:left="4140"/>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however, which allow the Company to incur additional debt, create liens or make otherwise restricted payments provided that the Company is in compliance with applicable financial and other covenants and meets certain liquidity requirements.</w:t>
      </w:r>
    </w:p>
    <w:p>
      <w:pPr>
        <w:spacing w:after="0" w:line="19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Company’s revolving credit facilities and term loan facilities also contain a total leverage ratio covenant. The leverage ratio is calculated as total net debt divided by Consolidated EBITDA (as defined in the credit agreement). Total net debt is defined in the credit agreement as total debt less cash and cash equivalents. Consolidated EBITDA is calculated as the sum of, among other things, net income attributable to Crown Holdings, net income attributable to certain of the Company's subsidiaries, income taxes, interest expense, depreciation and amortization, and certain non-cash charges. The Company’s total net leverage ratio of 3.8 to 1.0 at June 30, 2023 was in compliance with the covenant requiring a ratio no greater than 5.0 to 1.0. The ratio is calculated at the end of each quarter using debt and cash balances as of the end of the quarter and Consolidated EBITDA for the most recent twelve months. Failure to meet the financial covenant could result in the acceleration of any outstanding amounts due under the revolving credit facilities and term loan facilities. The required net total leverage ratio under the agreement reduces to 4.5 to 1.0 at December 31, 2023.</w:t>
      </w:r>
    </w:p>
    <w:p>
      <w:pPr>
        <w:spacing w:after="0" w:line="20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Company’s current sources of liquidity also include various securitization facilities. In July 2023, the Company amended a securitization agreement to extend the term through July 2025 and increased the program limit from $700 to $800. Additionally, the Company has securitization facilities with program limits of $200 and $160 that expire in December 2023 and November 2025.</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Capital Resources</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June 30, 2023, the Company had approximately $206 of capital commitments primarily related to Americas Beverage. The Company expects to fund these commitments primarily through cash flows from operations.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Contractual Obligations</w:t>
      </w:r>
    </w:p>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There were no material changes to the Company's contractual obligations provided within Part II, Item 7, “Management's Discussion and Analysis of Financial Condition and Results of Operations” of the Company's Annual Report on Form 10-K for the year ended December 31, 2022, which information is incorporated herein by reference.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Supplemental Guarantor Financial Information</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and certain of its 100% directly or indirectly owned subsidiaries provide guarantees of senior notes and debentures issued by other 100% directly or indirectly owned subsidiaries. These senior notes and debentures are fully and unconditionally guaranteed by the Company and substantially all of its subsidiaries in the United States, except in the case of the Company’s outstanding senior notes issued by Crown Cork &amp; Seal Company, Inc., which are fully and unconditionally guaranteed by Crown Holdings, Inc. (Parent). No other subsidiary guarantees the debt and the guarantees are made on a joint and several basis.</w:t>
      </w:r>
    </w:p>
    <w:p>
      <w:pPr>
        <w:spacing w:after="0" w:line="21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following tables present summarized financial information related to the senior notes issued by the Company’s subsidiary debt issuers and guarantors on a combined basis for each issuer and its guarantors (together, an “obligor group”) after elimination of (i) intercompany transactions and balances among the Parent and the guarantors and (ii) equity in earnings from and investments in any subsidiary that is a non-guarantor. Crown Cork Obligor group consists of Crown Cork &amp; Seal Company, Inc. and the Parent. Crown Americas Obligor group consists of Crown Americas LLC, Crown Americas Capital Corp. IV, Crown Americas Capital Corp. V, Crown Americas Capital Corp. VI, the Parent, and substantially all of the Company’s subsidiaries in the United States.</w:t>
      </w:r>
    </w:p>
    <w:p>
      <w:pPr>
        <w:sectPr>
          <w:pgSz w:w="11900" w:h="16838" w:orient="portrait"/>
          <w:cols w:equalWidth="0" w:num="1">
            <w:col w:w="10580"/>
          </w:cols>
          <w:pgMar w:left="98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880"/>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85090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0"/>
          </w:cols>
          <w:pgMar w:left="980" w:top="121" w:right="339" w:bottom="1440" w:gutter="0" w:footer="0" w:header="0"/>
          <w:type w:val="continuous"/>
        </w:sectPr>
      </w:pPr>
    </w:p>
    <w:bookmarkStart w:id="31" w:name="page32"/>
    <w:bookmarkEnd w:id="31"/>
    <w:tbl>
      <w:tblPr>
        <w:tblLayout w:type="fixed"/>
        <w:tblInd w:w="4" w:type="dxa"/>
        <w:tblCellMar>
          <w:top w:w="0" w:type="dxa"/>
          <w:left w:w="0" w:type="dxa"/>
          <w:bottom w:w="0" w:type="dxa"/>
          <w:right w:w="0" w:type="dxa"/>
        </w:tblCellMar>
      </w:tblPr>
      <w:tr>
        <w:trPr>
          <w:trHeight w:val="234"/>
        </w:trPr>
        <w:tc>
          <w:tcPr>
            <w:tcW w:w="20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740" w:type="dxa"/>
            <w:vAlign w:val="bottom"/>
            <w:gridSpan w:val="5"/>
          </w:tcPr>
          <w:p>
            <w:pPr>
              <w:ind w:left="480"/>
              <w:spacing w:after="0"/>
              <w:rPr>
                <w:sz w:val="20"/>
                <w:szCs w:val="20"/>
                <w:color w:val="auto"/>
              </w:rPr>
            </w:pPr>
            <w:r>
              <w:rPr>
                <w:rFonts w:ascii="Arial" w:cs="Arial" w:eastAsia="Arial" w:hAnsi="Arial"/>
                <w:sz w:val="18"/>
                <w:szCs w:val="18"/>
                <w:b w:val="1"/>
                <w:bCs w:val="1"/>
                <w:color w:val="auto"/>
              </w:rPr>
              <w:t>Crown Holdings, Inc.</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60" w:type="dxa"/>
            <w:vAlign w:val="bottom"/>
          </w:tcPr>
          <w:p>
            <w:pPr>
              <w:spacing w:after="0"/>
              <w:rPr>
                <w:sz w:val="20"/>
                <w:szCs w:val="20"/>
                <w:color w:val="auto"/>
              </w:rPr>
            </w:pPr>
          </w:p>
        </w:tc>
      </w:tr>
      <w:tr>
        <w:trPr>
          <w:trHeight w:val="904"/>
        </w:trPr>
        <w:tc>
          <w:tcPr>
            <w:tcW w:w="3660" w:type="dxa"/>
            <w:vAlign w:val="bottom"/>
            <w:gridSpan w:val="3"/>
          </w:tcPr>
          <w:p>
            <w:pPr>
              <w:spacing w:after="0"/>
              <w:rPr>
                <w:sz w:val="20"/>
                <w:szCs w:val="20"/>
                <w:color w:val="auto"/>
              </w:rPr>
            </w:pPr>
            <w:r>
              <w:rPr>
                <w:rFonts w:ascii="Arial" w:cs="Arial" w:eastAsia="Arial" w:hAnsi="Arial"/>
                <w:sz w:val="18"/>
                <w:szCs w:val="18"/>
                <w:i w:val="1"/>
                <w:iCs w:val="1"/>
                <w:color w:val="auto"/>
              </w:rPr>
              <w:t>Crown Cork Obligor Group</w:t>
            </w: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60" w:type="dxa"/>
            <w:vAlign w:val="bottom"/>
          </w:tcPr>
          <w:p>
            <w:pPr>
              <w:spacing w:after="0"/>
              <w:rPr>
                <w:sz w:val="24"/>
                <w:szCs w:val="24"/>
                <w:color w:val="auto"/>
              </w:rPr>
            </w:pPr>
          </w:p>
        </w:tc>
      </w:tr>
      <w:tr>
        <w:trPr>
          <w:trHeight w:val="276"/>
        </w:trPr>
        <w:tc>
          <w:tcPr>
            <w:tcW w:w="200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20" w:type="dxa"/>
            <w:vAlign w:val="bottom"/>
            <w:gridSpan w:val="2"/>
          </w:tcPr>
          <w:p>
            <w:pPr>
              <w:jc w:val="center"/>
              <w:ind w:left="150"/>
              <w:spacing w:after="0"/>
              <w:rPr>
                <w:sz w:val="20"/>
                <w:szCs w:val="20"/>
                <w:color w:val="auto"/>
              </w:rPr>
            </w:pPr>
            <w:r>
              <w:rPr>
                <w:rFonts w:ascii="Arial" w:cs="Arial" w:eastAsia="Arial" w:hAnsi="Arial"/>
                <w:sz w:val="18"/>
                <w:szCs w:val="18"/>
                <w:color w:val="auto"/>
                <w:w w:val="91"/>
              </w:rPr>
              <w:t>Six Months Ended</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60" w:type="dxa"/>
            <w:vAlign w:val="bottom"/>
          </w:tcPr>
          <w:p>
            <w:pPr>
              <w:spacing w:after="0"/>
              <w:rPr>
                <w:sz w:val="24"/>
                <w:szCs w:val="24"/>
                <w:color w:val="auto"/>
              </w:rPr>
            </w:pPr>
          </w:p>
        </w:tc>
      </w:tr>
      <w:tr>
        <w:trPr>
          <w:trHeight w:val="237"/>
        </w:trPr>
        <w:tc>
          <w:tcPr>
            <w:tcW w:w="2000" w:type="dxa"/>
            <w:vAlign w:val="bottom"/>
            <w:tcBorders>
              <w:bottom w:val="single" w:sz="8" w:color="CCEEFF"/>
            </w:tcBorders>
          </w:tcPr>
          <w:p>
            <w:pPr>
              <w:spacing w:after="0"/>
              <w:rPr>
                <w:sz w:val="20"/>
                <w:szCs w:val="20"/>
                <w:color w:val="auto"/>
              </w:rPr>
            </w:pPr>
          </w:p>
        </w:tc>
        <w:tc>
          <w:tcPr>
            <w:tcW w:w="320" w:type="dxa"/>
            <w:vAlign w:val="bottom"/>
            <w:tcBorders>
              <w:bottom w:val="single" w:sz="8" w:color="CCEEFF"/>
            </w:tcBorders>
          </w:tcPr>
          <w:p>
            <w:pPr>
              <w:spacing w:after="0"/>
              <w:rPr>
                <w:sz w:val="20"/>
                <w:szCs w:val="20"/>
                <w:color w:val="auto"/>
              </w:rPr>
            </w:pPr>
          </w:p>
        </w:tc>
        <w:tc>
          <w:tcPr>
            <w:tcW w:w="1340" w:type="dxa"/>
            <w:vAlign w:val="bottom"/>
            <w:tcBorders>
              <w:bottom w:val="single" w:sz="8" w:color="CCEEFF"/>
            </w:tcBorders>
          </w:tcPr>
          <w:p>
            <w:pPr>
              <w:spacing w:after="0"/>
              <w:rPr>
                <w:sz w:val="20"/>
                <w:szCs w:val="20"/>
                <w:color w:val="auto"/>
              </w:rPr>
            </w:pPr>
          </w:p>
        </w:tc>
        <w:tc>
          <w:tcPr>
            <w:tcW w:w="500" w:type="dxa"/>
            <w:vAlign w:val="bottom"/>
            <w:tcBorders>
              <w:bottom w:val="single" w:sz="8" w:color="CCEEFF"/>
            </w:tcBorders>
          </w:tcPr>
          <w:p>
            <w:pPr>
              <w:spacing w:after="0"/>
              <w:rPr>
                <w:sz w:val="20"/>
                <w:szCs w:val="20"/>
                <w:color w:val="auto"/>
              </w:rPr>
            </w:pPr>
          </w:p>
        </w:tc>
        <w:tc>
          <w:tcPr>
            <w:tcW w:w="3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gridSpan w:val="2"/>
          </w:tcPr>
          <w:p>
            <w:pPr>
              <w:jc w:val="center"/>
              <w:ind w:left="130"/>
              <w:spacing w:after="0"/>
              <w:rPr>
                <w:sz w:val="20"/>
                <w:szCs w:val="20"/>
                <w:color w:val="auto"/>
              </w:rPr>
            </w:pPr>
            <w:r>
              <w:rPr>
                <w:rFonts w:ascii="Arial" w:cs="Arial" w:eastAsia="Arial" w:hAnsi="Arial"/>
                <w:sz w:val="18"/>
                <w:szCs w:val="18"/>
                <w:color w:val="auto"/>
                <w:w w:val="87"/>
              </w:rPr>
              <w:t>June 30, 2023</w:t>
            </w:r>
          </w:p>
        </w:tc>
        <w:tc>
          <w:tcPr>
            <w:tcW w:w="2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860" w:type="dxa"/>
            <w:vAlign w:val="bottom"/>
          </w:tcPr>
          <w:p>
            <w:pPr>
              <w:spacing w:after="0"/>
              <w:rPr>
                <w:sz w:val="20"/>
                <w:szCs w:val="20"/>
                <w:color w:val="auto"/>
              </w:rPr>
            </w:pPr>
          </w:p>
        </w:tc>
      </w:tr>
      <w:tr>
        <w:trPr>
          <w:trHeight w:val="230"/>
        </w:trPr>
        <w:tc>
          <w:tcPr>
            <w:tcW w:w="36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5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780" w:type="dxa"/>
            <w:vAlign w:val="bottom"/>
            <w:gridSpan w:val="2"/>
            <w:shd w:val="clear" w:color="auto" w:fill="CCEEFF"/>
          </w:tcPr>
          <w:p>
            <w:pPr>
              <w:jc w:val="right"/>
              <w:ind w:right="1570"/>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CEEFF"/>
          </w:tcPr>
          <w:p>
            <w:pPr>
              <w:spacing w:after="0"/>
              <w:rPr>
                <w:sz w:val="19"/>
                <w:szCs w:val="19"/>
                <w:color w:val="auto"/>
              </w:rPr>
            </w:pPr>
          </w:p>
        </w:tc>
        <w:tc>
          <w:tcPr>
            <w:tcW w:w="34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19"/>
                <w:szCs w:val="19"/>
                <w:color w:val="auto"/>
              </w:rPr>
            </w:pPr>
          </w:p>
        </w:tc>
        <w:tc>
          <w:tcPr>
            <w:tcW w:w="1860" w:type="dxa"/>
            <w:vAlign w:val="bottom"/>
          </w:tcPr>
          <w:p>
            <w:pPr>
              <w:spacing w:after="0"/>
              <w:rPr>
                <w:sz w:val="19"/>
                <w:szCs w:val="19"/>
                <w:color w:val="auto"/>
              </w:rPr>
            </w:pPr>
          </w:p>
        </w:tc>
      </w:tr>
      <w:tr>
        <w:trPr>
          <w:trHeight w:val="229"/>
        </w:trPr>
        <w:tc>
          <w:tcPr>
            <w:tcW w:w="3660" w:type="dxa"/>
            <w:vAlign w:val="bottom"/>
            <w:gridSpan w:val="3"/>
          </w:tcPr>
          <w:p>
            <w:pPr>
              <w:ind w:left="20"/>
              <w:spacing w:after="0"/>
              <w:rPr>
                <w:sz w:val="20"/>
                <w:szCs w:val="20"/>
                <w:color w:val="auto"/>
              </w:rPr>
            </w:pPr>
            <w:r>
              <w:rPr>
                <w:rFonts w:ascii="Arial" w:cs="Arial" w:eastAsia="Arial" w:hAnsi="Arial"/>
                <w:sz w:val="18"/>
                <w:szCs w:val="18"/>
                <w:color w:val="auto"/>
              </w:rPr>
              <w:t>Gross Profit</w:t>
            </w:r>
          </w:p>
        </w:tc>
        <w:tc>
          <w:tcPr>
            <w:tcW w:w="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19"/>
                <w:szCs w:val="19"/>
                <w:color w:val="auto"/>
              </w:rPr>
            </w:pPr>
          </w:p>
        </w:tc>
        <w:tc>
          <w:tcPr>
            <w:tcW w:w="1860" w:type="dxa"/>
            <w:vAlign w:val="bottom"/>
          </w:tcPr>
          <w:p>
            <w:pPr>
              <w:spacing w:after="0"/>
              <w:rPr>
                <w:sz w:val="19"/>
                <w:szCs w:val="19"/>
                <w:color w:val="auto"/>
              </w:rPr>
            </w:pPr>
          </w:p>
        </w:tc>
      </w:tr>
      <w:tr>
        <w:trPr>
          <w:trHeight w:val="243"/>
        </w:trPr>
        <w:tc>
          <w:tcPr>
            <w:tcW w:w="36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Income from operations</w:t>
            </w:r>
          </w:p>
        </w:tc>
        <w:tc>
          <w:tcPr>
            <w:tcW w:w="5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34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21"/>
                <w:szCs w:val="21"/>
                <w:color w:val="auto"/>
              </w:rPr>
            </w:pPr>
          </w:p>
        </w:tc>
        <w:tc>
          <w:tcPr>
            <w:tcW w:w="1860" w:type="dxa"/>
            <w:vAlign w:val="bottom"/>
          </w:tcPr>
          <w:p>
            <w:pPr>
              <w:spacing w:after="0"/>
              <w:rPr>
                <w:sz w:val="21"/>
                <w:szCs w:val="21"/>
                <w:color w:val="auto"/>
              </w:rPr>
            </w:pPr>
          </w:p>
        </w:tc>
      </w:tr>
      <w:tr>
        <w:trPr>
          <w:trHeight w:val="229"/>
        </w:trPr>
        <w:tc>
          <w:tcPr>
            <w:tcW w:w="3660" w:type="dxa"/>
            <w:vAlign w:val="bottom"/>
            <w:gridSpan w:val="3"/>
          </w:tcPr>
          <w:p>
            <w:pPr>
              <w:ind w:left="20"/>
              <w:spacing w:after="0" w:line="230" w:lineRule="exact"/>
              <w:rPr>
                <w:sz w:val="20"/>
                <w:szCs w:val="20"/>
                <w:color w:val="auto"/>
              </w:rPr>
            </w:pPr>
            <w:r>
              <w:rPr>
                <w:rFonts w:ascii="Arial" w:cs="Arial" w:eastAsia="Arial" w:hAnsi="Arial"/>
                <w:sz w:val="18"/>
                <w:szCs w:val="18"/>
                <w:color w:val="auto"/>
              </w:rPr>
              <w:t>Net income</w:t>
            </w:r>
            <w:r>
              <w:rPr>
                <w:rFonts w:ascii="Arial" w:cs="Arial" w:eastAsia="Arial" w:hAnsi="Arial"/>
                <w:sz w:val="23"/>
                <w:szCs w:val="23"/>
                <w:color w:val="auto"/>
                <w:vertAlign w:val="superscript"/>
              </w:rPr>
              <w:t>1</w:t>
            </w:r>
          </w:p>
        </w:tc>
        <w:tc>
          <w:tcPr>
            <w:tcW w:w="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gridSpan w:val="2"/>
          </w:tcPr>
          <w:p>
            <w:pPr>
              <w:jc w:val="center"/>
              <w:spacing w:after="0"/>
              <w:rPr>
                <w:sz w:val="20"/>
                <w:szCs w:val="20"/>
                <w:color w:val="auto"/>
              </w:rPr>
            </w:pPr>
            <w:r>
              <w:rPr>
                <w:rFonts w:ascii="Arial" w:cs="Arial" w:eastAsia="Arial" w:hAnsi="Arial"/>
                <w:sz w:val="18"/>
                <w:szCs w:val="18"/>
                <w:color w:val="auto"/>
                <w:w w:val="93"/>
              </w:rPr>
              <w:t>(33)</w:t>
            </w:r>
          </w:p>
        </w:tc>
        <w:tc>
          <w:tcPr>
            <w:tcW w:w="160" w:type="dxa"/>
            <w:vAlign w:val="bottom"/>
          </w:tcPr>
          <w:p>
            <w:pPr>
              <w:spacing w:after="0"/>
              <w:rPr>
                <w:sz w:val="19"/>
                <w:szCs w:val="19"/>
                <w:color w:val="auto"/>
              </w:rPr>
            </w:pPr>
          </w:p>
        </w:tc>
        <w:tc>
          <w:tcPr>
            <w:tcW w:w="1860" w:type="dxa"/>
            <w:vAlign w:val="bottom"/>
          </w:tcPr>
          <w:p>
            <w:pPr>
              <w:spacing w:after="0"/>
              <w:rPr>
                <w:sz w:val="19"/>
                <w:szCs w:val="19"/>
                <w:color w:val="auto"/>
              </w:rPr>
            </w:pPr>
          </w:p>
        </w:tc>
      </w:tr>
      <w:tr>
        <w:trPr>
          <w:trHeight w:val="229"/>
        </w:trPr>
        <w:tc>
          <w:tcPr>
            <w:tcW w:w="3660" w:type="dxa"/>
            <w:vAlign w:val="bottom"/>
            <w:gridSpan w:val="3"/>
            <w:shd w:val="clear" w:color="auto" w:fill="CCEEFF"/>
          </w:tcPr>
          <w:p>
            <w:pPr>
              <w:ind w:left="20"/>
              <w:spacing w:after="0" w:line="230" w:lineRule="exact"/>
              <w:rPr>
                <w:sz w:val="20"/>
                <w:szCs w:val="20"/>
                <w:color w:val="auto"/>
              </w:rPr>
            </w:pPr>
            <w:r>
              <w:rPr>
                <w:rFonts w:ascii="Arial" w:cs="Arial" w:eastAsia="Arial" w:hAnsi="Arial"/>
                <w:sz w:val="18"/>
                <w:szCs w:val="18"/>
                <w:color w:val="auto"/>
              </w:rPr>
              <w:t>Net income attributable to Crown Holdings</w:t>
            </w:r>
            <w:r>
              <w:rPr>
                <w:rFonts w:ascii="Arial" w:cs="Arial" w:eastAsia="Arial" w:hAnsi="Arial"/>
                <w:sz w:val="23"/>
                <w:szCs w:val="23"/>
                <w:color w:val="auto"/>
                <w:vertAlign w:val="superscript"/>
              </w:rPr>
              <w:t>1</w:t>
            </w:r>
          </w:p>
        </w:tc>
        <w:tc>
          <w:tcPr>
            <w:tcW w:w="5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4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3"/>
              </w:rPr>
              <w:t>(33)</w:t>
            </w:r>
          </w:p>
        </w:tc>
        <w:tc>
          <w:tcPr>
            <w:tcW w:w="160" w:type="dxa"/>
            <w:vAlign w:val="bottom"/>
          </w:tcPr>
          <w:p>
            <w:pPr>
              <w:spacing w:after="0"/>
              <w:rPr>
                <w:sz w:val="19"/>
                <w:szCs w:val="19"/>
                <w:color w:val="auto"/>
              </w:rPr>
            </w:pPr>
          </w:p>
        </w:tc>
        <w:tc>
          <w:tcPr>
            <w:tcW w:w="1860" w:type="dxa"/>
            <w:vAlign w:val="bottom"/>
          </w:tcPr>
          <w:p>
            <w:pPr>
              <w:spacing w:after="0"/>
              <w:rPr>
                <w:sz w:val="19"/>
                <w:szCs w:val="19"/>
                <w:color w:val="auto"/>
              </w:rPr>
            </w:pPr>
          </w:p>
        </w:tc>
      </w:tr>
      <w:tr>
        <w:trPr>
          <w:trHeight w:val="272"/>
        </w:trPr>
        <w:tc>
          <w:tcPr>
            <w:tcW w:w="6400" w:type="dxa"/>
            <w:vAlign w:val="bottom"/>
            <w:gridSpan w:val="8"/>
          </w:tcPr>
          <w:p>
            <w:pPr>
              <w:spacing w:after="0"/>
              <w:rPr>
                <w:sz w:val="20"/>
                <w:szCs w:val="20"/>
                <w:color w:val="auto"/>
              </w:rPr>
            </w:pPr>
            <w:r>
              <w:rPr>
                <w:rFonts w:ascii="Arial" w:cs="Arial" w:eastAsia="Arial" w:hAnsi="Arial"/>
                <w:sz w:val="14"/>
                <w:szCs w:val="14"/>
                <w:color w:val="auto"/>
              </w:rPr>
              <w:t>(1) Includes $26 of expense related to intercompany interest with non-guarantor subsidiaries</w:t>
            </w:r>
          </w:p>
        </w:tc>
        <w:tc>
          <w:tcPr>
            <w:tcW w:w="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860" w:type="dxa"/>
            <w:vAlign w:val="bottom"/>
          </w:tcPr>
          <w:p>
            <w:pPr>
              <w:spacing w:after="0"/>
              <w:rPr>
                <w:sz w:val="23"/>
                <w:szCs w:val="23"/>
                <w:color w:val="auto"/>
              </w:rPr>
            </w:pPr>
          </w:p>
        </w:tc>
      </w:tr>
      <w:tr>
        <w:trPr>
          <w:trHeight w:val="998"/>
        </w:trPr>
        <w:tc>
          <w:tcPr>
            <w:tcW w:w="2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w w:val="96"/>
              </w:rPr>
              <w:t>June 30, 2023</w:t>
            </w: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3"/>
              </w:rPr>
              <w:t>December 31, 2022</w:t>
            </w:r>
          </w:p>
        </w:tc>
      </w:tr>
      <w:tr>
        <w:trPr>
          <w:trHeight w:val="237"/>
        </w:trPr>
        <w:tc>
          <w:tcPr>
            <w:tcW w:w="36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Current assets</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60" w:type="dxa"/>
            <w:vAlign w:val="bottom"/>
            <w:shd w:val="clear" w:color="auto" w:fill="CCEEFF"/>
          </w:tcPr>
          <w:p>
            <w:pPr>
              <w:spacing w:after="0"/>
              <w:rPr>
                <w:sz w:val="20"/>
                <w:szCs w:val="20"/>
                <w:color w:val="auto"/>
              </w:rPr>
            </w:pPr>
          </w:p>
        </w:tc>
        <w:tc>
          <w:tcPr>
            <w:tcW w:w="5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29"/>
        </w:trPr>
        <w:tc>
          <w:tcPr>
            <w:tcW w:w="3660" w:type="dxa"/>
            <w:vAlign w:val="bottom"/>
            <w:gridSpan w:val="3"/>
          </w:tcPr>
          <w:p>
            <w:pPr>
              <w:ind w:left="20"/>
              <w:spacing w:after="0"/>
              <w:rPr>
                <w:sz w:val="20"/>
                <w:szCs w:val="20"/>
                <w:color w:val="auto"/>
              </w:rPr>
            </w:pPr>
            <w:r>
              <w:rPr>
                <w:rFonts w:ascii="Arial" w:cs="Arial" w:eastAsia="Arial" w:hAnsi="Arial"/>
                <w:sz w:val="18"/>
                <w:szCs w:val="18"/>
                <w:color w:val="auto"/>
              </w:rPr>
              <w:t>Non-current assets</w:t>
            </w:r>
          </w:p>
        </w:tc>
        <w:tc>
          <w:tcPr>
            <w:tcW w:w="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52</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30"/>
        </w:trPr>
        <w:tc>
          <w:tcPr>
            <w:tcW w:w="36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5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r>
      <w:tr>
        <w:trPr>
          <w:trHeight w:val="305"/>
        </w:trPr>
        <w:tc>
          <w:tcPr>
            <w:tcW w:w="3660" w:type="dxa"/>
            <w:vAlign w:val="bottom"/>
            <w:gridSpan w:val="3"/>
          </w:tcPr>
          <w:p>
            <w:pPr>
              <w:ind w:left="20"/>
              <w:spacing w:after="0"/>
              <w:rPr>
                <w:sz w:val="20"/>
                <w:szCs w:val="20"/>
                <w:color w:val="auto"/>
              </w:rPr>
            </w:pPr>
            <w:r>
              <w:rPr>
                <w:rFonts w:ascii="Arial" w:cs="Arial" w:eastAsia="Arial" w:hAnsi="Arial"/>
                <w:sz w:val="18"/>
                <w:szCs w:val="18"/>
                <w:color w:val="auto"/>
              </w:rPr>
              <w:t>Non-current liabilities</w:t>
            </w:r>
            <w:r>
              <w:rPr>
                <w:rFonts w:ascii="Arial" w:cs="Arial" w:eastAsia="Arial" w:hAnsi="Arial"/>
                <w:sz w:val="23"/>
                <w:szCs w:val="23"/>
                <w:color w:val="auto"/>
                <w:vertAlign w:val="superscript"/>
              </w:rPr>
              <w:t>1</w:t>
            </w: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6,248</w:t>
            </w: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6,143</w:t>
            </w:r>
          </w:p>
        </w:tc>
      </w:tr>
      <w:tr>
        <w:trPr>
          <w:trHeight w:val="182"/>
        </w:trPr>
        <w:tc>
          <w:tcPr>
            <w:tcW w:w="8760" w:type="dxa"/>
            <w:vAlign w:val="bottom"/>
            <w:gridSpan w:val="12"/>
          </w:tcPr>
          <w:p>
            <w:pPr>
              <w:spacing w:after="0"/>
              <w:rPr>
                <w:sz w:val="20"/>
                <w:szCs w:val="20"/>
                <w:color w:val="auto"/>
              </w:rPr>
            </w:pPr>
            <w:r>
              <w:rPr>
                <w:rFonts w:ascii="Arial" w:cs="Arial" w:eastAsia="Arial" w:hAnsi="Arial"/>
                <w:sz w:val="14"/>
                <w:szCs w:val="14"/>
                <w:color w:val="auto"/>
              </w:rPr>
              <w:t>(1) Includes payables of $5,466 and $5,378 due to non-guarantor subsidiaries as of June 30, 2023 and December 31, 2022</w:t>
            </w:r>
          </w:p>
        </w:tc>
      </w:tr>
      <w:tr>
        <w:trPr>
          <w:trHeight w:val="674"/>
        </w:trPr>
        <w:tc>
          <w:tcPr>
            <w:tcW w:w="3660" w:type="dxa"/>
            <w:vAlign w:val="bottom"/>
            <w:gridSpan w:val="3"/>
          </w:tcPr>
          <w:p>
            <w:pPr>
              <w:spacing w:after="0"/>
              <w:rPr>
                <w:sz w:val="20"/>
                <w:szCs w:val="20"/>
                <w:color w:val="auto"/>
              </w:rPr>
            </w:pPr>
            <w:r>
              <w:rPr>
                <w:rFonts w:ascii="Arial" w:cs="Arial" w:eastAsia="Arial" w:hAnsi="Arial"/>
                <w:sz w:val="18"/>
                <w:szCs w:val="18"/>
                <w:i w:val="1"/>
                <w:iCs w:val="1"/>
                <w:color w:val="auto"/>
              </w:rPr>
              <w:t>Crown Americas Obligor Group</w:t>
            </w: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60" w:type="dxa"/>
            <w:vAlign w:val="bottom"/>
          </w:tcPr>
          <w:p>
            <w:pPr>
              <w:spacing w:after="0"/>
              <w:rPr>
                <w:sz w:val="24"/>
                <w:szCs w:val="24"/>
                <w:color w:val="auto"/>
              </w:rPr>
            </w:pPr>
          </w:p>
        </w:tc>
      </w:tr>
      <w:tr>
        <w:trPr>
          <w:trHeight w:val="520"/>
        </w:trPr>
        <w:tc>
          <w:tcPr>
            <w:tcW w:w="200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20" w:type="dxa"/>
            <w:vAlign w:val="bottom"/>
            <w:gridSpan w:val="2"/>
          </w:tcPr>
          <w:p>
            <w:pPr>
              <w:jc w:val="center"/>
              <w:ind w:left="390"/>
              <w:spacing w:after="0"/>
              <w:rPr>
                <w:sz w:val="20"/>
                <w:szCs w:val="20"/>
                <w:color w:val="auto"/>
              </w:rPr>
            </w:pPr>
            <w:r>
              <w:rPr>
                <w:rFonts w:ascii="Arial" w:cs="Arial" w:eastAsia="Arial" w:hAnsi="Arial"/>
                <w:sz w:val="18"/>
                <w:szCs w:val="18"/>
                <w:color w:val="auto"/>
                <w:w w:val="91"/>
              </w:rPr>
              <w:t>Six Months Ended</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60" w:type="dxa"/>
            <w:vAlign w:val="bottom"/>
          </w:tcPr>
          <w:p>
            <w:pPr>
              <w:spacing w:after="0"/>
              <w:rPr>
                <w:sz w:val="24"/>
                <w:szCs w:val="24"/>
                <w:color w:val="auto"/>
              </w:rPr>
            </w:pPr>
          </w:p>
        </w:tc>
      </w:tr>
      <w:tr>
        <w:trPr>
          <w:trHeight w:val="243"/>
        </w:trPr>
        <w:tc>
          <w:tcPr>
            <w:tcW w:w="2000" w:type="dxa"/>
            <w:vAlign w:val="bottom"/>
            <w:tcBorders>
              <w:bottom w:val="single" w:sz="8" w:color="CCEEFF"/>
            </w:tcBorders>
          </w:tcPr>
          <w:p>
            <w:pPr>
              <w:spacing w:after="0"/>
              <w:rPr>
                <w:sz w:val="21"/>
                <w:szCs w:val="21"/>
                <w:color w:val="auto"/>
              </w:rPr>
            </w:pPr>
          </w:p>
        </w:tc>
        <w:tc>
          <w:tcPr>
            <w:tcW w:w="320" w:type="dxa"/>
            <w:vAlign w:val="bottom"/>
            <w:tcBorders>
              <w:bottom w:val="single" w:sz="8" w:color="CCEEFF"/>
            </w:tcBorders>
          </w:tcPr>
          <w:p>
            <w:pPr>
              <w:spacing w:after="0"/>
              <w:rPr>
                <w:sz w:val="21"/>
                <w:szCs w:val="21"/>
                <w:color w:val="auto"/>
              </w:rPr>
            </w:pPr>
          </w:p>
        </w:tc>
        <w:tc>
          <w:tcPr>
            <w:tcW w:w="1340" w:type="dxa"/>
            <w:vAlign w:val="bottom"/>
            <w:tcBorders>
              <w:bottom w:val="single" w:sz="8" w:color="CCEEFF"/>
            </w:tcBorders>
          </w:tcPr>
          <w:p>
            <w:pPr>
              <w:spacing w:after="0"/>
              <w:rPr>
                <w:sz w:val="21"/>
                <w:szCs w:val="21"/>
                <w:color w:val="auto"/>
              </w:rPr>
            </w:pPr>
          </w:p>
        </w:tc>
        <w:tc>
          <w:tcPr>
            <w:tcW w:w="500" w:type="dxa"/>
            <w:vAlign w:val="bottom"/>
            <w:tcBorders>
              <w:bottom w:val="single" w:sz="8" w:color="CCEEFF"/>
            </w:tcBorders>
          </w:tcPr>
          <w:p>
            <w:pPr>
              <w:spacing w:after="0"/>
              <w:rPr>
                <w:sz w:val="21"/>
                <w:szCs w:val="21"/>
                <w:color w:val="auto"/>
              </w:rPr>
            </w:pPr>
          </w:p>
        </w:tc>
        <w:tc>
          <w:tcPr>
            <w:tcW w:w="30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820" w:type="dxa"/>
            <w:vAlign w:val="bottom"/>
            <w:tcBorders>
              <w:bottom w:val="single" w:sz="8" w:color="auto"/>
            </w:tcBorders>
            <w:gridSpan w:val="2"/>
          </w:tcPr>
          <w:p>
            <w:pPr>
              <w:jc w:val="center"/>
              <w:ind w:left="410"/>
              <w:spacing w:after="0"/>
              <w:rPr>
                <w:sz w:val="20"/>
                <w:szCs w:val="20"/>
                <w:color w:val="auto"/>
              </w:rPr>
            </w:pPr>
            <w:r>
              <w:rPr>
                <w:rFonts w:ascii="Arial" w:cs="Arial" w:eastAsia="Arial" w:hAnsi="Arial"/>
                <w:sz w:val="18"/>
                <w:szCs w:val="18"/>
                <w:color w:val="auto"/>
                <w:w w:val="87"/>
              </w:rPr>
              <w:t>June 30, 2023</w:t>
            </w:r>
          </w:p>
        </w:tc>
        <w:tc>
          <w:tcPr>
            <w:tcW w:w="2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860" w:type="dxa"/>
            <w:vAlign w:val="bottom"/>
          </w:tcPr>
          <w:p>
            <w:pPr>
              <w:spacing w:after="0"/>
              <w:rPr>
                <w:sz w:val="21"/>
                <w:szCs w:val="21"/>
                <w:color w:val="auto"/>
              </w:rPr>
            </w:pPr>
          </w:p>
        </w:tc>
      </w:tr>
      <w:tr>
        <w:trPr>
          <w:trHeight w:val="223"/>
        </w:trPr>
        <w:tc>
          <w:tcPr>
            <w:tcW w:w="3660" w:type="dxa"/>
            <w:vAlign w:val="bottom"/>
            <w:gridSpan w:val="3"/>
            <w:shd w:val="clear" w:color="auto" w:fill="CCEEFF"/>
          </w:tcPr>
          <w:p>
            <w:pPr>
              <w:ind w:left="20"/>
              <w:spacing w:after="0" w:line="223" w:lineRule="exact"/>
              <w:rPr>
                <w:sz w:val="20"/>
                <w:szCs w:val="20"/>
                <w:color w:val="auto"/>
              </w:rPr>
            </w:pPr>
            <w:r>
              <w:rPr>
                <w:rFonts w:ascii="Arial" w:cs="Arial" w:eastAsia="Arial" w:hAnsi="Arial"/>
                <w:sz w:val="18"/>
                <w:szCs w:val="18"/>
                <w:color w:val="auto"/>
              </w:rPr>
              <w:t>Net sales</w:t>
            </w:r>
            <w:r>
              <w:rPr>
                <w:rFonts w:ascii="Arial" w:cs="Arial" w:eastAsia="Arial" w:hAnsi="Arial"/>
                <w:sz w:val="23"/>
                <w:szCs w:val="23"/>
                <w:color w:val="auto"/>
                <w:vertAlign w:val="superscript"/>
              </w:rPr>
              <w:t>1</w:t>
            </w:r>
          </w:p>
        </w:tc>
        <w:tc>
          <w:tcPr>
            <w:tcW w:w="5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60" w:type="dxa"/>
            <w:vAlign w:val="bottom"/>
            <w:shd w:val="clear" w:color="auto" w:fill="CCEEFF"/>
          </w:tcPr>
          <w:p>
            <w:pPr>
              <w:jc w:val="right"/>
              <w:ind w:right="1470"/>
              <w:spacing w:after="0"/>
              <w:rPr>
                <w:sz w:val="20"/>
                <w:szCs w:val="20"/>
                <w:color w:val="auto"/>
              </w:rPr>
            </w:pPr>
            <w:r>
              <w:rPr>
                <w:rFonts w:ascii="Arial" w:cs="Arial" w:eastAsia="Arial" w:hAnsi="Arial"/>
                <w:sz w:val="18"/>
                <w:szCs w:val="18"/>
                <w:color w:val="auto"/>
                <w:w w:val="79"/>
              </w:rPr>
              <w:t>$</w:t>
            </w:r>
          </w:p>
        </w:tc>
        <w:tc>
          <w:tcPr>
            <w:tcW w:w="160" w:type="dxa"/>
            <w:vAlign w:val="bottom"/>
            <w:shd w:val="clear" w:color="auto" w:fill="CCEEFF"/>
          </w:tcPr>
          <w:p>
            <w:pPr>
              <w:spacing w:after="0"/>
              <w:rPr>
                <w:sz w:val="19"/>
                <w:szCs w:val="19"/>
                <w:color w:val="auto"/>
              </w:rPr>
            </w:pPr>
          </w:p>
        </w:tc>
        <w:tc>
          <w:tcPr>
            <w:tcW w:w="5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88"/>
              </w:rPr>
              <w:t>2,510</w:t>
            </w:r>
          </w:p>
        </w:tc>
        <w:tc>
          <w:tcPr>
            <w:tcW w:w="1860" w:type="dxa"/>
            <w:vAlign w:val="bottom"/>
          </w:tcPr>
          <w:p>
            <w:pPr>
              <w:spacing w:after="0"/>
              <w:rPr>
                <w:sz w:val="19"/>
                <w:szCs w:val="19"/>
                <w:color w:val="auto"/>
              </w:rPr>
            </w:pPr>
          </w:p>
        </w:tc>
      </w:tr>
      <w:tr>
        <w:trPr>
          <w:trHeight w:val="230"/>
        </w:trPr>
        <w:tc>
          <w:tcPr>
            <w:tcW w:w="3660" w:type="dxa"/>
            <w:vAlign w:val="bottom"/>
            <w:gridSpan w:val="3"/>
          </w:tcPr>
          <w:p>
            <w:pPr>
              <w:ind w:left="20"/>
              <w:spacing w:after="0" w:line="230" w:lineRule="exact"/>
              <w:rPr>
                <w:sz w:val="20"/>
                <w:szCs w:val="20"/>
                <w:color w:val="auto"/>
              </w:rPr>
            </w:pPr>
            <w:r>
              <w:rPr>
                <w:rFonts w:ascii="Arial" w:cs="Arial" w:eastAsia="Arial" w:hAnsi="Arial"/>
                <w:sz w:val="18"/>
                <w:szCs w:val="18"/>
                <w:color w:val="auto"/>
              </w:rPr>
              <w:t>Gross profit</w:t>
            </w:r>
            <w:r>
              <w:rPr>
                <w:rFonts w:ascii="Arial" w:cs="Arial" w:eastAsia="Arial" w:hAnsi="Arial"/>
                <w:sz w:val="23"/>
                <w:szCs w:val="23"/>
                <w:color w:val="auto"/>
                <w:vertAlign w:val="superscript"/>
              </w:rPr>
              <w:t>2</w:t>
            </w:r>
          </w:p>
        </w:tc>
        <w:tc>
          <w:tcPr>
            <w:tcW w:w="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gridSpan w:val="3"/>
          </w:tcPr>
          <w:p>
            <w:pPr>
              <w:jc w:val="right"/>
              <w:ind w:right="80"/>
              <w:spacing w:after="0"/>
              <w:rPr>
                <w:sz w:val="20"/>
                <w:szCs w:val="20"/>
                <w:color w:val="auto"/>
              </w:rPr>
            </w:pPr>
            <w:r>
              <w:rPr>
                <w:rFonts w:ascii="Arial" w:cs="Arial" w:eastAsia="Arial" w:hAnsi="Arial"/>
                <w:sz w:val="18"/>
                <w:szCs w:val="18"/>
                <w:color w:val="auto"/>
              </w:rPr>
              <w:t>388</w:t>
            </w:r>
          </w:p>
        </w:tc>
        <w:tc>
          <w:tcPr>
            <w:tcW w:w="1860" w:type="dxa"/>
            <w:vAlign w:val="bottom"/>
          </w:tcPr>
          <w:p>
            <w:pPr>
              <w:spacing w:after="0"/>
              <w:rPr>
                <w:sz w:val="19"/>
                <w:szCs w:val="19"/>
                <w:color w:val="auto"/>
              </w:rPr>
            </w:pPr>
          </w:p>
        </w:tc>
      </w:tr>
      <w:tr>
        <w:trPr>
          <w:trHeight w:val="243"/>
        </w:trPr>
        <w:tc>
          <w:tcPr>
            <w:tcW w:w="3660" w:type="dxa"/>
            <w:vAlign w:val="bottom"/>
            <w:gridSpan w:val="3"/>
            <w:shd w:val="clear" w:color="auto" w:fill="CCEEFF"/>
          </w:tcPr>
          <w:p>
            <w:pPr>
              <w:ind w:left="20"/>
              <w:spacing w:after="0" w:line="243" w:lineRule="exact"/>
              <w:rPr>
                <w:sz w:val="20"/>
                <w:szCs w:val="20"/>
                <w:color w:val="auto"/>
              </w:rPr>
            </w:pPr>
            <w:r>
              <w:rPr>
                <w:rFonts w:ascii="Arial" w:cs="Arial" w:eastAsia="Arial" w:hAnsi="Arial"/>
                <w:sz w:val="18"/>
                <w:szCs w:val="18"/>
                <w:color w:val="auto"/>
              </w:rPr>
              <w:t>Income from operations</w:t>
            </w:r>
            <w:r>
              <w:rPr>
                <w:rFonts w:ascii="Arial" w:cs="Arial" w:eastAsia="Arial" w:hAnsi="Arial"/>
                <w:sz w:val="23"/>
                <w:szCs w:val="23"/>
                <w:color w:val="auto"/>
                <w:vertAlign w:val="superscript"/>
              </w:rPr>
              <w:t>2</w:t>
            </w:r>
          </w:p>
        </w:tc>
        <w:tc>
          <w:tcPr>
            <w:tcW w:w="5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5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147</w:t>
            </w:r>
          </w:p>
        </w:tc>
        <w:tc>
          <w:tcPr>
            <w:tcW w:w="1860" w:type="dxa"/>
            <w:vAlign w:val="bottom"/>
          </w:tcPr>
          <w:p>
            <w:pPr>
              <w:spacing w:after="0"/>
              <w:rPr>
                <w:sz w:val="21"/>
                <w:szCs w:val="21"/>
                <w:color w:val="auto"/>
              </w:rPr>
            </w:pPr>
          </w:p>
        </w:tc>
      </w:tr>
      <w:tr>
        <w:trPr>
          <w:trHeight w:val="230"/>
        </w:trPr>
        <w:tc>
          <w:tcPr>
            <w:tcW w:w="3660" w:type="dxa"/>
            <w:vAlign w:val="bottom"/>
            <w:gridSpan w:val="3"/>
          </w:tcPr>
          <w:p>
            <w:pPr>
              <w:ind w:left="20"/>
              <w:spacing w:after="0" w:line="230" w:lineRule="exact"/>
              <w:rPr>
                <w:sz w:val="20"/>
                <w:szCs w:val="20"/>
                <w:color w:val="auto"/>
              </w:rPr>
            </w:pPr>
            <w:r>
              <w:rPr>
                <w:rFonts w:ascii="Arial" w:cs="Arial" w:eastAsia="Arial" w:hAnsi="Arial"/>
                <w:sz w:val="18"/>
                <w:szCs w:val="18"/>
                <w:color w:val="auto"/>
              </w:rPr>
              <w:t>Net income</w:t>
            </w:r>
            <w:r>
              <w:rPr>
                <w:rFonts w:ascii="Arial" w:cs="Arial" w:eastAsia="Arial" w:hAnsi="Arial"/>
                <w:sz w:val="23"/>
                <w:szCs w:val="23"/>
                <w:color w:val="auto"/>
                <w:vertAlign w:val="superscript"/>
              </w:rPr>
              <w:t>3</w:t>
            </w:r>
          </w:p>
        </w:tc>
        <w:tc>
          <w:tcPr>
            <w:tcW w:w="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gridSpan w:val="3"/>
          </w:tcPr>
          <w:p>
            <w:pPr>
              <w:jc w:val="right"/>
              <w:ind w:right="40"/>
              <w:spacing w:after="0"/>
              <w:rPr>
                <w:sz w:val="20"/>
                <w:szCs w:val="20"/>
                <w:color w:val="auto"/>
              </w:rPr>
            </w:pPr>
            <w:r>
              <w:rPr>
                <w:rFonts w:ascii="Arial" w:cs="Arial" w:eastAsia="Arial" w:hAnsi="Arial"/>
                <w:sz w:val="18"/>
                <w:szCs w:val="18"/>
                <w:color w:val="auto"/>
              </w:rPr>
              <w:t>(6)</w:t>
            </w:r>
          </w:p>
        </w:tc>
        <w:tc>
          <w:tcPr>
            <w:tcW w:w="1860" w:type="dxa"/>
            <w:vAlign w:val="bottom"/>
          </w:tcPr>
          <w:p>
            <w:pPr>
              <w:spacing w:after="0"/>
              <w:rPr>
                <w:sz w:val="19"/>
                <w:szCs w:val="19"/>
                <w:color w:val="auto"/>
              </w:rPr>
            </w:pPr>
          </w:p>
        </w:tc>
      </w:tr>
      <w:tr>
        <w:trPr>
          <w:trHeight w:val="230"/>
        </w:trPr>
        <w:tc>
          <w:tcPr>
            <w:tcW w:w="3660" w:type="dxa"/>
            <w:vAlign w:val="bottom"/>
            <w:gridSpan w:val="3"/>
            <w:shd w:val="clear" w:color="auto" w:fill="CCEEFF"/>
          </w:tcPr>
          <w:p>
            <w:pPr>
              <w:ind w:left="20"/>
              <w:spacing w:after="0" w:line="230" w:lineRule="exact"/>
              <w:rPr>
                <w:sz w:val="20"/>
                <w:szCs w:val="20"/>
                <w:color w:val="auto"/>
              </w:rPr>
            </w:pPr>
            <w:r>
              <w:rPr>
                <w:rFonts w:ascii="Arial" w:cs="Arial" w:eastAsia="Arial" w:hAnsi="Arial"/>
                <w:sz w:val="18"/>
                <w:szCs w:val="18"/>
                <w:color w:val="auto"/>
              </w:rPr>
              <w:t>Net income attributable to Crown Holdings</w:t>
            </w:r>
            <w:r>
              <w:rPr>
                <w:rFonts w:ascii="Arial" w:cs="Arial" w:eastAsia="Arial" w:hAnsi="Arial"/>
                <w:sz w:val="23"/>
                <w:szCs w:val="23"/>
                <w:color w:val="auto"/>
                <w:vertAlign w:val="superscript"/>
              </w:rPr>
              <w:t>3</w:t>
            </w:r>
          </w:p>
        </w:tc>
        <w:tc>
          <w:tcPr>
            <w:tcW w:w="5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w:t>
            </w:r>
          </w:p>
        </w:tc>
        <w:tc>
          <w:tcPr>
            <w:tcW w:w="1860" w:type="dxa"/>
            <w:vAlign w:val="bottom"/>
          </w:tcPr>
          <w:p>
            <w:pPr>
              <w:spacing w:after="0"/>
              <w:rPr>
                <w:sz w:val="19"/>
                <w:szCs w:val="19"/>
                <w:color w:val="auto"/>
              </w:rPr>
            </w:pPr>
          </w:p>
        </w:tc>
      </w:tr>
    </w:tbl>
    <w:p>
      <w:pPr>
        <w:spacing w:after="0" w:line="76" w:lineRule="exact"/>
        <w:rPr>
          <w:sz w:val="20"/>
          <w:szCs w:val="20"/>
          <w:color w:val="auto"/>
        </w:rPr>
      </w:pPr>
    </w:p>
    <w:p>
      <w:pPr>
        <w:ind w:left="204" w:hanging="204"/>
        <w:spacing w:after="0"/>
        <w:tabs>
          <w:tab w:leader="none" w:pos="204" w:val="left"/>
        </w:tabs>
        <w:numPr>
          <w:ilvl w:val="0"/>
          <w:numId w:val="16"/>
        </w:numPr>
        <w:rPr>
          <w:rFonts w:ascii="Arial" w:cs="Arial" w:eastAsia="Arial" w:hAnsi="Arial"/>
          <w:sz w:val="14"/>
          <w:szCs w:val="14"/>
          <w:color w:val="auto"/>
        </w:rPr>
      </w:pPr>
      <w:r>
        <w:rPr>
          <w:rFonts w:ascii="Arial" w:cs="Arial" w:eastAsia="Arial" w:hAnsi="Arial"/>
          <w:sz w:val="14"/>
          <w:szCs w:val="14"/>
          <w:color w:val="auto"/>
        </w:rPr>
        <w:t>Includes $251 of sales to non-guarantor subsidiaries</w:t>
      </w:r>
    </w:p>
    <w:p>
      <w:pPr>
        <w:spacing w:after="0" w:line="21" w:lineRule="exact"/>
        <w:rPr>
          <w:rFonts w:ascii="Arial" w:cs="Arial" w:eastAsia="Arial" w:hAnsi="Arial"/>
          <w:sz w:val="14"/>
          <w:szCs w:val="14"/>
          <w:color w:val="auto"/>
        </w:rPr>
      </w:pPr>
    </w:p>
    <w:p>
      <w:pPr>
        <w:ind w:left="204" w:hanging="204"/>
        <w:spacing w:after="0"/>
        <w:tabs>
          <w:tab w:leader="none" w:pos="204" w:val="left"/>
        </w:tabs>
        <w:numPr>
          <w:ilvl w:val="0"/>
          <w:numId w:val="16"/>
        </w:numPr>
        <w:rPr>
          <w:rFonts w:ascii="Arial" w:cs="Arial" w:eastAsia="Arial" w:hAnsi="Arial"/>
          <w:sz w:val="14"/>
          <w:szCs w:val="14"/>
          <w:color w:val="auto"/>
        </w:rPr>
      </w:pPr>
      <w:r>
        <w:rPr>
          <w:rFonts w:ascii="Arial" w:cs="Arial" w:eastAsia="Arial" w:hAnsi="Arial"/>
          <w:sz w:val="14"/>
          <w:szCs w:val="14"/>
          <w:color w:val="auto"/>
        </w:rPr>
        <w:t>Includes $25 of gross profit related to sales to non-guarantor subsidiaries</w:t>
      </w:r>
    </w:p>
    <w:p>
      <w:pPr>
        <w:spacing w:after="0" w:line="14" w:lineRule="exact"/>
        <w:rPr>
          <w:rFonts w:ascii="Arial" w:cs="Arial" w:eastAsia="Arial" w:hAnsi="Arial"/>
          <w:sz w:val="14"/>
          <w:szCs w:val="14"/>
          <w:color w:val="auto"/>
        </w:rPr>
      </w:pPr>
    </w:p>
    <w:p>
      <w:pPr>
        <w:ind w:left="204" w:hanging="204"/>
        <w:spacing w:after="0"/>
        <w:tabs>
          <w:tab w:leader="none" w:pos="204" w:val="left"/>
        </w:tabs>
        <w:numPr>
          <w:ilvl w:val="0"/>
          <w:numId w:val="16"/>
        </w:numPr>
        <w:rPr>
          <w:rFonts w:ascii="Arial" w:cs="Arial" w:eastAsia="Arial" w:hAnsi="Arial"/>
          <w:sz w:val="14"/>
          <w:szCs w:val="14"/>
          <w:color w:val="auto"/>
        </w:rPr>
      </w:pPr>
      <w:r>
        <w:rPr>
          <w:rFonts w:ascii="Arial" w:cs="Arial" w:eastAsia="Arial" w:hAnsi="Arial"/>
          <w:sz w:val="14"/>
          <w:szCs w:val="14"/>
          <w:color w:val="auto"/>
        </w:rPr>
        <w:t>Includes $13 of income related to intercompany interest and technology royalties with non-guarantor subsidiaries</w:t>
      </w:r>
    </w:p>
    <w:p>
      <w:pPr>
        <w:spacing w:after="0" w:line="200" w:lineRule="exact"/>
        <w:rPr>
          <w:sz w:val="20"/>
          <w:szCs w:val="20"/>
          <w:color w:val="auto"/>
        </w:rPr>
      </w:pPr>
    </w:p>
    <w:p>
      <w:pPr>
        <w:spacing w:after="0" w:line="339" w:lineRule="exact"/>
        <w:rPr>
          <w:sz w:val="20"/>
          <w:szCs w:val="20"/>
          <w:color w:val="auto"/>
        </w:rPr>
      </w:pPr>
    </w:p>
    <w:tbl>
      <w:tblPr>
        <w:tblLayout w:type="fixed"/>
        <w:tblInd w:w="4" w:type="dxa"/>
        <w:tblCellMar>
          <w:top w:w="0" w:type="dxa"/>
          <w:left w:w="0" w:type="dxa"/>
          <w:bottom w:w="0" w:type="dxa"/>
          <w:right w:w="0" w:type="dxa"/>
        </w:tblCellMar>
      </w:tblPr>
      <w:tr>
        <w:trPr>
          <w:trHeight w:val="230"/>
        </w:trPr>
        <w:tc>
          <w:tcPr>
            <w:tcW w:w="4460" w:type="dxa"/>
            <w:vAlign w:val="bottom"/>
            <w:tcBorders>
              <w:bottom w:val="single" w:sz="8" w:color="CCEEFF"/>
            </w:tcBorders>
          </w:tcPr>
          <w:p>
            <w:pPr>
              <w:spacing w:after="0"/>
              <w:rPr>
                <w:sz w:val="20"/>
                <w:szCs w:val="20"/>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June 30, 2023</w:t>
            </w:r>
          </w:p>
        </w:tc>
        <w:tc>
          <w:tcPr>
            <w:tcW w:w="560" w:type="dxa"/>
            <w:vAlign w:val="bottom"/>
            <w:tcBorders>
              <w:bottom w:val="single" w:sz="8" w:color="auto"/>
            </w:tcBorders>
          </w:tcPr>
          <w:p>
            <w:pPr>
              <w:spacing w:after="0"/>
              <w:rPr>
                <w:sz w:val="20"/>
                <w:szCs w:val="20"/>
                <w:color w:val="auto"/>
              </w:rPr>
            </w:pPr>
          </w:p>
        </w:tc>
        <w:tc>
          <w:tcPr>
            <w:tcW w:w="4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97"/>
              </w:rPr>
              <w:t>December 31, 2022</w:t>
            </w:r>
          </w:p>
        </w:tc>
      </w:tr>
      <w:tr>
        <w:trPr>
          <w:trHeight w:val="223"/>
        </w:trPr>
        <w:tc>
          <w:tcPr>
            <w:tcW w:w="4460" w:type="dxa"/>
            <w:vAlign w:val="bottom"/>
            <w:shd w:val="clear" w:color="auto" w:fill="CCEEFF"/>
          </w:tcPr>
          <w:p>
            <w:pPr>
              <w:ind w:left="20"/>
              <w:spacing w:after="0" w:line="223" w:lineRule="exact"/>
              <w:rPr>
                <w:sz w:val="20"/>
                <w:szCs w:val="20"/>
                <w:color w:val="auto"/>
              </w:rPr>
            </w:pPr>
            <w:r>
              <w:rPr>
                <w:rFonts w:ascii="Arial" w:cs="Arial" w:eastAsia="Arial" w:hAnsi="Arial"/>
                <w:sz w:val="18"/>
                <w:szCs w:val="18"/>
                <w:color w:val="auto"/>
              </w:rPr>
              <w:t>Current assets</w:t>
            </w:r>
            <w:r>
              <w:rPr>
                <w:rFonts w:ascii="Arial" w:cs="Arial" w:eastAsia="Arial" w:hAnsi="Arial"/>
                <w:sz w:val="23"/>
                <w:szCs w:val="23"/>
                <w:color w:val="auto"/>
                <w:vertAlign w:val="superscript"/>
              </w:rPr>
              <w:t>1</w:t>
            </w:r>
          </w:p>
        </w:tc>
        <w:tc>
          <w:tcPr>
            <w:tcW w:w="1660" w:type="dxa"/>
            <w:vAlign w:val="bottom"/>
            <w:shd w:val="clear" w:color="auto" w:fill="CCEEFF"/>
          </w:tcPr>
          <w:p>
            <w:pPr>
              <w:jc w:val="right"/>
              <w:ind w:right="1470"/>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1,040</w:t>
            </w:r>
          </w:p>
        </w:tc>
        <w:tc>
          <w:tcPr>
            <w:tcW w:w="4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975</w:t>
            </w:r>
          </w:p>
        </w:tc>
      </w:tr>
      <w:tr>
        <w:trPr>
          <w:trHeight w:val="243"/>
        </w:trPr>
        <w:tc>
          <w:tcPr>
            <w:tcW w:w="4460" w:type="dxa"/>
            <w:vAlign w:val="bottom"/>
          </w:tcPr>
          <w:p>
            <w:pPr>
              <w:ind w:left="20"/>
              <w:spacing w:after="0" w:line="243" w:lineRule="exact"/>
              <w:rPr>
                <w:sz w:val="20"/>
                <w:szCs w:val="20"/>
                <w:color w:val="auto"/>
              </w:rPr>
            </w:pPr>
            <w:r>
              <w:rPr>
                <w:rFonts w:ascii="Arial" w:cs="Arial" w:eastAsia="Arial" w:hAnsi="Arial"/>
                <w:sz w:val="18"/>
                <w:szCs w:val="18"/>
                <w:color w:val="auto"/>
              </w:rPr>
              <w:t>Non-current assets</w:t>
            </w:r>
            <w:r>
              <w:rPr>
                <w:rFonts w:ascii="Arial" w:cs="Arial" w:eastAsia="Arial" w:hAnsi="Arial"/>
                <w:sz w:val="23"/>
                <w:szCs w:val="23"/>
                <w:color w:val="auto"/>
                <w:vertAlign w:val="superscript"/>
              </w:rPr>
              <w:t>2</w:t>
            </w:r>
          </w:p>
        </w:tc>
        <w:tc>
          <w:tcPr>
            <w:tcW w:w="166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3,920</w:t>
            </w:r>
          </w:p>
        </w:tc>
        <w:tc>
          <w:tcPr>
            <w:tcW w:w="4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3,830</w:t>
            </w:r>
          </w:p>
        </w:tc>
      </w:tr>
      <w:tr>
        <w:trPr>
          <w:trHeight w:val="230"/>
        </w:trPr>
        <w:tc>
          <w:tcPr>
            <w:tcW w:w="44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Current liabilities</w:t>
            </w:r>
            <w:r>
              <w:rPr>
                <w:rFonts w:ascii="Arial" w:cs="Arial" w:eastAsia="Arial" w:hAnsi="Arial"/>
                <w:sz w:val="23"/>
                <w:szCs w:val="23"/>
                <w:color w:val="auto"/>
                <w:vertAlign w:val="superscript"/>
              </w:rPr>
              <w:t>3</w:t>
            </w:r>
          </w:p>
        </w:tc>
        <w:tc>
          <w:tcPr>
            <w:tcW w:w="16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1,329</w:t>
            </w:r>
          </w:p>
        </w:tc>
        <w:tc>
          <w:tcPr>
            <w:tcW w:w="4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1,262</w:t>
            </w:r>
          </w:p>
        </w:tc>
      </w:tr>
      <w:tr>
        <w:trPr>
          <w:trHeight w:val="304"/>
        </w:trPr>
        <w:tc>
          <w:tcPr>
            <w:tcW w:w="4460" w:type="dxa"/>
            <w:vAlign w:val="bottom"/>
          </w:tcPr>
          <w:p>
            <w:pPr>
              <w:ind w:left="20"/>
              <w:spacing w:after="0"/>
              <w:rPr>
                <w:sz w:val="20"/>
                <w:szCs w:val="20"/>
                <w:color w:val="auto"/>
              </w:rPr>
            </w:pPr>
            <w:r>
              <w:rPr>
                <w:rFonts w:ascii="Arial" w:cs="Arial" w:eastAsia="Arial" w:hAnsi="Arial"/>
                <w:sz w:val="18"/>
                <w:szCs w:val="18"/>
                <w:color w:val="auto"/>
              </w:rPr>
              <w:t>Non-current liabilities</w:t>
            </w:r>
            <w:r>
              <w:rPr>
                <w:rFonts w:ascii="Arial" w:cs="Arial" w:eastAsia="Arial" w:hAnsi="Arial"/>
                <w:sz w:val="23"/>
                <w:szCs w:val="23"/>
                <w:color w:val="auto"/>
                <w:vertAlign w:val="superscript"/>
              </w:rPr>
              <w:t>4</w:t>
            </w:r>
          </w:p>
        </w:tc>
        <w:tc>
          <w:tcPr>
            <w:tcW w:w="166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6,185</w:t>
            </w: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6,048</w:t>
            </w:r>
          </w:p>
        </w:tc>
      </w:tr>
    </w:tbl>
    <w:p>
      <w:pPr>
        <w:spacing w:after="0" w:line="1" w:lineRule="exact"/>
        <w:rPr>
          <w:sz w:val="20"/>
          <w:szCs w:val="20"/>
          <w:color w:val="auto"/>
        </w:rPr>
      </w:pPr>
    </w:p>
    <w:p>
      <w:pPr>
        <w:ind w:left="204" w:hanging="204"/>
        <w:spacing w:after="0"/>
        <w:tabs>
          <w:tab w:leader="none" w:pos="204" w:val="left"/>
        </w:tabs>
        <w:numPr>
          <w:ilvl w:val="0"/>
          <w:numId w:val="17"/>
        </w:numPr>
        <w:rPr>
          <w:rFonts w:ascii="Arial" w:cs="Arial" w:eastAsia="Arial" w:hAnsi="Arial"/>
          <w:sz w:val="14"/>
          <w:szCs w:val="14"/>
          <w:color w:val="auto"/>
        </w:rPr>
      </w:pPr>
      <w:r>
        <w:rPr>
          <w:rFonts w:ascii="Arial" w:cs="Arial" w:eastAsia="Arial" w:hAnsi="Arial"/>
          <w:sz w:val="14"/>
          <w:szCs w:val="14"/>
          <w:color w:val="auto"/>
        </w:rPr>
        <w:t>Includes receivables of $45 and $33 due from non-guarantor subsidiaries as of June 30, 2023 and December 31, 2022</w:t>
      </w:r>
    </w:p>
    <w:p>
      <w:pPr>
        <w:spacing w:after="0" w:line="21" w:lineRule="exact"/>
        <w:rPr>
          <w:rFonts w:ascii="Arial" w:cs="Arial" w:eastAsia="Arial" w:hAnsi="Arial"/>
          <w:sz w:val="14"/>
          <w:szCs w:val="14"/>
          <w:color w:val="auto"/>
        </w:rPr>
      </w:pPr>
    </w:p>
    <w:p>
      <w:pPr>
        <w:ind w:left="204" w:hanging="204"/>
        <w:spacing w:after="0"/>
        <w:tabs>
          <w:tab w:leader="none" w:pos="204" w:val="left"/>
        </w:tabs>
        <w:numPr>
          <w:ilvl w:val="0"/>
          <w:numId w:val="17"/>
        </w:numPr>
        <w:rPr>
          <w:rFonts w:ascii="Arial" w:cs="Arial" w:eastAsia="Arial" w:hAnsi="Arial"/>
          <w:sz w:val="14"/>
          <w:szCs w:val="14"/>
          <w:color w:val="auto"/>
        </w:rPr>
      </w:pPr>
      <w:r>
        <w:rPr>
          <w:rFonts w:ascii="Arial" w:cs="Arial" w:eastAsia="Arial" w:hAnsi="Arial"/>
          <w:sz w:val="14"/>
          <w:szCs w:val="14"/>
          <w:color w:val="auto"/>
        </w:rPr>
        <w:t>Includes receivables of $246 and $185 due from non-guarantor subsidiaries as of June 30, 2023 and December 31, 2022</w:t>
      </w:r>
    </w:p>
    <w:p>
      <w:pPr>
        <w:spacing w:after="0" w:line="6" w:lineRule="exact"/>
        <w:rPr>
          <w:rFonts w:ascii="Arial" w:cs="Arial" w:eastAsia="Arial" w:hAnsi="Arial"/>
          <w:sz w:val="14"/>
          <w:szCs w:val="14"/>
          <w:color w:val="auto"/>
        </w:rPr>
      </w:pPr>
    </w:p>
    <w:p>
      <w:pPr>
        <w:ind w:left="204" w:hanging="204"/>
        <w:spacing w:after="0"/>
        <w:tabs>
          <w:tab w:leader="none" w:pos="204" w:val="left"/>
        </w:tabs>
        <w:numPr>
          <w:ilvl w:val="0"/>
          <w:numId w:val="17"/>
        </w:numPr>
        <w:rPr>
          <w:rFonts w:ascii="Arial" w:cs="Arial" w:eastAsia="Arial" w:hAnsi="Arial"/>
          <w:sz w:val="14"/>
          <w:szCs w:val="14"/>
          <w:color w:val="auto"/>
        </w:rPr>
      </w:pPr>
      <w:r>
        <w:rPr>
          <w:rFonts w:ascii="Arial" w:cs="Arial" w:eastAsia="Arial" w:hAnsi="Arial"/>
          <w:sz w:val="14"/>
          <w:szCs w:val="14"/>
          <w:color w:val="auto"/>
        </w:rPr>
        <w:t>Includes payables of $35 and $37 due to non-guarantor subsidiaries as of June 30, 2023 and December 31, 2022</w:t>
      </w:r>
    </w:p>
    <w:p>
      <w:pPr>
        <w:spacing w:after="0" w:line="9" w:lineRule="exact"/>
        <w:rPr>
          <w:rFonts w:ascii="Arial" w:cs="Arial" w:eastAsia="Arial" w:hAnsi="Arial"/>
          <w:sz w:val="14"/>
          <w:szCs w:val="14"/>
          <w:color w:val="auto"/>
        </w:rPr>
      </w:pPr>
    </w:p>
    <w:p>
      <w:pPr>
        <w:ind w:left="204" w:hanging="204"/>
        <w:spacing w:after="0"/>
        <w:tabs>
          <w:tab w:leader="none" w:pos="204" w:val="left"/>
        </w:tabs>
        <w:numPr>
          <w:ilvl w:val="0"/>
          <w:numId w:val="17"/>
        </w:numPr>
        <w:rPr>
          <w:rFonts w:ascii="Arial" w:cs="Arial" w:eastAsia="Arial" w:hAnsi="Arial"/>
          <w:sz w:val="14"/>
          <w:szCs w:val="14"/>
          <w:color w:val="auto"/>
        </w:rPr>
      </w:pPr>
      <w:r>
        <w:rPr>
          <w:rFonts w:ascii="Arial" w:cs="Arial" w:eastAsia="Arial" w:hAnsi="Arial"/>
          <w:sz w:val="14"/>
          <w:szCs w:val="14"/>
          <w:color w:val="auto"/>
        </w:rPr>
        <w:t>Includes payables of $1,555 and $1,314 due to non-guarantor subsidiaries as of June 30, 20232 and December 31, 2022</w:t>
      </w:r>
    </w:p>
    <w:p>
      <w:pPr>
        <w:spacing w:after="0" w:line="200" w:lineRule="exact"/>
        <w:rPr>
          <w:sz w:val="20"/>
          <w:szCs w:val="20"/>
          <w:color w:val="auto"/>
        </w:rPr>
      </w:pPr>
    </w:p>
    <w:p>
      <w:pPr>
        <w:spacing w:after="0" w:line="294" w:lineRule="exact"/>
        <w:rPr>
          <w:sz w:val="20"/>
          <w:szCs w:val="20"/>
          <w:color w:val="auto"/>
        </w:rPr>
      </w:pPr>
    </w:p>
    <w:p>
      <w:pPr>
        <w:ind w:left="4"/>
        <w:spacing w:after="0"/>
        <w:rPr>
          <w:sz w:val="20"/>
          <w:szCs w:val="20"/>
          <w:color w:val="auto"/>
        </w:rPr>
      </w:pPr>
      <w:r>
        <w:rPr>
          <w:rFonts w:ascii="Arial" w:cs="Arial" w:eastAsia="Arial" w:hAnsi="Arial"/>
          <w:sz w:val="18"/>
          <w:szCs w:val="18"/>
          <w:b w:val="1"/>
          <w:bCs w:val="1"/>
          <w:u w:val="single" w:color="auto"/>
          <w:color w:val="auto"/>
        </w:rPr>
        <w:t>Commitments and Contingent Liabilities</w:t>
      </w:r>
    </w:p>
    <w:p>
      <w:pPr>
        <w:spacing w:after="0" w:line="256" w:lineRule="exact"/>
        <w:rPr>
          <w:sz w:val="20"/>
          <w:szCs w:val="20"/>
          <w:color w:val="auto"/>
        </w:rPr>
      </w:pPr>
    </w:p>
    <w:p>
      <w:pPr>
        <w:jc w:val="both"/>
        <w:ind w:left="4"/>
        <w:spacing w:after="0" w:line="263" w:lineRule="auto"/>
        <w:rPr>
          <w:sz w:val="20"/>
          <w:szCs w:val="20"/>
          <w:color w:val="auto"/>
        </w:rPr>
      </w:pPr>
      <w:r>
        <w:rPr>
          <w:rFonts w:ascii="Arial" w:cs="Arial" w:eastAsia="Arial" w:hAnsi="Arial"/>
          <w:sz w:val="18"/>
          <w:szCs w:val="18"/>
          <w:color w:val="auto"/>
        </w:rPr>
        <w:t xml:space="preserve">Information regarding the Company's commitments and contingent liabilities appears in Part I within Item 1 of this report under </w:t>
      </w:r>
      <w:r>
        <w:rPr>
          <w:rFonts w:ascii="Arial" w:cs="Arial" w:eastAsia="Arial" w:hAnsi="Arial"/>
          <w:sz w:val="18"/>
          <w:szCs w:val="18"/>
          <w:u w:val="single" w:color="auto"/>
          <w:color w:val="0000FF"/>
        </w:rPr>
        <w:t>Note I</w:t>
      </w:r>
      <w:r>
        <w:rPr>
          <w:rFonts w:ascii="Arial" w:cs="Arial" w:eastAsia="Arial" w:hAnsi="Arial"/>
          <w:sz w:val="18"/>
          <w:szCs w:val="18"/>
          <w:color w:val="auto"/>
        </w:rPr>
        <w:t>, entitled “Commitments and Contingent Liabilities,” to the consolidated financial statements, and in Part II within Item 1A of this report which information is incorporated herein by reference.</w:t>
      </w:r>
    </w:p>
    <w:p>
      <w:pPr>
        <w:spacing w:after="0" w:line="207" w:lineRule="exact"/>
        <w:rPr>
          <w:sz w:val="20"/>
          <w:szCs w:val="20"/>
          <w:color w:val="auto"/>
        </w:rPr>
      </w:pPr>
    </w:p>
    <w:p>
      <w:pPr>
        <w:ind w:left="4"/>
        <w:spacing w:after="0"/>
        <w:rPr>
          <w:sz w:val="20"/>
          <w:szCs w:val="20"/>
          <w:color w:val="auto"/>
        </w:rPr>
      </w:pPr>
      <w:r>
        <w:rPr>
          <w:rFonts w:ascii="Arial" w:cs="Arial" w:eastAsia="Arial" w:hAnsi="Arial"/>
          <w:sz w:val="18"/>
          <w:szCs w:val="18"/>
          <w:b w:val="1"/>
          <w:bCs w:val="1"/>
          <w:u w:val="single" w:color="auto"/>
          <w:color w:val="auto"/>
        </w:rPr>
        <w:t>Critical Accounting Policies</w:t>
      </w:r>
    </w:p>
    <w:p>
      <w:pPr>
        <w:spacing w:after="0" w:line="256" w:lineRule="exact"/>
        <w:rPr>
          <w:sz w:val="20"/>
          <w:szCs w:val="20"/>
          <w:color w:val="auto"/>
        </w:rPr>
      </w:pPr>
    </w:p>
    <w:p>
      <w:pPr>
        <w:ind w:left="4"/>
        <w:spacing w:after="0"/>
        <w:rPr>
          <w:sz w:val="20"/>
          <w:szCs w:val="20"/>
          <w:color w:val="auto"/>
        </w:rPr>
      </w:pPr>
      <w:r>
        <w:rPr>
          <w:rFonts w:ascii="Arial" w:cs="Arial" w:eastAsia="Arial" w:hAnsi="Arial"/>
          <w:sz w:val="16"/>
          <w:szCs w:val="16"/>
          <w:color w:val="auto"/>
        </w:rPr>
        <w:t>The accompanying consolidated financial statements have been prepared in accordance with accounting principles generally accepted in the U.S.</w:t>
      </w:r>
    </w:p>
    <w:p>
      <w:pPr>
        <w:spacing w:after="0" w:line="46" w:lineRule="exact"/>
        <w:rPr>
          <w:sz w:val="20"/>
          <w:szCs w:val="20"/>
          <w:color w:val="auto"/>
        </w:rPr>
      </w:pPr>
    </w:p>
    <w:p>
      <w:pPr>
        <w:ind w:left="4"/>
        <w:spacing w:after="0"/>
        <w:rPr>
          <w:sz w:val="20"/>
          <w:szCs w:val="20"/>
          <w:color w:val="auto"/>
        </w:rPr>
      </w:pPr>
      <w:r>
        <w:rPr>
          <w:rFonts w:ascii="Arial" w:cs="Arial" w:eastAsia="Arial" w:hAnsi="Arial"/>
          <w:sz w:val="18"/>
          <w:szCs w:val="18"/>
          <w:color w:val="auto"/>
        </w:rPr>
        <w:t>which require that management make numerous estimates and assumptions.</w:t>
      </w:r>
    </w:p>
    <w:p>
      <w:pPr>
        <w:sectPr>
          <w:pgSz w:w="11900" w:h="16838" w:orient="portrait"/>
          <w:cols w:equalWidth="0" w:num="1">
            <w:col w:w="10584"/>
          </w:cols>
          <w:pgMar w:left="976" w:top="121" w:right="339" w:bottom="1440" w:gutter="0" w:footer="0" w:header="0"/>
        </w:sectPr>
      </w:pPr>
    </w:p>
    <w:p>
      <w:pPr>
        <w:spacing w:after="0" w:line="200" w:lineRule="exact"/>
        <w:rPr>
          <w:sz w:val="20"/>
          <w:szCs w:val="20"/>
          <w:color w:val="auto"/>
        </w:rPr>
      </w:pPr>
    </w:p>
    <w:p>
      <w:pPr>
        <w:spacing w:after="0" w:line="348" w:lineRule="exact"/>
        <w:rPr>
          <w:sz w:val="20"/>
          <w:szCs w:val="20"/>
          <w:color w:val="auto"/>
        </w:rPr>
      </w:pPr>
    </w:p>
    <w:p>
      <w:pPr>
        <w:ind w:left="4884"/>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-423545</wp:posOffset>
            </wp:positionH>
            <wp:positionV relativeFrom="paragraph">
              <wp:posOffset>85090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4"/>
          </w:cols>
          <w:pgMar w:left="976" w:top="121" w:right="339" w:bottom="1440" w:gutter="0" w:footer="0" w:header="0"/>
          <w:type w:val="continuous"/>
        </w:sectPr>
      </w:pPr>
    </w:p>
    <w:bookmarkStart w:id="32" w:name="page33"/>
    <w:bookmarkEnd w:id="32"/>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both"/>
        <w:ind w:left="660"/>
        <w:spacing w:after="0" w:line="255" w:lineRule="auto"/>
        <w:rPr>
          <w:sz w:val="20"/>
          <w:szCs w:val="20"/>
          <w:color w:val="auto"/>
        </w:rPr>
      </w:pPr>
      <w:r>
        <w:rPr>
          <w:rFonts w:ascii="Arial" w:cs="Arial" w:eastAsia="Arial" w:hAnsi="Arial"/>
          <w:sz w:val="18"/>
          <w:szCs w:val="18"/>
          <w:color w:val="auto"/>
        </w:rPr>
        <w:t>Actual results could differ from these estimates and assumptions, impacting the reported results of operations and financial condition of the Company. Part II, Item 7, “Management's Discussion and Analysis of Financial Condition and Results of Operations” and Note A to the consolidated financial statements contained in the Company's Annual Report on Form 10-K for the year ended December 31, 2022 describe the significant accounting estimates and policies used in the preparation of the consolidated financial statements. Updates to the Company's accounting policies related to new accounting pronouncements, as applicable, are included in the notes to the consolidated financial statements included in this Quarterly Report on Form 10-Q.</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Forward Looking Statements</w:t>
      </w:r>
    </w:p>
    <w:p>
      <w:pPr>
        <w:spacing w:after="0" w:line="256" w:lineRule="exact"/>
        <w:rPr>
          <w:sz w:val="20"/>
          <w:szCs w:val="20"/>
          <w:color w:val="auto"/>
        </w:rPr>
      </w:pPr>
    </w:p>
    <w:p>
      <w:pPr>
        <w:jc w:val="both"/>
        <w:ind w:left="660"/>
        <w:spacing w:after="0" w:line="270" w:lineRule="auto"/>
        <w:rPr>
          <w:sz w:val="20"/>
          <w:szCs w:val="20"/>
          <w:color w:val="auto"/>
        </w:rPr>
      </w:pPr>
      <w:r>
        <w:rPr>
          <w:rFonts w:ascii="Arial" w:cs="Arial" w:eastAsia="Arial" w:hAnsi="Arial"/>
          <w:sz w:val="17"/>
          <w:szCs w:val="17"/>
          <w:color w:val="auto"/>
        </w:rPr>
        <w:t xml:space="preserve">Statements included herein, including, but not limited to, those in “Management's Discussion and Analysis of Financial Condition and Results of Operations” and in the discussions of asbestos in </w:t>
      </w:r>
      <w:r>
        <w:rPr>
          <w:rFonts w:ascii="Arial" w:cs="Arial" w:eastAsia="Arial" w:hAnsi="Arial"/>
          <w:sz w:val="17"/>
          <w:szCs w:val="17"/>
          <w:u w:val="single" w:color="auto"/>
          <w:color w:val="0000FF"/>
        </w:rPr>
        <w:t>Note H</w:t>
      </w:r>
      <w:r>
        <w:rPr>
          <w:rFonts w:ascii="Arial" w:cs="Arial" w:eastAsia="Arial" w:hAnsi="Arial"/>
          <w:sz w:val="17"/>
          <w:szCs w:val="17"/>
          <w:color w:val="auto"/>
        </w:rPr>
        <w:t xml:space="preserve"> and commitments and contingencies in </w:t>
      </w:r>
      <w:r>
        <w:rPr>
          <w:rFonts w:ascii="Arial" w:cs="Arial" w:eastAsia="Arial" w:hAnsi="Arial"/>
          <w:sz w:val="17"/>
          <w:szCs w:val="17"/>
          <w:u w:val="single" w:color="auto"/>
          <w:color w:val="0000FF"/>
        </w:rPr>
        <w:t>Note I</w:t>
      </w:r>
      <w:r>
        <w:rPr>
          <w:rFonts w:ascii="Arial" w:cs="Arial" w:eastAsia="Arial" w:hAnsi="Arial"/>
          <w:sz w:val="17"/>
          <w:szCs w:val="17"/>
          <w:color w:val="auto"/>
        </w:rPr>
        <w:t xml:space="preserve"> to the consolidated financial statements included in this Quarterly Report on Form 10-Q, and also in Part I, Item 1, “Business” and Item 3, “Legal Proceedings” and in Part II, Item 7, “Management's Discussion and Analysis of Financial Condition and Results of Operations,” within the Company's Annual Report on Form 10-K for the year ended December 31, 2022, which are not historical facts (including any statements concerning the direct or indirect impact of the COVID-19 pandemic and the Russia-Ukraine war, objectives of management for capacity additions, share repurchases, dividends, future operations or economic performance, or assumptions related thereto, including the potential for higher interest rates and energy prices), are “forward-looking statements” within the meaning of the federal securities laws. In addition, the Company and its representatives may, from time to time, make oral or written statements which are also “forward-looking statements.”</w:t>
      </w:r>
    </w:p>
    <w:p>
      <w:pPr>
        <w:spacing w:after="0" w:line="208" w:lineRule="exact"/>
        <w:rPr>
          <w:sz w:val="20"/>
          <w:szCs w:val="20"/>
          <w:color w:val="auto"/>
        </w:rPr>
      </w:pPr>
    </w:p>
    <w:p>
      <w:pPr>
        <w:jc w:val="both"/>
        <w:ind w:left="660"/>
        <w:spacing w:after="0" w:line="263" w:lineRule="auto"/>
        <w:rPr>
          <w:sz w:val="20"/>
          <w:szCs w:val="20"/>
          <w:color w:val="auto"/>
        </w:rPr>
      </w:pPr>
      <w:r>
        <w:rPr>
          <w:rFonts w:ascii="Arial" w:cs="Arial" w:eastAsia="Arial" w:hAnsi="Arial"/>
          <w:sz w:val="18"/>
          <w:szCs w:val="18"/>
          <w:color w:val="auto"/>
        </w:rPr>
        <w:t>These forward-looking statements are made based upon management's expectations and beliefs concerning future events impacting the Company and, therefore, involve a number of risks and uncertainties. Management cautions that forward-looking statements are not guarantees and that actual results could differ materially from those expressed or implied in the forward-looking statements.</w:t>
      </w:r>
    </w:p>
    <w:p>
      <w:pPr>
        <w:spacing w:after="0" w:line="211" w:lineRule="exact"/>
        <w:rPr>
          <w:sz w:val="20"/>
          <w:szCs w:val="20"/>
          <w:color w:val="auto"/>
        </w:rPr>
      </w:pPr>
    </w:p>
    <w:p>
      <w:pPr>
        <w:jc w:val="both"/>
        <w:ind w:left="660"/>
        <w:spacing w:after="0" w:line="279" w:lineRule="auto"/>
        <w:rPr>
          <w:sz w:val="20"/>
          <w:szCs w:val="20"/>
          <w:color w:val="auto"/>
        </w:rPr>
      </w:pPr>
      <w:r>
        <w:rPr>
          <w:rFonts w:ascii="Arial" w:cs="Arial" w:eastAsia="Arial" w:hAnsi="Arial"/>
          <w:sz w:val="17"/>
          <w:szCs w:val="17"/>
          <w:color w:val="auto"/>
        </w:rPr>
        <w:t>While the Company periodically reassesses material trends and uncertainties affecting the Company's results of operations and financial condition in connection with the preparation of “Management's Discussion and Analysis of Financial Condition and Results of Operations” and certain other sections contained in the Company's quarterly, annual or other reports filed with the U.S. Securities and Exchange Commission (“SEC”), the Company does not intend to review or revise any particular forward-looking statement in light of future events.</w:t>
      </w:r>
    </w:p>
    <w:p>
      <w:pPr>
        <w:spacing w:after="0" w:line="198" w:lineRule="exact"/>
        <w:rPr>
          <w:sz w:val="20"/>
          <w:szCs w:val="20"/>
          <w:color w:val="auto"/>
        </w:rPr>
      </w:pPr>
    </w:p>
    <w:p>
      <w:pPr>
        <w:jc w:val="both"/>
        <w:ind w:left="660"/>
        <w:spacing w:after="0" w:line="255" w:lineRule="auto"/>
        <w:rPr>
          <w:sz w:val="20"/>
          <w:szCs w:val="20"/>
          <w:color w:val="auto"/>
        </w:rPr>
      </w:pPr>
      <w:r>
        <w:rPr>
          <w:rFonts w:ascii="Arial" w:cs="Arial" w:eastAsia="Arial" w:hAnsi="Arial"/>
          <w:sz w:val="18"/>
          <w:szCs w:val="18"/>
          <w:color w:val="auto"/>
        </w:rPr>
        <w:t>A discussion of important factors that could cause the actual results of operations or financial condition of the Company to differ from expectations has been set forth in the Company's Annual Report on Form 10-K for the year ended December 31, 2022 within Part II, Item 7: “Management's Discussion and Analysis of Financial Condition and Results of Operations” under the caption “Forward Looking Statements” and is incorporated herein by reference. Some of the factors are also discussed elsewhere in this Form 10-Q (including under Item 1A of Part II below) and in prior Company filings with the SEC. In addition, other factors have been or may be discussed from time to time in the Company's SEC filings.</w:t>
      </w:r>
    </w:p>
    <w:p>
      <w:pPr>
        <w:spacing w:after="0" w:line="21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56" w:lineRule="exact"/>
        <w:rPr>
          <w:sz w:val="20"/>
          <w:szCs w:val="20"/>
          <w:color w:val="auto"/>
        </w:rPr>
      </w:pPr>
    </w:p>
    <w:p>
      <w:pPr>
        <w:jc w:val="both"/>
        <w:ind w:left="660"/>
        <w:spacing w:after="0" w:line="270" w:lineRule="auto"/>
        <w:rPr>
          <w:sz w:val="20"/>
          <w:szCs w:val="20"/>
          <w:color w:val="auto"/>
        </w:rPr>
      </w:pPr>
      <w:r>
        <w:rPr>
          <w:rFonts w:ascii="Arial" w:cs="Arial" w:eastAsia="Arial" w:hAnsi="Arial"/>
          <w:sz w:val="17"/>
          <w:szCs w:val="17"/>
          <w:color w:val="auto"/>
        </w:rPr>
        <w:t xml:space="preserve">In the normal course of business the Company is subject to risk from adverse fluctuations in foreign exchange and interest rates and commodity prices. The Company manages these risks through a program that includes the use of derivative financial instruments, primarily swaps and forwards. Counterparties to these contracts are major financial institutions. The Company is exposed to credit loss in the event of nonperformance by the counterparties. These instruments are not used for trading or speculative purposes. The extent to which the Company uses such instruments is dependent upon its access to these contracts in the financial markets and its success in using other methods, such as netting exposures in the same currencies to mitigate foreign exchange risk and using sales arrangements that permit the pass-through of commodity prices and foreign exchange rate risks to customers. The Company's objective in managing its exposure to market risk is to limit the impact on earnings and cash flow. For further discussion of the Company's use of derivative instruments and their fair values at June 30, 2023, see </w:t>
      </w:r>
      <w:r>
        <w:rPr>
          <w:rFonts w:ascii="Arial" w:cs="Arial" w:eastAsia="Arial" w:hAnsi="Arial"/>
          <w:sz w:val="17"/>
          <w:szCs w:val="17"/>
          <w:u w:val="single" w:color="auto"/>
          <w:color w:val="0000FF"/>
        </w:rPr>
        <w:t>Note J</w:t>
      </w:r>
      <w:r>
        <w:rPr>
          <w:rFonts w:ascii="Arial" w:cs="Arial" w:eastAsia="Arial" w:hAnsi="Arial"/>
          <w:sz w:val="17"/>
          <w:szCs w:val="17"/>
          <w:color w:val="auto"/>
        </w:rPr>
        <w:t xml:space="preserve"> to the consolidated financial statements included in this Quarterly Report on Form 10-Q.</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As of June 30, 2023, the Company had $2.5 billion principal floating interest rate debt and $1.3 billion of securitization and factoring. A change of 0.25% in these floating interest rates would change annual interest expense by approximately $9 million before tax.</w:t>
      </w:r>
    </w:p>
    <w:p>
      <w:pPr>
        <w:spacing w:after="0" w:line="200" w:lineRule="exact"/>
        <w:rPr>
          <w:sz w:val="20"/>
          <w:szCs w:val="20"/>
          <w:color w:val="auto"/>
        </w:rPr>
      </w:pPr>
    </w:p>
    <w:p>
      <w:pPr>
        <w:spacing w:after="0" w:line="236"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256" w:lineRule="exact"/>
        <w:rPr>
          <w:sz w:val="20"/>
          <w:szCs w:val="20"/>
          <w:color w:val="auto"/>
        </w:rPr>
      </w:pPr>
    </w:p>
    <w:p>
      <w:pPr>
        <w:jc w:val="both"/>
        <w:ind w:left="660"/>
        <w:spacing w:after="0" w:line="271" w:lineRule="auto"/>
        <w:rPr>
          <w:sz w:val="20"/>
          <w:szCs w:val="20"/>
          <w:color w:val="auto"/>
        </w:rPr>
      </w:pPr>
      <w:r>
        <w:rPr>
          <w:rFonts w:ascii="Arial" w:cs="Arial" w:eastAsia="Arial" w:hAnsi="Arial"/>
          <w:sz w:val="17"/>
          <w:szCs w:val="17"/>
          <w:color w:val="auto"/>
        </w:rPr>
        <w:t>As of the end of the period covered by this Quarterly Report on Form 10-Q, management, including the Company's Chief Executive Officer and Chief Financial Officer, has evaluated the effectiveness of the design and operation of its disclosure controls and procedures. Based upon that evaluation and as of the end of the quarter for which this report is made, the Company's Chief Executive Officer and Chief Financial Officer concluded that the disclosure controls and procedures were effective. Disclosure controls and procedures ensure that information to be disclosed in reports that the Company files and submits under the Exchange Act is recorded, processed, summarized and reported within the time periods specified in the rules and terms of the SEC, and ensure that information required to be disclosed in the reports that the Company files or submits under the Exchange Act is accumulated and communicated to the Company's management, including its Chief Executive Officer and Chief Financial Officer, to allow timely decisions regarding required disclosure.</w:t>
      </w:r>
    </w:p>
    <w:p>
      <w:pPr>
        <w:spacing w:after="0" w:line="205"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There has been no change in internal controls over financial reporting that occurred during the period covered by this report that has materially affected, or is reasonably likely to materially affect, the Company's internal control over financial reporting.</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252"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56" w:lineRule="exact"/>
        <w:rPr>
          <w:sz w:val="20"/>
          <w:szCs w:val="20"/>
          <w:color w:val="auto"/>
        </w:rPr>
      </w:pPr>
    </w:p>
    <w:p>
      <w:pPr>
        <w:jc w:val="both"/>
        <w:ind w:left="660"/>
        <w:spacing w:after="0" w:line="263" w:lineRule="auto"/>
        <w:rPr>
          <w:sz w:val="20"/>
          <w:szCs w:val="20"/>
          <w:color w:val="auto"/>
        </w:rPr>
      </w:pPr>
      <w:r>
        <w:rPr>
          <w:rFonts w:ascii="Arial" w:cs="Arial" w:eastAsia="Arial" w:hAnsi="Arial"/>
          <w:sz w:val="18"/>
          <w:szCs w:val="18"/>
          <w:color w:val="auto"/>
        </w:rPr>
        <w:t xml:space="preserve">For information regarding the Company's potential asbestos-related liabilities and other litigation, see </w:t>
      </w:r>
      <w:r>
        <w:rPr>
          <w:rFonts w:ascii="Arial" w:cs="Arial" w:eastAsia="Arial" w:hAnsi="Arial"/>
          <w:sz w:val="18"/>
          <w:szCs w:val="18"/>
          <w:u w:val="single" w:color="auto"/>
          <w:color w:val="0000FF"/>
        </w:rPr>
        <w:t>Note H</w:t>
      </w:r>
      <w:r>
        <w:rPr>
          <w:rFonts w:ascii="Arial" w:cs="Arial" w:eastAsia="Arial" w:hAnsi="Arial"/>
          <w:sz w:val="18"/>
          <w:szCs w:val="18"/>
          <w:color w:val="auto"/>
        </w:rPr>
        <w:t xml:space="preserve"> entitled “Asbestos-Related Liabilities” and </w:t>
      </w:r>
      <w:r>
        <w:rPr>
          <w:rFonts w:ascii="Arial" w:cs="Arial" w:eastAsia="Arial" w:hAnsi="Arial"/>
          <w:sz w:val="18"/>
          <w:szCs w:val="18"/>
          <w:u w:val="single" w:color="auto"/>
          <w:color w:val="0000FF"/>
        </w:rPr>
        <w:t>Note I</w:t>
      </w:r>
      <w:r>
        <w:rPr>
          <w:rFonts w:ascii="Arial" w:cs="Arial" w:eastAsia="Arial" w:hAnsi="Arial"/>
          <w:sz w:val="18"/>
          <w:szCs w:val="18"/>
          <w:color w:val="auto"/>
        </w:rPr>
        <w:t xml:space="preserve"> entitled “Commitments and Contingent Liabilities” to the consolidated financial statements within Part I, Item 1 of this Quarterly Report on Form 10-Q, which information is incorporated herein by reference.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351"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The information set forth in this report should be read in conjunction with the risk factors discussed in Item 1A of the Company's Annual Report on Form 10-K for the year ended December 31, 2022. Such risks are not the only risks facing the Company. Additional risks and uncertainties not currently known to the Company or that the Company currently deems to be immaterial may also materially adversely affect the Company's business, financial condition and/or operating results.</w:t>
      </w: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 of Equity Securities and Use of Proceeds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During the three months ended June 30, 2023, 65,026 shares were surrendered to cover taxes on the vesting of restricted stock.</w:t>
      </w:r>
    </w:p>
    <w:p>
      <w:pPr>
        <w:spacing w:after="0" w:line="252" w:lineRule="exact"/>
        <w:rPr>
          <w:sz w:val="20"/>
          <w:szCs w:val="20"/>
          <w:color w:val="auto"/>
        </w:rPr>
      </w:pPr>
    </w:p>
    <w:p>
      <w:pPr>
        <w:jc w:val="both"/>
        <w:ind w:left="660"/>
        <w:spacing w:after="0" w:line="279" w:lineRule="auto"/>
        <w:rPr>
          <w:sz w:val="20"/>
          <w:szCs w:val="20"/>
          <w:color w:val="auto"/>
        </w:rPr>
      </w:pPr>
      <w:r>
        <w:rPr>
          <w:rFonts w:ascii="Arial" w:cs="Arial" w:eastAsia="Arial" w:hAnsi="Arial"/>
          <w:sz w:val="17"/>
          <w:szCs w:val="17"/>
          <w:color w:val="auto"/>
        </w:rPr>
        <w:t>In December 2021, the Company's Board of Directors authorized the repurchase of an aggregate amount of $3.0 billion of Company common stock through the end of 2024. Share repurchases under the Company's program may be made in the open market or through privately negotiated transactions, and at times and in such amounts as management deems appropriate. The Company has remaining Board authorization to repurchase an additional $2,300 of the Company's common stock under the program as of June 30, 2023.</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were no events required to be reported under Item 3 for the six months ended June 30, 2023.</w:t>
      </w:r>
    </w:p>
    <w:p>
      <w:pPr>
        <w:spacing w:after="0" w:line="248" w:lineRule="exact"/>
        <w:rPr>
          <w:sz w:val="20"/>
          <w:szCs w:val="20"/>
          <w:color w:val="auto"/>
        </w:rPr>
      </w:pPr>
    </w:p>
    <w:p>
      <w:pPr>
        <w:jc w:val="center"/>
        <w:ind w:right="8820"/>
        <w:spacing w:after="0"/>
        <w:rPr>
          <w:sz w:val="20"/>
          <w:szCs w:val="20"/>
          <w:color w:val="auto"/>
        </w:rPr>
      </w:pPr>
      <w:r>
        <w:rPr>
          <w:rFonts w:ascii="Arial" w:cs="Arial" w:eastAsia="Arial" w:hAnsi="Arial"/>
          <w:sz w:val="16"/>
          <w:szCs w:val="16"/>
          <w:b w:val="1"/>
          <w:bCs w:val="1"/>
          <w:color w:val="auto"/>
        </w:rPr>
        <w:t>Item 4. Mine Safety Disclosures</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w:t>
      </w:r>
    </w:p>
    <w:p>
      <w:pPr>
        <w:spacing w:after="0" w:line="297" w:lineRule="exact"/>
        <w:rPr>
          <w:sz w:val="20"/>
          <w:szCs w:val="20"/>
          <w:color w:val="auto"/>
        </w:rPr>
      </w:pPr>
    </w:p>
    <w:p>
      <w:pPr>
        <w:ind w:left="20"/>
        <w:spacing w:after="0"/>
        <w:tabs>
          <w:tab w:leader="none" w:pos="980" w:val="left"/>
        </w:tabs>
        <w:rPr>
          <w:sz w:val="20"/>
          <w:szCs w:val="20"/>
          <w:color w:val="auto"/>
        </w:rPr>
      </w:pPr>
      <w:r>
        <w:rPr>
          <w:rFonts w:ascii="Arial" w:cs="Arial" w:eastAsia="Arial" w:hAnsi="Arial"/>
          <w:sz w:val="18"/>
          <w:szCs w:val="18"/>
          <w:color w:val="auto"/>
        </w:rPr>
        <w:t>19.1</w:t>
      </w:r>
      <w:r>
        <w:rPr>
          <w:sz w:val="20"/>
          <w:szCs w:val="20"/>
          <w:color w:val="auto"/>
        </w:rPr>
        <w:tab/>
      </w:r>
      <w:r>
        <w:rPr>
          <w:rFonts w:ascii="Arial" w:cs="Arial" w:eastAsia="Arial" w:hAnsi="Arial"/>
          <w:sz w:val="16"/>
          <w:szCs w:val="16"/>
          <w:u w:val="single" w:color="auto"/>
          <w:color w:val="0000FF"/>
        </w:rPr>
        <w:t>Securities Trading and SEC Compliance and Reporting Policy</w:t>
      </w:r>
    </w:p>
    <w:p>
      <w:pPr>
        <w:spacing w:after="0" w:line="225" w:lineRule="exact"/>
        <w:rPr>
          <w:sz w:val="20"/>
          <w:szCs w:val="20"/>
          <w:color w:val="auto"/>
        </w:rPr>
      </w:pPr>
    </w:p>
    <w:p>
      <w:pPr>
        <w:ind w:left="1000" w:hanging="974"/>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0000FF"/>
        </w:rPr>
        <w:t>List of Guarantor Subsidiaries</w:t>
      </w:r>
    </w:p>
    <w:p>
      <w:pPr>
        <w:spacing w:after="0" w:line="181"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980" w:type="dxa"/>
            <w:vAlign w:val="bottom"/>
          </w:tcPr>
          <w:p>
            <w:pPr>
              <w:jc w:val="right"/>
              <w:ind w:right="570"/>
              <w:spacing w:after="0"/>
              <w:rPr>
                <w:sz w:val="20"/>
                <w:szCs w:val="20"/>
                <w:color w:val="auto"/>
              </w:rPr>
            </w:pPr>
            <w:r>
              <w:rPr>
                <w:rFonts w:ascii="Arial" w:cs="Arial" w:eastAsia="Arial" w:hAnsi="Arial"/>
                <w:sz w:val="18"/>
                <w:szCs w:val="18"/>
                <w:color w:val="auto"/>
                <w:w w:val="85"/>
              </w:rPr>
              <w:t>31.1</w:t>
            </w:r>
          </w:p>
        </w:tc>
        <w:tc>
          <w:tcPr>
            <w:tcW w:w="9180" w:type="dxa"/>
            <w:vAlign w:val="bottom"/>
            <w:tcBorders>
              <w:bottom w:val="single" w:sz="8" w:color="0000FF"/>
            </w:tcBorders>
            <w:gridSpan w:val="2"/>
          </w:tcPr>
          <w:p>
            <w:pPr>
              <w:spacing w:after="0"/>
              <w:rPr>
                <w:sz w:val="20"/>
                <w:szCs w:val="20"/>
                <w:color w:val="auto"/>
              </w:rPr>
            </w:pPr>
            <w:r>
              <w:rPr>
                <w:rFonts w:ascii="Arial" w:cs="Arial" w:eastAsia="Arial" w:hAnsi="Arial"/>
                <w:sz w:val="18"/>
                <w:szCs w:val="18"/>
                <w:color w:val="0000FF"/>
                <w:w w:val="94"/>
              </w:rPr>
              <w:t>Certification of Chief Executive Officer pursuant to Rule 13a-14(a) or 15d-14(a) of the Securities Exchange Act of 1934, as</w:t>
            </w:r>
          </w:p>
        </w:tc>
      </w:tr>
      <w:tr>
        <w:trPr>
          <w:trHeight w:val="196"/>
        </w:trPr>
        <w:tc>
          <w:tcPr>
            <w:tcW w:w="980" w:type="dxa"/>
            <w:vAlign w:val="bottom"/>
          </w:tcPr>
          <w:p>
            <w:pPr>
              <w:spacing w:after="0"/>
              <w:rPr>
                <w:sz w:val="17"/>
                <w:szCs w:val="17"/>
                <w:color w:val="auto"/>
              </w:rPr>
            </w:pPr>
          </w:p>
        </w:tc>
        <w:tc>
          <w:tcPr>
            <w:tcW w:w="4920" w:type="dxa"/>
            <w:vAlign w:val="bottom"/>
            <w:tcBorders>
              <w:bottom w:val="single" w:sz="8" w:color="0000FF"/>
            </w:tcBorders>
          </w:tcPr>
          <w:p>
            <w:pPr>
              <w:spacing w:after="0" w:line="196" w:lineRule="exact"/>
              <w:rPr>
                <w:sz w:val="20"/>
                <w:szCs w:val="20"/>
                <w:color w:val="auto"/>
              </w:rPr>
            </w:pPr>
            <w:r>
              <w:rPr>
                <w:rFonts w:ascii="Arial" w:cs="Arial" w:eastAsia="Arial" w:hAnsi="Arial"/>
                <w:sz w:val="18"/>
                <w:szCs w:val="18"/>
                <w:color w:val="0000FF"/>
                <w:w w:val="89"/>
              </w:rPr>
              <w:t>adopted pursuant to Section 302 of the Sarbanes-Oxley Act of 2002.</w:t>
            </w:r>
          </w:p>
        </w:tc>
        <w:tc>
          <w:tcPr>
            <w:tcW w:w="4260" w:type="dxa"/>
            <w:vAlign w:val="bottom"/>
          </w:tcPr>
          <w:p>
            <w:pPr>
              <w:spacing w:after="0"/>
              <w:rPr>
                <w:sz w:val="17"/>
                <w:szCs w:val="17"/>
                <w:color w:val="auto"/>
              </w:rPr>
            </w:pPr>
          </w:p>
        </w:tc>
      </w:tr>
      <w:tr>
        <w:trPr>
          <w:trHeight w:val="398"/>
        </w:trPr>
        <w:tc>
          <w:tcPr>
            <w:tcW w:w="980" w:type="dxa"/>
            <w:vAlign w:val="bottom"/>
          </w:tcPr>
          <w:p>
            <w:pPr>
              <w:jc w:val="right"/>
              <w:ind w:right="570"/>
              <w:spacing w:after="0"/>
              <w:rPr>
                <w:sz w:val="20"/>
                <w:szCs w:val="20"/>
                <w:color w:val="auto"/>
              </w:rPr>
            </w:pPr>
            <w:r>
              <w:rPr>
                <w:rFonts w:ascii="Arial" w:cs="Arial" w:eastAsia="Arial" w:hAnsi="Arial"/>
                <w:sz w:val="18"/>
                <w:szCs w:val="18"/>
                <w:color w:val="auto"/>
                <w:w w:val="85"/>
              </w:rPr>
              <w:t>31.2</w:t>
            </w:r>
          </w:p>
        </w:tc>
        <w:tc>
          <w:tcPr>
            <w:tcW w:w="9180" w:type="dxa"/>
            <w:vAlign w:val="bottom"/>
            <w:tcBorders>
              <w:bottom w:val="single" w:sz="8" w:color="0000FF"/>
            </w:tcBorders>
            <w:gridSpan w:val="2"/>
          </w:tcPr>
          <w:p>
            <w:pPr>
              <w:spacing w:after="0"/>
              <w:rPr>
                <w:sz w:val="20"/>
                <w:szCs w:val="20"/>
                <w:color w:val="auto"/>
              </w:rPr>
            </w:pPr>
            <w:r>
              <w:rPr>
                <w:rFonts w:ascii="Arial" w:cs="Arial" w:eastAsia="Arial" w:hAnsi="Arial"/>
                <w:sz w:val="18"/>
                <w:szCs w:val="18"/>
                <w:color w:val="0000FF"/>
                <w:w w:val="94"/>
              </w:rPr>
              <w:t>Certification of Chief Financial Officer pursuant to Rule 13a-14(a) or 15d-14(a) of the Securities Exchange Act of 1934, as</w:t>
            </w:r>
          </w:p>
        </w:tc>
      </w:tr>
      <w:tr>
        <w:trPr>
          <w:trHeight w:val="196"/>
        </w:trPr>
        <w:tc>
          <w:tcPr>
            <w:tcW w:w="980" w:type="dxa"/>
            <w:vAlign w:val="bottom"/>
          </w:tcPr>
          <w:p>
            <w:pPr>
              <w:spacing w:after="0"/>
              <w:rPr>
                <w:sz w:val="17"/>
                <w:szCs w:val="17"/>
                <w:color w:val="auto"/>
              </w:rPr>
            </w:pPr>
          </w:p>
        </w:tc>
        <w:tc>
          <w:tcPr>
            <w:tcW w:w="4920" w:type="dxa"/>
            <w:vAlign w:val="bottom"/>
            <w:tcBorders>
              <w:bottom w:val="single" w:sz="8" w:color="0000FF"/>
            </w:tcBorders>
          </w:tcPr>
          <w:p>
            <w:pPr>
              <w:spacing w:after="0" w:line="196" w:lineRule="exact"/>
              <w:rPr>
                <w:sz w:val="20"/>
                <w:szCs w:val="20"/>
                <w:color w:val="auto"/>
              </w:rPr>
            </w:pPr>
            <w:r>
              <w:rPr>
                <w:rFonts w:ascii="Arial" w:cs="Arial" w:eastAsia="Arial" w:hAnsi="Arial"/>
                <w:sz w:val="18"/>
                <w:szCs w:val="18"/>
                <w:color w:val="0000FF"/>
                <w:w w:val="89"/>
              </w:rPr>
              <w:t>adopted pursuant to Section 302 of the Sarbanes-Oxley Act of 2002.</w:t>
            </w:r>
          </w:p>
        </w:tc>
        <w:tc>
          <w:tcPr>
            <w:tcW w:w="4260" w:type="dxa"/>
            <w:vAlign w:val="bottom"/>
          </w:tcPr>
          <w:p>
            <w:pPr>
              <w:spacing w:after="0"/>
              <w:rPr>
                <w:sz w:val="17"/>
                <w:szCs w:val="17"/>
                <w:color w:val="auto"/>
              </w:rPr>
            </w:pPr>
          </w:p>
        </w:tc>
      </w:tr>
    </w:tbl>
    <w:p>
      <w:pPr>
        <w:spacing w:after="0" w:line="215" w:lineRule="exact"/>
        <w:rPr>
          <w:sz w:val="20"/>
          <w:szCs w:val="20"/>
          <w:color w:val="auto"/>
        </w:rPr>
      </w:pPr>
    </w:p>
    <w:p>
      <w:pPr>
        <w:jc w:val="both"/>
        <w:ind w:left="1000" w:right="1060" w:hanging="974"/>
        <w:spacing w:after="0" w:line="263" w:lineRule="auto"/>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0000FF"/>
        </w:rPr>
        <w:t>Certification pursuant to 18 U.S.C. Section 1350, as adopted pursuant to Section 906 of the Sarbanes-Oxley Act of 2002, executed by Timothy J. Donahue, President and Chief Executive Officer of Crown Holdings, Inc. and Kevin C. Clothier, Senior Vice President and Chief Financial Officer of Crown Holdings, Inc.</w:t>
      </w:r>
    </w:p>
    <w:p>
      <w:pPr>
        <w:spacing w:after="0" w:line="157" w:lineRule="exact"/>
        <w:rPr>
          <w:sz w:val="20"/>
          <w:szCs w:val="20"/>
          <w:color w:val="auto"/>
        </w:rPr>
      </w:pPr>
    </w:p>
    <w:p>
      <w:pPr>
        <w:jc w:val="both"/>
        <w:ind w:left="1000" w:right="1040" w:hanging="974"/>
        <w:spacing w:after="0" w:line="254" w:lineRule="auto"/>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following financial information from the Registrant's Quarterly Report on Form 10-Q for the quarter ended June 30, 2023 formatted in inline XBRL (eXtensible Business Reporting Language): (i) Consolidated Statements of Operations for the three and six months ended June 30, 2023 and 2022, (ii) Consolidated Statements of Comprehensive Income for the three and six months ended June 30, 2023 and 2022, (iii) Consolidated Balance Sheets as of June 30, 2023 and December 31, 2022, (iv) Consolidated Statements of Cash Flows for the six months ended June 30, 2023 and 2022, (v) Consolidated Statements of Changes in Equity for the three and six months ended June 30, 2023 and 2022 and (vi) Notes to Consolidated Financial Statements.</w:t>
      </w:r>
    </w:p>
    <w:p>
      <w:pPr>
        <w:spacing w:after="0" w:line="168" w:lineRule="exact"/>
        <w:rPr>
          <w:sz w:val="20"/>
          <w:szCs w:val="20"/>
          <w:color w:val="auto"/>
        </w:rPr>
      </w:pPr>
    </w:p>
    <w:p>
      <w:pPr>
        <w:ind w:left="20"/>
        <w:spacing w:after="0"/>
        <w:tabs>
          <w:tab w:leader="none" w:pos="98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Cover Page Interactive Data File (formatted as inline XBRL and contained in Exhibit 101).</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200" w:lineRule="exact"/>
        <w:rPr>
          <w:sz w:val="20"/>
          <w:szCs w:val="20"/>
          <w:color w:val="auto"/>
        </w:rPr>
      </w:pPr>
    </w:p>
    <w:p>
      <w:pPr>
        <w:spacing w:after="0" w:line="232"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52" w:lineRule="exact"/>
        <w:rPr>
          <w:sz w:val="20"/>
          <w:szCs w:val="20"/>
          <w:color w:val="auto"/>
        </w:rPr>
      </w:pPr>
    </w:p>
    <w:p>
      <w:pPr>
        <w:ind w:left="7280"/>
        <w:spacing w:after="0"/>
        <w:rPr>
          <w:sz w:val="20"/>
          <w:szCs w:val="20"/>
          <w:color w:val="auto"/>
        </w:rPr>
      </w:pPr>
      <w:r>
        <w:rPr>
          <w:rFonts w:ascii="Arial" w:cs="Arial" w:eastAsia="Arial" w:hAnsi="Arial"/>
          <w:sz w:val="18"/>
          <w:szCs w:val="18"/>
          <w:u w:val="single" w:color="auto"/>
          <w:color w:val="auto"/>
        </w:rPr>
        <w:t>Crown Holdings, Inc.</w:t>
      </w:r>
    </w:p>
    <w:p>
      <w:pPr>
        <w:ind w:left="7280"/>
        <w:spacing w:after="0"/>
        <w:rPr>
          <w:sz w:val="20"/>
          <w:szCs w:val="20"/>
          <w:color w:val="auto"/>
        </w:rPr>
      </w:pPr>
      <w:r>
        <w:rPr>
          <w:rFonts w:ascii="Arial" w:cs="Arial" w:eastAsia="Arial" w:hAnsi="Arial"/>
          <w:sz w:val="18"/>
          <w:szCs w:val="18"/>
          <w:color w:val="auto"/>
        </w:rPr>
        <w:t>Registrant</w:t>
      </w:r>
    </w:p>
    <w:p>
      <w:pPr>
        <w:spacing w:after="0" w:line="277" w:lineRule="exact"/>
        <w:rPr>
          <w:sz w:val="20"/>
          <w:szCs w:val="20"/>
          <w:color w:val="auto"/>
        </w:rPr>
      </w:pPr>
    </w:p>
    <w:p>
      <w:pPr>
        <w:ind w:left="6480"/>
        <w:spacing w:after="0"/>
        <w:tabs>
          <w:tab w:leader="none" w:pos="7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Christy L. Kalaus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4462780</wp:posOffset>
            </wp:positionH>
            <wp:positionV relativeFrom="paragraph">
              <wp:posOffset>14605</wp:posOffset>
            </wp:positionV>
            <wp:extent cx="26746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674620" cy="8255"/>
                    </a:xfrm>
                    <a:prstGeom prst="rect">
                      <a:avLst/>
                    </a:prstGeom>
                    <a:noFill/>
                  </pic:spPr>
                </pic:pic>
              </a:graphicData>
            </a:graphic>
          </wp:anchor>
        </w:drawing>
      </w:r>
    </w:p>
    <w:p>
      <w:pPr>
        <w:spacing w:after="0" w:line="16"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Christy L. Kalaus</w:t>
      </w:r>
    </w:p>
    <w:p>
      <w:pPr>
        <w:spacing w:after="0" w:line="36"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Vice President and Corporate Controller</w:t>
      </w:r>
    </w:p>
    <w:p>
      <w:pPr>
        <w:spacing w:after="0" w:line="37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Date: July 28,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240"/>
          </w:cols>
          <w:pgMar w:left="320" w:top="121" w:right="339" w:bottom="1440" w:gutter="0" w:footer="0" w:header="0"/>
        </w:sectPr>
      </w:pPr>
    </w:p>
    <w:bookmarkStart w:id="35" w:name="page36"/>
    <w:bookmarkEnd w:id="35"/>
    <w:p>
      <w:pPr>
        <w:spacing w:after="0" w:line="50" w:lineRule="exact"/>
        <w:rPr>
          <w:sz w:val="20"/>
          <w:szCs w:val="20"/>
          <w:color w:val="auto"/>
        </w:rPr>
      </w:pPr>
    </w:p>
    <w:p>
      <w:pPr>
        <w:jc w:val="right"/>
        <w:ind w:left="4440" w:right="20"/>
        <w:spacing w:after="0" w:line="308" w:lineRule="auto"/>
        <w:rPr>
          <w:sz w:val="20"/>
          <w:szCs w:val="20"/>
          <w:color w:val="auto"/>
        </w:rPr>
      </w:pPr>
      <w:r>
        <w:rPr>
          <w:sz w:val="1"/>
          <w:szCs w:val="1"/>
          <w:color w:val="auto"/>
        </w:rPr>
        <w:drawing>
          <wp:inline distT="0" distB="0" distL="0" distR="0">
            <wp:extent cx="1551305" cy="497205"/>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551305" cy="497205"/>
                    </a:xfrm>
                    <a:prstGeom prst="rect">
                      <a:avLst/>
                    </a:prstGeom>
                    <a:noFill/>
                    <a:ln>
                      <a:noFill/>
                    </a:ln>
                  </pic:spPr>
                </pic:pic>
              </a:graphicData>
            </a:graphic>
          </wp:inline>
        </w:drawing>
      </w:r>
      <w:r>
        <w:rPr>
          <w:rFonts w:ascii="Arial" w:cs="Arial" w:eastAsia="Arial" w:hAnsi="Arial"/>
          <w:sz w:val="42"/>
          <w:szCs w:val="42"/>
          <w:color w:val="008000"/>
        </w:rPr>
        <w:t>Securities Trading and SEC Compliance and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-107950</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7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Insider Trading</w:t>
      </w:r>
    </w:p>
    <w:p>
      <w:pPr>
        <w:spacing w:after="0" w:line="14"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9"/>
          <w:szCs w:val="19"/>
          <w:color w:val="auto"/>
        </w:rPr>
        <w:t>The United States securities laws and the Crown Holdings’ Code of Business Conduct and Ethics prohibit Directors, officers and other employees from buying, selling or advising others to buy or sell Crown securities while in possession of non-public, material information and from disclosing such information to others for securities trading purposes. The rule applies to any and all transactions in Crown’s securities, including common stock and options to purchase common stock (unless the employee pays the Company cash to cover the exercise price and withholding tax obligations and does not sell any of the shares acquired upon option exercise of the stock option). This rule also applies to discretionary transactions involving Crown stock within Company benefit plans, such as the Company’s 401(k) Plan, publicly traded notes, and any other types of securities that Crown may issue, such as preferred stock, restricted or deferred stock, convertible debentures, warrants, exchange-traded options and other derivative securities relating to Crown securities (such as “call” or “put” options).</w:t>
      </w:r>
    </w:p>
    <w:p>
      <w:pPr>
        <w:spacing w:after="0" w:line="18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1"/>
          <w:szCs w:val="21"/>
          <w:color w:val="auto"/>
        </w:rPr>
        <w:t>The securities laws also apply to trading in stock of other companies. No one should buy or sell securities or advise others to trade in securities of any company (including customers, suppliers or competitors) based on non-public information. For example, insiders should not trade in the stock of another company that is (or has subsidiaries, assets, or business units that are) an acquisition or merger target of Crown. Crown also strongly discourages all Directors, officers and other insiders from giving trading advice concerning the Company to third parties even when the Director, officer or other insider does not possess material nonpublic information about the Company.</w:t>
      </w:r>
    </w:p>
    <w:p>
      <w:pPr>
        <w:spacing w:after="0" w:line="201"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color w:val="auto"/>
        </w:rPr>
        <w:t>Information is material if it would affect the market price of Crown stock or other securities or the decision of an investor to purchase, sell or hold the securities. This may include information about earnings, mergers and acquisitions, write-offs, dividends, customers, suppliers, pricing, regulatory investigations or proceedings, litigation and product or other significant business developments. Information is non-public until it has been publicly disclosed and evaluated by public investors. Thus, after any significant press release, insiders should allow a reasonable period (normally two business days) to elapse before buying or selling Crown securities.</w:t>
      </w:r>
    </w:p>
    <w:p>
      <w:pPr>
        <w:spacing w:after="0" w:line="21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Any employee who has a concern that a prospective stock transaction may be considered illegal insider trading should seek advice from Crown’s Legal Department.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9660"/>
        <w:spacing w:after="0"/>
        <w:rPr>
          <w:sz w:val="20"/>
          <w:szCs w:val="20"/>
          <w:color w:val="auto"/>
        </w:rPr>
      </w:pPr>
      <w:r>
        <w:rPr>
          <w:rFonts w:ascii="Arial" w:cs="Arial" w:eastAsia="Arial" w:hAnsi="Arial"/>
          <w:sz w:val="16"/>
          <w:szCs w:val="16"/>
          <w:color w:val="auto"/>
        </w:rPr>
        <w:t>Revisions 07/21/2023</w:t>
      </w:r>
    </w:p>
    <w:p>
      <w:pPr>
        <w:sectPr>
          <w:pgSz w:w="11900" w:h="16838" w:orient="portrait"/>
          <w:cols w:equalWidth="0" w:num="1">
            <w:col w:w="11240"/>
          </w:cols>
          <w:pgMar w:left="320" w:top="1440" w:right="339" w:bottom="1440" w:gutter="0" w:footer="0" w:header="0"/>
        </w:sectPr>
      </w:pPr>
    </w:p>
    <w:bookmarkStart w:id="36" w:name="page37"/>
    <w:bookmarkEnd w:id="36"/>
    <w:p>
      <w:pPr>
        <w:spacing w:after="0"/>
        <w:rPr>
          <w:sz w:val="20"/>
          <w:szCs w:val="20"/>
          <w:color w:val="auto"/>
        </w:rPr>
      </w:pPr>
      <w:r>
        <w:rPr>
          <w:rFonts w:ascii="Arial" w:cs="Arial" w:eastAsia="Arial" w:hAnsi="Arial"/>
          <w:sz w:val="22"/>
          <w:szCs w:val="22"/>
          <w:b w:val="1"/>
          <w:bCs w:val="1"/>
          <w:color w:val="auto"/>
        </w:rPr>
        <w:t>Black-Out Period</w:t>
      </w:r>
    </w:p>
    <w:p>
      <w:pPr>
        <w:spacing w:after="0" w:line="23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9"/>
          <w:szCs w:val="19"/>
          <w:color w:val="auto"/>
        </w:rPr>
        <w:t>As a general rule, insiders including Directors, Executive Officers, and other officers who generally have access to material non-public information and who are designated as insiders by the Chief Financial Officer or the General Counsel should not buy or sell Crown stock during each quarterly black-out period. The pre-clearance and black-out requirements of this Policy apply even if that person does not have access to such information at the time of a contemplated transaction. The quarterly black-out period starts during the last two weeks of the final month of each fiscal quarter and ends after the second business day following the publication by the Company of its earnings release for such quarter. The projected black-out dates are marked on the calendar attached to this Policy. However, because the precise date of the publication of the Company’s earnings releases may vary from those marked in the calendar, please confirm the applicable quarterly black-out period prior to any purchase or sale. These timing restrictions also apply to (1) the sale of stock in the market to pay for the exercise of options, (2) transactions by spouses and other relatives living in the same home as well as trusts or estates in which an insider or family member has investment control or pecuniary interest, and (3) gifts. The timing restrictions do not apply to the exercise of stock options paid for in cash. However, the restrictions do apply to the sale of the underlying stock. As a precaution, we nevertheless require that any exercise of options be cleared in advance with the General Counsel.</w:t>
      </w:r>
    </w:p>
    <w:p>
      <w:pPr>
        <w:spacing w:after="0" w:line="193"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9"/>
          <w:szCs w:val="19"/>
          <w:color w:val="auto"/>
        </w:rPr>
        <w:t xml:space="preserve">Outside of the black-out periods, insiders are generally free to trade in Crown stock, so long as they are not in the possession of non-public, material information regarding the Company and there is no black-out period under the Company’s employee benefit or pension plans or any applicable rules of the U.S. Securities and Exchange Commission (the “SEC”). The black-out period for purchases and sales is not a hard-and-fast rule. In certain circumstances, transactions inside the blackout period may well be appropriate, while transactions outside the blackout period may not be advisable. </w:t>
      </w:r>
      <w:r>
        <w:rPr>
          <w:rFonts w:ascii="Arial" w:cs="Arial" w:eastAsia="Arial" w:hAnsi="Arial"/>
          <w:sz w:val="19"/>
          <w:szCs w:val="19"/>
          <w:b w:val="1"/>
          <w:bCs w:val="1"/>
          <w:color w:val="auto"/>
        </w:rPr>
        <w:t>For this reason, any</w:t>
      </w:r>
      <w:r>
        <w:rPr>
          <w:rFonts w:ascii="Arial" w:cs="Arial" w:eastAsia="Arial" w:hAnsi="Arial"/>
          <w:sz w:val="19"/>
          <w:szCs w:val="19"/>
          <w:color w:val="auto"/>
        </w:rPr>
        <w:t xml:space="preserve"> </w:t>
      </w:r>
      <w:r>
        <w:rPr>
          <w:rFonts w:ascii="Arial" w:cs="Arial" w:eastAsia="Arial" w:hAnsi="Arial"/>
          <w:sz w:val="19"/>
          <w:szCs w:val="19"/>
          <w:b w:val="1"/>
          <w:bCs w:val="1"/>
          <w:color w:val="auto"/>
        </w:rPr>
        <w:t>proposed transactions involving Crown stock must be cleared in advance with the General Counsel.</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Standing Orders and 10b5-1 Plans</w:t>
      </w:r>
    </w:p>
    <w:p>
      <w:pPr>
        <w:spacing w:after="0" w:line="239" w:lineRule="exact"/>
        <w:rPr>
          <w:sz w:val="20"/>
          <w:szCs w:val="20"/>
          <w:color w:val="auto"/>
        </w:rPr>
      </w:pPr>
    </w:p>
    <w:p>
      <w:pPr>
        <w:jc w:val="both"/>
        <w:ind w:firstLine="648"/>
        <w:spacing w:after="0" w:line="245" w:lineRule="exact"/>
        <w:rPr>
          <w:sz w:val="20"/>
          <w:szCs w:val="20"/>
          <w:color w:val="auto"/>
        </w:rPr>
      </w:pPr>
      <w:r>
        <w:rPr>
          <w:rFonts w:ascii="Arial" w:cs="Arial" w:eastAsia="Arial" w:hAnsi="Arial"/>
          <w:sz w:val="21"/>
          <w:szCs w:val="21"/>
          <w:color w:val="auto"/>
        </w:rPr>
        <w:t>As the facts known to an insider will necessarily change from time to time (as will the facts available to the public), it is generally inappropriate to place a standing order for the purchase or sale of Crown stock with a broker (for example, a limit order or good-until-canceled order). In addition, any trading plan or other arrangement designed to satisfy the requirements of Rule 10b5</w:t>
      </w:r>
      <w:r>
        <w:rPr>
          <w:rFonts w:ascii="MS PGothic" w:cs="MS PGothic" w:eastAsia="MS PGothic" w:hAnsi="MS PGothic"/>
          <w:sz w:val="21"/>
          <w:szCs w:val="21"/>
          <w:color w:val="auto"/>
        </w:rPr>
        <w:t>‑</w:t>
      </w:r>
      <w:r>
        <w:rPr>
          <w:rFonts w:ascii="Arial" w:cs="Arial" w:eastAsia="Arial" w:hAnsi="Arial"/>
          <w:sz w:val="21"/>
          <w:szCs w:val="21"/>
          <w:color w:val="auto"/>
        </w:rPr>
        <w:t>1 (a “10b5-1 Plan”) must be submitted to the Legal Department for approval, as Crown will be required to make certain disclosures regarding any 10b5-1 Plans in its filings with the SEC. Please note that pursuant Rule 10b5-1(c)(1), no trading may commence under a 10b5-1 Plan for at least 30 days, and potentially up to 120 days (depending on the type of insider seeking to adopt a 10b5-1 Plan and the timing of Crown’s next disclosure of quarterly financial results) after the 10b5-1 Plan was most recently modified or adopted.</w:t>
      </w: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Margin Accounts and Pledging Company Securities</w:t>
      </w:r>
    </w:p>
    <w:p>
      <w:pPr>
        <w:spacing w:after="0" w:line="239"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Generally, securities held in a margin account may be sold by the broker without the customer’s consent if the customer fails to meet a margin call. Likewise, securities pledged to a bank or financial institution may be sold without the customer’s consent if the customer fails to repay the obligation secured by the pledge. Because such sales may occur at a time when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1160"/>
        <w:spacing w:after="0"/>
        <w:rPr>
          <w:sz w:val="20"/>
          <w:szCs w:val="20"/>
          <w:color w:val="auto"/>
        </w:rPr>
      </w:pPr>
      <w:r>
        <w:rPr>
          <w:rFonts w:ascii="Arial" w:cs="Arial" w:eastAsia="Arial" w:hAnsi="Arial"/>
          <w:sz w:val="13"/>
          <w:szCs w:val="13"/>
          <w:color w:val="auto"/>
        </w:rPr>
        <w:t>2</w:t>
      </w:r>
    </w:p>
    <w:p>
      <w:pPr>
        <w:sectPr>
          <w:pgSz w:w="11900" w:h="16838" w:orient="portrait"/>
          <w:cols w:equalWidth="0" w:num="1">
            <w:col w:w="11240"/>
          </w:cols>
          <w:pgMar w:left="320" w:top="1408" w:right="339" w:bottom="1440" w:gutter="0" w:footer="0" w:header="0"/>
        </w:sectPr>
      </w:pPr>
    </w:p>
    <w:bookmarkStart w:id="37" w:name="page38"/>
    <w:bookmarkEnd w:id="37"/>
    <w:p>
      <w:pPr>
        <w:jc w:val="both"/>
        <w:spacing w:after="0" w:line="238" w:lineRule="auto"/>
        <w:rPr>
          <w:sz w:val="20"/>
          <w:szCs w:val="20"/>
          <w:color w:val="auto"/>
        </w:rPr>
      </w:pPr>
      <w:r>
        <w:rPr>
          <w:rFonts w:ascii="Arial" w:cs="Arial" w:eastAsia="Arial" w:hAnsi="Arial"/>
          <w:sz w:val="22"/>
          <w:szCs w:val="22"/>
          <w:color w:val="auto"/>
        </w:rPr>
        <w:t>Director, officer or other insider had material inside information or is otherwise not permitted to trade in Crown securities, the Company prohibits Directors, officers and other insiders from purchasing Crown securities on margin or holding Crown securities in a margin account. Furthermore, Directors, executive officers and other insiders are not permitted to pledge Crown securities.</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Short-Swing Profit Recapture</w:t>
      </w:r>
    </w:p>
    <w:p>
      <w:pPr>
        <w:spacing w:after="0" w:line="239"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22"/>
          <w:szCs w:val="22"/>
          <w:color w:val="auto"/>
        </w:rPr>
        <w:t>Under the regulations enacted by the SEC, the short-swing profit recapture and reporting rules apply to Directors, executive officers and 10% shareholders.</w:t>
      </w:r>
    </w:p>
    <w:p>
      <w:pPr>
        <w:spacing w:after="0" w:line="21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21"/>
          <w:szCs w:val="21"/>
          <w:color w:val="auto"/>
        </w:rPr>
        <w:t>The general rule is that any profit made by a Director, executive officer or 10% shareholder from any purchase and sale of Crown stock within a six-month period is recoverable by the Company. This includes any two transactions of an opposite nature (a purchase and a sale) however unrelated and regardless of the order in which they occurred.</w:t>
      </w:r>
    </w:p>
    <w:p>
      <w:pPr>
        <w:spacing w:after="0" w:line="196"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9"/>
          <w:szCs w:val="19"/>
          <w:color w:val="auto"/>
        </w:rPr>
        <w:t>Under the SEC regulations, however, certain transactions that are not open-market purchases and sales of Crown stock will not result in short-swing profits that are subject to recapture by the Company. The following transactions will not generate short-swing profits subject to recapture: (1) the grant and exercise of stock options approved by the Compensation Committee under the Crown Stock Option Plans, (2) the use of Crown stock as payment to the Company, subject to preapproval by the Compensation Committee, for the exercise of a stock option, (3) the sale of restricted or deferred stock back to the Company, subject to preapproval by the Compensation Committee, to cover tax withholding obligations, and (4) gifts.</w:t>
      </w:r>
    </w:p>
    <w:p>
      <w:pPr>
        <w:spacing w:after="0" w:line="177" w:lineRule="exact"/>
        <w:rPr>
          <w:sz w:val="20"/>
          <w:szCs w:val="20"/>
          <w:color w:val="auto"/>
        </w:rPr>
      </w:pPr>
    </w:p>
    <w:p>
      <w:pPr>
        <w:jc w:val="both"/>
        <w:ind w:firstLine="648"/>
        <w:spacing w:after="0" w:line="245" w:lineRule="auto"/>
        <w:rPr>
          <w:sz w:val="20"/>
          <w:szCs w:val="20"/>
          <w:color w:val="auto"/>
        </w:rPr>
      </w:pPr>
      <w:r>
        <w:rPr>
          <w:rFonts w:ascii="Arial" w:cs="Arial" w:eastAsia="Arial" w:hAnsi="Arial"/>
          <w:sz w:val="21"/>
          <w:szCs w:val="21"/>
          <w:color w:val="auto"/>
        </w:rPr>
        <w:t>Thus, an executive officer may exercise a stock option and immediately sell any amount of Crown stock because the exercise of the option is exempt and therefore is not matched against the sale to generate short-swing profits. However, any non-exempt purchase of Company stock within six months before or after a sale of stock in conjunction with exercise of a stock option can be matched with such sale to produce recapturable short-swing profit. (Also remember, that the sale of stock in connection with exercise of a Company stock option may nevertheless be prohibited insider trading if, at the time of the sale, the executive officer is in possession of material non-public information.)</w:t>
      </w:r>
    </w:p>
    <w:p>
      <w:pPr>
        <w:spacing w:after="0" w:line="208"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A purchase or sale of Crown stock after a person has ceased to be a Director or executive officer can still be matched against an opposite transaction occurring during the preceding six months while that person was a Director or executive officer. Transactions by members of a Director’s, officer’s or 10% shareholder’s immediate family and certain other affiliated entities may be attributed to the Director, executive officer or 10% shareholder. See the explanation of “beneficial ownership” below under Reporting of Transactions on Forms 3, 4 and 5.</w:t>
      </w:r>
    </w:p>
    <w:p>
      <w:pPr>
        <w:spacing w:after="0" w:line="19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Short Sales and Trading in Third Party Options and Hedging Transactions</w:t>
      </w:r>
    </w:p>
    <w:p>
      <w:pPr>
        <w:spacing w:after="0" w:line="239"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Directors, executive officers and 10% shareholders may not make short sales of Crown stock. A “short sale” is one in which the seller does not own the security sold, but borrows the security and sells it expecting a decline in its price. Directors, executive officers and other insiders should not trade in “call” or “put” options on Crown stock or otherwise engage in hedging transactions relating to Crown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1160"/>
        <w:spacing w:after="0"/>
        <w:rPr>
          <w:sz w:val="20"/>
          <w:szCs w:val="20"/>
          <w:color w:val="auto"/>
        </w:rPr>
      </w:pPr>
      <w:r>
        <w:rPr>
          <w:rFonts w:ascii="Arial" w:cs="Arial" w:eastAsia="Arial" w:hAnsi="Arial"/>
          <w:sz w:val="13"/>
          <w:szCs w:val="13"/>
          <w:color w:val="auto"/>
        </w:rPr>
        <w:t>3</w:t>
      </w:r>
    </w:p>
    <w:p>
      <w:pPr>
        <w:sectPr>
          <w:pgSz w:w="11900" w:h="16838" w:orient="portrait"/>
          <w:cols w:equalWidth="0" w:num="1">
            <w:col w:w="11240"/>
          </w:cols>
          <w:pgMar w:left="320" w:top="1414" w:right="339" w:bottom="1440" w:gutter="0" w:footer="0" w:header="0"/>
        </w:sectPr>
      </w:pPr>
    </w:p>
    <w:bookmarkStart w:id="38" w:name="page39"/>
    <w:bookmarkEnd w:id="38"/>
    <w:p>
      <w:pPr>
        <w:spacing w:after="0"/>
        <w:rPr>
          <w:sz w:val="20"/>
          <w:szCs w:val="20"/>
          <w:color w:val="auto"/>
        </w:rPr>
      </w:pPr>
      <w:r>
        <w:rPr>
          <w:rFonts w:ascii="Arial" w:cs="Arial" w:eastAsia="Arial" w:hAnsi="Arial"/>
          <w:sz w:val="22"/>
          <w:szCs w:val="22"/>
          <w:b w:val="1"/>
          <w:bCs w:val="1"/>
          <w:color w:val="auto"/>
        </w:rPr>
        <w:t>Reporting of Transactions on Forms 3, 4 and 5</w:t>
      </w:r>
    </w:p>
    <w:p>
      <w:pPr>
        <w:spacing w:after="0" w:line="239"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color w:val="auto"/>
        </w:rPr>
        <w:t>Directors, executive officers and 10% shareholders must file the following reports with the SEC and New York Stock Exchange disclosing their beneficial holdings of Crown stock and any changes in those holdings. Crown’s Legal Department will file these forms on behalf of Directors and executive officers. Beneficial ownership includes stock owned directly, stock owned through Crown’s 401(k) Savings Plan, Company stock options, restricted or deferred stock, performance shares, stock owned by one’s spouse or one’s relatives living in the same home, and may also include stock held by a trust, estate or other entity in which one has an interest.</w:t>
      </w:r>
    </w:p>
    <w:p>
      <w:pPr>
        <w:spacing w:after="0" w:line="209" w:lineRule="exact"/>
        <w:rPr>
          <w:sz w:val="20"/>
          <w:szCs w:val="20"/>
          <w:color w:val="auto"/>
        </w:rPr>
      </w:pPr>
    </w:p>
    <w:p>
      <w:pPr>
        <w:ind w:left="940" w:hanging="284"/>
        <w:spacing w:after="0"/>
        <w:tabs>
          <w:tab w:leader="none" w:pos="940" w:val="left"/>
        </w:tabs>
        <w:numPr>
          <w:ilvl w:val="0"/>
          <w:numId w:val="21"/>
        </w:numPr>
        <w:rPr>
          <w:rFonts w:ascii="Arial" w:cs="Arial" w:eastAsia="Arial" w:hAnsi="Arial"/>
          <w:sz w:val="22"/>
          <w:szCs w:val="22"/>
          <w:color w:val="auto"/>
        </w:rPr>
      </w:pPr>
      <w:r>
        <w:rPr>
          <w:rFonts w:ascii="Arial" w:cs="Arial" w:eastAsia="Arial" w:hAnsi="Arial"/>
          <w:sz w:val="22"/>
          <w:szCs w:val="22"/>
          <w:b w:val="1"/>
          <w:bCs w:val="1"/>
          <w:color w:val="auto"/>
        </w:rPr>
        <w:t>Form 3: Initial Statement of Ownership</w:t>
      </w:r>
    </w:p>
    <w:p>
      <w:pPr>
        <w:spacing w:after="0" w:line="239" w:lineRule="exact"/>
        <w:rPr>
          <w:sz w:val="20"/>
          <w:szCs w:val="20"/>
          <w:color w:val="auto"/>
        </w:rPr>
      </w:pPr>
    </w:p>
    <w:p>
      <w:pPr>
        <w:jc w:val="both"/>
        <w:ind w:left="1300"/>
        <w:spacing w:after="0"/>
        <w:rPr>
          <w:sz w:val="20"/>
          <w:szCs w:val="20"/>
          <w:color w:val="auto"/>
        </w:rPr>
      </w:pPr>
      <w:r>
        <w:rPr>
          <w:rFonts w:ascii="Arial" w:cs="Arial" w:eastAsia="Arial" w:hAnsi="Arial"/>
          <w:sz w:val="22"/>
          <w:szCs w:val="22"/>
          <w:color w:val="auto"/>
        </w:rPr>
        <w:t>Form 3 must be filed within 10 days of election as a Director or executive officer or becoming a 10% shareholder. Form 3 must be filed even if the Director or executive officer has no beneficial holding of Crown stock at the time of election.</w:t>
      </w:r>
    </w:p>
    <w:p>
      <w:pPr>
        <w:spacing w:after="0" w:line="194" w:lineRule="exact"/>
        <w:rPr>
          <w:sz w:val="20"/>
          <w:szCs w:val="20"/>
          <w:color w:val="auto"/>
        </w:rPr>
      </w:pPr>
    </w:p>
    <w:p>
      <w:pPr>
        <w:ind w:left="960" w:hanging="304"/>
        <w:spacing w:after="0"/>
        <w:tabs>
          <w:tab w:leader="none" w:pos="960" w:val="left"/>
        </w:tabs>
        <w:numPr>
          <w:ilvl w:val="0"/>
          <w:numId w:val="22"/>
        </w:numPr>
        <w:rPr>
          <w:rFonts w:ascii="Arial" w:cs="Arial" w:eastAsia="Arial" w:hAnsi="Arial"/>
          <w:sz w:val="22"/>
          <w:szCs w:val="22"/>
          <w:color w:val="auto"/>
        </w:rPr>
      </w:pPr>
      <w:r>
        <w:rPr>
          <w:rFonts w:ascii="Arial" w:cs="Arial" w:eastAsia="Arial" w:hAnsi="Arial"/>
          <w:sz w:val="22"/>
          <w:szCs w:val="22"/>
          <w:b w:val="1"/>
          <w:bCs w:val="1"/>
          <w:color w:val="auto"/>
        </w:rPr>
        <w:t>Form 4: Statement of Changes in Beneficial Ownership</w:t>
      </w:r>
    </w:p>
    <w:p>
      <w:pPr>
        <w:spacing w:after="0" w:line="239" w:lineRule="exact"/>
        <w:rPr>
          <w:sz w:val="20"/>
          <w:szCs w:val="20"/>
          <w:color w:val="auto"/>
        </w:rPr>
      </w:pPr>
    </w:p>
    <w:p>
      <w:pPr>
        <w:jc w:val="both"/>
        <w:ind w:left="1300"/>
        <w:spacing w:after="0" w:line="236" w:lineRule="auto"/>
        <w:rPr>
          <w:sz w:val="20"/>
          <w:szCs w:val="20"/>
          <w:color w:val="auto"/>
        </w:rPr>
      </w:pPr>
      <w:r>
        <w:rPr>
          <w:rFonts w:ascii="Arial" w:cs="Arial" w:eastAsia="Arial" w:hAnsi="Arial"/>
          <w:sz w:val="22"/>
          <w:szCs w:val="22"/>
          <w:color w:val="auto"/>
        </w:rPr>
        <w:t>Form 4 must be filed within 2 business days after the date on which a transaction involving Crown stock occurs (except certain exempted transactions). Transactions requiring filing of a Form 4 include quarterly grants of Director stock compensation, open-market purchase or sales of Company stock, restricted or deferred stock grants, tax withholdings associated with the vesting of restricted or deferred stock to satisfy tax obligations, stock option grants and the exercise of stock options.</w:t>
      </w:r>
    </w:p>
    <w:p>
      <w:pPr>
        <w:spacing w:after="0" w:line="214" w:lineRule="exact"/>
        <w:rPr>
          <w:sz w:val="20"/>
          <w:szCs w:val="20"/>
          <w:color w:val="auto"/>
        </w:rPr>
      </w:pPr>
    </w:p>
    <w:p>
      <w:pPr>
        <w:jc w:val="both"/>
        <w:ind w:left="1300"/>
        <w:spacing w:after="0" w:line="252" w:lineRule="auto"/>
        <w:rPr>
          <w:sz w:val="20"/>
          <w:szCs w:val="20"/>
          <w:color w:val="auto"/>
        </w:rPr>
      </w:pPr>
      <w:r>
        <w:rPr>
          <w:rFonts w:ascii="Arial" w:cs="Arial" w:eastAsia="Arial" w:hAnsi="Arial"/>
          <w:sz w:val="21"/>
          <w:szCs w:val="21"/>
          <w:color w:val="auto"/>
        </w:rPr>
        <w:t>Note that Directors and executive officers are still required to file Form 4’s for certain transactions occurring within six months after leaving the Board or ceasing to be an executive officer that are matchable with non-exempt transactions within six months while the individual was serving as a Director or executive officer (for example, a market purchase that can be matched against a market sale).</w:t>
      </w:r>
    </w:p>
    <w:p>
      <w:pPr>
        <w:spacing w:after="0" w:line="195" w:lineRule="exact"/>
        <w:rPr>
          <w:sz w:val="20"/>
          <w:szCs w:val="20"/>
          <w:color w:val="auto"/>
        </w:rPr>
      </w:pPr>
    </w:p>
    <w:p>
      <w:pPr>
        <w:ind w:left="940" w:hanging="284"/>
        <w:spacing w:after="0"/>
        <w:tabs>
          <w:tab w:leader="none" w:pos="940" w:val="left"/>
        </w:tabs>
        <w:numPr>
          <w:ilvl w:val="0"/>
          <w:numId w:val="23"/>
        </w:numPr>
        <w:rPr>
          <w:rFonts w:ascii="Arial" w:cs="Arial" w:eastAsia="Arial" w:hAnsi="Arial"/>
          <w:sz w:val="22"/>
          <w:szCs w:val="22"/>
          <w:color w:val="auto"/>
        </w:rPr>
      </w:pPr>
      <w:r>
        <w:rPr>
          <w:rFonts w:ascii="Arial" w:cs="Arial" w:eastAsia="Arial" w:hAnsi="Arial"/>
          <w:sz w:val="22"/>
          <w:szCs w:val="22"/>
          <w:b w:val="1"/>
          <w:bCs w:val="1"/>
          <w:color w:val="auto"/>
        </w:rPr>
        <w:t>Form 5: Annual Statement of Changes in Beneficial Ownership</w:t>
      </w:r>
    </w:p>
    <w:p>
      <w:pPr>
        <w:spacing w:after="0" w:line="226" w:lineRule="exact"/>
        <w:rPr>
          <w:sz w:val="20"/>
          <w:szCs w:val="20"/>
          <w:color w:val="auto"/>
        </w:rPr>
      </w:pPr>
    </w:p>
    <w:p>
      <w:pPr>
        <w:jc w:val="both"/>
        <w:ind w:left="1300"/>
        <w:spacing w:after="0"/>
        <w:rPr>
          <w:sz w:val="20"/>
          <w:szCs w:val="20"/>
          <w:color w:val="auto"/>
        </w:rPr>
      </w:pPr>
      <w:r>
        <w:rPr>
          <w:rFonts w:ascii="Arial" w:cs="Arial" w:eastAsia="Arial" w:hAnsi="Arial"/>
          <w:sz w:val="22"/>
          <w:szCs w:val="22"/>
          <w:color w:val="auto"/>
        </w:rPr>
        <w:t>A Form 5 must be filed by February 14 of each year to report transactions involving Company stock in the prior year that were exempt from prior reporting and not reported on Form 4 or that should have been reported but were not.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11160"/>
        <w:spacing w:after="0"/>
        <w:rPr>
          <w:sz w:val="20"/>
          <w:szCs w:val="20"/>
          <w:color w:val="auto"/>
        </w:rPr>
      </w:pPr>
      <w:r>
        <w:rPr>
          <w:rFonts w:ascii="Arial" w:cs="Arial" w:eastAsia="Arial" w:hAnsi="Arial"/>
          <w:sz w:val="13"/>
          <w:szCs w:val="13"/>
          <w:color w:val="auto"/>
        </w:rPr>
        <w:t>4</w:t>
      </w:r>
    </w:p>
    <w:p>
      <w:pPr>
        <w:sectPr>
          <w:pgSz w:w="11900" w:h="16838" w:orient="portrait"/>
          <w:cols w:equalWidth="0" w:num="1">
            <w:col w:w="11240"/>
          </w:cols>
          <w:pgMar w:left="320" w:top="1408" w:right="339" w:bottom="1440" w:gutter="0" w:footer="0" w:header="0"/>
        </w:sectPr>
      </w:pPr>
    </w:p>
    <w:bookmarkStart w:id="39" w:name="page40"/>
    <w:bookmarkEnd w:id="39"/>
    <w:p>
      <w:pPr>
        <w:spacing w:after="0" w:line="218"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Crown will be required to identify in its proxy statement any Director, Section 16 “insider” or 10% shareholder known to have failed during the past year to report a transaction or holding of Crown stock within the time periods required by the SEC regulations. The purpose of this requirement (as well as the threat of enforcement action against delinquent filers) is to force Directors, Section 16 “insiders” and 10% shareholders to comply with the reporting requirements in a timely manner.</w:t>
      </w:r>
    </w:p>
    <w:p>
      <w:pPr>
        <w:spacing w:after="0" w:line="170"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9"/>
          <w:szCs w:val="19"/>
          <w:color w:val="auto"/>
        </w:rPr>
        <w:t xml:space="preserve">Because of the complexity of the rules and the importance of filing timely reports, the Legal Department will prepare and file all the required reports of Directors and Section 16 “insiders,” unless an individual Director advises the Legal Department in writing that he or she will prepare and file his or her own reports. </w:t>
      </w:r>
      <w:r>
        <w:rPr>
          <w:rFonts w:ascii="Arial" w:cs="Arial" w:eastAsia="Arial" w:hAnsi="Arial"/>
          <w:sz w:val="19"/>
          <w:szCs w:val="19"/>
          <w:b w:val="1"/>
          <w:bCs w:val="1"/>
          <w:color w:val="auto"/>
        </w:rPr>
        <w:t>Directors and Section 16 “insiders” must submit a request</w:t>
      </w:r>
      <w:r>
        <w:rPr>
          <w:rFonts w:ascii="Arial" w:cs="Arial" w:eastAsia="Arial" w:hAnsi="Arial"/>
          <w:sz w:val="19"/>
          <w:szCs w:val="19"/>
          <w:color w:val="auto"/>
        </w:rPr>
        <w:t xml:space="preserve"> </w:t>
      </w:r>
      <w:r>
        <w:rPr>
          <w:rFonts w:ascii="Arial" w:cs="Arial" w:eastAsia="Arial" w:hAnsi="Arial"/>
          <w:sz w:val="19"/>
          <w:szCs w:val="19"/>
          <w:b w:val="1"/>
          <w:bCs w:val="1"/>
          <w:color w:val="auto"/>
        </w:rPr>
        <w:t>for pre-clearance to the Legal Department at least two days prior to any proposed transaction involving Crown stock (including transactions by immediate family members, trusts or others that would be attributed to them under the SEC rules)</w:t>
      </w:r>
      <w:r>
        <w:rPr>
          <w:rFonts w:ascii="Arial" w:cs="Arial" w:eastAsia="Arial" w:hAnsi="Arial"/>
          <w:sz w:val="19"/>
          <w:szCs w:val="19"/>
          <w:color w:val="auto"/>
        </w:rPr>
        <w:t>. After the transaction is pre-cleared, in cases where the Company does not have a valid power-of-attorney, the Directors</w:t>
      </w:r>
      <w:r>
        <w:rPr>
          <w:rFonts w:ascii="Arial" w:cs="Arial" w:eastAsia="Arial" w:hAnsi="Arial"/>
          <w:sz w:val="19"/>
          <w:szCs w:val="19"/>
          <w:b w:val="1"/>
          <w:bCs w:val="1"/>
          <w:color w:val="auto"/>
        </w:rPr>
        <w:t xml:space="preserve"> </w:t>
      </w:r>
      <w:r>
        <w:rPr>
          <w:rFonts w:ascii="Arial" w:cs="Arial" w:eastAsia="Arial" w:hAnsi="Arial"/>
          <w:sz w:val="19"/>
          <w:szCs w:val="19"/>
          <w:color w:val="auto"/>
        </w:rPr>
        <w:t>and Section 16 “insiders” will be asked to sign the required reports before they are filed with the SEC.</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Rule 144</w:t>
      </w:r>
    </w:p>
    <w:p>
      <w:pPr>
        <w:spacing w:after="0" w:line="239"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Directors and Section 16 “insiders” must also comply with SEC Rule 144 that requires them to file a Form 144 in connection with any open-market sale of Company stock. The broker handling the sale of Crown stock should be advised that a “Rule 144 sale” is being made and that a Form 144 should be filed by the broker with the SEC and New York Stock Exchange when the order is placed. Form 144 includes a certificate that the seller does not know of any material adverse non-public information about the Company.</w:t>
      </w:r>
    </w:p>
    <w:p>
      <w:pPr>
        <w:spacing w:after="0" w:line="19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Restrictions on Purchases of Company Stock</w:t>
      </w:r>
    </w:p>
    <w:p>
      <w:pPr>
        <w:spacing w:after="0" w:line="239" w:lineRule="exact"/>
        <w:rPr>
          <w:sz w:val="20"/>
          <w:szCs w:val="20"/>
          <w:color w:val="auto"/>
        </w:rPr>
      </w:pPr>
    </w:p>
    <w:p>
      <w:pPr>
        <w:jc w:val="both"/>
        <w:ind w:firstLine="648"/>
        <w:spacing w:after="0" w:line="247" w:lineRule="exact"/>
        <w:rPr>
          <w:sz w:val="20"/>
          <w:szCs w:val="20"/>
          <w:color w:val="auto"/>
        </w:rPr>
      </w:pPr>
      <w:r>
        <w:rPr>
          <w:rFonts w:ascii="Arial" w:cs="Arial" w:eastAsia="Arial" w:hAnsi="Arial"/>
          <w:sz w:val="22"/>
          <w:szCs w:val="22"/>
          <w:color w:val="auto"/>
        </w:rPr>
        <w:t>In order to prevent market manipulation, the SEC has adopted Regulation M and Rule 10b</w:t>
      </w:r>
      <w:r>
        <w:rPr>
          <w:rFonts w:ascii="MS PGothic" w:cs="MS PGothic" w:eastAsia="MS PGothic" w:hAnsi="MS PGothic"/>
          <w:sz w:val="22"/>
          <w:szCs w:val="22"/>
          <w:color w:val="auto"/>
        </w:rPr>
        <w:t>‑</w:t>
      </w:r>
      <w:r>
        <w:rPr>
          <w:rFonts w:ascii="Arial" w:cs="Arial" w:eastAsia="Arial" w:hAnsi="Arial"/>
          <w:sz w:val="22"/>
          <w:szCs w:val="22"/>
          <w:color w:val="auto"/>
        </w:rPr>
        <w:t>18. Regulation M generally prohibits Crown or any of its affiliates from buying Crown stock in the open market during certain periods while a public offering is taking place. Rule 10b-18 sets forth guidelines for purchases of Crown stock by Crown or its affiliates while a stock buyback program is occurring. While the guidelines are optional, compliance with them provides immunity from a stock manipulation (as opposed to anti-fraud) charge. As with any other transaction in the Company’s securities, Directors, officers and other insiders should consult with the Legal Department prior to purchasing Crown stock during any period that Crown is making a public offering or buying stock from the public.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1440" w:right="339" w:bottom="1440" w:gutter="0" w:footer="0" w:header="0"/>
        </w:sectPr>
      </w:pPr>
    </w:p>
    <w:bookmarkStart w:id="40" w:name="page41"/>
    <w:bookmarkEnd w:id="40"/>
    <w:p>
      <w:pPr>
        <w:jc w:val="center"/>
        <w:ind w:right="-99"/>
        <w:spacing w:after="0"/>
        <w:rPr>
          <w:sz w:val="20"/>
          <w:szCs w:val="20"/>
          <w:color w:val="auto"/>
        </w:rPr>
      </w:pPr>
      <w:r>
        <w:rPr>
          <w:rFonts w:ascii="Arial" w:cs="Arial" w:eastAsia="Arial" w:hAnsi="Arial"/>
          <w:sz w:val="25"/>
          <w:szCs w:val="25"/>
          <w:b w:val="1"/>
          <w:bCs w:val="1"/>
          <w:color w:val="auto"/>
        </w:rPr>
        <w:t>Exhibit 22 - List of Guarantor Subsidiaries</w:t>
      </w:r>
    </w:p>
    <w:p>
      <w:pPr>
        <w:spacing w:after="0" w:line="259" w:lineRule="exact"/>
        <w:rPr>
          <w:sz w:val="20"/>
          <w:szCs w:val="20"/>
          <w:color w:val="auto"/>
        </w:rPr>
      </w:pPr>
    </w:p>
    <w:p>
      <w:pPr>
        <w:spacing w:after="0" w:line="274" w:lineRule="auto"/>
        <w:rPr>
          <w:sz w:val="20"/>
          <w:szCs w:val="20"/>
          <w:color w:val="auto"/>
        </w:rPr>
      </w:pPr>
      <w:r>
        <w:rPr>
          <w:rFonts w:ascii="Arial" w:cs="Arial" w:eastAsia="Arial" w:hAnsi="Arial"/>
          <w:sz w:val="20"/>
          <w:szCs w:val="20"/>
          <w:color w:val="auto"/>
        </w:rPr>
        <w:t>The following subsidiaries of Crown Holdings, Inc. (the "Company") were, as of June 30, 2023, guarantors of the Company's $350 principal 7.375% senior notes due 2026 and $40 principal 7.5% senior notes due 2096:</w:t>
      </w:r>
    </w:p>
    <w:tbl>
      <w:tblPr>
        <w:tblLayout w:type="fixed"/>
        <w:tblInd w:w="110" w:type="dxa"/>
        <w:tblCellMar>
          <w:top w:w="0" w:type="dxa"/>
          <w:left w:w="0" w:type="dxa"/>
          <w:bottom w:w="0" w:type="dxa"/>
          <w:right w:w="0" w:type="dxa"/>
        </w:tblCellMar>
      </w:tblPr>
      <w:tr>
        <w:trPr>
          <w:trHeight w:val="187"/>
        </w:trPr>
        <w:tc>
          <w:tcPr>
            <w:tcW w:w="3640" w:type="dxa"/>
            <w:vAlign w:val="bottom"/>
            <w:tcBorders>
              <w:top w:val="single" w:sz="8" w:color="auto"/>
              <w:left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3640" w:type="dxa"/>
            <w:vAlign w:val="bottom"/>
            <w:tcBorders>
              <w:top w:val="single" w:sz="8" w:color="auto"/>
              <w:right w:val="single" w:sz="8" w:color="auto"/>
            </w:tcBorders>
          </w:tcPr>
          <w:p>
            <w:pPr>
              <w:spacing w:after="0"/>
              <w:rPr>
                <w:sz w:val="16"/>
                <w:szCs w:val="16"/>
                <w:color w:val="auto"/>
              </w:rPr>
            </w:pPr>
          </w:p>
        </w:tc>
        <w:tc>
          <w:tcPr>
            <w:tcW w:w="3180" w:type="dxa"/>
            <w:vAlign w:val="bottom"/>
            <w:tcBorders>
              <w:top w:val="single" w:sz="8" w:color="auto"/>
              <w:right w:val="single" w:sz="8" w:color="auto"/>
            </w:tcBorders>
            <w:gridSpan w:val="3"/>
          </w:tcPr>
          <w:p>
            <w:pPr>
              <w:jc w:val="center"/>
              <w:ind w:right="20"/>
              <w:spacing w:after="0" w:line="187" w:lineRule="exact"/>
              <w:rPr>
                <w:sz w:val="20"/>
                <w:szCs w:val="20"/>
                <w:color w:val="auto"/>
              </w:rPr>
            </w:pPr>
            <w:r>
              <w:rPr>
                <w:rFonts w:ascii="Arial" w:cs="Arial" w:eastAsia="Arial" w:hAnsi="Arial"/>
                <w:sz w:val="20"/>
                <w:szCs w:val="20"/>
                <w:b w:val="1"/>
                <w:bCs w:val="1"/>
                <w:color w:val="auto"/>
                <w:w w:val="97"/>
              </w:rPr>
              <w:t>STATE OR COUNTRY OF</w:t>
            </w:r>
          </w:p>
        </w:tc>
        <w:tc>
          <w:tcPr>
            <w:tcW w:w="0" w:type="dxa"/>
            <w:vAlign w:val="bottom"/>
          </w:tcPr>
          <w:p>
            <w:pPr>
              <w:spacing w:after="0"/>
              <w:rPr>
                <w:sz w:val="1"/>
                <w:szCs w:val="1"/>
                <w:color w:val="auto"/>
              </w:rPr>
            </w:pPr>
          </w:p>
        </w:tc>
      </w:tr>
      <w:tr>
        <w:trPr>
          <w:trHeight w:val="193"/>
        </w:trPr>
        <w:tc>
          <w:tcPr>
            <w:tcW w:w="7880" w:type="dxa"/>
            <w:vAlign w:val="bottom"/>
            <w:tcBorders>
              <w:left w:val="single" w:sz="8" w:color="auto"/>
              <w:right w:val="single" w:sz="8" w:color="auto"/>
            </w:tcBorders>
            <w:gridSpan w:val="3"/>
            <w:vMerge w:val="restart"/>
          </w:tcPr>
          <w:p>
            <w:pPr>
              <w:ind w:left="3640"/>
              <w:spacing w:after="0"/>
              <w:rPr>
                <w:sz w:val="20"/>
                <w:szCs w:val="20"/>
                <w:color w:val="auto"/>
              </w:rPr>
            </w:pPr>
            <w:r>
              <w:rPr>
                <w:rFonts w:ascii="Arial" w:cs="Arial" w:eastAsia="Arial" w:hAnsi="Arial"/>
                <w:sz w:val="20"/>
                <w:szCs w:val="20"/>
                <w:b w:val="1"/>
                <w:bCs w:val="1"/>
                <w:color w:val="auto"/>
              </w:rPr>
              <w:t>NAME</w:t>
            </w:r>
          </w:p>
        </w:tc>
        <w:tc>
          <w:tcPr>
            <w:tcW w:w="3180" w:type="dxa"/>
            <w:vAlign w:val="bottom"/>
            <w:tcBorders>
              <w:right w:val="single" w:sz="8" w:color="auto"/>
            </w:tcBorders>
            <w:gridSpan w:val="3"/>
          </w:tcPr>
          <w:p>
            <w:pPr>
              <w:jc w:val="center"/>
              <w:ind w:right="40"/>
              <w:spacing w:after="0" w:line="193" w:lineRule="exact"/>
              <w:rPr>
                <w:sz w:val="20"/>
                <w:szCs w:val="20"/>
                <w:color w:val="auto"/>
              </w:rPr>
            </w:pPr>
            <w:r>
              <w:rPr>
                <w:rFonts w:ascii="Arial" w:cs="Arial" w:eastAsia="Arial" w:hAnsi="Arial"/>
                <w:sz w:val="20"/>
                <w:szCs w:val="20"/>
                <w:b w:val="1"/>
                <w:bCs w:val="1"/>
                <w:color w:val="auto"/>
              </w:rPr>
              <w:t>INCORPORATION OR</w:t>
            </w:r>
          </w:p>
        </w:tc>
        <w:tc>
          <w:tcPr>
            <w:tcW w:w="0" w:type="dxa"/>
            <w:vAlign w:val="bottom"/>
          </w:tcPr>
          <w:p>
            <w:pPr>
              <w:spacing w:after="0"/>
              <w:rPr>
                <w:sz w:val="1"/>
                <w:szCs w:val="1"/>
                <w:color w:val="auto"/>
              </w:rPr>
            </w:pPr>
          </w:p>
        </w:tc>
      </w:tr>
      <w:tr>
        <w:trPr>
          <w:trHeight w:val="212"/>
        </w:trPr>
        <w:tc>
          <w:tcPr>
            <w:tcW w:w="7880" w:type="dxa"/>
            <w:vAlign w:val="bottom"/>
            <w:tcBorders>
              <w:left w:val="single" w:sz="8" w:color="auto"/>
              <w:right w:val="single" w:sz="8" w:color="auto"/>
            </w:tcBorders>
            <w:gridSpan w:val="3"/>
            <w:vMerge w:val="continue"/>
          </w:tcPr>
          <w:p>
            <w:pPr>
              <w:spacing w:after="0"/>
              <w:rPr>
                <w:sz w:val="18"/>
                <w:szCs w:val="18"/>
                <w:color w:val="auto"/>
              </w:rPr>
            </w:pPr>
          </w:p>
        </w:tc>
        <w:tc>
          <w:tcPr>
            <w:tcW w:w="780" w:type="dxa"/>
            <w:vAlign w:val="bottom"/>
          </w:tcPr>
          <w:p>
            <w:pPr>
              <w:spacing w:after="0"/>
              <w:rPr>
                <w:sz w:val="18"/>
                <w:szCs w:val="18"/>
                <w:color w:val="auto"/>
              </w:rPr>
            </w:pPr>
          </w:p>
        </w:tc>
        <w:tc>
          <w:tcPr>
            <w:tcW w:w="2400" w:type="dxa"/>
            <w:vAlign w:val="bottom"/>
            <w:tcBorders>
              <w:right w:val="single" w:sz="8" w:color="auto"/>
            </w:tcBorders>
            <w:gridSpan w:val="2"/>
          </w:tcPr>
          <w:p>
            <w:pPr>
              <w:jc w:val="center"/>
              <w:ind w:right="820"/>
              <w:spacing w:after="0" w:line="212" w:lineRule="exact"/>
              <w:rPr>
                <w:sz w:val="20"/>
                <w:szCs w:val="20"/>
                <w:color w:val="auto"/>
              </w:rPr>
            </w:pPr>
            <w:r>
              <w:rPr>
                <w:rFonts w:ascii="Arial" w:cs="Arial" w:eastAsia="Arial" w:hAnsi="Arial"/>
                <w:sz w:val="20"/>
                <w:szCs w:val="20"/>
                <w:b w:val="1"/>
                <w:bCs w:val="1"/>
                <w:color w:val="auto"/>
              </w:rPr>
              <w:t>ORGANIZATION</w:t>
            </w:r>
          </w:p>
        </w:tc>
        <w:tc>
          <w:tcPr>
            <w:tcW w:w="0" w:type="dxa"/>
            <w:vAlign w:val="bottom"/>
          </w:tcPr>
          <w:p>
            <w:pPr>
              <w:spacing w:after="0"/>
              <w:rPr>
                <w:sz w:val="1"/>
                <w:szCs w:val="1"/>
                <w:color w:val="auto"/>
              </w:rPr>
            </w:pPr>
          </w:p>
        </w:tc>
      </w:tr>
      <w:tr>
        <w:trPr>
          <w:trHeight w:val="34"/>
        </w:trPr>
        <w:tc>
          <w:tcPr>
            <w:tcW w:w="3640" w:type="dxa"/>
            <w:vAlign w:val="bottom"/>
            <w:tcBorders>
              <w:left w:val="single" w:sz="8" w:color="auto"/>
              <w:bottom w:val="single" w:sz="8" w:color="auto"/>
            </w:tcBorders>
          </w:tcPr>
          <w:p>
            <w:pPr>
              <w:spacing w:after="0"/>
              <w:rPr>
                <w:sz w:val="2"/>
                <w:szCs w:val="2"/>
                <w:color w:val="auto"/>
              </w:rPr>
            </w:pPr>
          </w:p>
        </w:tc>
        <w:tc>
          <w:tcPr>
            <w:tcW w:w="600" w:type="dxa"/>
            <w:vAlign w:val="bottom"/>
            <w:tcBorders>
              <w:top w:val="single" w:sz="8" w:color="auto"/>
              <w:bottom w:val="single" w:sz="8" w:color="auto"/>
            </w:tcBorders>
          </w:tcPr>
          <w:p>
            <w:pPr>
              <w:spacing w:after="0"/>
              <w:rPr>
                <w:sz w:val="2"/>
                <w:szCs w:val="2"/>
                <w:color w:val="auto"/>
              </w:rPr>
            </w:pPr>
          </w:p>
        </w:tc>
        <w:tc>
          <w:tcPr>
            <w:tcW w:w="364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580" w:type="dxa"/>
            <w:vAlign w:val="bottom"/>
            <w:tcBorders>
              <w:top w:val="single" w:sz="8" w:color="auto"/>
              <w:bottom w:val="single" w:sz="8" w:color="auto"/>
            </w:tcBorders>
          </w:tcPr>
          <w:p>
            <w:pPr>
              <w:spacing w:after="0"/>
              <w:rPr>
                <w:sz w:val="2"/>
                <w:szCs w:val="2"/>
                <w:color w:val="auto"/>
              </w:rPr>
            </w:pPr>
          </w:p>
        </w:tc>
        <w:tc>
          <w:tcPr>
            <w:tcW w:w="8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880" w:type="dxa"/>
            <w:vAlign w:val="bottom"/>
            <w:tcBorders>
              <w:left w:val="single" w:sz="8" w:color="auto"/>
              <w:bottom w:val="single" w:sz="8" w:color="auto"/>
              <w:right w:val="single" w:sz="8" w:color="auto"/>
            </w:tcBorders>
            <w:gridSpan w:val="3"/>
          </w:tcPr>
          <w:p>
            <w:pPr>
              <w:ind w:left="20"/>
              <w:spacing w:after="0"/>
              <w:rPr>
                <w:sz w:val="20"/>
                <w:szCs w:val="20"/>
                <w:color w:val="auto"/>
              </w:rPr>
            </w:pPr>
            <w:r>
              <w:rPr>
                <w:rFonts w:ascii="Arial" w:cs="Arial" w:eastAsia="Arial" w:hAnsi="Arial"/>
                <w:sz w:val="20"/>
                <w:szCs w:val="20"/>
                <w:color w:val="auto"/>
              </w:rPr>
              <w:t>Crown Cork &amp; Seal Company, Inc.</w:t>
            </w:r>
          </w:p>
        </w:tc>
        <w:tc>
          <w:tcPr>
            <w:tcW w:w="780" w:type="dxa"/>
            <w:vAlign w:val="bottom"/>
            <w:tcBorders>
              <w:bottom w:val="single" w:sz="8" w:color="auto"/>
            </w:tcBorders>
          </w:tcPr>
          <w:p>
            <w:pPr>
              <w:spacing w:after="0"/>
              <w:rPr>
                <w:sz w:val="20"/>
                <w:szCs w:val="20"/>
                <w:color w:val="auto"/>
              </w:rPr>
            </w:pPr>
          </w:p>
        </w:tc>
        <w:tc>
          <w:tcPr>
            <w:tcW w:w="2400" w:type="dxa"/>
            <w:vAlign w:val="bottom"/>
            <w:tcBorders>
              <w:bottom w:val="single" w:sz="8" w:color="auto"/>
              <w:right w:val="single" w:sz="8" w:color="auto"/>
            </w:tcBorders>
            <w:gridSpan w:val="2"/>
          </w:tcPr>
          <w:p>
            <w:pPr>
              <w:jc w:val="center"/>
              <w:ind w:right="820"/>
              <w:spacing w:after="0"/>
              <w:rPr>
                <w:sz w:val="20"/>
                <w:szCs w:val="20"/>
                <w:color w:val="auto"/>
              </w:rPr>
            </w:pPr>
            <w:r>
              <w:rPr>
                <w:rFonts w:ascii="Arial" w:cs="Arial" w:eastAsia="Arial" w:hAnsi="Arial"/>
                <w:sz w:val="20"/>
                <w:szCs w:val="20"/>
                <w:color w:val="auto"/>
                <w:w w:val="89"/>
              </w:rPr>
              <w:t>Pennsylvania</w:t>
            </w:r>
          </w:p>
        </w:tc>
        <w:tc>
          <w:tcPr>
            <w:tcW w:w="0" w:type="dxa"/>
            <w:vAlign w:val="bottom"/>
          </w:tcPr>
          <w:p>
            <w:pPr>
              <w:spacing w:after="0"/>
              <w:rPr>
                <w:sz w:val="1"/>
                <w:szCs w:val="1"/>
                <w:color w:val="auto"/>
              </w:rPr>
            </w:pPr>
          </w:p>
        </w:tc>
      </w:tr>
    </w:tbl>
    <w:p>
      <w:pPr>
        <w:spacing w:after="0" w:line="91" w:lineRule="exact"/>
        <w:rPr>
          <w:sz w:val="20"/>
          <w:szCs w:val="20"/>
          <w:color w:val="auto"/>
        </w:rPr>
      </w:pPr>
    </w:p>
    <w:p>
      <w:pPr>
        <w:ind w:right="160"/>
        <w:spacing w:after="0" w:line="269" w:lineRule="auto"/>
        <w:rPr>
          <w:sz w:val="20"/>
          <w:szCs w:val="20"/>
          <w:color w:val="auto"/>
        </w:rPr>
      </w:pPr>
      <w:r>
        <w:rPr>
          <w:rFonts w:ascii="Arial" w:cs="Arial" w:eastAsia="Arial" w:hAnsi="Arial"/>
          <w:sz w:val="20"/>
          <w:szCs w:val="20"/>
          <w:color w:val="auto"/>
        </w:rPr>
        <w:t>The following subsidiaries of the Company were, as of June 30, 2023, guarantors of the Company's $400 principal 4.25% senior notes due 2026, $875 principal 4.75% senior notes due 2026 and $500 principal 5.250% senior notes due 2030:</w:t>
      </w:r>
    </w:p>
    <w:tbl>
      <w:tblPr>
        <w:tblLayout w:type="fixed"/>
        <w:tblInd w:w="110" w:type="dxa"/>
        <w:tblCellMar>
          <w:top w:w="0" w:type="dxa"/>
          <w:left w:w="0" w:type="dxa"/>
          <w:bottom w:w="0" w:type="dxa"/>
          <w:right w:w="0" w:type="dxa"/>
        </w:tblCellMar>
      </w:tblPr>
      <w:tr>
        <w:trPr>
          <w:trHeight w:val="187"/>
        </w:trPr>
        <w:tc>
          <w:tcPr>
            <w:tcW w:w="3640" w:type="dxa"/>
            <w:vAlign w:val="bottom"/>
            <w:tcBorders>
              <w:top w:val="single" w:sz="8" w:color="auto"/>
              <w:left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3640" w:type="dxa"/>
            <w:vAlign w:val="bottom"/>
            <w:tcBorders>
              <w:top w:val="single" w:sz="8" w:color="auto"/>
              <w:right w:val="single" w:sz="8" w:color="auto"/>
            </w:tcBorders>
          </w:tcPr>
          <w:p>
            <w:pPr>
              <w:spacing w:after="0"/>
              <w:rPr>
                <w:sz w:val="16"/>
                <w:szCs w:val="16"/>
                <w:color w:val="auto"/>
              </w:rPr>
            </w:pPr>
          </w:p>
        </w:tc>
        <w:tc>
          <w:tcPr>
            <w:tcW w:w="3180" w:type="dxa"/>
            <w:vAlign w:val="bottom"/>
            <w:tcBorders>
              <w:top w:val="single" w:sz="8" w:color="auto"/>
              <w:right w:val="single" w:sz="8" w:color="auto"/>
            </w:tcBorders>
            <w:gridSpan w:val="3"/>
          </w:tcPr>
          <w:p>
            <w:pPr>
              <w:jc w:val="center"/>
              <w:ind w:right="20"/>
              <w:spacing w:after="0" w:line="187" w:lineRule="exact"/>
              <w:rPr>
                <w:sz w:val="20"/>
                <w:szCs w:val="20"/>
                <w:color w:val="auto"/>
              </w:rPr>
            </w:pPr>
            <w:r>
              <w:rPr>
                <w:rFonts w:ascii="Arial" w:cs="Arial" w:eastAsia="Arial" w:hAnsi="Arial"/>
                <w:sz w:val="20"/>
                <w:szCs w:val="20"/>
                <w:b w:val="1"/>
                <w:bCs w:val="1"/>
                <w:color w:val="auto"/>
                <w:w w:val="97"/>
              </w:rPr>
              <w:t>STATE OR COUNTRY OF</w:t>
            </w:r>
          </w:p>
        </w:tc>
        <w:tc>
          <w:tcPr>
            <w:tcW w:w="0" w:type="dxa"/>
            <w:vAlign w:val="bottom"/>
          </w:tcPr>
          <w:p>
            <w:pPr>
              <w:spacing w:after="0"/>
              <w:rPr>
                <w:sz w:val="1"/>
                <w:szCs w:val="1"/>
                <w:color w:val="auto"/>
              </w:rPr>
            </w:pPr>
          </w:p>
        </w:tc>
      </w:tr>
      <w:tr>
        <w:trPr>
          <w:trHeight w:val="203"/>
        </w:trPr>
        <w:tc>
          <w:tcPr>
            <w:tcW w:w="3640" w:type="dxa"/>
            <w:vAlign w:val="bottom"/>
            <w:tcBorders>
              <w:left w:val="single" w:sz="8" w:color="auto"/>
            </w:tcBorders>
          </w:tcPr>
          <w:p>
            <w:pPr>
              <w:spacing w:after="0"/>
              <w:rPr>
                <w:sz w:val="17"/>
                <w:szCs w:val="17"/>
                <w:color w:val="auto"/>
              </w:rPr>
            </w:pPr>
          </w:p>
        </w:tc>
        <w:tc>
          <w:tcPr>
            <w:tcW w:w="4240" w:type="dxa"/>
            <w:vAlign w:val="bottom"/>
            <w:tcBorders>
              <w:right w:val="single" w:sz="8" w:color="auto"/>
            </w:tcBorders>
            <w:gridSpan w:val="2"/>
            <w:vMerge w:val="restart"/>
          </w:tcPr>
          <w:p>
            <w:pPr>
              <w:spacing w:after="0"/>
              <w:rPr>
                <w:sz w:val="20"/>
                <w:szCs w:val="20"/>
                <w:color w:val="auto"/>
              </w:rPr>
            </w:pPr>
            <w:r>
              <w:rPr>
                <w:rFonts w:ascii="Arial" w:cs="Arial" w:eastAsia="Arial" w:hAnsi="Arial"/>
                <w:sz w:val="20"/>
                <w:szCs w:val="20"/>
                <w:b w:val="1"/>
                <w:bCs w:val="1"/>
                <w:color w:val="auto"/>
              </w:rPr>
              <w:t>NAME</w:t>
            </w:r>
          </w:p>
        </w:tc>
        <w:tc>
          <w:tcPr>
            <w:tcW w:w="3180" w:type="dxa"/>
            <w:vAlign w:val="bottom"/>
            <w:tcBorders>
              <w:right w:val="single" w:sz="8" w:color="auto"/>
            </w:tcBorders>
            <w:gridSpan w:val="3"/>
          </w:tcPr>
          <w:p>
            <w:pPr>
              <w:jc w:val="center"/>
              <w:ind w:right="40"/>
              <w:spacing w:after="0" w:line="203" w:lineRule="exact"/>
              <w:rPr>
                <w:sz w:val="20"/>
                <w:szCs w:val="20"/>
                <w:color w:val="auto"/>
              </w:rPr>
            </w:pPr>
            <w:r>
              <w:rPr>
                <w:rFonts w:ascii="Arial" w:cs="Arial" w:eastAsia="Arial" w:hAnsi="Arial"/>
                <w:sz w:val="20"/>
                <w:szCs w:val="20"/>
                <w:b w:val="1"/>
                <w:bCs w:val="1"/>
                <w:color w:val="auto"/>
              </w:rPr>
              <w:t>INCORPORATION OR</w:t>
            </w:r>
          </w:p>
        </w:tc>
        <w:tc>
          <w:tcPr>
            <w:tcW w:w="0" w:type="dxa"/>
            <w:vAlign w:val="bottom"/>
          </w:tcPr>
          <w:p>
            <w:pPr>
              <w:spacing w:after="0"/>
              <w:rPr>
                <w:sz w:val="1"/>
                <w:szCs w:val="1"/>
                <w:color w:val="auto"/>
              </w:rPr>
            </w:pPr>
          </w:p>
        </w:tc>
      </w:tr>
      <w:tr>
        <w:trPr>
          <w:trHeight w:val="212"/>
        </w:trPr>
        <w:tc>
          <w:tcPr>
            <w:tcW w:w="3640" w:type="dxa"/>
            <w:vAlign w:val="bottom"/>
            <w:tcBorders>
              <w:left w:val="single" w:sz="8" w:color="auto"/>
            </w:tcBorders>
          </w:tcPr>
          <w:p>
            <w:pPr>
              <w:spacing w:after="0"/>
              <w:rPr>
                <w:sz w:val="18"/>
                <w:szCs w:val="18"/>
                <w:color w:val="auto"/>
              </w:rPr>
            </w:pPr>
          </w:p>
        </w:tc>
        <w:tc>
          <w:tcPr>
            <w:tcW w:w="4240" w:type="dxa"/>
            <w:vAlign w:val="bottom"/>
            <w:tcBorders>
              <w:right w:val="single" w:sz="8" w:color="auto"/>
            </w:tcBorders>
            <w:gridSpan w:val="2"/>
            <w:vMerge w:val="continue"/>
          </w:tcPr>
          <w:p>
            <w:pPr>
              <w:spacing w:after="0"/>
              <w:rPr>
                <w:sz w:val="18"/>
                <w:szCs w:val="18"/>
                <w:color w:val="auto"/>
              </w:rPr>
            </w:pPr>
          </w:p>
        </w:tc>
        <w:tc>
          <w:tcPr>
            <w:tcW w:w="780" w:type="dxa"/>
            <w:vAlign w:val="bottom"/>
          </w:tcPr>
          <w:p>
            <w:pPr>
              <w:spacing w:after="0"/>
              <w:rPr>
                <w:sz w:val="18"/>
                <w:szCs w:val="18"/>
                <w:color w:val="auto"/>
              </w:rPr>
            </w:pPr>
          </w:p>
        </w:tc>
        <w:tc>
          <w:tcPr>
            <w:tcW w:w="2400" w:type="dxa"/>
            <w:vAlign w:val="bottom"/>
            <w:tcBorders>
              <w:right w:val="single" w:sz="8" w:color="auto"/>
            </w:tcBorders>
            <w:gridSpan w:val="2"/>
          </w:tcPr>
          <w:p>
            <w:pPr>
              <w:jc w:val="center"/>
              <w:ind w:right="820"/>
              <w:spacing w:after="0" w:line="212" w:lineRule="exact"/>
              <w:rPr>
                <w:sz w:val="20"/>
                <w:szCs w:val="20"/>
                <w:color w:val="auto"/>
              </w:rPr>
            </w:pPr>
            <w:r>
              <w:rPr>
                <w:rFonts w:ascii="Arial" w:cs="Arial" w:eastAsia="Arial" w:hAnsi="Arial"/>
                <w:sz w:val="20"/>
                <w:szCs w:val="20"/>
                <w:b w:val="1"/>
                <w:bCs w:val="1"/>
                <w:color w:val="auto"/>
              </w:rPr>
              <w:t>ORGANIZATION</w:t>
            </w:r>
          </w:p>
        </w:tc>
        <w:tc>
          <w:tcPr>
            <w:tcW w:w="0" w:type="dxa"/>
            <w:vAlign w:val="bottom"/>
          </w:tcPr>
          <w:p>
            <w:pPr>
              <w:spacing w:after="0"/>
              <w:rPr>
                <w:sz w:val="1"/>
                <w:szCs w:val="1"/>
                <w:color w:val="auto"/>
              </w:rPr>
            </w:pPr>
          </w:p>
        </w:tc>
      </w:tr>
      <w:tr>
        <w:trPr>
          <w:trHeight w:val="20"/>
        </w:trPr>
        <w:tc>
          <w:tcPr>
            <w:tcW w:w="3640" w:type="dxa"/>
            <w:vAlign w:val="bottom"/>
            <w:tcBorders>
              <w:left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40" w:type="dxa"/>
            <w:vAlign w:val="bottom"/>
            <w:tcBorders>
              <w:bottom w:val="single" w:sz="8" w:color="auto"/>
              <w:right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7"/>
        </w:trPr>
        <w:tc>
          <w:tcPr>
            <w:tcW w:w="7880" w:type="dxa"/>
            <w:vAlign w:val="bottom"/>
            <w:tcBorders>
              <w:left w:val="single" w:sz="8" w:color="auto"/>
              <w:bottom w:val="single" w:sz="8" w:color="auto"/>
              <w:right w:val="single" w:sz="8" w:color="auto"/>
            </w:tcBorders>
            <w:gridSpan w:val="3"/>
          </w:tcPr>
          <w:p>
            <w:pPr>
              <w:ind w:left="20"/>
              <w:spacing w:after="0"/>
              <w:rPr>
                <w:sz w:val="20"/>
                <w:szCs w:val="20"/>
                <w:color w:val="auto"/>
              </w:rPr>
            </w:pPr>
            <w:r>
              <w:rPr>
                <w:rFonts w:ascii="Arial" w:cs="Arial" w:eastAsia="Arial" w:hAnsi="Arial"/>
                <w:sz w:val="20"/>
                <w:szCs w:val="20"/>
                <w:color w:val="auto"/>
              </w:rPr>
              <w:t>Crown Cork &amp; Seal Company, Inc.</w:t>
            </w:r>
          </w:p>
        </w:tc>
        <w:tc>
          <w:tcPr>
            <w:tcW w:w="780" w:type="dxa"/>
            <w:vAlign w:val="bottom"/>
            <w:tcBorders>
              <w:bottom w:val="single" w:sz="8" w:color="auto"/>
            </w:tcBorders>
          </w:tcPr>
          <w:p>
            <w:pPr>
              <w:spacing w:after="0"/>
              <w:rPr>
                <w:sz w:val="21"/>
                <w:szCs w:val="21"/>
                <w:color w:val="auto"/>
              </w:rPr>
            </w:pPr>
          </w:p>
        </w:tc>
        <w:tc>
          <w:tcPr>
            <w:tcW w:w="2400" w:type="dxa"/>
            <w:vAlign w:val="bottom"/>
            <w:tcBorders>
              <w:bottom w:val="single" w:sz="8" w:color="auto"/>
              <w:right w:val="single" w:sz="8" w:color="auto"/>
            </w:tcBorders>
            <w:gridSpan w:val="2"/>
          </w:tcPr>
          <w:p>
            <w:pPr>
              <w:jc w:val="center"/>
              <w:ind w:right="820"/>
              <w:spacing w:after="0"/>
              <w:rPr>
                <w:sz w:val="20"/>
                <w:szCs w:val="20"/>
                <w:color w:val="auto"/>
              </w:rPr>
            </w:pPr>
            <w:r>
              <w:rPr>
                <w:rFonts w:ascii="Arial" w:cs="Arial" w:eastAsia="Arial" w:hAnsi="Arial"/>
                <w:sz w:val="20"/>
                <w:szCs w:val="20"/>
                <w:color w:val="auto"/>
                <w:w w:val="89"/>
              </w:rPr>
              <w:t>Pennsylvania</w:t>
            </w:r>
          </w:p>
        </w:tc>
        <w:tc>
          <w:tcPr>
            <w:tcW w:w="0" w:type="dxa"/>
            <w:vAlign w:val="bottom"/>
          </w:tcPr>
          <w:p>
            <w:pPr>
              <w:spacing w:after="0"/>
              <w:rPr>
                <w:sz w:val="1"/>
                <w:szCs w:val="1"/>
                <w:color w:val="auto"/>
              </w:rPr>
            </w:pPr>
          </w:p>
        </w:tc>
      </w:tr>
      <w:tr>
        <w:trPr>
          <w:trHeight w:val="250"/>
        </w:trPr>
        <w:tc>
          <w:tcPr>
            <w:tcW w:w="7880" w:type="dxa"/>
            <w:vAlign w:val="bottom"/>
            <w:tcBorders>
              <w:left w:val="single" w:sz="8" w:color="auto"/>
              <w:bottom w:val="single" w:sz="8" w:color="auto"/>
              <w:right w:val="single" w:sz="8" w:color="auto"/>
            </w:tcBorders>
            <w:gridSpan w:val="3"/>
          </w:tcPr>
          <w:p>
            <w:pPr>
              <w:ind w:left="20"/>
              <w:spacing w:after="0"/>
              <w:rPr>
                <w:sz w:val="20"/>
                <w:szCs w:val="20"/>
                <w:color w:val="auto"/>
              </w:rPr>
            </w:pPr>
            <w:r>
              <w:rPr>
                <w:rFonts w:ascii="Arial" w:cs="Arial" w:eastAsia="Arial" w:hAnsi="Arial"/>
                <w:sz w:val="20"/>
                <w:szCs w:val="20"/>
                <w:color w:val="auto"/>
              </w:rPr>
              <w:t>CROWN Americas LLC</w:t>
            </w:r>
          </w:p>
        </w:tc>
        <w:tc>
          <w:tcPr>
            <w:tcW w:w="780" w:type="dxa"/>
            <w:vAlign w:val="bottom"/>
            <w:tcBorders>
              <w:bottom w:val="single" w:sz="8" w:color="auto"/>
            </w:tcBorders>
          </w:tcPr>
          <w:p>
            <w:pPr>
              <w:spacing w:after="0"/>
              <w:rPr>
                <w:sz w:val="21"/>
                <w:szCs w:val="21"/>
                <w:color w:val="auto"/>
              </w:rPr>
            </w:pPr>
          </w:p>
        </w:tc>
        <w:tc>
          <w:tcPr>
            <w:tcW w:w="2400" w:type="dxa"/>
            <w:vAlign w:val="bottom"/>
            <w:tcBorders>
              <w:bottom w:val="single" w:sz="8" w:color="auto"/>
              <w:right w:val="single" w:sz="8" w:color="auto"/>
            </w:tcBorders>
            <w:gridSpan w:val="2"/>
          </w:tcPr>
          <w:p>
            <w:pPr>
              <w:jc w:val="center"/>
              <w:ind w:right="820"/>
              <w:spacing w:after="0"/>
              <w:rPr>
                <w:sz w:val="20"/>
                <w:szCs w:val="20"/>
                <w:color w:val="auto"/>
              </w:rPr>
            </w:pPr>
            <w:r>
              <w:rPr>
                <w:rFonts w:ascii="Arial" w:cs="Arial" w:eastAsia="Arial" w:hAnsi="Arial"/>
                <w:sz w:val="20"/>
                <w:szCs w:val="20"/>
                <w:color w:val="auto"/>
                <w:w w:val="89"/>
              </w:rPr>
              <w:t>Pennsylvania</w:t>
            </w:r>
          </w:p>
        </w:tc>
        <w:tc>
          <w:tcPr>
            <w:tcW w:w="0" w:type="dxa"/>
            <w:vAlign w:val="bottom"/>
          </w:tcPr>
          <w:p>
            <w:pPr>
              <w:spacing w:after="0"/>
              <w:rPr>
                <w:sz w:val="1"/>
                <w:szCs w:val="1"/>
                <w:color w:val="auto"/>
              </w:rPr>
            </w:pPr>
          </w:p>
        </w:tc>
      </w:tr>
      <w:tr>
        <w:trPr>
          <w:trHeight w:val="240"/>
        </w:trPr>
        <w:tc>
          <w:tcPr>
            <w:tcW w:w="7880" w:type="dxa"/>
            <w:vAlign w:val="bottom"/>
            <w:tcBorders>
              <w:left w:val="single" w:sz="8" w:color="auto"/>
              <w:bottom w:val="single" w:sz="8" w:color="auto"/>
              <w:right w:val="single" w:sz="8" w:color="auto"/>
            </w:tcBorders>
            <w:gridSpan w:val="3"/>
          </w:tcPr>
          <w:p>
            <w:pPr>
              <w:ind w:left="20"/>
              <w:spacing w:after="0"/>
              <w:rPr>
                <w:sz w:val="20"/>
                <w:szCs w:val="20"/>
                <w:color w:val="auto"/>
              </w:rPr>
            </w:pPr>
            <w:r>
              <w:rPr>
                <w:rFonts w:ascii="Arial" w:cs="Arial" w:eastAsia="Arial" w:hAnsi="Arial"/>
                <w:sz w:val="20"/>
                <w:szCs w:val="20"/>
                <w:color w:val="auto"/>
              </w:rPr>
              <w:t>Crown Consultants, Inc.</w:t>
            </w:r>
          </w:p>
        </w:tc>
        <w:tc>
          <w:tcPr>
            <w:tcW w:w="780" w:type="dxa"/>
            <w:vAlign w:val="bottom"/>
            <w:tcBorders>
              <w:bottom w:val="single" w:sz="8" w:color="auto"/>
            </w:tcBorders>
          </w:tcPr>
          <w:p>
            <w:pPr>
              <w:spacing w:after="0"/>
              <w:rPr>
                <w:sz w:val="20"/>
                <w:szCs w:val="20"/>
                <w:color w:val="auto"/>
              </w:rPr>
            </w:pPr>
          </w:p>
        </w:tc>
        <w:tc>
          <w:tcPr>
            <w:tcW w:w="2400" w:type="dxa"/>
            <w:vAlign w:val="bottom"/>
            <w:tcBorders>
              <w:bottom w:val="single" w:sz="8" w:color="auto"/>
              <w:right w:val="single" w:sz="8" w:color="auto"/>
            </w:tcBorders>
            <w:gridSpan w:val="2"/>
          </w:tcPr>
          <w:p>
            <w:pPr>
              <w:jc w:val="center"/>
              <w:ind w:right="820"/>
              <w:spacing w:after="0"/>
              <w:rPr>
                <w:sz w:val="20"/>
                <w:szCs w:val="20"/>
                <w:color w:val="auto"/>
              </w:rPr>
            </w:pPr>
            <w:r>
              <w:rPr>
                <w:rFonts w:ascii="Arial" w:cs="Arial" w:eastAsia="Arial" w:hAnsi="Arial"/>
                <w:sz w:val="20"/>
                <w:szCs w:val="20"/>
                <w:color w:val="auto"/>
                <w:w w:val="89"/>
              </w:rPr>
              <w:t>Pennsylvania</w:t>
            </w:r>
          </w:p>
        </w:tc>
        <w:tc>
          <w:tcPr>
            <w:tcW w:w="0" w:type="dxa"/>
            <w:vAlign w:val="bottom"/>
          </w:tcPr>
          <w:p>
            <w:pPr>
              <w:spacing w:after="0"/>
              <w:rPr>
                <w:sz w:val="1"/>
                <w:szCs w:val="1"/>
                <w:color w:val="auto"/>
              </w:rPr>
            </w:pPr>
          </w:p>
        </w:tc>
      </w:tr>
      <w:tr>
        <w:trPr>
          <w:trHeight w:val="247"/>
        </w:trPr>
        <w:tc>
          <w:tcPr>
            <w:tcW w:w="7880" w:type="dxa"/>
            <w:vAlign w:val="bottom"/>
            <w:tcBorders>
              <w:left w:val="single" w:sz="8" w:color="auto"/>
              <w:bottom w:val="single" w:sz="8" w:color="auto"/>
              <w:right w:val="single" w:sz="8" w:color="auto"/>
            </w:tcBorders>
            <w:gridSpan w:val="3"/>
          </w:tcPr>
          <w:p>
            <w:pPr>
              <w:ind w:left="20"/>
              <w:spacing w:after="0"/>
              <w:rPr>
                <w:sz w:val="20"/>
                <w:szCs w:val="20"/>
                <w:color w:val="auto"/>
              </w:rPr>
            </w:pPr>
            <w:r>
              <w:rPr>
                <w:rFonts w:ascii="Arial" w:cs="Arial" w:eastAsia="Arial" w:hAnsi="Arial"/>
                <w:sz w:val="20"/>
                <w:szCs w:val="20"/>
                <w:color w:val="auto"/>
              </w:rPr>
              <w:t>Crown Americas Capital Corp.</w:t>
            </w:r>
          </w:p>
        </w:tc>
        <w:tc>
          <w:tcPr>
            <w:tcW w:w="780" w:type="dxa"/>
            <w:vAlign w:val="bottom"/>
            <w:tcBorders>
              <w:bottom w:val="single" w:sz="8" w:color="auto"/>
            </w:tcBorders>
          </w:tcPr>
          <w:p>
            <w:pPr>
              <w:spacing w:after="0"/>
              <w:rPr>
                <w:sz w:val="21"/>
                <w:szCs w:val="21"/>
                <w:color w:val="auto"/>
              </w:rPr>
            </w:pPr>
          </w:p>
        </w:tc>
        <w:tc>
          <w:tcPr>
            <w:tcW w:w="2400" w:type="dxa"/>
            <w:vAlign w:val="bottom"/>
            <w:tcBorders>
              <w:bottom w:val="single" w:sz="8" w:color="auto"/>
              <w:right w:val="single" w:sz="8" w:color="auto"/>
            </w:tcBorders>
            <w:gridSpan w:val="2"/>
          </w:tcPr>
          <w:p>
            <w:pPr>
              <w:jc w:val="center"/>
              <w:ind w:right="800"/>
              <w:spacing w:after="0"/>
              <w:rPr>
                <w:sz w:val="20"/>
                <w:szCs w:val="20"/>
                <w:color w:val="auto"/>
              </w:rPr>
            </w:pPr>
            <w:r>
              <w:rPr>
                <w:rFonts w:ascii="Arial" w:cs="Arial" w:eastAsia="Arial" w:hAnsi="Arial"/>
                <w:sz w:val="20"/>
                <w:szCs w:val="20"/>
                <w:color w:val="auto"/>
                <w:w w:val="89"/>
              </w:rPr>
              <w:t>Delaware</w:t>
            </w:r>
          </w:p>
        </w:tc>
        <w:tc>
          <w:tcPr>
            <w:tcW w:w="0" w:type="dxa"/>
            <w:vAlign w:val="bottom"/>
          </w:tcPr>
          <w:p>
            <w:pPr>
              <w:spacing w:after="0"/>
              <w:rPr>
                <w:sz w:val="1"/>
                <w:szCs w:val="1"/>
                <w:color w:val="auto"/>
              </w:rPr>
            </w:pPr>
          </w:p>
        </w:tc>
      </w:tr>
      <w:tr>
        <w:trPr>
          <w:trHeight w:val="250"/>
        </w:trPr>
        <w:tc>
          <w:tcPr>
            <w:tcW w:w="7880" w:type="dxa"/>
            <w:vAlign w:val="bottom"/>
            <w:tcBorders>
              <w:left w:val="single" w:sz="8" w:color="auto"/>
              <w:bottom w:val="single" w:sz="8" w:color="auto"/>
              <w:right w:val="single" w:sz="8" w:color="auto"/>
            </w:tcBorders>
            <w:gridSpan w:val="3"/>
          </w:tcPr>
          <w:p>
            <w:pPr>
              <w:ind w:left="20"/>
              <w:spacing w:after="0"/>
              <w:rPr>
                <w:sz w:val="20"/>
                <w:szCs w:val="20"/>
                <w:color w:val="auto"/>
              </w:rPr>
            </w:pPr>
            <w:r>
              <w:rPr>
                <w:rFonts w:ascii="Arial" w:cs="Arial" w:eastAsia="Arial" w:hAnsi="Arial"/>
                <w:sz w:val="20"/>
                <w:szCs w:val="20"/>
                <w:color w:val="auto"/>
              </w:rPr>
              <w:t>Crown Americas Capital Corp. IV</w:t>
            </w:r>
          </w:p>
        </w:tc>
        <w:tc>
          <w:tcPr>
            <w:tcW w:w="780" w:type="dxa"/>
            <w:vAlign w:val="bottom"/>
            <w:tcBorders>
              <w:bottom w:val="single" w:sz="8" w:color="auto"/>
            </w:tcBorders>
          </w:tcPr>
          <w:p>
            <w:pPr>
              <w:spacing w:after="0"/>
              <w:rPr>
                <w:sz w:val="21"/>
                <w:szCs w:val="21"/>
                <w:color w:val="auto"/>
              </w:rPr>
            </w:pPr>
          </w:p>
        </w:tc>
        <w:tc>
          <w:tcPr>
            <w:tcW w:w="2400" w:type="dxa"/>
            <w:vAlign w:val="bottom"/>
            <w:tcBorders>
              <w:bottom w:val="single" w:sz="8" w:color="auto"/>
              <w:right w:val="single" w:sz="8" w:color="auto"/>
            </w:tcBorders>
            <w:gridSpan w:val="2"/>
          </w:tcPr>
          <w:p>
            <w:pPr>
              <w:jc w:val="center"/>
              <w:ind w:right="800"/>
              <w:spacing w:after="0"/>
              <w:rPr>
                <w:sz w:val="20"/>
                <w:szCs w:val="20"/>
                <w:color w:val="auto"/>
              </w:rPr>
            </w:pPr>
            <w:r>
              <w:rPr>
                <w:rFonts w:ascii="Arial" w:cs="Arial" w:eastAsia="Arial" w:hAnsi="Arial"/>
                <w:sz w:val="20"/>
                <w:szCs w:val="20"/>
                <w:color w:val="auto"/>
                <w:w w:val="89"/>
              </w:rPr>
              <w:t>Delaware</w:t>
            </w:r>
          </w:p>
        </w:tc>
        <w:tc>
          <w:tcPr>
            <w:tcW w:w="0" w:type="dxa"/>
            <w:vAlign w:val="bottom"/>
          </w:tcPr>
          <w:p>
            <w:pPr>
              <w:spacing w:after="0"/>
              <w:rPr>
                <w:sz w:val="1"/>
                <w:szCs w:val="1"/>
                <w:color w:val="auto"/>
              </w:rPr>
            </w:pPr>
          </w:p>
        </w:tc>
      </w:tr>
      <w:tr>
        <w:trPr>
          <w:trHeight w:val="240"/>
        </w:trPr>
        <w:tc>
          <w:tcPr>
            <w:tcW w:w="7880" w:type="dxa"/>
            <w:vAlign w:val="bottom"/>
            <w:tcBorders>
              <w:left w:val="single" w:sz="8" w:color="auto"/>
              <w:bottom w:val="single" w:sz="8" w:color="auto"/>
              <w:right w:val="single" w:sz="8" w:color="auto"/>
            </w:tcBorders>
            <w:gridSpan w:val="3"/>
          </w:tcPr>
          <w:p>
            <w:pPr>
              <w:ind w:left="20"/>
              <w:spacing w:after="0"/>
              <w:rPr>
                <w:sz w:val="20"/>
                <w:szCs w:val="20"/>
                <w:color w:val="auto"/>
              </w:rPr>
            </w:pPr>
            <w:r>
              <w:rPr>
                <w:rFonts w:ascii="Arial" w:cs="Arial" w:eastAsia="Arial" w:hAnsi="Arial"/>
                <w:sz w:val="20"/>
                <w:szCs w:val="20"/>
                <w:color w:val="auto"/>
              </w:rPr>
              <w:t>Crown Americas Capital Corp. V</w:t>
            </w:r>
          </w:p>
        </w:tc>
        <w:tc>
          <w:tcPr>
            <w:tcW w:w="780" w:type="dxa"/>
            <w:vAlign w:val="bottom"/>
            <w:tcBorders>
              <w:bottom w:val="single" w:sz="8" w:color="auto"/>
            </w:tcBorders>
          </w:tcPr>
          <w:p>
            <w:pPr>
              <w:spacing w:after="0"/>
              <w:rPr>
                <w:sz w:val="20"/>
                <w:szCs w:val="20"/>
                <w:color w:val="auto"/>
              </w:rPr>
            </w:pPr>
          </w:p>
        </w:tc>
        <w:tc>
          <w:tcPr>
            <w:tcW w:w="2400" w:type="dxa"/>
            <w:vAlign w:val="bottom"/>
            <w:tcBorders>
              <w:bottom w:val="single" w:sz="8" w:color="auto"/>
              <w:right w:val="single" w:sz="8" w:color="auto"/>
            </w:tcBorders>
            <w:gridSpan w:val="2"/>
          </w:tcPr>
          <w:p>
            <w:pPr>
              <w:jc w:val="center"/>
              <w:ind w:right="800"/>
              <w:spacing w:after="0"/>
              <w:rPr>
                <w:sz w:val="20"/>
                <w:szCs w:val="20"/>
                <w:color w:val="auto"/>
              </w:rPr>
            </w:pPr>
            <w:r>
              <w:rPr>
                <w:rFonts w:ascii="Arial" w:cs="Arial" w:eastAsia="Arial" w:hAnsi="Arial"/>
                <w:sz w:val="20"/>
                <w:szCs w:val="20"/>
                <w:color w:val="auto"/>
                <w:w w:val="89"/>
              </w:rPr>
              <w:t>Delaware</w:t>
            </w:r>
          </w:p>
        </w:tc>
        <w:tc>
          <w:tcPr>
            <w:tcW w:w="0" w:type="dxa"/>
            <w:vAlign w:val="bottom"/>
          </w:tcPr>
          <w:p>
            <w:pPr>
              <w:spacing w:after="0"/>
              <w:rPr>
                <w:sz w:val="1"/>
                <w:szCs w:val="1"/>
                <w:color w:val="auto"/>
              </w:rPr>
            </w:pPr>
          </w:p>
        </w:tc>
      </w:tr>
      <w:tr>
        <w:trPr>
          <w:trHeight w:val="247"/>
        </w:trPr>
        <w:tc>
          <w:tcPr>
            <w:tcW w:w="7880" w:type="dxa"/>
            <w:vAlign w:val="bottom"/>
            <w:tcBorders>
              <w:left w:val="single" w:sz="8" w:color="auto"/>
              <w:bottom w:val="single" w:sz="8" w:color="auto"/>
              <w:right w:val="single" w:sz="8" w:color="auto"/>
            </w:tcBorders>
            <w:gridSpan w:val="3"/>
          </w:tcPr>
          <w:p>
            <w:pPr>
              <w:ind w:left="20"/>
              <w:spacing w:after="0"/>
              <w:rPr>
                <w:sz w:val="20"/>
                <w:szCs w:val="20"/>
                <w:color w:val="auto"/>
              </w:rPr>
            </w:pPr>
            <w:r>
              <w:rPr>
                <w:rFonts w:ascii="Arial" w:cs="Arial" w:eastAsia="Arial" w:hAnsi="Arial"/>
                <w:sz w:val="20"/>
                <w:szCs w:val="20"/>
                <w:color w:val="auto"/>
              </w:rPr>
              <w:t>Crown Americas Capital Corp. VI</w:t>
            </w:r>
          </w:p>
        </w:tc>
        <w:tc>
          <w:tcPr>
            <w:tcW w:w="780" w:type="dxa"/>
            <w:vAlign w:val="bottom"/>
            <w:tcBorders>
              <w:bottom w:val="single" w:sz="8" w:color="auto"/>
            </w:tcBorders>
          </w:tcPr>
          <w:p>
            <w:pPr>
              <w:spacing w:after="0"/>
              <w:rPr>
                <w:sz w:val="21"/>
                <w:szCs w:val="21"/>
                <w:color w:val="auto"/>
              </w:rPr>
            </w:pPr>
          </w:p>
        </w:tc>
        <w:tc>
          <w:tcPr>
            <w:tcW w:w="2400" w:type="dxa"/>
            <w:vAlign w:val="bottom"/>
            <w:tcBorders>
              <w:bottom w:val="single" w:sz="8" w:color="auto"/>
              <w:right w:val="single" w:sz="8" w:color="auto"/>
            </w:tcBorders>
            <w:gridSpan w:val="2"/>
          </w:tcPr>
          <w:p>
            <w:pPr>
              <w:jc w:val="center"/>
              <w:ind w:right="800"/>
              <w:spacing w:after="0"/>
              <w:rPr>
                <w:sz w:val="20"/>
                <w:szCs w:val="20"/>
                <w:color w:val="auto"/>
              </w:rPr>
            </w:pPr>
            <w:r>
              <w:rPr>
                <w:rFonts w:ascii="Arial" w:cs="Arial" w:eastAsia="Arial" w:hAnsi="Arial"/>
                <w:sz w:val="20"/>
                <w:szCs w:val="20"/>
                <w:color w:val="auto"/>
                <w:w w:val="89"/>
              </w:rPr>
              <w:t>Delaware</w:t>
            </w:r>
          </w:p>
        </w:tc>
        <w:tc>
          <w:tcPr>
            <w:tcW w:w="0" w:type="dxa"/>
            <w:vAlign w:val="bottom"/>
          </w:tcPr>
          <w:p>
            <w:pPr>
              <w:spacing w:after="0"/>
              <w:rPr>
                <w:sz w:val="1"/>
                <w:szCs w:val="1"/>
                <w:color w:val="auto"/>
              </w:rPr>
            </w:pPr>
          </w:p>
        </w:tc>
      </w:tr>
      <w:tr>
        <w:trPr>
          <w:trHeight w:val="250"/>
        </w:trPr>
        <w:tc>
          <w:tcPr>
            <w:tcW w:w="7880" w:type="dxa"/>
            <w:vAlign w:val="bottom"/>
            <w:tcBorders>
              <w:left w:val="single" w:sz="8" w:color="auto"/>
              <w:bottom w:val="single" w:sz="8" w:color="auto"/>
              <w:right w:val="single" w:sz="8" w:color="auto"/>
            </w:tcBorders>
            <w:gridSpan w:val="3"/>
          </w:tcPr>
          <w:p>
            <w:pPr>
              <w:ind w:left="20"/>
              <w:spacing w:after="0"/>
              <w:rPr>
                <w:sz w:val="20"/>
                <w:szCs w:val="20"/>
                <w:color w:val="auto"/>
              </w:rPr>
            </w:pPr>
            <w:r>
              <w:rPr>
                <w:rFonts w:ascii="Arial" w:cs="Arial" w:eastAsia="Arial" w:hAnsi="Arial"/>
                <w:sz w:val="20"/>
                <w:szCs w:val="20"/>
                <w:color w:val="auto"/>
              </w:rPr>
              <w:t>CROWN Beverage Packaging, LLC</w:t>
            </w:r>
          </w:p>
        </w:tc>
        <w:tc>
          <w:tcPr>
            <w:tcW w:w="780" w:type="dxa"/>
            <w:vAlign w:val="bottom"/>
            <w:tcBorders>
              <w:bottom w:val="single" w:sz="8" w:color="auto"/>
            </w:tcBorders>
          </w:tcPr>
          <w:p>
            <w:pPr>
              <w:spacing w:after="0"/>
              <w:rPr>
                <w:sz w:val="21"/>
                <w:szCs w:val="21"/>
                <w:color w:val="auto"/>
              </w:rPr>
            </w:pPr>
          </w:p>
        </w:tc>
        <w:tc>
          <w:tcPr>
            <w:tcW w:w="2400" w:type="dxa"/>
            <w:vAlign w:val="bottom"/>
            <w:tcBorders>
              <w:bottom w:val="single" w:sz="8" w:color="auto"/>
              <w:right w:val="single" w:sz="8" w:color="auto"/>
            </w:tcBorders>
            <w:gridSpan w:val="2"/>
          </w:tcPr>
          <w:p>
            <w:pPr>
              <w:jc w:val="center"/>
              <w:ind w:right="800"/>
              <w:spacing w:after="0"/>
              <w:rPr>
                <w:sz w:val="20"/>
                <w:szCs w:val="20"/>
                <w:color w:val="auto"/>
              </w:rPr>
            </w:pPr>
            <w:r>
              <w:rPr>
                <w:rFonts w:ascii="Arial" w:cs="Arial" w:eastAsia="Arial" w:hAnsi="Arial"/>
                <w:sz w:val="20"/>
                <w:szCs w:val="20"/>
                <w:color w:val="auto"/>
                <w:w w:val="89"/>
              </w:rPr>
              <w:t>Delaware</w:t>
            </w:r>
          </w:p>
        </w:tc>
        <w:tc>
          <w:tcPr>
            <w:tcW w:w="0" w:type="dxa"/>
            <w:vAlign w:val="bottom"/>
          </w:tcPr>
          <w:p>
            <w:pPr>
              <w:spacing w:after="0"/>
              <w:rPr>
                <w:sz w:val="1"/>
                <w:szCs w:val="1"/>
                <w:color w:val="auto"/>
              </w:rPr>
            </w:pPr>
          </w:p>
        </w:tc>
      </w:tr>
      <w:tr>
        <w:trPr>
          <w:trHeight w:val="240"/>
        </w:trPr>
        <w:tc>
          <w:tcPr>
            <w:tcW w:w="7880" w:type="dxa"/>
            <w:vAlign w:val="bottom"/>
            <w:tcBorders>
              <w:left w:val="single" w:sz="8" w:color="auto"/>
              <w:bottom w:val="single" w:sz="8" w:color="auto"/>
              <w:right w:val="single" w:sz="8" w:color="auto"/>
            </w:tcBorders>
            <w:gridSpan w:val="3"/>
          </w:tcPr>
          <w:p>
            <w:pPr>
              <w:ind w:left="20"/>
              <w:spacing w:after="0"/>
              <w:rPr>
                <w:sz w:val="20"/>
                <w:szCs w:val="20"/>
                <w:color w:val="auto"/>
              </w:rPr>
            </w:pPr>
            <w:r>
              <w:rPr>
                <w:rFonts w:ascii="Arial" w:cs="Arial" w:eastAsia="Arial" w:hAnsi="Arial"/>
                <w:sz w:val="20"/>
                <w:szCs w:val="20"/>
                <w:color w:val="auto"/>
              </w:rPr>
              <w:t>CROWN Beverage Packaging Puerto Rico, Inc.</w:t>
            </w:r>
          </w:p>
        </w:tc>
        <w:tc>
          <w:tcPr>
            <w:tcW w:w="780" w:type="dxa"/>
            <w:vAlign w:val="bottom"/>
            <w:tcBorders>
              <w:bottom w:val="single" w:sz="8" w:color="auto"/>
            </w:tcBorders>
          </w:tcPr>
          <w:p>
            <w:pPr>
              <w:spacing w:after="0"/>
              <w:rPr>
                <w:sz w:val="20"/>
                <w:szCs w:val="20"/>
                <w:color w:val="auto"/>
              </w:rPr>
            </w:pPr>
          </w:p>
        </w:tc>
        <w:tc>
          <w:tcPr>
            <w:tcW w:w="2400" w:type="dxa"/>
            <w:vAlign w:val="bottom"/>
            <w:tcBorders>
              <w:bottom w:val="single" w:sz="8" w:color="auto"/>
              <w:right w:val="single" w:sz="8" w:color="auto"/>
            </w:tcBorders>
            <w:gridSpan w:val="2"/>
          </w:tcPr>
          <w:p>
            <w:pPr>
              <w:jc w:val="center"/>
              <w:ind w:right="800"/>
              <w:spacing w:after="0"/>
              <w:rPr>
                <w:sz w:val="20"/>
                <w:szCs w:val="20"/>
                <w:color w:val="auto"/>
              </w:rPr>
            </w:pPr>
            <w:r>
              <w:rPr>
                <w:rFonts w:ascii="Arial" w:cs="Arial" w:eastAsia="Arial" w:hAnsi="Arial"/>
                <w:sz w:val="20"/>
                <w:szCs w:val="20"/>
                <w:color w:val="auto"/>
                <w:w w:val="89"/>
              </w:rPr>
              <w:t>Delaware</w:t>
            </w:r>
          </w:p>
        </w:tc>
        <w:tc>
          <w:tcPr>
            <w:tcW w:w="0" w:type="dxa"/>
            <w:vAlign w:val="bottom"/>
          </w:tcPr>
          <w:p>
            <w:pPr>
              <w:spacing w:after="0"/>
              <w:rPr>
                <w:sz w:val="1"/>
                <w:szCs w:val="1"/>
                <w:color w:val="auto"/>
              </w:rPr>
            </w:pPr>
          </w:p>
        </w:tc>
      </w:tr>
      <w:tr>
        <w:trPr>
          <w:trHeight w:val="247"/>
        </w:trPr>
        <w:tc>
          <w:tcPr>
            <w:tcW w:w="7880" w:type="dxa"/>
            <w:vAlign w:val="bottom"/>
            <w:tcBorders>
              <w:left w:val="single" w:sz="8" w:color="auto"/>
              <w:bottom w:val="single" w:sz="8" w:color="auto"/>
              <w:right w:val="single" w:sz="8" w:color="auto"/>
            </w:tcBorders>
            <w:gridSpan w:val="3"/>
          </w:tcPr>
          <w:p>
            <w:pPr>
              <w:ind w:left="20"/>
              <w:spacing w:after="0"/>
              <w:rPr>
                <w:sz w:val="20"/>
                <w:szCs w:val="20"/>
                <w:color w:val="auto"/>
              </w:rPr>
            </w:pPr>
            <w:r>
              <w:rPr>
                <w:rFonts w:ascii="Arial" w:cs="Arial" w:eastAsia="Arial" w:hAnsi="Arial"/>
                <w:sz w:val="20"/>
                <w:szCs w:val="20"/>
                <w:color w:val="auto"/>
              </w:rPr>
              <w:t>Crown Cork &amp; Seal Company (DE), LLC</w:t>
            </w:r>
          </w:p>
        </w:tc>
        <w:tc>
          <w:tcPr>
            <w:tcW w:w="780" w:type="dxa"/>
            <w:vAlign w:val="bottom"/>
            <w:tcBorders>
              <w:bottom w:val="single" w:sz="8" w:color="auto"/>
            </w:tcBorders>
          </w:tcPr>
          <w:p>
            <w:pPr>
              <w:spacing w:after="0"/>
              <w:rPr>
                <w:sz w:val="21"/>
                <w:szCs w:val="21"/>
                <w:color w:val="auto"/>
              </w:rPr>
            </w:pPr>
          </w:p>
        </w:tc>
        <w:tc>
          <w:tcPr>
            <w:tcW w:w="2400" w:type="dxa"/>
            <w:vAlign w:val="bottom"/>
            <w:tcBorders>
              <w:bottom w:val="single" w:sz="8" w:color="auto"/>
              <w:right w:val="single" w:sz="8" w:color="auto"/>
            </w:tcBorders>
            <w:gridSpan w:val="2"/>
          </w:tcPr>
          <w:p>
            <w:pPr>
              <w:jc w:val="center"/>
              <w:ind w:right="800"/>
              <w:spacing w:after="0"/>
              <w:rPr>
                <w:sz w:val="20"/>
                <w:szCs w:val="20"/>
                <w:color w:val="auto"/>
              </w:rPr>
            </w:pPr>
            <w:r>
              <w:rPr>
                <w:rFonts w:ascii="Arial" w:cs="Arial" w:eastAsia="Arial" w:hAnsi="Arial"/>
                <w:sz w:val="20"/>
                <w:szCs w:val="20"/>
                <w:color w:val="auto"/>
                <w:w w:val="89"/>
              </w:rPr>
              <w:t>Delaware</w:t>
            </w:r>
          </w:p>
        </w:tc>
        <w:tc>
          <w:tcPr>
            <w:tcW w:w="0" w:type="dxa"/>
            <w:vAlign w:val="bottom"/>
          </w:tcPr>
          <w:p>
            <w:pPr>
              <w:spacing w:after="0"/>
              <w:rPr>
                <w:sz w:val="1"/>
                <w:szCs w:val="1"/>
                <w:color w:val="auto"/>
              </w:rPr>
            </w:pPr>
          </w:p>
        </w:tc>
      </w:tr>
      <w:tr>
        <w:trPr>
          <w:trHeight w:val="250"/>
        </w:trPr>
        <w:tc>
          <w:tcPr>
            <w:tcW w:w="7880" w:type="dxa"/>
            <w:vAlign w:val="bottom"/>
            <w:tcBorders>
              <w:left w:val="single" w:sz="8" w:color="auto"/>
              <w:bottom w:val="single" w:sz="8" w:color="auto"/>
              <w:right w:val="single" w:sz="8" w:color="auto"/>
            </w:tcBorders>
            <w:gridSpan w:val="3"/>
          </w:tcPr>
          <w:p>
            <w:pPr>
              <w:ind w:left="20"/>
              <w:spacing w:after="0"/>
              <w:rPr>
                <w:sz w:val="20"/>
                <w:szCs w:val="20"/>
                <w:color w:val="auto"/>
              </w:rPr>
            </w:pPr>
            <w:r>
              <w:rPr>
                <w:rFonts w:ascii="Arial" w:cs="Arial" w:eastAsia="Arial" w:hAnsi="Arial"/>
                <w:sz w:val="20"/>
                <w:szCs w:val="20"/>
                <w:color w:val="auto"/>
              </w:rPr>
              <w:t>CROWN Cork &amp; Seal USA, Inc.</w:t>
            </w:r>
          </w:p>
        </w:tc>
        <w:tc>
          <w:tcPr>
            <w:tcW w:w="780" w:type="dxa"/>
            <w:vAlign w:val="bottom"/>
            <w:tcBorders>
              <w:bottom w:val="single" w:sz="8" w:color="auto"/>
            </w:tcBorders>
          </w:tcPr>
          <w:p>
            <w:pPr>
              <w:spacing w:after="0"/>
              <w:rPr>
                <w:sz w:val="21"/>
                <w:szCs w:val="21"/>
                <w:color w:val="auto"/>
              </w:rPr>
            </w:pPr>
          </w:p>
        </w:tc>
        <w:tc>
          <w:tcPr>
            <w:tcW w:w="2400" w:type="dxa"/>
            <w:vAlign w:val="bottom"/>
            <w:tcBorders>
              <w:bottom w:val="single" w:sz="8" w:color="auto"/>
              <w:right w:val="single" w:sz="8" w:color="auto"/>
            </w:tcBorders>
            <w:gridSpan w:val="2"/>
          </w:tcPr>
          <w:p>
            <w:pPr>
              <w:jc w:val="center"/>
              <w:ind w:right="800"/>
              <w:spacing w:after="0"/>
              <w:rPr>
                <w:sz w:val="20"/>
                <w:szCs w:val="20"/>
                <w:color w:val="auto"/>
              </w:rPr>
            </w:pPr>
            <w:r>
              <w:rPr>
                <w:rFonts w:ascii="Arial" w:cs="Arial" w:eastAsia="Arial" w:hAnsi="Arial"/>
                <w:sz w:val="20"/>
                <w:szCs w:val="20"/>
                <w:color w:val="auto"/>
                <w:w w:val="89"/>
              </w:rPr>
              <w:t>Delaware</w:t>
            </w:r>
          </w:p>
        </w:tc>
        <w:tc>
          <w:tcPr>
            <w:tcW w:w="0" w:type="dxa"/>
            <w:vAlign w:val="bottom"/>
          </w:tcPr>
          <w:p>
            <w:pPr>
              <w:spacing w:after="0"/>
              <w:rPr>
                <w:sz w:val="1"/>
                <w:szCs w:val="1"/>
                <w:color w:val="auto"/>
              </w:rPr>
            </w:pPr>
          </w:p>
        </w:tc>
      </w:tr>
      <w:tr>
        <w:trPr>
          <w:trHeight w:val="240"/>
        </w:trPr>
        <w:tc>
          <w:tcPr>
            <w:tcW w:w="7880" w:type="dxa"/>
            <w:vAlign w:val="bottom"/>
            <w:tcBorders>
              <w:left w:val="single" w:sz="8" w:color="auto"/>
              <w:bottom w:val="single" w:sz="8" w:color="auto"/>
              <w:right w:val="single" w:sz="8" w:color="auto"/>
            </w:tcBorders>
            <w:gridSpan w:val="3"/>
          </w:tcPr>
          <w:p>
            <w:pPr>
              <w:ind w:left="20"/>
              <w:spacing w:after="0"/>
              <w:rPr>
                <w:sz w:val="20"/>
                <w:szCs w:val="20"/>
                <w:color w:val="auto"/>
              </w:rPr>
            </w:pPr>
            <w:r>
              <w:rPr>
                <w:rFonts w:ascii="Arial" w:cs="Arial" w:eastAsia="Arial" w:hAnsi="Arial"/>
                <w:sz w:val="20"/>
                <w:szCs w:val="20"/>
                <w:color w:val="auto"/>
              </w:rPr>
              <w:t>Crown International Holdings, Inc.</w:t>
            </w:r>
          </w:p>
        </w:tc>
        <w:tc>
          <w:tcPr>
            <w:tcW w:w="780" w:type="dxa"/>
            <w:vAlign w:val="bottom"/>
            <w:tcBorders>
              <w:bottom w:val="single" w:sz="8" w:color="auto"/>
            </w:tcBorders>
          </w:tcPr>
          <w:p>
            <w:pPr>
              <w:spacing w:after="0"/>
              <w:rPr>
                <w:sz w:val="20"/>
                <w:szCs w:val="20"/>
                <w:color w:val="auto"/>
              </w:rPr>
            </w:pPr>
          </w:p>
        </w:tc>
        <w:tc>
          <w:tcPr>
            <w:tcW w:w="2400" w:type="dxa"/>
            <w:vAlign w:val="bottom"/>
            <w:tcBorders>
              <w:bottom w:val="single" w:sz="8" w:color="auto"/>
              <w:right w:val="single" w:sz="8" w:color="auto"/>
            </w:tcBorders>
            <w:gridSpan w:val="2"/>
          </w:tcPr>
          <w:p>
            <w:pPr>
              <w:jc w:val="center"/>
              <w:ind w:right="800"/>
              <w:spacing w:after="0"/>
              <w:rPr>
                <w:sz w:val="20"/>
                <w:szCs w:val="20"/>
                <w:color w:val="auto"/>
              </w:rPr>
            </w:pPr>
            <w:r>
              <w:rPr>
                <w:rFonts w:ascii="Arial" w:cs="Arial" w:eastAsia="Arial" w:hAnsi="Arial"/>
                <w:sz w:val="20"/>
                <w:szCs w:val="20"/>
                <w:color w:val="auto"/>
                <w:w w:val="89"/>
              </w:rPr>
              <w:t>Delaware</w:t>
            </w:r>
          </w:p>
        </w:tc>
        <w:tc>
          <w:tcPr>
            <w:tcW w:w="0" w:type="dxa"/>
            <w:vAlign w:val="bottom"/>
          </w:tcPr>
          <w:p>
            <w:pPr>
              <w:spacing w:after="0"/>
              <w:rPr>
                <w:sz w:val="1"/>
                <w:szCs w:val="1"/>
                <w:color w:val="auto"/>
              </w:rPr>
            </w:pPr>
          </w:p>
        </w:tc>
      </w:tr>
      <w:tr>
        <w:trPr>
          <w:trHeight w:val="247"/>
        </w:trPr>
        <w:tc>
          <w:tcPr>
            <w:tcW w:w="7880" w:type="dxa"/>
            <w:vAlign w:val="bottom"/>
            <w:tcBorders>
              <w:left w:val="single" w:sz="8" w:color="auto"/>
              <w:bottom w:val="single" w:sz="8" w:color="auto"/>
              <w:right w:val="single" w:sz="8" w:color="auto"/>
            </w:tcBorders>
            <w:gridSpan w:val="3"/>
          </w:tcPr>
          <w:p>
            <w:pPr>
              <w:ind w:left="20"/>
              <w:spacing w:after="0"/>
              <w:rPr>
                <w:sz w:val="20"/>
                <w:szCs w:val="20"/>
                <w:color w:val="auto"/>
              </w:rPr>
            </w:pPr>
            <w:r>
              <w:rPr>
                <w:rFonts w:ascii="Arial" w:cs="Arial" w:eastAsia="Arial" w:hAnsi="Arial"/>
                <w:sz w:val="20"/>
                <w:szCs w:val="20"/>
                <w:color w:val="auto"/>
              </w:rPr>
              <w:t>CROWN Packaging Technology, Inc.</w:t>
            </w:r>
          </w:p>
        </w:tc>
        <w:tc>
          <w:tcPr>
            <w:tcW w:w="780" w:type="dxa"/>
            <w:vAlign w:val="bottom"/>
            <w:tcBorders>
              <w:bottom w:val="single" w:sz="8" w:color="auto"/>
            </w:tcBorders>
          </w:tcPr>
          <w:p>
            <w:pPr>
              <w:spacing w:after="0"/>
              <w:rPr>
                <w:sz w:val="21"/>
                <w:szCs w:val="21"/>
                <w:color w:val="auto"/>
              </w:rPr>
            </w:pPr>
          </w:p>
        </w:tc>
        <w:tc>
          <w:tcPr>
            <w:tcW w:w="2400" w:type="dxa"/>
            <w:vAlign w:val="bottom"/>
            <w:tcBorders>
              <w:bottom w:val="single" w:sz="8" w:color="auto"/>
              <w:right w:val="single" w:sz="8" w:color="auto"/>
            </w:tcBorders>
            <w:gridSpan w:val="2"/>
          </w:tcPr>
          <w:p>
            <w:pPr>
              <w:jc w:val="center"/>
              <w:ind w:right="800"/>
              <w:spacing w:after="0"/>
              <w:rPr>
                <w:sz w:val="20"/>
                <w:szCs w:val="20"/>
                <w:color w:val="auto"/>
              </w:rPr>
            </w:pPr>
            <w:r>
              <w:rPr>
                <w:rFonts w:ascii="Arial" w:cs="Arial" w:eastAsia="Arial" w:hAnsi="Arial"/>
                <w:sz w:val="20"/>
                <w:szCs w:val="20"/>
                <w:color w:val="auto"/>
                <w:w w:val="89"/>
              </w:rPr>
              <w:t>Delaware</w:t>
            </w:r>
          </w:p>
        </w:tc>
        <w:tc>
          <w:tcPr>
            <w:tcW w:w="0" w:type="dxa"/>
            <w:vAlign w:val="bottom"/>
          </w:tcPr>
          <w:p>
            <w:pPr>
              <w:spacing w:after="0"/>
              <w:rPr>
                <w:sz w:val="1"/>
                <w:szCs w:val="1"/>
                <w:color w:val="auto"/>
              </w:rPr>
            </w:pPr>
          </w:p>
        </w:tc>
      </w:tr>
      <w:tr>
        <w:trPr>
          <w:trHeight w:val="250"/>
        </w:trPr>
        <w:tc>
          <w:tcPr>
            <w:tcW w:w="7880" w:type="dxa"/>
            <w:vAlign w:val="bottom"/>
            <w:tcBorders>
              <w:left w:val="single" w:sz="8" w:color="auto"/>
              <w:bottom w:val="single" w:sz="8" w:color="auto"/>
              <w:right w:val="single" w:sz="8" w:color="auto"/>
            </w:tcBorders>
            <w:gridSpan w:val="3"/>
          </w:tcPr>
          <w:p>
            <w:pPr>
              <w:ind w:left="20"/>
              <w:spacing w:after="0"/>
              <w:rPr>
                <w:sz w:val="20"/>
                <w:szCs w:val="20"/>
                <w:color w:val="auto"/>
              </w:rPr>
            </w:pPr>
            <w:r>
              <w:rPr>
                <w:rFonts w:ascii="Arial" w:cs="Arial" w:eastAsia="Arial" w:hAnsi="Arial"/>
                <w:sz w:val="20"/>
                <w:szCs w:val="20"/>
                <w:color w:val="auto"/>
              </w:rPr>
              <w:t>Foreign Manufacturers Finance Corporation</w:t>
            </w:r>
          </w:p>
        </w:tc>
        <w:tc>
          <w:tcPr>
            <w:tcW w:w="780" w:type="dxa"/>
            <w:vAlign w:val="bottom"/>
            <w:tcBorders>
              <w:bottom w:val="single" w:sz="8" w:color="auto"/>
            </w:tcBorders>
          </w:tcPr>
          <w:p>
            <w:pPr>
              <w:spacing w:after="0"/>
              <w:rPr>
                <w:sz w:val="21"/>
                <w:szCs w:val="21"/>
                <w:color w:val="auto"/>
              </w:rPr>
            </w:pPr>
          </w:p>
        </w:tc>
        <w:tc>
          <w:tcPr>
            <w:tcW w:w="2400" w:type="dxa"/>
            <w:vAlign w:val="bottom"/>
            <w:tcBorders>
              <w:bottom w:val="single" w:sz="8" w:color="auto"/>
              <w:right w:val="single" w:sz="8" w:color="auto"/>
            </w:tcBorders>
            <w:gridSpan w:val="2"/>
          </w:tcPr>
          <w:p>
            <w:pPr>
              <w:jc w:val="center"/>
              <w:ind w:right="800"/>
              <w:spacing w:after="0"/>
              <w:rPr>
                <w:sz w:val="20"/>
                <w:szCs w:val="20"/>
                <w:color w:val="auto"/>
              </w:rPr>
            </w:pPr>
            <w:r>
              <w:rPr>
                <w:rFonts w:ascii="Arial" w:cs="Arial" w:eastAsia="Arial" w:hAnsi="Arial"/>
                <w:sz w:val="20"/>
                <w:szCs w:val="20"/>
                <w:color w:val="auto"/>
                <w:w w:val="89"/>
              </w:rPr>
              <w:t>Delaware</w:t>
            </w:r>
          </w:p>
        </w:tc>
        <w:tc>
          <w:tcPr>
            <w:tcW w:w="0" w:type="dxa"/>
            <w:vAlign w:val="bottom"/>
          </w:tcPr>
          <w:p>
            <w:pPr>
              <w:spacing w:after="0"/>
              <w:rPr>
                <w:sz w:val="1"/>
                <w:szCs w:val="1"/>
                <w:color w:val="auto"/>
              </w:rPr>
            </w:pPr>
          </w:p>
        </w:tc>
      </w:tr>
      <w:tr>
        <w:trPr>
          <w:trHeight w:val="240"/>
        </w:trPr>
        <w:tc>
          <w:tcPr>
            <w:tcW w:w="7880" w:type="dxa"/>
            <w:vAlign w:val="bottom"/>
            <w:tcBorders>
              <w:left w:val="single" w:sz="8" w:color="auto"/>
              <w:bottom w:val="single" w:sz="8" w:color="auto"/>
              <w:right w:val="single" w:sz="8" w:color="auto"/>
            </w:tcBorders>
            <w:gridSpan w:val="3"/>
          </w:tcPr>
          <w:p>
            <w:pPr>
              <w:ind w:left="20"/>
              <w:spacing w:after="0"/>
              <w:rPr>
                <w:sz w:val="20"/>
                <w:szCs w:val="20"/>
                <w:color w:val="auto"/>
              </w:rPr>
            </w:pPr>
            <w:r>
              <w:rPr>
                <w:rFonts w:ascii="Arial" w:cs="Arial" w:eastAsia="Arial" w:hAnsi="Arial"/>
                <w:sz w:val="20"/>
                <w:szCs w:val="20"/>
                <w:color w:val="auto"/>
              </w:rPr>
              <w:t>Signode Industrial Group Holdings US Inc</w:t>
            </w:r>
          </w:p>
        </w:tc>
        <w:tc>
          <w:tcPr>
            <w:tcW w:w="780" w:type="dxa"/>
            <w:vAlign w:val="bottom"/>
            <w:tcBorders>
              <w:bottom w:val="single" w:sz="8" w:color="auto"/>
            </w:tcBorders>
          </w:tcPr>
          <w:p>
            <w:pPr>
              <w:spacing w:after="0"/>
              <w:rPr>
                <w:sz w:val="20"/>
                <w:szCs w:val="20"/>
                <w:color w:val="auto"/>
              </w:rPr>
            </w:pPr>
          </w:p>
        </w:tc>
        <w:tc>
          <w:tcPr>
            <w:tcW w:w="2400" w:type="dxa"/>
            <w:vAlign w:val="bottom"/>
            <w:tcBorders>
              <w:bottom w:val="single" w:sz="8" w:color="auto"/>
              <w:right w:val="single" w:sz="8" w:color="auto"/>
            </w:tcBorders>
            <w:gridSpan w:val="2"/>
          </w:tcPr>
          <w:p>
            <w:pPr>
              <w:jc w:val="center"/>
              <w:ind w:right="800"/>
              <w:spacing w:after="0"/>
              <w:rPr>
                <w:sz w:val="20"/>
                <w:szCs w:val="20"/>
                <w:color w:val="auto"/>
              </w:rPr>
            </w:pPr>
            <w:r>
              <w:rPr>
                <w:rFonts w:ascii="Arial" w:cs="Arial" w:eastAsia="Arial" w:hAnsi="Arial"/>
                <w:sz w:val="20"/>
                <w:szCs w:val="20"/>
                <w:color w:val="auto"/>
                <w:w w:val="89"/>
              </w:rPr>
              <w:t>Delaware</w:t>
            </w:r>
          </w:p>
        </w:tc>
        <w:tc>
          <w:tcPr>
            <w:tcW w:w="0" w:type="dxa"/>
            <w:vAlign w:val="bottom"/>
          </w:tcPr>
          <w:p>
            <w:pPr>
              <w:spacing w:after="0"/>
              <w:rPr>
                <w:sz w:val="1"/>
                <w:szCs w:val="1"/>
                <w:color w:val="auto"/>
              </w:rPr>
            </w:pPr>
          </w:p>
        </w:tc>
      </w:tr>
      <w:tr>
        <w:trPr>
          <w:trHeight w:val="247"/>
        </w:trPr>
        <w:tc>
          <w:tcPr>
            <w:tcW w:w="7880" w:type="dxa"/>
            <w:vAlign w:val="bottom"/>
            <w:tcBorders>
              <w:left w:val="single" w:sz="8" w:color="auto"/>
              <w:bottom w:val="single" w:sz="8" w:color="auto"/>
              <w:right w:val="single" w:sz="8" w:color="auto"/>
            </w:tcBorders>
            <w:gridSpan w:val="3"/>
          </w:tcPr>
          <w:p>
            <w:pPr>
              <w:ind w:left="20"/>
              <w:spacing w:after="0"/>
              <w:rPr>
                <w:sz w:val="20"/>
                <w:szCs w:val="20"/>
                <w:color w:val="auto"/>
              </w:rPr>
            </w:pPr>
            <w:r>
              <w:rPr>
                <w:rFonts w:ascii="Arial" w:cs="Arial" w:eastAsia="Arial" w:hAnsi="Arial"/>
                <w:sz w:val="20"/>
                <w:szCs w:val="20"/>
                <w:color w:val="auto"/>
              </w:rPr>
              <w:t>Signode Industrial Group LLC</w:t>
            </w:r>
          </w:p>
        </w:tc>
        <w:tc>
          <w:tcPr>
            <w:tcW w:w="780" w:type="dxa"/>
            <w:vAlign w:val="bottom"/>
            <w:tcBorders>
              <w:bottom w:val="single" w:sz="8" w:color="auto"/>
            </w:tcBorders>
          </w:tcPr>
          <w:p>
            <w:pPr>
              <w:spacing w:after="0"/>
              <w:rPr>
                <w:sz w:val="21"/>
                <w:szCs w:val="21"/>
                <w:color w:val="auto"/>
              </w:rPr>
            </w:pPr>
          </w:p>
        </w:tc>
        <w:tc>
          <w:tcPr>
            <w:tcW w:w="2400" w:type="dxa"/>
            <w:vAlign w:val="bottom"/>
            <w:tcBorders>
              <w:bottom w:val="single" w:sz="8" w:color="auto"/>
              <w:right w:val="single" w:sz="8" w:color="auto"/>
            </w:tcBorders>
            <w:gridSpan w:val="2"/>
          </w:tcPr>
          <w:p>
            <w:pPr>
              <w:jc w:val="center"/>
              <w:ind w:right="800"/>
              <w:spacing w:after="0"/>
              <w:rPr>
                <w:sz w:val="20"/>
                <w:szCs w:val="20"/>
                <w:color w:val="auto"/>
              </w:rPr>
            </w:pPr>
            <w:r>
              <w:rPr>
                <w:rFonts w:ascii="Arial" w:cs="Arial" w:eastAsia="Arial" w:hAnsi="Arial"/>
                <w:sz w:val="20"/>
                <w:szCs w:val="20"/>
                <w:color w:val="auto"/>
                <w:w w:val="89"/>
              </w:rPr>
              <w:t>Delaware</w:t>
            </w:r>
          </w:p>
        </w:tc>
        <w:tc>
          <w:tcPr>
            <w:tcW w:w="0" w:type="dxa"/>
            <w:vAlign w:val="bottom"/>
          </w:tcPr>
          <w:p>
            <w:pPr>
              <w:spacing w:after="0"/>
              <w:rPr>
                <w:sz w:val="1"/>
                <w:szCs w:val="1"/>
                <w:color w:val="auto"/>
              </w:rPr>
            </w:pPr>
          </w:p>
        </w:tc>
      </w:tr>
      <w:tr>
        <w:trPr>
          <w:trHeight w:val="250"/>
        </w:trPr>
        <w:tc>
          <w:tcPr>
            <w:tcW w:w="7880" w:type="dxa"/>
            <w:vAlign w:val="bottom"/>
            <w:tcBorders>
              <w:left w:val="single" w:sz="8" w:color="auto"/>
              <w:bottom w:val="single" w:sz="8" w:color="auto"/>
              <w:right w:val="single" w:sz="8" w:color="auto"/>
            </w:tcBorders>
            <w:gridSpan w:val="3"/>
          </w:tcPr>
          <w:p>
            <w:pPr>
              <w:ind w:left="20"/>
              <w:spacing w:after="0"/>
              <w:rPr>
                <w:sz w:val="20"/>
                <w:szCs w:val="20"/>
                <w:color w:val="auto"/>
              </w:rPr>
            </w:pPr>
            <w:r>
              <w:rPr>
                <w:rFonts w:ascii="Arial" w:cs="Arial" w:eastAsia="Arial" w:hAnsi="Arial"/>
                <w:sz w:val="20"/>
                <w:szCs w:val="20"/>
                <w:color w:val="auto"/>
              </w:rPr>
              <w:t>Signode Industrial Group US Inc</w:t>
            </w:r>
          </w:p>
        </w:tc>
        <w:tc>
          <w:tcPr>
            <w:tcW w:w="780" w:type="dxa"/>
            <w:vAlign w:val="bottom"/>
            <w:tcBorders>
              <w:bottom w:val="single" w:sz="8" w:color="auto"/>
            </w:tcBorders>
          </w:tcPr>
          <w:p>
            <w:pPr>
              <w:spacing w:after="0"/>
              <w:rPr>
                <w:sz w:val="21"/>
                <w:szCs w:val="21"/>
                <w:color w:val="auto"/>
              </w:rPr>
            </w:pPr>
          </w:p>
        </w:tc>
        <w:tc>
          <w:tcPr>
            <w:tcW w:w="2400" w:type="dxa"/>
            <w:vAlign w:val="bottom"/>
            <w:tcBorders>
              <w:bottom w:val="single" w:sz="8" w:color="auto"/>
              <w:right w:val="single" w:sz="8" w:color="auto"/>
            </w:tcBorders>
            <w:gridSpan w:val="2"/>
          </w:tcPr>
          <w:p>
            <w:pPr>
              <w:jc w:val="center"/>
              <w:ind w:right="800"/>
              <w:spacing w:after="0"/>
              <w:rPr>
                <w:sz w:val="20"/>
                <w:szCs w:val="20"/>
                <w:color w:val="auto"/>
              </w:rPr>
            </w:pPr>
            <w:r>
              <w:rPr>
                <w:rFonts w:ascii="Arial" w:cs="Arial" w:eastAsia="Arial" w:hAnsi="Arial"/>
                <w:sz w:val="20"/>
                <w:szCs w:val="20"/>
                <w:color w:val="auto"/>
                <w:w w:val="89"/>
              </w:rPr>
              <w:t>Delaware</w:t>
            </w:r>
          </w:p>
        </w:tc>
        <w:tc>
          <w:tcPr>
            <w:tcW w:w="0" w:type="dxa"/>
            <w:vAlign w:val="bottom"/>
          </w:tcPr>
          <w:p>
            <w:pPr>
              <w:spacing w:after="0"/>
              <w:rPr>
                <w:sz w:val="1"/>
                <w:szCs w:val="1"/>
                <w:color w:val="auto"/>
              </w:rPr>
            </w:pPr>
          </w:p>
        </w:tc>
      </w:tr>
      <w:tr>
        <w:trPr>
          <w:trHeight w:val="240"/>
        </w:trPr>
        <w:tc>
          <w:tcPr>
            <w:tcW w:w="7880" w:type="dxa"/>
            <w:vAlign w:val="bottom"/>
            <w:tcBorders>
              <w:left w:val="single" w:sz="8" w:color="auto"/>
              <w:bottom w:val="single" w:sz="8" w:color="auto"/>
              <w:right w:val="single" w:sz="8" w:color="auto"/>
            </w:tcBorders>
            <w:gridSpan w:val="3"/>
          </w:tcPr>
          <w:p>
            <w:pPr>
              <w:ind w:left="20"/>
              <w:spacing w:after="0"/>
              <w:rPr>
                <w:sz w:val="20"/>
                <w:szCs w:val="20"/>
                <w:color w:val="auto"/>
              </w:rPr>
            </w:pPr>
            <w:r>
              <w:rPr>
                <w:rFonts w:ascii="Arial" w:cs="Arial" w:eastAsia="Arial" w:hAnsi="Arial"/>
                <w:sz w:val="20"/>
                <w:szCs w:val="20"/>
                <w:color w:val="auto"/>
              </w:rPr>
              <w:t>Signode International IP Holdings LLC</w:t>
            </w:r>
          </w:p>
        </w:tc>
        <w:tc>
          <w:tcPr>
            <w:tcW w:w="780" w:type="dxa"/>
            <w:vAlign w:val="bottom"/>
            <w:tcBorders>
              <w:bottom w:val="single" w:sz="8" w:color="auto"/>
            </w:tcBorders>
          </w:tcPr>
          <w:p>
            <w:pPr>
              <w:spacing w:after="0"/>
              <w:rPr>
                <w:sz w:val="20"/>
                <w:szCs w:val="20"/>
                <w:color w:val="auto"/>
              </w:rPr>
            </w:pPr>
          </w:p>
        </w:tc>
        <w:tc>
          <w:tcPr>
            <w:tcW w:w="2400" w:type="dxa"/>
            <w:vAlign w:val="bottom"/>
            <w:tcBorders>
              <w:bottom w:val="single" w:sz="8" w:color="auto"/>
              <w:right w:val="single" w:sz="8" w:color="auto"/>
            </w:tcBorders>
            <w:gridSpan w:val="2"/>
          </w:tcPr>
          <w:p>
            <w:pPr>
              <w:jc w:val="center"/>
              <w:ind w:right="800"/>
              <w:spacing w:after="0"/>
              <w:rPr>
                <w:sz w:val="20"/>
                <w:szCs w:val="20"/>
                <w:color w:val="auto"/>
              </w:rPr>
            </w:pPr>
            <w:r>
              <w:rPr>
                <w:rFonts w:ascii="Arial" w:cs="Arial" w:eastAsia="Arial" w:hAnsi="Arial"/>
                <w:sz w:val="20"/>
                <w:szCs w:val="20"/>
                <w:color w:val="auto"/>
                <w:w w:val="89"/>
              </w:rPr>
              <w:t>Delaware</w:t>
            </w:r>
          </w:p>
        </w:tc>
        <w:tc>
          <w:tcPr>
            <w:tcW w:w="0" w:type="dxa"/>
            <w:vAlign w:val="bottom"/>
          </w:tcPr>
          <w:p>
            <w:pPr>
              <w:spacing w:after="0"/>
              <w:rPr>
                <w:sz w:val="1"/>
                <w:szCs w:val="1"/>
                <w:color w:val="auto"/>
              </w:rPr>
            </w:pPr>
          </w:p>
        </w:tc>
      </w:tr>
      <w:tr>
        <w:trPr>
          <w:trHeight w:val="247"/>
        </w:trPr>
        <w:tc>
          <w:tcPr>
            <w:tcW w:w="7880" w:type="dxa"/>
            <w:vAlign w:val="bottom"/>
            <w:tcBorders>
              <w:left w:val="single" w:sz="8" w:color="auto"/>
              <w:bottom w:val="single" w:sz="8" w:color="auto"/>
              <w:right w:val="single" w:sz="8" w:color="auto"/>
            </w:tcBorders>
            <w:gridSpan w:val="3"/>
          </w:tcPr>
          <w:p>
            <w:pPr>
              <w:ind w:left="20"/>
              <w:spacing w:after="0"/>
              <w:rPr>
                <w:sz w:val="20"/>
                <w:szCs w:val="20"/>
                <w:color w:val="auto"/>
              </w:rPr>
            </w:pPr>
            <w:r>
              <w:rPr>
                <w:rFonts w:ascii="Arial" w:cs="Arial" w:eastAsia="Arial" w:hAnsi="Arial"/>
                <w:sz w:val="20"/>
                <w:szCs w:val="20"/>
                <w:color w:val="auto"/>
              </w:rPr>
              <w:t>Signode Pickling Holding LLC</w:t>
            </w:r>
          </w:p>
        </w:tc>
        <w:tc>
          <w:tcPr>
            <w:tcW w:w="780" w:type="dxa"/>
            <w:vAlign w:val="bottom"/>
            <w:tcBorders>
              <w:bottom w:val="single" w:sz="8" w:color="auto"/>
            </w:tcBorders>
          </w:tcPr>
          <w:p>
            <w:pPr>
              <w:spacing w:after="0"/>
              <w:rPr>
                <w:sz w:val="21"/>
                <w:szCs w:val="21"/>
                <w:color w:val="auto"/>
              </w:rPr>
            </w:pPr>
          </w:p>
        </w:tc>
        <w:tc>
          <w:tcPr>
            <w:tcW w:w="2400" w:type="dxa"/>
            <w:vAlign w:val="bottom"/>
            <w:tcBorders>
              <w:bottom w:val="single" w:sz="8" w:color="auto"/>
              <w:right w:val="single" w:sz="8" w:color="auto"/>
            </w:tcBorders>
            <w:gridSpan w:val="2"/>
          </w:tcPr>
          <w:p>
            <w:pPr>
              <w:jc w:val="center"/>
              <w:ind w:right="800"/>
              <w:spacing w:after="0"/>
              <w:rPr>
                <w:sz w:val="20"/>
                <w:szCs w:val="20"/>
                <w:color w:val="auto"/>
              </w:rPr>
            </w:pPr>
            <w:r>
              <w:rPr>
                <w:rFonts w:ascii="Arial" w:cs="Arial" w:eastAsia="Arial" w:hAnsi="Arial"/>
                <w:sz w:val="20"/>
                <w:szCs w:val="20"/>
                <w:color w:val="auto"/>
                <w:w w:val="89"/>
              </w:rPr>
              <w:t>Delaware</w:t>
            </w:r>
          </w:p>
        </w:tc>
        <w:tc>
          <w:tcPr>
            <w:tcW w:w="0" w:type="dxa"/>
            <w:vAlign w:val="bottom"/>
          </w:tcPr>
          <w:p>
            <w:pPr>
              <w:spacing w:after="0"/>
              <w:rPr>
                <w:sz w:val="1"/>
                <w:szCs w:val="1"/>
                <w:color w:val="auto"/>
              </w:rPr>
            </w:pPr>
          </w:p>
        </w:tc>
      </w:tr>
      <w:tr>
        <w:trPr>
          <w:trHeight w:val="240"/>
        </w:trPr>
        <w:tc>
          <w:tcPr>
            <w:tcW w:w="7880" w:type="dxa"/>
            <w:vAlign w:val="bottom"/>
            <w:tcBorders>
              <w:left w:val="single" w:sz="8" w:color="auto"/>
              <w:bottom w:val="single" w:sz="8" w:color="auto"/>
              <w:right w:val="single" w:sz="8" w:color="auto"/>
            </w:tcBorders>
            <w:gridSpan w:val="3"/>
          </w:tcPr>
          <w:p>
            <w:pPr>
              <w:ind w:left="20"/>
              <w:spacing w:after="0"/>
              <w:rPr>
                <w:sz w:val="20"/>
                <w:szCs w:val="20"/>
                <w:color w:val="auto"/>
              </w:rPr>
            </w:pPr>
            <w:r>
              <w:rPr>
                <w:rFonts w:ascii="Arial" w:cs="Arial" w:eastAsia="Arial" w:hAnsi="Arial"/>
                <w:sz w:val="20"/>
                <w:szCs w:val="20"/>
                <w:color w:val="auto"/>
              </w:rPr>
              <w:t>Signode US IP Holdings LLC</w:t>
            </w:r>
          </w:p>
        </w:tc>
        <w:tc>
          <w:tcPr>
            <w:tcW w:w="780" w:type="dxa"/>
            <w:vAlign w:val="bottom"/>
            <w:tcBorders>
              <w:bottom w:val="single" w:sz="8" w:color="auto"/>
            </w:tcBorders>
          </w:tcPr>
          <w:p>
            <w:pPr>
              <w:spacing w:after="0"/>
              <w:rPr>
                <w:sz w:val="20"/>
                <w:szCs w:val="20"/>
                <w:color w:val="auto"/>
              </w:rPr>
            </w:pPr>
          </w:p>
        </w:tc>
        <w:tc>
          <w:tcPr>
            <w:tcW w:w="2400" w:type="dxa"/>
            <w:vAlign w:val="bottom"/>
            <w:tcBorders>
              <w:bottom w:val="single" w:sz="8" w:color="auto"/>
              <w:right w:val="single" w:sz="8" w:color="auto"/>
            </w:tcBorders>
            <w:gridSpan w:val="2"/>
          </w:tcPr>
          <w:p>
            <w:pPr>
              <w:jc w:val="center"/>
              <w:ind w:right="800"/>
              <w:spacing w:after="0"/>
              <w:rPr>
                <w:sz w:val="20"/>
                <w:szCs w:val="20"/>
                <w:color w:val="auto"/>
              </w:rPr>
            </w:pPr>
            <w:r>
              <w:rPr>
                <w:rFonts w:ascii="Arial" w:cs="Arial" w:eastAsia="Arial" w:hAnsi="Arial"/>
                <w:sz w:val="20"/>
                <w:szCs w:val="20"/>
                <w:color w:val="auto"/>
                <w:w w:val="89"/>
              </w:rPr>
              <w:t>Delaware</w:t>
            </w:r>
          </w:p>
        </w:tc>
        <w:tc>
          <w:tcPr>
            <w:tcW w:w="0" w:type="dxa"/>
            <w:vAlign w:val="bottom"/>
          </w:tcPr>
          <w:p>
            <w:pPr>
              <w:spacing w:after="0"/>
              <w:rPr>
                <w:sz w:val="1"/>
                <w:szCs w:val="1"/>
                <w:color w:val="auto"/>
              </w:rPr>
            </w:pPr>
          </w:p>
        </w:tc>
      </w:tr>
      <w:tr>
        <w:trPr>
          <w:trHeight w:val="247"/>
        </w:trPr>
        <w:tc>
          <w:tcPr>
            <w:tcW w:w="7880" w:type="dxa"/>
            <w:vAlign w:val="bottom"/>
            <w:tcBorders>
              <w:left w:val="single" w:sz="8" w:color="auto"/>
              <w:bottom w:val="single" w:sz="8" w:color="auto"/>
              <w:right w:val="single" w:sz="8" w:color="auto"/>
            </w:tcBorders>
            <w:gridSpan w:val="3"/>
          </w:tcPr>
          <w:p>
            <w:pPr>
              <w:ind w:left="20"/>
              <w:spacing w:after="0"/>
              <w:rPr>
                <w:sz w:val="20"/>
                <w:szCs w:val="20"/>
                <w:color w:val="auto"/>
              </w:rPr>
            </w:pPr>
            <w:r>
              <w:rPr>
                <w:rFonts w:ascii="Arial" w:cs="Arial" w:eastAsia="Arial" w:hAnsi="Arial"/>
                <w:sz w:val="20"/>
                <w:szCs w:val="20"/>
                <w:color w:val="auto"/>
              </w:rPr>
              <w:t>TopFrame LLC</w:t>
            </w:r>
          </w:p>
        </w:tc>
        <w:tc>
          <w:tcPr>
            <w:tcW w:w="780" w:type="dxa"/>
            <w:vAlign w:val="bottom"/>
            <w:tcBorders>
              <w:bottom w:val="single" w:sz="8" w:color="auto"/>
            </w:tcBorders>
          </w:tcPr>
          <w:p>
            <w:pPr>
              <w:spacing w:after="0"/>
              <w:rPr>
                <w:sz w:val="21"/>
                <w:szCs w:val="21"/>
                <w:color w:val="auto"/>
              </w:rPr>
            </w:pPr>
          </w:p>
        </w:tc>
        <w:tc>
          <w:tcPr>
            <w:tcW w:w="2400" w:type="dxa"/>
            <w:vAlign w:val="bottom"/>
            <w:tcBorders>
              <w:bottom w:val="single" w:sz="8" w:color="auto"/>
              <w:right w:val="single" w:sz="8" w:color="auto"/>
            </w:tcBorders>
            <w:gridSpan w:val="2"/>
          </w:tcPr>
          <w:p>
            <w:pPr>
              <w:jc w:val="center"/>
              <w:ind w:right="800"/>
              <w:spacing w:after="0"/>
              <w:rPr>
                <w:sz w:val="20"/>
                <w:szCs w:val="20"/>
                <w:color w:val="auto"/>
              </w:rPr>
            </w:pPr>
            <w:r>
              <w:rPr>
                <w:rFonts w:ascii="Arial" w:cs="Arial" w:eastAsia="Arial" w:hAnsi="Arial"/>
                <w:sz w:val="20"/>
                <w:szCs w:val="20"/>
                <w:color w:val="auto"/>
                <w:w w:val="89"/>
              </w:rPr>
              <w:t>Delaware</w:t>
            </w:r>
          </w:p>
        </w:tc>
        <w:tc>
          <w:tcPr>
            <w:tcW w:w="0" w:type="dxa"/>
            <w:vAlign w:val="bottom"/>
          </w:tcPr>
          <w:p>
            <w:pPr>
              <w:spacing w:after="0"/>
              <w:rPr>
                <w:sz w:val="1"/>
                <w:szCs w:val="1"/>
                <w:color w:val="auto"/>
              </w:rPr>
            </w:pPr>
          </w:p>
        </w:tc>
      </w:tr>
      <w:tr>
        <w:trPr>
          <w:trHeight w:val="250"/>
        </w:trPr>
        <w:tc>
          <w:tcPr>
            <w:tcW w:w="7880" w:type="dxa"/>
            <w:vAlign w:val="bottom"/>
            <w:tcBorders>
              <w:left w:val="single" w:sz="8" w:color="auto"/>
              <w:bottom w:val="single" w:sz="8" w:color="auto"/>
              <w:right w:val="single" w:sz="8" w:color="auto"/>
            </w:tcBorders>
            <w:gridSpan w:val="3"/>
          </w:tcPr>
          <w:p>
            <w:pPr>
              <w:ind w:left="20"/>
              <w:spacing w:after="0"/>
              <w:rPr>
                <w:sz w:val="20"/>
                <w:szCs w:val="20"/>
                <w:color w:val="auto"/>
              </w:rPr>
            </w:pPr>
            <w:r>
              <w:rPr>
                <w:rFonts w:ascii="Arial" w:cs="Arial" w:eastAsia="Arial" w:hAnsi="Arial"/>
                <w:sz w:val="20"/>
                <w:szCs w:val="20"/>
                <w:color w:val="auto"/>
              </w:rPr>
              <w:t>Package Design and Manufacturing, Inc.</w:t>
            </w:r>
          </w:p>
        </w:tc>
        <w:tc>
          <w:tcPr>
            <w:tcW w:w="780" w:type="dxa"/>
            <w:vAlign w:val="bottom"/>
            <w:tcBorders>
              <w:bottom w:val="single" w:sz="8" w:color="auto"/>
            </w:tcBorders>
          </w:tcPr>
          <w:p>
            <w:pPr>
              <w:spacing w:after="0"/>
              <w:rPr>
                <w:sz w:val="21"/>
                <w:szCs w:val="21"/>
                <w:color w:val="auto"/>
              </w:rPr>
            </w:pPr>
          </w:p>
        </w:tc>
        <w:tc>
          <w:tcPr>
            <w:tcW w:w="2400" w:type="dxa"/>
            <w:vAlign w:val="bottom"/>
            <w:tcBorders>
              <w:bottom w:val="single" w:sz="8" w:color="auto"/>
              <w:right w:val="single" w:sz="8" w:color="auto"/>
            </w:tcBorders>
            <w:gridSpan w:val="2"/>
          </w:tcPr>
          <w:p>
            <w:pPr>
              <w:jc w:val="center"/>
              <w:ind w:right="800"/>
              <w:spacing w:after="0"/>
              <w:rPr>
                <w:sz w:val="20"/>
                <w:szCs w:val="20"/>
                <w:color w:val="auto"/>
              </w:rPr>
            </w:pPr>
            <w:r>
              <w:rPr>
                <w:rFonts w:ascii="Arial" w:cs="Arial" w:eastAsia="Arial" w:hAnsi="Arial"/>
                <w:sz w:val="20"/>
                <w:szCs w:val="20"/>
                <w:color w:val="auto"/>
                <w:w w:val="94"/>
              </w:rPr>
              <w:t>Michigan</w:t>
            </w:r>
          </w:p>
        </w:tc>
        <w:tc>
          <w:tcPr>
            <w:tcW w:w="0" w:type="dxa"/>
            <w:vAlign w:val="bottom"/>
          </w:tcPr>
          <w:p>
            <w:pPr>
              <w:spacing w:after="0"/>
              <w:rPr>
                <w:sz w:val="1"/>
                <w:szCs w:val="1"/>
                <w:color w:val="auto"/>
              </w:rPr>
            </w:pPr>
          </w:p>
        </w:tc>
      </w:tr>
      <w:tr>
        <w:trPr>
          <w:trHeight w:val="240"/>
        </w:trPr>
        <w:tc>
          <w:tcPr>
            <w:tcW w:w="7880" w:type="dxa"/>
            <w:vAlign w:val="bottom"/>
            <w:tcBorders>
              <w:left w:val="single" w:sz="8" w:color="auto"/>
              <w:bottom w:val="single" w:sz="8" w:color="auto"/>
              <w:right w:val="single" w:sz="8" w:color="auto"/>
            </w:tcBorders>
            <w:gridSpan w:val="3"/>
          </w:tcPr>
          <w:p>
            <w:pPr>
              <w:ind w:left="20"/>
              <w:spacing w:after="0"/>
              <w:rPr>
                <w:sz w:val="20"/>
                <w:szCs w:val="20"/>
                <w:color w:val="auto"/>
              </w:rPr>
            </w:pPr>
            <w:r>
              <w:rPr>
                <w:rFonts w:ascii="Arial" w:cs="Arial" w:eastAsia="Arial" w:hAnsi="Arial"/>
                <w:sz w:val="20"/>
                <w:szCs w:val="20"/>
                <w:color w:val="auto"/>
              </w:rPr>
              <w:t>Simplimatic Engineering Holdings, LLC</w:t>
            </w:r>
          </w:p>
        </w:tc>
        <w:tc>
          <w:tcPr>
            <w:tcW w:w="780" w:type="dxa"/>
            <w:vAlign w:val="bottom"/>
            <w:tcBorders>
              <w:bottom w:val="single" w:sz="8" w:color="auto"/>
            </w:tcBorders>
          </w:tcPr>
          <w:p>
            <w:pPr>
              <w:spacing w:after="0"/>
              <w:rPr>
                <w:sz w:val="20"/>
                <w:szCs w:val="20"/>
                <w:color w:val="auto"/>
              </w:rPr>
            </w:pPr>
          </w:p>
        </w:tc>
        <w:tc>
          <w:tcPr>
            <w:tcW w:w="2400" w:type="dxa"/>
            <w:vAlign w:val="bottom"/>
            <w:tcBorders>
              <w:bottom w:val="single" w:sz="8" w:color="auto"/>
              <w:right w:val="single" w:sz="8" w:color="auto"/>
            </w:tcBorders>
            <w:gridSpan w:val="2"/>
          </w:tcPr>
          <w:p>
            <w:pPr>
              <w:jc w:val="center"/>
              <w:ind w:right="800"/>
              <w:spacing w:after="0"/>
              <w:rPr>
                <w:sz w:val="20"/>
                <w:szCs w:val="20"/>
                <w:color w:val="auto"/>
              </w:rPr>
            </w:pPr>
            <w:r>
              <w:rPr>
                <w:rFonts w:ascii="Arial" w:cs="Arial" w:eastAsia="Arial" w:hAnsi="Arial"/>
                <w:sz w:val="20"/>
                <w:szCs w:val="20"/>
                <w:color w:val="auto"/>
                <w:w w:val="94"/>
              </w:rPr>
              <w:t>Ohio</w:t>
            </w:r>
          </w:p>
        </w:tc>
        <w:tc>
          <w:tcPr>
            <w:tcW w:w="0" w:type="dxa"/>
            <w:vAlign w:val="bottom"/>
          </w:tcPr>
          <w:p>
            <w:pPr>
              <w:spacing w:after="0"/>
              <w:rPr>
                <w:sz w:val="1"/>
                <w:szCs w:val="1"/>
                <w:color w:val="auto"/>
              </w:rPr>
            </w:pPr>
          </w:p>
        </w:tc>
      </w:tr>
      <w:tr>
        <w:trPr>
          <w:trHeight w:val="247"/>
        </w:trPr>
        <w:tc>
          <w:tcPr>
            <w:tcW w:w="7880" w:type="dxa"/>
            <w:vAlign w:val="bottom"/>
            <w:tcBorders>
              <w:left w:val="single" w:sz="8" w:color="auto"/>
              <w:bottom w:val="single" w:sz="8" w:color="auto"/>
              <w:right w:val="single" w:sz="8" w:color="auto"/>
            </w:tcBorders>
            <w:gridSpan w:val="3"/>
          </w:tcPr>
          <w:p>
            <w:pPr>
              <w:ind w:left="20"/>
              <w:spacing w:after="0"/>
              <w:rPr>
                <w:sz w:val="20"/>
                <w:szCs w:val="20"/>
                <w:color w:val="auto"/>
              </w:rPr>
            </w:pPr>
            <w:r>
              <w:rPr>
                <w:rFonts w:ascii="Arial" w:cs="Arial" w:eastAsia="Arial" w:hAnsi="Arial"/>
                <w:sz w:val="20"/>
                <w:szCs w:val="20"/>
                <w:color w:val="auto"/>
              </w:rPr>
              <w:t>Simplimatic Automation LLC</w:t>
            </w:r>
          </w:p>
        </w:tc>
        <w:tc>
          <w:tcPr>
            <w:tcW w:w="780" w:type="dxa"/>
            <w:vAlign w:val="bottom"/>
            <w:tcBorders>
              <w:bottom w:val="single" w:sz="8" w:color="auto"/>
            </w:tcBorders>
          </w:tcPr>
          <w:p>
            <w:pPr>
              <w:spacing w:after="0"/>
              <w:rPr>
                <w:sz w:val="21"/>
                <w:szCs w:val="21"/>
                <w:color w:val="auto"/>
              </w:rPr>
            </w:pPr>
          </w:p>
        </w:tc>
        <w:tc>
          <w:tcPr>
            <w:tcW w:w="2400" w:type="dxa"/>
            <w:vAlign w:val="bottom"/>
            <w:tcBorders>
              <w:bottom w:val="single" w:sz="8" w:color="auto"/>
              <w:right w:val="single" w:sz="8" w:color="auto"/>
            </w:tcBorders>
            <w:gridSpan w:val="2"/>
          </w:tcPr>
          <w:p>
            <w:pPr>
              <w:jc w:val="center"/>
              <w:ind w:right="800"/>
              <w:spacing w:after="0"/>
              <w:rPr>
                <w:sz w:val="20"/>
                <w:szCs w:val="20"/>
                <w:color w:val="auto"/>
              </w:rPr>
            </w:pPr>
            <w:r>
              <w:rPr>
                <w:rFonts w:ascii="Arial" w:cs="Arial" w:eastAsia="Arial" w:hAnsi="Arial"/>
                <w:sz w:val="20"/>
                <w:szCs w:val="20"/>
                <w:color w:val="auto"/>
                <w:w w:val="94"/>
              </w:rPr>
              <w:t>Ohio</w:t>
            </w:r>
          </w:p>
        </w:tc>
        <w:tc>
          <w:tcPr>
            <w:tcW w:w="0" w:type="dxa"/>
            <w:vAlign w:val="bottom"/>
          </w:tcPr>
          <w:p>
            <w:pPr>
              <w:spacing w:after="0"/>
              <w:rPr>
                <w:sz w:val="1"/>
                <w:szCs w:val="1"/>
                <w:color w:val="auto"/>
              </w:rPr>
            </w:pPr>
          </w:p>
        </w:tc>
      </w:tr>
      <w:tr>
        <w:trPr>
          <w:trHeight w:val="250"/>
        </w:trPr>
        <w:tc>
          <w:tcPr>
            <w:tcW w:w="7880" w:type="dxa"/>
            <w:vAlign w:val="bottom"/>
            <w:tcBorders>
              <w:left w:val="single" w:sz="8" w:color="auto"/>
              <w:bottom w:val="single" w:sz="8" w:color="auto"/>
              <w:right w:val="single" w:sz="8" w:color="auto"/>
            </w:tcBorders>
            <w:gridSpan w:val="3"/>
          </w:tcPr>
          <w:p>
            <w:pPr>
              <w:ind w:left="20"/>
              <w:spacing w:after="0"/>
              <w:rPr>
                <w:sz w:val="20"/>
                <w:szCs w:val="20"/>
                <w:color w:val="auto"/>
              </w:rPr>
            </w:pPr>
            <w:r>
              <w:rPr>
                <w:rFonts w:ascii="Arial" w:cs="Arial" w:eastAsia="Arial" w:hAnsi="Arial"/>
                <w:sz w:val="20"/>
                <w:szCs w:val="20"/>
                <w:color w:val="auto"/>
              </w:rPr>
              <w:t>SE International Holdings</w:t>
            </w:r>
          </w:p>
        </w:tc>
        <w:tc>
          <w:tcPr>
            <w:tcW w:w="780" w:type="dxa"/>
            <w:vAlign w:val="bottom"/>
            <w:tcBorders>
              <w:bottom w:val="single" w:sz="8" w:color="auto"/>
            </w:tcBorders>
          </w:tcPr>
          <w:p>
            <w:pPr>
              <w:spacing w:after="0"/>
              <w:rPr>
                <w:sz w:val="21"/>
                <w:szCs w:val="21"/>
                <w:color w:val="auto"/>
              </w:rPr>
            </w:pPr>
          </w:p>
        </w:tc>
        <w:tc>
          <w:tcPr>
            <w:tcW w:w="2400" w:type="dxa"/>
            <w:vAlign w:val="bottom"/>
            <w:tcBorders>
              <w:bottom w:val="single" w:sz="8" w:color="auto"/>
              <w:right w:val="single" w:sz="8" w:color="auto"/>
            </w:tcBorders>
            <w:gridSpan w:val="2"/>
          </w:tcPr>
          <w:p>
            <w:pPr>
              <w:jc w:val="center"/>
              <w:ind w:right="800"/>
              <w:spacing w:after="0"/>
              <w:rPr>
                <w:sz w:val="20"/>
                <w:szCs w:val="20"/>
                <w:color w:val="auto"/>
              </w:rPr>
            </w:pPr>
            <w:r>
              <w:rPr>
                <w:rFonts w:ascii="Arial" w:cs="Arial" w:eastAsia="Arial" w:hAnsi="Arial"/>
                <w:sz w:val="20"/>
                <w:szCs w:val="20"/>
                <w:color w:val="auto"/>
                <w:w w:val="94"/>
              </w:rPr>
              <w:t>Ohio</w:t>
            </w:r>
          </w:p>
        </w:tc>
        <w:tc>
          <w:tcPr>
            <w:tcW w:w="0" w:type="dxa"/>
            <w:vAlign w:val="bottom"/>
          </w:tcPr>
          <w:p>
            <w:pPr>
              <w:spacing w:after="0"/>
              <w:rPr>
                <w:sz w:val="1"/>
                <w:szCs w:val="1"/>
                <w:color w:val="auto"/>
              </w:rPr>
            </w:pPr>
          </w:p>
        </w:tc>
      </w:tr>
      <w:tr>
        <w:trPr>
          <w:trHeight w:val="240"/>
        </w:trPr>
        <w:tc>
          <w:tcPr>
            <w:tcW w:w="7880" w:type="dxa"/>
            <w:vAlign w:val="bottom"/>
            <w:tcBorders>
              <w:left w:val="single" w:sz="8" w:color="auto"/>
              <w:bottom w:val="single" w:sz="8" w:color="auto"/>
              <w:right w:val="single" w:sz="8" w:color="auto"/>
            </w:tcBorders>
            <w:gridSpan w:val="3"/>
          </w:tcPr>
          <w:p>
            <w:pPr>
              <w:ind w:left="20"/>
              <w:spacing w:after="0"/>
              <w:rPr>
                <w:sz w:val="20"/>
                <w:szCs w:val="20"/>
                <w:color w:val="auto"/>
              </w:rPr>
            </w:pPr>
            <w:r>
              <w:rPr>
                <w:rFonts w:ascii="Arial" w:cs="Arial" w:eastAsia="Arial" w:hAnsi="Arial"/>
                <w:sz w:val="20"/>
                <w:szCs w:val="20"/>
                <w:color w:val="auto"/>
              </w:rPr>
              <w:t>SE International Holdings II</w:t>
            </w:r>
          </w:p>
        </w:tc>
        <w:tc>
          <w:tcPr>
            <w:tcW w:w="780" w:type="dxa"/>
            <w:vAlign w:val="bottom"/>
            <w:tcBorders>
              <w:bottom w:val="single" w:sz="8" w:color="auto"/>
            </w:tcBorders>
          </w:tcPr>
          <w:p>
            <w:pPr>
              <w:spacing w:after="0"/>
              <w:rPr>
                <w:sz w:val="20"/>
                <w:szCs w:val="20"/>
                <w:color w:val="auto"/>
              </w:rPr>
            </w:pPr>
          </w:p>
        </w:tc>
        <w:tc>
          <w:tcPr>
            <w:tcW w:w="2400" w:type="dxa"/>
            <w:vAlign w:val="bottom"/>
            <w:tcBorders>
              <w:bottom w:val="single" w:sz="8" w:color="auto"/>
              <w:right w:val="single" w:sz="8" w:color="auto"/>
            </w:tcBorders>
            <w:gridSpan w:val="2"/>
          </w:tcPr>
          <w:p>
            <w:pPr>
              <w:jc w:val="center"/>
              <w:ind w:right="800"/>
              <w:spacing w:after="0"/>
              <w:rPr>
                <w:sz w:val="20"/>
                <w:szCs w:val="20"/>
                <w:color w:val="auto"/>
              </w:rPr>
            </w:pPr>
            <w:r>
              <w:rPr>
                <w:rFonts w:ascii="Arial" w:cs="Arial" w:eastAsia="Arial" w:hAnsi="Arial"/>
                <w:sz w:val="20"/>
                <w:szCs w:val="20"/>
                <w:color w:val="auto"/>
                <w:w w:val="94"/>
              </w:rPr>
              <w:t>Ohio</w:t>
            </w:r>
          </w:p>
        </w:tc>
        <w:tc>
          <w:tcPr>
            <w:tcW w:w="0" w:type="dxa"/>
            <w:vAlign w:val="bottom"/>
          </w:tcPr>
          <w:p>
            <w:pPr>
              <w:spacing w:after="0"/>
              <w:rPr>
                <w:sz w:val="1"/>
                <w:szCs w:val="1"/>
                <w:color w:val="auto"/>
              </w:rPr>
            </w:pPr>
          </w:p>
        </w:tc>
      </w:tr>
      <w:tr>
        <w:trPr>
          <w:trHeight w:val="247"/>
        </w:trPr>
        <w:tc>
          <w:tcPr>
            <w:tcW w:w="7880" w:type="dxa"/>
            <w:vAlign w:val="bottom"/>
            <w:tcBorders>
              <w:left w:val="single" w:sz="8" w:color="auto"/>
              <w:bottom w:val="single" w:sz="8" w:color="auto"/>
              <w:right w:val="single" w:sz="8" w:color="auto"/>
            </w:tcBorders>
            <w:gridSpan w:val="3"/>
          </w:tcPr>
          <w:p>
            <w:pPr>
              <w:ind w:left="20"/>
              <w:spacing w:after="0"/>
              <w:rPr>
                <w:sz w:val="20"/>
                <w:szCs w:val="20"/>
                <w:color w:val="auto"/>
              </w:rPr>
            </w:pPr>
            <w:r>
              <w:rPr>
                <w:rFonts w:ascii="Arial" w:cs="Arial" w:eastAsia="Arial" w:hAnsi="Arial"/>
                <w:sz w:val="20"/>
                <w:szCs w:val="20"/>
                <w:color w:val="auto"/>
              </w:rPr>
              <w:t>SEH Real Estate Holdings LLC</w:t>
            </w:r>
          </w:p>
        </w:tc>
        <w:tc>
          <w:tcPr>
            <w:tcW w:w="780" w:type="dxa"/>
            <w:vAlign w:val="bottom"/>
            <w:tcBorders>
              <w:bottom w:val="single" w:sz="8" w:color="auto"/>
            </w:tcBorders>
          </w:tcPr>
          <w:p>
            <w:pPr>
              <w:spacing w:after="0"/>
              <w:rPr>
                <w:sz w:val="21"/>
                <w:szCs w:val="21"/>
                <w:color w:val="auto"/>
              </w:rPr>
            </w:pPr>
          </w:p>
        </w:tc>
        <w:tc>
          <w:tcPr>
            <w:tcW w:w="2400" w:type="dxa"/>
            <w:vAlign w:val="bottom"/>
            <w:tcBorders>
              <w:bottom w:val="single" w:sz="8" w:color="auto"/>
              <w:right w:val="single" w:sz="8" w:color="auto"/>
            </w:tcBorders>
            <w:gridSpan w:val="2"/>
          </w:tcPr>
          <w:p>
            <w:pPr>
              <w:jc w:val="center"/>
              <w:ind w:right="800"/>
              <w:spacing w:after="0"/>
              <w:rPr>
                <w:sz w:val="20"/>
                <w:szCs w:val="20"/>
                <w:color w:val="auto"/>
              </w:rPr>
            </w:pPr>
            <w:r>
              <w:rPr>
                <w:rFonts w:ascii="Arial" w:cs="Arial" w:eastAsia="Arial" w:hAnsi="Arial"/>
                <w:sz w:val="20"/>
                <w:szCs w:val="20"/>
                <w:color w:val="auto"/>
                <w:w w:val="95"/>
              </w:rPr>
              <w:t>Virginia</w:t>
            </w:r>
          </w:p>
        </w:tc>
        <w:tc>
          <w:tcPr>
            <w:tcW w:w="0" w:type="dxa"/>
            <w:vAlign w:val="bottom"/>
          </w:tcPr>
          <w:p>
            <w:pPr>
              <w:spacing w:after="0"/>
              <w:rPr>
                <w:sz w:val="1"/>
                <w:szCs w:val="1"/>
                <w:color w:val="auto"/>
              </w:rPr>
            </w:pPr>
          </w:p>
        </w:tc>
      </w:tr>
    </w:tbl>
    <w:p>
      <w:pPr>
        <w:sectPr>
          <w:pgSz w:w="11900" w:h="16838" w:orient="portrait"/>
          <w:cols w:equalWidth="0" w:num="1">
            <w:col w:w="11140"/>
          </w:cols>
          <w:pgMar w:left="320" w:top="886" w:right="439" w:bottom="1440" w:gutter="0" w:footer="0" w:header="0"/>
        </w:sectPr>
      </w:pPr>
    </w:p>
    <w:bookmarkStart w:id="41" w:name="page42"/>
    <w:bookmarkEnd w:id="41"/>
    <w:p>
      <w:pPr>
        <w:ind w:left="9720"/>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295"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CERTIFICATION</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auto"/>
        </w:rPr>
        <w:t>I, Timothy J. Donahue, certify that:</w:t>
      </w:r>
    </w:p>
    <w:p>
      <w:pPr>
        <w:spacing w:after="0" w:line="252" w:lineRule="exact"/>
        <w:rPr>
          <w:sz w:val="20"/>
          <w:szCs w:val="20"/>
          <w:color w:val="auto"/>
        </w:rPr>
      </w:pPr>
    </w:p>
    <w:p>
      <w:pPr>
        <w:ind w:left="340" w:hanging="332"/>
        <w:spacing w:after="0"/>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Crown Holdings, Inc. (“the registrant”);</w:t>
      </w:r>
    </w:p>
    <w:p>
      <w:pPr>
        <w:spacing w:after="0" w:line="252" w:lineRule="exact"/>
        <w:rPr>
          <w:rFonts w:ascii="Arial" w:cs="Arial" w:eastAsia="Arial" w:hAnsi="Arial"/>
          <w:sz w:val="18"/>
          <w:szCs w:val="18"/>
          <w:color w:val="auto"/>
        </w:rPr>
      </w:pPr>
    </w:p>
    <w:p>
      <w:pPr>
        <w:jc w:val="both"/>
        <w:ind w:left="340" w:right="80" w:hanging="332"/>
        <w:spacing w:after="0" w:line="263" w:lineRule="auto"/>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0" w:lineRule="exact"/>
        <w:rPr>
          <w:rFonts w:ascii="Arial" w:cs="Arial" w:eastAsia="Arial" w:hAnsi="Arial"/>
          <w:sz w:val="18"/>
          <w:szCs w:val="18"/>
          <w:color w:val="auto"/>
        </w:rPr>
      </w:pPr>
    </w:p>
    <w:p>
      <w:pPr>
        <w:jc w:val="both"/>
        <w:ind w:left="340" w:right="80" w:hanging="332"/>
        <w:spacing w:after="0" w:line="263" w:lineRule="auto"/>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10" w:lineRule="exact"/>
        <w:rPr>
          <w:rFonts w:ascii="Arial" w:cs="Arial" w:eastAsia="Arial" w:hAnsi="Arial"/>
          <w:sz w:val="18"/>
          <w:szCs w:val="18"/>
          <w:color w:val="auto"/>
        </w:rPr>
      </w:pPr>
    </w:p>
    <w:p>
      <w:pPr>
        <w:jc w:val="both"/>
        <w:ind w:left="340" w:right="80" w:hanging="332"/>
        <w:spacing w:after="0" w:line="263" w:lineRule="auto"/>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0" w:lineRule="exact"/>
        <w:rPr>
          <w:rFonts w:ascii="Arial" w:cs="Arial" w:eastAsia="Arial" w:hAnsi="Arial"/>
          <w:sz w:val="18"/>
          <w:szCs w:val="18"/>
          <w:color w:val="auto"/>
        </w:rPr>
      </w:pPr>
    </w:p>
    <w:p>
      <w:pPr>
        <w:jc w:val="both"/>
        <w:ind w:left="980" w:right="80" w:hanging="324"/>
        <w:spacing w:after="0" w:line="263" w:lineRule="auto"/>
        <w:tabs>
          <w:tab w:leader="none" w:pos="98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jc w:val="both"/>
        <w:ind w:left="980" w:right="80" w:hanging="324"/>
        <w:spacing w:after="0" w:line="263" w:lineRule="auto"/>
        <w:tabs>
          <w:tab w:leader="none" w:pos="98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0" w:lineRule="exact"/>
        <w:rPr>
          <w:rFonts w:ascii="Arial" w:cs="Arial" w:eastAsia="Arial" w:hAnsi="Arial"/>
          <w:sz w:val="18"/>
          <w:szCs w:val="18"/>
          <w:color w:val="auto"/>
        </w:rPr>
      </w:pPr>
    </w:p>
    <w:p>
      <w:pPr>
        <w:jc w:val="both"/>
        <w:ind w:left="980" w:right="80" w:hanging="324"/>
        <w:spacing w:after="0" w:line="263" w:lineRule="auto"/>
        <w:tabs>
          <w:tab w:leader="none" w:pos="980" w:val="left"/>
        </w:tabs>
        <w:numPr>
          <w:ilvl w:val="1"/>
          <w:numId w:val="2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10" w:lineRule="exact"/>
        <w:rPr>
          <w:rFonts w:ascii="Arial" w:cs="Arial" w:eastAsia="Arial" w:hAnsi="Arial"/>
          <w:sz w:val="18"/>
          <w:szCs w:val="18"/>
          <w:color w:val="auto"/>
        </w:rPr>
      </w:pPr>
    </w:p>
    <w:p>
      <w:pPr>
        <w:jc w:val="both"/>
        <w:ind w:left="980" w:right="80" w:hanging="324"/>
        <w:spacing w:after="0" w:line="263" w:lineRule="auto"/>
        <w:tabs>
          <w:tab w:leader="none" w:pos="98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0" w:lineRule="exact"/>
        <w:rPr>
          <w:rFonts w:ascii="Arial" w:cs="Arial" w:eastAsia="Arial" w:hAnsi="Arial"/>
          <w:sz w:val="18"/>
          <w:szCs w:val="18"/>
          <w:color w:val="auto"/>
        </w:rPr>
      </w:pPr>
    </w:p>
    <w:p>
      <w:pPr>
        <w:jc w:val="both"/>
        <w:ind w:left="340" w:right="80" w:hanging="332"/>
        <w:spacing w:after="0" w:line="263" w:lineRule="auto"/>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10" w:lineRule="exact"/>
        <w:rPr>
          <w:rFonts w:ascii="Arial" w:cs="Arial" w:eastAsia="Arial" w:hAnsi="Arial"/>
          <w:sz w:val="18"/>
          <w:szCs w:val="18"/>
          <w:color w:val="auto"/>
        </w:rPr>
      </w:pPr>
    </w:p>
    <w:p>
      <w:pPr>
        <w:ind w:left="980" w:right="80" w:hanging="324"/>
        <w:spacing w:after="0" w:line="263" w:lineRule="auto"/>
        <w:tabs>
          <w:tab w:leader="none" w:pos="895" w:val="left"/>
        </w:tabs>
        <w:numPr>
          <w:ilvl w:val="1"/>
          <w:numId w:val="2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10" w:lineRule="exact"/>
        <w:rPr>
          <w:rFonts w:ascii="Arial" w:cs="Arial" w:eastAsia="Arial" w:hAnsi="Arial"/>
          <w:sz w:val="18"/>
          <w:szCs w:val="18"/>
          <w:color w:val="auto"/>
        </w:rPr>
      </w:pPr>
    </w:p>
    <w:p>
      <w:pPr>
        <w:ind w:left="980" w:hanging="324"/>
        <w:spacing w:after="0" w:line="275" w:lineRule="auto"/>
        <w:tabs>
          <w:tab w:leader="none" w:pos="1154" w:val="left"/>
        </w:tabs>
        <w:numPr>
          <w:ilvl w:val="1"/>
          <w:numId w:val="2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44" w:lineRule="exact"/>
        <w:rPr>
          <w:sz w:val="20"/>
          <w:szCs w:val="20"/>
          <w:color w:val="auto"/>
        </w:rPr>
      </w:pPr>
    </w:p>
    <w:p>
      <w:pPr>
        <w:spacing w:after="0"/>
        <w:tabs>
          <w:tab w:leader="none" w:pos="2540" w:val="left"/>
        </w:tabs>
        <w:rPr>
          <w:sz w:val="20"/>
          <w:szCs w:val="20"/>
          <w:color w:val="auto"/>
        </w:rPr>
      </w:pPr>
      <w:r>
        <w:rPr>
          <w:rFonts w:ascii="Arial" w:cs="Arial" w:eastAsia="Arial" w:hAnsi="Arial"/>
          <w:sz w:val="18"/>
          <w:szCs w:val="18"/>
          <w:color w:val="auto"/>
        </w:rPr>
        <w:t>Date: July 28, 2023</w:t>
      </w:r>
      <w:r>
        <w:rPr>
          <w:sz w:val="20"/>
          <w:szCs w:val="20"/>
          <w:color w:val="auto"/>
        </w:rPr>
        <w:tab/>
      </w:r>
      <w:r>
        <w:rPr>
          <w:rFonts w:ascii="Arial" w:cs="Arial" w:eastAsia="Arial" w:hAnsi="Arial"/>
          <w:sz w:val="17"/>
          <w:szCs w:val="17"/>
          <w:u w:val="single" w:color="auto"/>
          <w:color w:val="auto"/>
        </w:rPr>
        <w:t>/s/ Timothy J. Donahue</w:t>
      </w:r>
    </w:p>
    <w:p>
      <w:pPr>
        <w:spacing w:after="0" w:line="21"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Timothy J. Donahue</w:t>
      </w:r>
    </w:p>
    <w:p>
      <w:pPr>
        <w:spacing w:after="0" w:line="9"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Chairman, President and Chief Executive Officer</w:t>
      </w:r>
    </w:p>
    <w:p>
      <w:pPr>
        <w:sectPr>
          <w:pgSz w:w="11900" w:h="16838" w:orient="portrait"/>
          <w:cols w:equalWidth="0" w:num="1">
            <w:col w:w="10920"/>
          </w:cols>
          <w:pgMar w:left="320" w:top="1129" w:right="659" w:bottom="1440" w:gutter="0" w:footer="0" w:header="0"/>
        </w:sectPr>
      </w:pPr>
    </w:p>
    <w:bookmarkStart w:id="42" w:name="page43"/>
    <w:bookmarkEnd w:id="42"/>
    <w:p>
      <w:pPr>
        <w:ind w:left="9720"/>
        <w:spacing w:after="0"/>
        <w:rPr>
          <w:sz w:val="20"/>
          <w:szCs w:val="20"/>
          <w:color w:val="auto"/>
        </w:rPr>
      </w:pPr>
      <w:r>
        <w:rPr>
          <w:rFonts w:ascii="Arial" w:cs="Arial" w:eastAsia="Arial" w:hAnsi="Arial"/>
          <w:sz w:val="18"/>
          <w:szCs w:val="18"/>
          <w:b w:val="1"/>
          <w:bCs w:val="1"/>
          <w:color w:val="auto"/>
        </w:rPr>
        <w:t>EXHIBIT 31.2</w:t>
      </w:r>
    </w:p>
    <w:p>
      <w:pPr>
        <w:spacing w:after="0" w:line="252" w:lineRule="exact"/>
        <w:rPr>
          <w:sz w:val="20"/>
          <w:szCs w:val="20"/>
          <w:color w:val="auto"/>
        </w:rPr>
      </w:pPr>
    </w:p>
    <w:p>
      <w:pPr>
        <w:jc w:val="center"/>
        <w:ind w:right="-419"/>
        <w:spacing w:after="0"/>
        <w:rPr>
          <w:sz w:val="20"/>
          <w:szCs w:val="20"/>
          <w:color w:val="auto"/>
        </w:rPr>
      </w:pPr>
      <w:r>
        <w:rPr>
          <w:rFonts w:ascii="Arial" w:cs="Arial" w:eastAsia="Arial" w:hAnsi="Arial"/>
          <w:sz w:val="18"/>
          <w:szCs w:val="18"/>
          <w:b w:val="1"/>
          <w:bCs w:val="1"/>
          <w:color w:val="auto"/>
        </w:rPr>
        <w:t>CERTIFICATION</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auto"/>
        </w:rPr>
        <w:t>I, Kevin C. Clothier, certify that:</w:t>
      </w:r>
    </w:p>
    <w:p>
      <w:pPr>
        <w:spacing w:after="0" w:line="252" w:lineRule="exact"/>
        <w:rPr>
          <w:sz w:val="20"/>
          <w:szCs w:val="20"/>
          <w:color w:val="auto"/>
        </w:rPr>
      </w:pPr>
    </w:p>
    <w:p>
      <w:pPr>
        <w:ind w:left="340" w:hanging="332"/>
        <w:spacing w:after="0"/>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Crown Holdings, Inc. (“the registrant”);</w:t>
      </w:r>
    </w:p>
    <w:p>
      <w:pPr>
        <w:spacing w:after="0" w:line="252"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0"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10"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0"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0"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1"/>
          <w:numId w:val="2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10"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1"/>
          <w:numId w:val="2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0"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10" w:lineRule="exact"/>
        <w:rPr>
          <w:rFonts w:ascii="Arial" w:cs="Arial" w:eastAsia="Arial" w:hAnsi="Arial"/>
          <w:sz w:val="18"/>
          <w:szCs w:val="18"/>
          <w:color w:val="auto"/>
        </w:rPr>
      </w:pPr>
    </w:p>
    <w:p>
      <w:pPr>
        <w:ind w:left="980" w:hanging="324"/>
        <w:spacing w:after="0" w:line="263" w:lineRule="auto"/>
        <w:tabs>
          <w:tab w:leader="none" w:pos="895" w:val="left"/>
        </w:tabs>
        <w:numPr>
          <w:ilvl w:val="1"/>
          <w:numId w:val="2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10" w:lineRule="exact"/>
        <w:rPr>
          <w:rFonts w:ascii="Arial" w:cs="Arial" w:eastAsia="Arial" w:hAnsi="Arial"/>
          <w:sz w:val="18"/>
          <w:szCs w:val="18"/>
          <w:color w:val="auto"/>
        </w:rPr>
      </w:pPr>
    </w:p>
    <w:p>
      <w:pPr>
        <w:ind w:left="980" w:hanging="324"/>
        <w:spacing w:after="0" w:line="275" w:lineRule="auto"/>
        <w:tabs>
          <w:tab w:leader="none" w:pos="1139" w:val="left"/>
        </w:tabs>
        <w:numPr>
          <w:ilvl w:val="1"/>
          <w:numId w:val="2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tabs>
          <w:tab w:leader="none" w:pos="2540" w:val="left"/>
        </w:tabs>
        <w:rPr>
          <w:sz w:val="20"/>
          <w:szCs w:val="20"/>
          <w:color w:val="auto"/>
        </w:rPr>
      </w:pPr>
      <w:r>
        <w:rPr>
          <w:rFonts w:ascii="Arial" w:cs="Arial" w:eastAsia="Arial" w:hAnsi="Arial"/>
          <w:sz w:val="18"/>
          <w:szCs w:val="18"/>
          <w:color w:val="auto"/>
        </w:rPr>
        <w:t>Date: July 28, 2023</w:t>
      </w:r>
      <w:r>
        <w:rPr>
          <w:sz w:val="20"/>
          <w:szCs w:val="20"/>
          <w:color w:val="auto"/>
        </w:rPr>
        <w:tab/>
      </w:r>
      <w:r>
        <w:rPr>
          <w:rFonts w:ascii="Arial" w:cs="Arial" w:eastAsia="Arial" w:hAnsi="Arial"/>
          <w:sz w:val="17"/>
          <w:szCs w:val="17"/>
          <w:u w:val="single" w:color="auto"/>
          <w:color w:val="auto"/>
        </w:rPr>
        <w:t>/s/ Kevin C. Clothier</w:t>
      </w:r>
    </w:p>
    <w:p>
      <w:pPr>
        <w:spacing w:after="0" w:line="21"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Kevin C. Clothier</w:t>
      </w:r>
    </w:p>
    <w:p>
      <w:pPr>
        <w:spacing w:after="0" w:line="9"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0840"/>
          </w:cols>
          <w:pgMar w:left="320" w:top="1129" w:right="739" w:bottom="1440" w:gutter="0" w:footer="0" w:header="0"/>
        </w:sectPr>
      </w:pPr>
    </w:p>
    <w:bookmarkStart w:id="43" w:name="page44"/>
    <w:bookmarkEnd w:id="43"/>
    <w:p>
      <w:pPr>
        <w:jc w:val="right"/>
        <w:spacing w:after="0"/>
        <w:rPr>
          <w:sz w:val="20"/>
          <w:szCs w:val="20"/>
          <w:color w:val="auto"/>
        </w:rPr>
      </w:pPr>
      <w:r>
        <w:rPr>
          <w:rFonts w:ascii="Arial" w:cs="Arial" w:eastAsia="Arial" w:hAnsi="Arial"/>
          <w:sz w:val="22"/>
          <w:szCs w:val="22"/>
          <w:b w:val="1"/>
          <w:bCs w:val="1"/>
          <w:color w:val="auto"/>
        </w:rPr>
        <w:t>EXHIBIT 32</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 PURSUANT TO 18 U.S.C. SECTION 1350</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AS ADOPTED PURSUANT TO SECTION 906 OF</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THE SARBANES-OXLEY ACT OF 2002</w:t>
      </w:r>
    </w:p>
    <w:p>
      <w:pPr>
        <w:spacing w:after="0" w:line="200" w:lineRule="exact"/>
        <w:rPr>
          <w:sz w:val="20"/>
          <w:szCs w:val="20"/>
          <w:color w:val="auto"/>
        </w:rPr>
      </w:pPr>
    </w:p>
    <w:p>
      <w:pPr>
        <w:spacing w:after="0" w:line="274" w:lineRule="exact"/>
        <w:rPr>
          <w:sz w:val="20"/>
          <w:szCs w:val="20"/>
          <w:color w:val="auto"/>
        </w:rPr>
      </w:pPr>
    </w:p>
    <w:p>
      <w:pPr>
        <w:jc w:val="both"/>
        <w:ind w:firstLine="351"/>
        <w:spacing w:after="0" w:line="254" w:lineRule="auto"/>
        <w:rPr>
          <w:sz w:val="20"/>
          <w:szCs w:val="20"/>
          <w:color w:val="auto"/>
        </w:rPr>
      </w:pPr>
      <w:r>
        <w:rPr>
          <w:rFonts w:ascii="Arial" w:cs="Arial" w:eastAsia="Arial" w:hAnsi="Arial"/>
          <w:sz w:val="22"/>
          <w:szCs w:val="22"/>
          <w:color w:val="auto"/>
        </w:rPr>
        <w:t>In connection with the Quarterly Report of Crown Holdings, Inc. (the “Company”) on Form 10-Q for the period ending June 30, 2023 (the “Report”), each of the undersigned officers certify, pursuant to 18 U.S.C. § 1350, as adopted pursuant to § 906 of the Sarbanes-Oxley Act of 2002, that:</w:t>
      </w:r>
    </w:p>
    <w:p>
      <w:pPr>
        <w:spacing w:after="0" w:line="209" w:lineRule="exact"/>
        <w:rPr>
          <w:sz w:val="20"/>
          <w:szCs w:val="20"/>
          <w:color w:val="auto"/>
        </w:rPr>
      </w:pPr>
    </w:p>
    <w:p>
      <w:pPr>
        <w:ind w:firstLine="8"/>
        <w:spacing w:after="0" w:line="277" w:lineRule="auto"/>
        <w:tabs>
          <w:tab w:leader="none" w:pos="606" w:val="left"/>
        </w:tabs>
        <w:numPr>
          <w:ilvl w:val="0"/>
          <w:numId w:val="26"/>
        </w:numPr>
        <w:rPr>
          <w:rFonts w:ascii="Arial" w:cs="Arial" w:eastAsia="Arial" w:hAnsi="Arial"/>
          <w:sz w:val="22"/>
          <w:szCs w:val="22"/>
          <w:color w:val="auto"/>
        </w:rPr>
      </w:pPr>
      <w:r>
        <w:rPr>
          <w:rFonts w:ascii="Arial" w:cs="Arial" w:eastAsia="Arial" w:hAnsi="Arial"/>
          <w:sz w:val="22"/>
          <w:szCs w:val="22"/>
          <w:color w:val="auto"/>
        </w:rPr>
        <w:t>The Report fully complies with the requirements of Section 13(a) or 15(d) of the Securities Exchange Act of 1934; and</w:t>
      </w:r>
    </w:p>
    <w:p>
      <w:pPr>
        <w:spacing w:after="0" w:line="185" w:lineRule="exact"/>
        <w:rPr>
          <w:rFonts w:ascii="Arial" w:cs="Arial" w:eastAsia="Arial" w:hAnsi="Arial"/>
          <w:sz w:val="22"/>
          <w:szCs w:val="22"/>
          <w:color w:val="auto"/>
        </w:rPr>
      </w:pPr>
    </w:p>
    <w:p>
      <w:pPr>
        <w:ind w:firstLine="8"/>
        <w:spacing w:after="0" w:line="264" w:lineRule="auto"/>
        <w:tabs>
          <w:tab w:leader="none" w:pos="517" w:val="left"/>
        </w:tabs>
        <w:numPr>
          <w:ilvl w:val="0"/>
          <w:numId w:val="26"/>
        </w:numPr>
        <w:rPr>
          <w:rFonts w:ascii="Arial" w:cs="Arial" w:eastAsia="Arial" w:hAnsi="Arial"/>
          <w:sz w:val="22"/>
          <w:szCs w:val="22"/>
          <w:color w:val="auto"/>
        </w:rPr>
      </w:pPr>
      <w:r>
        <w:rPr>
          <w:rFonts w:ascii="Arial" w:cs="Arial" w:eastAsia="Arial" w:hAnsi="Arial"/>
          <w:sz w:val="22"/>
          <w:szCs w:val="22"/>
          <w:color w:val="auto"/>
        </w:rPr>
        <w:t>The information contained in the Report fairly presents, in all material respects, the financial position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640" w:type="dxa"/>
            <w:vAlign w:val="bottom"/>
          </w:tcPr>
          <w:p>
            <w:pPr>
              <w:spacing w:after="0"/>
              <w:rPr>
                <w:sz w:val="20"/>
                <w:szCs w:val="20"/>
                <w:color w:val="auto"/>
              </w:rPr>
            </w:pPr>
            <w:r>
              <w:rPr>
                <w:rFonts w:ascii="Arial" w:cs="Arial" w:eastAsia="Arial" w:hAnsi="Arial"/>
                <w:sz w:val="22"/>
                <w:szCs w:val="22"/>
                <w:color w:val="auto"/>
              </w:rPr>
              <w:t>Date:</w:t>
            </w:r>
          </w:p>
        </w:tc>
        <w:tc>
          <w:tcPr>
            <w:tcW w:w="1440" w:type="dxa"/>
            <w:vAlign w:val="bottom"/>
          </w:tcPr>
          <w:p>
            <w:pPr>
              <w:ind w:left="120"/>
              <w:spacing w:after="0"/>
              <w:rPr>
                <w:sz w:val="20"/>
                <w:szCs w:val="20"/>
                <w:color w:val="auto"/>
              </w:rPr>
            </w:pPr>
            <w:r>
              <w:rPr>
                <w:rFonts w:ascii="Arial" w:cs="Arial" w:eastAsia="Arial" w:hAnsi="Arial"/>
                <w:sz w:val="22"/>
                <w:szCs w:val="22"/>
                <w:color w:val="auto"/>
                <w:w w:val="99"/>
              </w:rPr>
              <w:t>July 28, 2023</w:t>
            </w:r>
          </w:p>
        </w:tc>
        <w:tc>
          <w:tcPr>
            <w:tcW w:w="920" w:type="dxa"/>
            <w:vAlign w:val="bottom"/>
          </w:tcPr>
          <w:p>
            <w:pPr>
              <w:spacing w:after="0"/>
              <w:rPr>
                <w:sz w:val="21"/>
                <w:szCs w:val="21"/>
                <w:color w:val="auto"/>
              </w:rPr>
            </w:pPr>
          </w:p>
        </w:tc>
        <w:tc>
          <w:tcPr>
            <w:tcW w:w="2220" w:type="dxa"/>
            <w:vAlign w:val="bottom"/>
            <w:tcBorders>
              <w:bottom w:val="single" w:sz="8" w:color="auto"/>
            </w:tcBorders>
            <w:gridSpan w:val="2"/>
          </w:tcPr>
          <w:p>
            <w:pPr>
              <w:spacing w:after="0"/>
              <w:rPr>
                <w:sz w:val="20"/>
                <w:szCs w:val="20"/>
                <w:color w:val="auto"/>
              </w:rPr>
            </w:pPr>
            <w:r>
              <w:rPr>
                <w:rFonts w:ascii="Arial" w:cs="Arial" w:eastAsia="Arial" w:hAnsi="Arial"/>
                <w:sz w:val="22"/>
                <w:szCs w:val="22"/>
                <w:color w:val="auto"/>
                <w:w w:val="97"/>
              </w:rPr>
              <w:t>/s/ Timothy J. Donahue</w:t>
            </w:r>
          </w:p>
        </w:tc>
        <w:tc>
          <w:tcPr>
            <w:tcW w:w="3960" w:type="dxa"/>
            <w:vAlign w:val="bottom"/>
          </w:tcPr>
          <w:p>
            <w:pPr>
              <w:spacing w:after="0"/>
              <w:rPr>
                <w:sz w:val="21"/>
                <w:szCs w:val="21"/>
                <w:color w:val="auto"/>
              </w:rPr>
            </w:pPr>
          </w:p>
        </w:tc>
      </w:tr>
      <w:tr>
        <w:trPr>
          <w:trHeight w:val="268"/>
        </w:trPr>
        <w:tc>
          <w:tcPr>
            <w:tcW w:w="64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6180" w:type="dxa"/>
            <w:vAlign w:val="bottom"/>
            <w:gridSpan w:val="3"/>
          </w:tcPr>
          <w:p>
            <w:pPr>
              <w:ind w:left="1540"/>
              <w:spacing w:after="0"/>
              <w:rPr>
                <w:sz w:val="20"/>
                <w:szCs w:val="20"/>
                <w:color w:val="auto"/>
              </w:rPr>
            </w:pPr>
            <w:r>
              <w:rPr>
                <w:rFonts w:ascii="Arial" w:cs="Arial" w:eastAsia="Arial" w:hAnsi="Arial"/>
                <w:sz w:val="22"/>
                <w:szCs w:val="22"/>
                <w:color w:val="auto"/>
              </w:rPr>
              <w:t>Timothy J. Donahue</w:t>
            </w:r>
          </w:p>
        </w:tc>
      </w:tr>
      <w:tr>
        <w:trPr>
          <w:trHeight w:val="275"/>
        </w:trPr>
        <w:tc>
          <w:tcPr>
            <w:tcW w:w="64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6180" w:type="dxa"/>
            <w:vAlign w:val="bottom"/>
            <w:gridSpan w:val="3"/>
          </w:tcPr>
          <w:p>
            <w:pPr>
              <w:ind w:left="1540"/>
              <w:spacing w:after="0"/>
              <w:rPr>
                <w:sz w:val="20"/>
                <w:szCs w:val="20"/>
                <w:color w:val="auto"/>
              </w:rPr>
            </w:pPr>
            <w:r>
              <w:rPr>
                <w:rFonts w:ascii="Arial" w:cs="Arial" w:eastAsia="Arial" w:hAnsi="Arial"/>
                <w:sz w:val="22"/>
                <w:szCs w:val="22"/>
                <w:color w:val="auto"/>
                <w:w w:val="97"/>
              </w:rPr>
              <w:t>Chairman, President and Chief Executive Officer</w:t>
            </w:r>
          </w:p>
        </w:tc>
      </w:tr>
      <w:tr>
        <w:trPr>
          <w:trHeight w:val="463"/>
        </w:trPr>
        <w:tc>
          <w:tcPr>
            <w:tcW w:w="640" w:type="dxa"/>
            <w:vAlign w:val="bottom"/>
          </w:tcPr>
          <w:p>
            <w:pPr>
              <w:spacing w:after="0"/>
              <w:rPr>
                <w:sz w:val="20"/>
                <w:szCs w:val="20"/>
                <w:color w:val="auto"/>
              </w:rPr>
            </w:pPr>
            <w:r>
              <w:rPr>
                <w:rFonts w:ascii="Arial" w:cs="Arial" w:eastAsia="Arial" w:hAnsi="Arial"/>
                <w:sz w:val="22"/>
                <w:szCs w:val="22"/>
                <w:color w:val="auto"/>
              </w:rPr>
              <w:t>Date:</w:t>
            </w:r>
          </w:p>
        </w:tc>
        <w:tc>
          <w:tcPr>
            <w:tcW w:w="1440" w:type="dxa"/>
            <w:vAlign w:val="bottom"/>
          </w:tcPr>
          <w:p>
            <w:pPr>
              <w:ind w:left="120"/>
              <w:spacing w:after="0"/>
              <w:rPr>
                <w:sz w:val="20"/>
                <w:szCs w:val="20"/>
                <w:color w:val="auto"/>
              </w:rPr>
            </w:pPr>
            <w:r>
              <w:rPr>
                <w:rFonts w:ascii="Arial" w:cs="Arial" w:eastAsia="Arial" w:hAnsi="Arial"/>
                <w:sz w:val="22"/>
                <w:szCs w:val="22"/>
                <w:color w:val="auto"/>
                <w:w w:val="99"/>
              </w:rPr>
              <w:t>July 28, 2023</w:t>
            </w:r>
          </w:p>
        </w:tc>
        <w:tc>
          <w:tcPr>
            <w:tcW w:w="920" w:type="dxa"/>
            <w:vAlign w:val="bottom"/>
          </w:tcPr>
          <w:p>
            <w:pPr>
              <w:spacing w:after="0"/>
              <w:rPr>
                <w:sz w:val="24"/>
                <w:szCs w:val="24"/>
                <w:color w:val="auto"/>
              </w:rPr>
            </w:pPr>
          </w:p>
        </w:tc>
        <w:tc>
          <w:tcPr>
            <w:tcW w:w="1920" w:type="dxa"/>
            <w:vAlign w:val="bottom"/>
            <w:tcBorders>
              <w:bottom w:val="single" w:sz="8" w:color="auto"/>
            </w:tcBorders>
          </w:tcPr>
          <w:p>
            <w:pPr>
              <w:spacing w:after="0"/>
              <w:rPr>
                <w:sz w:val="20"/>
                <w:szCs w:val="20"/>
                <w:color w:val="auto"/>
              </w:rPr>
            </w:pPr>
            <w:r>
              <w:rPr>
                <w:rFonts w:ascii="Arial" w:cs="Arial" w:eastAsia="Arial" w:hAnsi="Arial"/>
                <w:sz w:val="22"/>
                <w:szCs w:val="22"/>
                <w:color w:val="auto"/>
                <w:w w:val="97"/>
              </w:rPr>
              <w:t>/s/ Kevin C. Clothier</w:t>
            </w:r>
          </w:p>
        </w:tc>
        <w:tc>
          <w:tcPr>
            <w:tcW w:w="4260" w:type="dxa"/>
            <w:vAlign w:val="bottom"/>
            <w:gridSpan w:val="2"/>
          </w:tcPr>
          <w:p>
            <w:pPr>
              <w:spacing w:after="0"/>
              <w:rPr>
                <w:sz w:val="24"/>
                <w:szCs w:val="24"/>
                <w:color w:val="auto"/>
              </w:rPr>
            </w:pPr>
          </w:p>
        </w:tc>
      </w:tr>
      <w:tr>
        <w:trPr>
          <w:trHeight w:val="268"/>
        </w:trPr>
        <w:tc>
          <w:tcPr>
            <w:tcW w:w="64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7100" w:type="dxa"/>
            <w:vAlign w:val="bottom"/>
            <w:gridSpan w:val="4"/>
          </w:tcPr>
          <w:p>
            <w:pPr>
              <w:ind w:left="20"/>
              <w:spacing w:after="0"/>
              <w:rPr>
                <w:sz w:val="20"/>
                <w:szCs w:val="20"/>
                <w:color w:val="auto"/>
              </w:rPr>
            </w:pPr>
            <w:r>
              <w:rPr>
                <w:rFonts w:ascii="Arial" w:cs="Arial" w:eastAsia="Arial" w:hAnsi="Arial"/>
                <w:sz w:val="22"/>
                <w:szCs w:val="22"/>
                <w:color w:val="auto"/>
              </w:rPr>
              <w:t>Kevin C. Clothier</w:t>
            </w:r>
          </w:p>
        </w:tc>
      </w:tr>
      <w:tr>
        <w:trPr>
          <w:trHeight w:val="257"/>
        </w:trPr>
        <w:tc>
          <w:tcPr>
            <w:tcW w:w="64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7100" w:type="dxa"/>
            <w:vAlign w:val="bottom"/>
            <w:gridSpan w:val="4"/>
          </w:tcPr>
          <w:p>
            <w:pPr>
              <w:ind w:left="20"/>
              <w:spacing w:after="0"/>
              <w:rPr>
                <w:sz w:val="20"/>
                <w:szCs w:val="20"/>
                <w:color w:val="auto"/>
              </w:rPr>
            </w:pPr>
            <w:r>
              <w:rPr>
                <w:rFonts w:ascii="Arial" w:cs="Arial" w:eastAsia="Arial" w:hAnsi="Arial"/>
                <w:sz w:val="22"/>
                <w:szCs w:val="22"/>
                <w:color w:val="auto"/>
              </w:rPr>
              <w:t>Senior Vice President</w:t>
            </w:r>
          </w:p>
        </w:tc>
      </w:tr>
      <w:tr>
        <w:trPr>
          <w:trHeight w:val="275"/>
        </w:trPr>
        <w:tc>
          <w:tcPr>
            <w:tcW w:w="64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7100" w:type="dxa"/>
            <w:vAlign w:val="bottom"/>
            <w:gridSpan w:val="4"/>
          </w:tcPr>
          <w:p>
            <w:pPr>
              <w:ind w:left="20"/>
              <w:spacing w:after="0"/>
              <w:rPr>
                <w:sz w:val="20"/>
                <w:szCs w:val="20"/>
                <w:color w:val="auto"/>
              </w:rPr>
            </w:pPr>
            <w:r>
              <w:rPr>
                <w:rFonts w:ascii="Arial" w:cs="Arial" w:eastAsia="Arial" w:hAnsi="Arial"/>
                <w:sz w:val="22"/>
                <w:szCs w:val="22"/>
                <w:color w:val="auto"/>
              </w:rPr>
              <w:t>and Chief Financial Officer</w:t>
            </w:r>
          </w:p>
        </w:tc>
      </w:tr>
    </w:tbl>
    <w:p>
      <w:pPr>
        <w:spacing w:after="0" w:line="200" w:lineRule="exact"/>
        <w:rPr>
          <w:sz w:val="20"/>
          <w:szCs w:val="20"/>
          <w:color w:val="auto"/>
        </w:rPr>
      </w:pPr>
    </w:p>
    <w:p>
      <w:pPr>
        <w:spacing w:after="0" w:line="267" w:lineRule="exact"/>
        <w:rPr>
          <w:sz w:val="20"/>
          <w:szCs w:val="20"/>
          <w:color w:val="auto"/>
        </w:rPr>
      </w:pPr>
    </w:p>
    <w:p>
      <w:pPr>
        <w:jc w:val="both"/>
        <w:spacing w:after="0" w:line="277" w:lineRule="auto"/>
        <w:rPr>
          <w:sz w:val="20"/>
          <w:szCs w:val="20"/>
          <w:color w:val="auto"/>
        </w:rPr>
      </w:pPr>
      <w:r>
        <w:rPr>
          <w:rFonts w:ascii="Arial" w:cs="Arial" w:eastAsia="Arial" w:hAnsi="Arial"/>
          <w:sz w:val="22"/>
          <w:szCs w:val="22"/>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186"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The foregoing certification is being furnished to the Securities and Exchange Commission as an exhibit to this Quarterly Report on Form 10-Q and shall not be deemed to be “filed” for purposes of Section 18 of the Securities Exchange Act of 1934 or otherwise subject to the liabilities of that section nor shall it be deemed to be incorporated by reference in any filing under the Securities Act of 1933 or the Securities Exchange Act of 1934.</w:t>
      </w:r>
    </w:p>
    <w:sectPr>
      <w:pgSz w:w="11900" w:h="16838" w:orient="portrait"/>
      <w:cols w:equalWidth="0" w:num="1">
        <w:col w:w="11240"/>
      </w:cols>
      <w:pgMar w:left="320" w:top="11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09CF92E"/>
    <w:multiLevelType w:val="hybridMultilevel"/>
    <w:lvl w:ilvl="0">
      <w:lvlJc w:val="left"/>
      <w:lvlText w:val="☒"/>
      <w:numFmt w:val="bullet"/>
      <w:start w:val="1"/>
    </w:lvl>
  </w:abstractNum>
  <w:abstractNum w:abstractNumId="1">
    <w:nsid w:val="DED7263"/>
    <w:multiLevelType w:val="hybridMultilevel"/>
    <w:lvl w:ilvl="0">
      <w:lvlJc w:val="left"/>
      <w:lvlText w:val="☐"/>
      <w:numFmt w:val="bullet"/>
      <w:start w:val="1"/>
    </w:lvl>
  </w:abstractNum>
  <w:abstractNum w:abstractNumId="2">
    <w:nsid w:val="7FDCC233"/>
    <w:multiLevelType w:val="hybridMultilevel"/>
    <w:lvl w:ilvl="0">
      <w:lvlJc w:val="left"/>
      <w:lvlText w:val="%1."/>
      <w:numFmt w:val="upperLetter"/>
      <w:start w:val="1"/>
    </w:lvl>
  </w:abstractNum>
  <w:abstractNum w:abstractNumId="3">
    <w:nsid w:val="1BEFD79F"/>
    <w:multiLevelType w:val="hybridMultilevel"/>
    <w:lvl w:ilvl="0">
      <w:lvlJc w:val="left"/>
      <w:lvlText w:val="%1."/>
      <w:numFmt w:val="upperLetter"/>
      <w:start w:val="6"/>
    </w:lvl>
  </w:abstractNum>
  <w:abstractNum w:abstractNumId="4">
    <w:nsid w:val="41A7C4C9"/>
    <w:multiLevelType w:val="hybridMultilevel"/>
    <w:lvl w:ilvl="0">
      <w:lvlJc w:val="left"/>
      <w:lvlText w:val="%1."/>
      <w:numFmt w:val="upperLetter"/>
      <w:start w:val="7"/>
    </w:lvl>
  </w:abstractNum>
  <w:abstractNum w:abstractNumId="5">
    <w:nsid w:val="6B68079A"/>
    <w:multiLevelType w:val="hybridMultilevel"/>
    <w:lvl w:ilvl="0">
      <w:lvlJc w:val="left"/>
      <w:lvlText w:val="%1."/>
      <w:numFmt w:val="upperLetter"/>
      <w:start w:val="8"/>
    </w:lvl>
  </w:abstractNum>
  <w:abstractNum w:abstractNumId="6">
    <w:nsid w:val="4E6AFB66"/>
    <w:multiLevelType w:val="hybridMultilevel"/>
    <w:lvl w:ilvl="0">
      <w:lvlJc w:val="left"/>
      <w:lvlText w:val="%1."/>
      <w:numFmt w:val="upperLetter"/>
      <w:start w:val="9"/>
    </w:lvl>
  </w:abstractNum>
  <w:abstractNum w:abstractNumId="7">
    <w:nsid w:val="25E45D32"/>
    <w:multiLevelType w:val="hybridMultilevel"/>
    <w:lvl w:ilvl="0">
      <w:lvlJc w:val="left"/>
      <w:lvlText w:val="%1."/>
      <w:numFmt w:val="upperLetter"/>
      <w:start w:val="10"/>
    </w:lvl>
  </w:abstractNum>
  <w:abstractNum w:abstractNumId="8">
    <w:nsid w:val="519B500D"/>
    <w:multiLevelType w:val="hybridMultilevel"/>
    <w:lvl w:ilvl="0">
      <w:lvlJc w:val="left"/>
      <w:lvlText w:val="%1."/>
      <w:numFmt w:val="upperLetter"/>
      <w:start w:val="11"/>
    </w:lvl>
  </w:abstractNum>
  <w:abstractNum w:abstractNumId="9">
    <w:nsid w:val="431BD7B7"/>
    <w:multiLevelType w:val="hybridMultilevel"/>
    <w:lvl w:ilvl="0">
      <w:lvlJc w:val="left"/>
      <w:lvlText w:val="%1."/>
      <w:numFmt w:val="upperLetter"/>
      <w:start w:val="12"/>
    </w:lvl>
  </w:abstractNum>
  <w:abstractNum w:abstractNumId="10">
    <w:nsid w:val="3F2DBA31"/>
    <w:multiLevelType w:val="hybridMultilevel"/>
    <w:lvl w:ilvl="0">
      <w:lvlJc w:val="left"/>
      <w:lvlText w:val="%1."/>
      <w:numFmt w:val="upperLetter"/>
      <w:start w:val="13"/>
    </w:lvl>
  </w:abstractNum>
  <w:abstractNum w:abstractNumId="11">
    <w:nsid w:val="7C83E458"/>
    <w:multiLevelType w:val="hybridMultilevel"/>
    <w:lvl w:ilvl="0">
      <w:lvlJc w:val="left"/>
      <w:lvlText w:val="%1."/>
      <w:numFmt w:val="upperLetter"/>
      <w:start w:val="14"/>
    </w:lvl>
  </w:abstractNum>
  <w:abstractNum w:abstractNumId="12">
    <w:nsid w:val="257130A3"/>
    <w:multiLevelType w:val="hybridMultilevel"/>
    <w:lvl w:ilvl="0">
      <w:lvlJc w:val="left"/>
      <w:lvlText w:val="%1."/>
      <w:numFmt w:val="upperLetter"/>
      <w:start w:val="16"/>
    </w:lvl>
  </w:abstractNum>
  <w:abstractNum w:abstractNumId="13">
    <w:nsid w:val="62BBD95A"/>
    <w:multiLevelType w:val="hybridMultilevel"/>
    <w:lvl w:ilvl="0">
      <w:lvlJc w:val="left"/>
      <w:lvlText w:val="%1."/>
      <w:numFmt w:val="upperLetter"/>
      <w:start w:val="17"/>
    </w:lvl>
  </w:abstractNum>
  <w:abstractNum w:abstractNumId="14">
    <w:nsid w:val="436C6125"/>
    <w:multiLevelType w:val="hybridMultilevel"/>
    <w:lvl w:ilvl="0">
      <w:lvlJc w:val="left"/>
      <w:lvlText w:val="•"/>
      <w:numFmt w:val="bullet"/>
      <w:start w:val="1"/>
    </w:lvl>
  </w:abstractNum>
  <w:abstractNum w:abstractNumId="15">
    <w:nsid w:val="628C895D"/>
    <w:multiLevelType w:val="hybridMultilevel"/>
    <w:lvl w:ilvl="0">
      <w:lvlJc w:val="left"/>
      <w:lvlText w:val="(%1)"/>
      <w:numFmt w:val="decimal"/>
      <w:start w:val="1"/>
    </w:lvl>
  </w:abstractNum>
  <w:abstractNum w:abstractNumId="16">
    <w:nsid w:val="333AB105"/>
    <w:multiLevelType w:val="hybridMultilevel"/>
    <w:lvl w:ilvl="0">
      <w:lvlJc w:val="left"/>
      <w:lvlText w:val="(%1)"/>
      <w:numFmt w:val="decimal"/>
      <w:start w:val="1"/>
    </w:lvl>
  </w:abstractNum>
  <w:abstractNum w:abstractNumId="17">
    <w:nsid w:val="721DA317"/>
    <w:multiLevelType w:val="hybridMultilevel"/>
    <w:lvl w:ilvl="0">
      <w:lvlJc w:val="left"/>
      <w:lvlText w:val="%1"/>
      <w:numFmt w:val="decimal"/>
      <w:start w:val="22"/>
    </w:lvl>
  </w:abstractNum>
  <w:abstractNum w:abstractNumId="18">
    <w:nsid w:val="2443A858"/>
    <w:multiLevelType w:val="hybridMultilevel"/>
    <w:lvl w:ilvl="0">
      <w:lvlJc w:val="left"/>
      <w:lvlText w:val="%1"/>
      <w:numFmt w:val="decimal"/>
      <w:start w:val="32"/>
    </w:lvl>
  </w:abstractNum>
  <w:abstractNum w:abstractNumId="19">
    <w:nsid w:val="2D1D5AE9"/>
    <w:multiLevelType w:val="hybridMultilevel"/>
    <w:lvl w:ilvl="0">
      <w:lvlJc w:val="left"/>
      <w:lvlText w:val="%1"/>
      <w:numFmt w:val="decimal"/>
      <w:start w:val="101"/>
    </w:lvl>
  </w:abstractNum>
  <w:abstractNum w:abstractNumId="20">
    <w:nsid w:val="6763845E"/>
    <w:multiLevelType w:val="hybridMultilevel"/>
    <w:lvl w:ilvl="0">
      <w:lvlJc w:val="left"/>
      <w:lvlText w:val="(%1)"/>
      <w:numFmt w:val="lowerLetter"/>
      <w:start w:val="1"/>
    </w:lvl>
  </w:abstractNum>
  <w:abstractNum w:abstractNumId="21">
    <w:nsid w:val="75A2A8D4"/>
    <w:multiLevelType w:val="hybridMultilevel"/>
    <w:lvl w:ilvl="0">
      <w:lvlJc w:val="left"/>
      <w:lvlText w:val="(%1)"/>
      <w:numFmt w:val="lowerLetter"/>
      <w:start w:val="2"/>
    </w:lvl>
  </w:abstractNum>
  <w:abstractNum w:abstractNumId="22">
    <w:nsid w:val="8EDBDAB"/>
    <w:multiLevelType w:val="hybridMultilevel"/>
    <w:lvl w:ilvl="0">
      <w:lvlJc w:val="left"/>
      <w:lvlText w:val="(%1)"/>
      <w:numFmt w:val="lowerLetter"/>
      <w:start w:val="3"/>
    </w:lvl>
  </w:abstractNum>
  <w:abstractNum w:abstractNumId="23">
    <w:nsid w:val="79838CB2"/>
    <w:multiLevelType w:val="hybridMultilevel"/>
    <w:lvl w:ilvl="0">
      <w:lvlJc w:val="left"/>
      <w:lvlText w:val="%1."/>
      <w:numFmt w:val="decimal"/>
      <w:start w:val="1"/>
    </w:lvl>
    <w:lvl w:ilvl="1">
      <w:lvlJc w:val="left"/>
      <w:lvlText w:val="%2)"/>
      <w:numFmt w:val="lowerLetter"/>
      <w:start w:val="1"/>
    </w:lvl>
  </w:abstractNum>
  <w:abstractNum w:abstractNumId="24">
    <w:nsid w:val="4353D0CD"/>
    <w:multiLevelType w:val="hybridMultilevel"/>
    <w:lvl w:ilvl="0">
      <w:lvlJc w:val="left"/>
      <w:lvlText w:val="%1."/>
      <w:numFmt w:val="decimal"/>
      <w:start w:val="1"/>
    </w:lvl>
    <w:lvl w:ilvl="1">
      <w:lvlJc w:val="left"/>
      <w:lvlText w:val="%2)"/>
      <w:numFmt w:val="lowerLetter"/>
      <w:start w:val="1"/>
    </w:lvl>
  </w:abstractNum>
  <w:abstractNum w:abstractNumId="25">
    <w:nsid w:val="B03E0C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2023-07-28T14:33:56Z</dcterms:created>
  <dcterms:modified xsi:type="dcterms:W3CDTF">2023-07-28T14:33:56Z</dcterms:modified>
</cp:coreProperties>
</file>