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479802d8k.htm"/>
      <w:bookmarkStart w:id="1" w:name="ksd479802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May 9, 2023</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CROWN HOLDINGS,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815" w:type="dxa"/>
        <w:jc w:val="left"/>
        <w:tblInd w:w="0" w:type="dxa"/>
        <w:tblLayout w:type="fixed"/>
        <w:tblCellMar>
          <w:top w:w="0" w:type="dxa"/>
          <w:left w:w="0" w:type="dxa"/>
          <w:bottom w:w="0" w:type="dxa"/>
          <w:right w:w="0" w:type="dxa"/>
        </w:tblCellMar>
      </w:tblPr>
      <w:tblGrid>
        <w:gridCol w:w="2345"/>
        <w:gridCol w:w="60"/>
        <w:gridCol w:w="980"/>
        <w:gridCol w:w="60"/>
        <w:gridCol w:w="1370"/>
      </w:tblGrid>
      <w:tr>
        <w:trPr/>
        <w:tc>
          <w:tcPr>
            <w:tcW w:w="23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283"/>
              <w:jc w:val="center"/>
              <w:rPr>
                <w:b/>
              </w:rPr>
            </w:pPr>
            <w:r>
              <w:rPr>
                <w:b/>
              </w:rPr>
              <w:t>Pennsylvania</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0"/>
              <w:jc w:val="center"/>
              <w:rPr>
                <w:rFonts w:ascii="Times New Roman" w:hAnsi="Times New Roman"/>
                <w:b/>
                <w:sz w:val="20"/>
              </w:rPr>
            </w:pPr>
            <w:r>
              <w:rPr>
                <w:rFonts w:ascii="Times New Roman" w:hAnsi="Times New Roman"/>
                <w:b/>
                <w:sz w:val="20"/>
              </w:rPr>
              <w:t>1-41550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75-3099507</w:t>
            </w:r>
          </w:p>
        </w:tc>
      </w:tr>
      <w:tr>
        <w:trPr/>
        <w:tc>
          <w:tcPr>
            <w:tcW w:w="234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00" w:after="0"/>
        <w:jc w:val="center"/>
        <w:rPr>
          <w:rFonts w:ascii="Times New Roman" w:hAnsi="Times New Roman"/>
          <w:b/>
          <w:sz w:val="20"/>
        </w:rPr>
      </w:pPr>
      <w:r>
        <w:rPr>
          <w:rFonts w:ascii="Times New Roman" w:hAnsi="Times New Roman"/>
          <w:b/>
          <w:sz w:val="20"/>
        </w:rPr>
        <w:t>14025 Riveredge Drive, Suite 300,</w:t>
      </w:r>
    </w:p>
    <w:p>
      <w:pPr>
        <w:pStyle w:val="TextBody"/>
        <w:bidi w:val="0"/>
        <w:spacing w:before="0" w:after="0"/>
        <w:jc w:val="center"/>
        <w:rPr>
          <w:rFonts w:ascii="Times New Roman" w:hAnsi="Times New Roman"/>
          <w:b/>
          <w:sz w:val="20"/>
        </w:rPr>
      </w:pPr>
      <w:r>
        <w:rPr>
          <w:rFonts w:ascii="Times New Roman" w:hAnsi="Times New Roman"/>
          <w:b/>
          <w:sz w:val="20"/>
        </w:rPr>
        <w:t>Tampa, Florida 33637</w:t>
      </w:r>
    </w:p>
    <w:p>
      <w:pPr>
        <w:pStyle w:val="TextBody"/>
        <w:bidi w:val="0"/>
        <w:spacing w:before="0" w:after="0"/>
        <w:jc w:val="center"/>
        <w:rPr>
          <w:rFonts w:ascii="Times New Roman" w:hAnsi="Times New Roman"/>
          <w:b/>
          <w:sz w:val="20"/>
        </w:rPr>
      </w:pPr>
      <w:r>
        <w:rPr>
          <w:rFonts w:ascii="Times New Roman" w:hAnsi="Times New Roman"/>
          <w:b/>
          <w:sz w:val="20"/>
        </w:rPr>
        <w:t>(215) 698-5100</w:t>
      </w:r>
    </w:p>
    <w:p>
      <w:pPr>
        <w:pStyle w:val="TextBody"/>
        <w:bidi w:val="0"/>
        <w:spacing w:before="0" w:after="0"/>
        <w:jc w:val="center"/>
        <w:rPr>
          <w:rFonts w:ascii="Times New Roman" w:hAnsi="Times New Roman"/>
          <w:b/>
          <w:sz w:val="16"/>
        </w:rPr>
      </w:pPr>
      <w:r>
        <w:rPr>
          <w:rFonts w:ascii="Times New Roman" w:hAnsi="Times New Roman"/>
          <w:b/>
          <w:sz w:val="16"/>
        </w:rPr>
        <w:t>(Address, Including Zip Code, and Telephone Number, Including Area Code, of Registrant’s Principal Executive Offices)</w:t>
      </w:r>
    </w:p>
    <w:p>
      <w:pPr>
        <w:pStyle w:val="TextBody"/>
        <w:bidi w:val="0"/>
        <w:spacing w:before="20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left"/>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6675" w:type="dxa"/>
        <w:jc w:val="left"/>
        <w:tblInd w:w="0" w:type="dxa"/>
        <w:tblLayout w:type="fixed"/>
        <w:tblCellMar>
          <w:top w:w="0" w:type="dxa"/>
          <w:left w:w="0" w:type="dxa"/>
          <w:bottom w:w="0" w:type="dxa"/>
          <w:right w:w="0" w:type="dxa"/>
        </w:tblCellMar>
      </w:tblPr>
      <w:tblGrid>
        <w:gridCol w:w="3125"/>
        <w:gridCol w:w="60"/>
        <w:gridCol w:w="770"/>
        <w:gridCol w:w="60"/>
        <w:gridCol w:w="2660"/>
      </w:tblGrid>
      <w:tr>
        <w:trPr/>
        <w:tc>
          <w:tcPr>
            <w:tcW w:w="3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1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7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125" w:type="dxa"/>
            <w:tcBorders/>
            <w:vAlign w:val="center"/>
          </w:tcPr>
          <w:p>
            <w:pPr>
              <w:pStyle w:val="TableContents"/>
              <w:bidi w:val="0"/>
              <w:spacing w:before="0" w:after="283"/>
              <w:jc w:val="center"/>
              <w:rPr/>
            </w:pPr>
            <w:r>
              <w:rPr/>
              <w:t>Common Stock $5.00 Par Value</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pPr>
            <w:r>
              <w:rPr/>
              <w:t>CCK</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3125" w:type="dxa"/>
            <w:tcBorders/>
            <w:vAlign w:val="center"/>
          </w:tcPr>
          <w:p>
            <w:pPr>
              <w:pStyle w:val="TableContents"/>
              <w:bidi w:val="0"/>
              <w:spacing w:before="0" w:after="283"/>
              <w:jc w:val="center"/>
              <w:rPr/>
            </w:pPr>
            <w:r>
              <w:rPr/>
              <w:t>7 3/8% Debentures Due 2026</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pPr>
            <w:r>
              <w:rPr/>
              <w:t>CCK26</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3125" w:type="dxa"/>
            <w:tcBorders/>
            <w:vAlign w:val="center"/>
          </w:tcPr>
          <w:p>
            <w:pPr>
              <w:pStyle w:val="TableContents"/>
              <w:bidi w:val="0"/>
              <w:spacing w:before="0" w:after="283"/>
              <w:jc w:val="center"/>
              <w:rPr/>
            </w:pPr>
            <w:r>
              <w:rPr/>
              <w:t>7 1/2% Debentures Due 2096</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pPr>
            <w:r>
              <w:rPr/>
              <w:t>CCK96</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25" w:type="dxa"/>
        <w:jc w:val="left"/>
        <w:tblInd w:w="0" w:type="dxa"/>
        <w:tblLayout w:type="fixed"/>
        <w:tblCellMar>
          <w:top w:w="0" w:type="dxa"/>
          <w:left w:w="0" w:type="dxa"/>
          <w:bottom w:w="0" w:type="dxa"/>
          <w:right w:w="0" w:type="dxa"/>
        </w:tblCellMar>
      </w:tblPr>
      <w:tblGrid>
        <w:gridCol w:w="245"/>
        <w:gridCol w:w="7280"/>
      </w:tblGrid>
      <w:tr>
        <w:trPr/>
        <w:tc>
          <w:tcPr>
            <w:tcW w:w="245" w:type="dxa"/>
            <w:tcBorders/>
            <w:vAlign w:val="center"/>
          </w:tcPr>
          <w:p>
            <w:pPr>
              <w:pStyle w:val="TableContents"/>
              <w:bidi w:val="0"/>
              <w:spacing w:before="0" w:after="283"/>
              <w:jc w:val="left"/>
              <w:rPr/>
            </w:pPr>
            <w:r>
              <w:rPr/>
              <w:t>☐</w:t>
            </w:r>
          </w:p>
        </w:tc>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1 - REGISTRANT’S BUSINESS AND OPERATIONS </w:t>
      </w:r>
    </w:p>
    <w:p>
      <w:pPr>
        <w:pStyle w:val="TextBody"/>
        <w:bidi w:val="0"/>
        <w:spacing w:before="0" w:after="0"/>
        <w:jc w:val="left"/>
        <w:rPr/>
      </w:pPr>
      <w:r>
        <w:rPr/>
        <w:t> </w:t>
      </w:r>
    </w:p>
    <w:tbl>
      <w:tblPr>
        <w:tblW w:w="4825" w:type="dxa"/>
        <w:jc w:val="left"/>
        <w:tblInd w:w="0" w:type="dxa"/>
        <w:tblLayout w:type="fixed"/>
        <w:tblCellMar>
          <w:top w:w="0" w:type="dxa"/>
          <w:left w:w="0" w:type="dxa"/>
          <w:bottom w:w="0" w:type="dxa"/>
          <w:right w:w="0" w:type="dxa"/>
        </w:tblCellMar>
      </w:tblPr>
      <w:tblGrid>
        <w:gridCol w:w="1040"/>
        <w:gridCol w:w="3785"/>
      </w:tblGrid>
      <w:tr>
        <w:trPr/>
        <w:tc>
          <w:tcPr>
            <w:tcW w:w="1040"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provided in Item 2.03 below is hereby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2 - FINANCIAL OPERATION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34"/>
        <w:gridCol w:w="9171"/>
      </w:tblGrid>
      <w:tr>
        <w:trPr/>
        <w:tc>
          <w:tcPr>
            <w:tcW w:w="1034" w:type="dxa"/>
            <w:tcBorders/>
            <w:vAlign w:val="center"/>
          </w:tcPr>
          <w:p>
            <w:pPr>
              <w:pStyle w:val="TableContents"/>
              <w:bidi w:val="0"/>
              <w:spacing w:before="0" w:after="283"/>
              <w:jc w:val="left"/>
              <w:rPr>
                <w:b/>
              </w:rPr>
            </w:pPr>
            <w:r>
              <w:rPr>
                <w:b/>
              </w:rPr>
              <w:t>Item 2.03.</w:t>
            </w:r>
          </w:p>
        </w:tc>
        <w:tc>
          <w:tcPr>
            <w:tcW w:w="917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Creation of a Direct Financial Obligation or an Obligation under an Off-Balance Sheet Arrangement of the Registrant. </w:t>
            </w:r>
          </w:p>
        </w:tc>
      </w:tr>
    </w:tbl>
    <w:p>
      <w:pPr>
        <w:pStyle w:val="TextBody"/>
        <w:bidi w:val="0"/>
        <w:spacing w:before="120" w:after="0"/>
        <w:jc w:val="left"/>
        <w:rPr>
          <w:rFonts w:ascii="Times New Roman" w:hAnsi="Times New Roman"/>
          <w:sz w:val="20"/>
        </w:rPr>
      </w:pPr>
      <w:r>
        <w:rPr>
          <w:rFonts w:ascii="Times New Roman" w:hAnsi="Times New Roman"/>
          <w:sz w:val="20"/>
        </w:rPr>
        <w:t>On May 9, 2023, Crown Holdings, Inc. (the “</w:t>
      </w:r>
      <w:r>
        <w:rPr>
          <w:rFonts w:ascii="Times New Roman" w:hAnsi="Times New Roman"/>
          <w:sz w:val="20"/>
          <w:u w:val="single"/>
        </w:rPr>
        <w:t>Company</w:t>
      </w:r>
      <w:r>
        <w:rPr>
          <w:rFonts w:ascii="Times New Roman" w:hAnsi="Times New Roman"/>
          <w:sz w:val="20"/>
        </w:rPr>
        <w:t>”) entered into a Purchase Agreement (the “</w:t>
      </w:r>
      <w:r>
        <w:rPr>
          <w:rFonts w:ascii="Times New Roman" w:hAnsi="Times New Roman"/>
          <w:sz w:val="20"/>
          <w:u w:val="single"/>
        </w:rPr>
        <w:t>Purchase Agreement</w:t>
      </w:r>
      <w:r>
        <w:rPr>
          <w:rFonts w:ascii="Times New Roman" w:hAnsi="Times New Roman"/>
          <w:sz w:val="20"/>
        </w:rPr>
        <w:t>”) pursuant to which Crown European Holdings S.A. (the “</w:t>
      </w:r>
      <w:r>
        <w:rPr>
          <w:rFonts w:ascii="Times New Roman" w:hAnsi="Times New Roman"/>
          <w:sz w:val="20"/>
          <w:u w:val="single"/>
        </w:rPr>
        <w:t>Issuer</w:t>
      </w:r>
      <w:r>
        <w:rPr>
          <w:rFonts w:ascii="Times New Roman" w:hAnsi="Times New Roman"/>
          <w:sz w:val="20"/>
        </w:rPr>
        <w:t>”), a subsidiary of the Company, agreed to issue and sell to several initial purchasers, for whom BNP Paribas is acting as representative, €500,000,000 in aggregate principal amount of senior unsecured notes due 2028 (the “</w:t>
      </w:r>
      <w:r>
        <w:rPr>
          <w:rFonts w:ascii="Times New Roman" w:hAnsi="Times New Roman"/>
          <w:sz w:val="20"/>
          <w:u w:val="single"/>
        </w:rPr>
        <w:t>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mature on May 15, 2028 and will accrue interest at a rate of 5.000% per year. Interest on the Notes will be payable semi-annually on May 15 and November 15 of each year, beginning on November 15, 2023. The Issuer may redeem some or all of the Notes, at its option, at any time prior to April 15, 2028 by paying 100% of the principal amount, plus accrued and unpaid interest, if any, to, but excluding, the redemption date, and a make-whole premium. </w:t>
      </w:r>
    </w:p>
    <w:p>
      <w:pPr>
        <w:pStyle w:val="TextBody"/>
        <w:bidi w:val="0"/>
        <w:spacing w:before="240" w:after="0"/>
        <w:jc w:val="left"/>
        <w:rPr>
          <w:rFonts w:ascii="Times New Roman" w:hAnsi="Times New Roman"/>
          <w:sz w:val="20"/>
        </w:rPr>
      </w:pPr>
      <w:r>
        <w:rPr>
          <w:rFonts w:ascii="Times New Roman" w:hAnsi="Times New Roman"/>
          <w:sz w:val="20"/>
        </w:rPr>
        <w:t xml:space="preserve">The Issuer may redeem some or all of the Notes, at its option, at any time on or after April 15, 2028 by paying 100% of the principal amount, plus accrued and unpaid interest, if any,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the Issuer or the Company experiences a change of control repurchase event, the Issuer may be required to offer to purchase the Notes at a purchase price equal to 101% of their principal amount, plus accrued and unpaid interest, if any, to, but excluding, the repurchase date. </w:t>
      </w:r>
    </w:p>
    <w:p>
      <w:pPr>
        <w:pStyle w:val="TextBody"/>
        <w:bidi w:val="0"/>
        <w:spacing w:before="240" w:after="0"/>
        <w:jc w:val="left"/>
        <w:rPr>
          <w:rFonts w:ascii="Times New Roman" w:hAnsi="Times New Roman"/>
          <w:sz w:val="20"/>
        </w:rPr>
      </w:pPr>
      <w:r>
        <w:rPr>
          <w:rFonts w:ascii="Times New Roman" w:hAnsi="Times New Roman"/>
          <w:sz w:val="20"/>
        </w:rPr>
        <w:t xml:space="preserve">The Notes are senior obligations of the Issuer. The Notes will be unconditionally guaranteed on a senior basis by the Company and, subject to applicable law and exceptions, certain of the Company’s current and future subsidiaries organized under the laws of the United States, Canada, United Kingdom, France, Germany, Luxembourg, Mexico, the Netherlands and Switzerland. </w:t>
      </w:r>
    </w:p>
    <w:p>
      <w:pPr>
        <w:pStyle w:val="TextBody"/>
        <w:bidi w:val="0"/>
        <w:spacing w:before="240" w:after="0"/>
        <w:jc w:val="left"/>
        <w:rPr>
          <w:rFonts w:ascii="Times New Roman" w:hAnsi="Times New Roman"/>
          <w:sz w:val="20"/>
        </w:rPr>
      </w:pPr>
      <w:r>
        <w:rPr>
          <w:rFonts w:ascii="Times New Roman" w:hAnsi="Times New Roman"/>
          <w:sz w:val="20"/>
        </w:rPr>
        <w:t>The Notes will be sold in a private placement and resold by the initial purchasers to persons reasonably believed to be qualified institutional buyers pursuant to Rule 144A of the Securities Act of 1933, as amended (the “</w:t>
      </w:r>
      <w:r>
        <w:rPr>
          <w:rFonts w:ascii="Times New Roman" w:hAnsi="Times New Roman"/>
          <w:sz w:val="20"/>
          <w:u w:val="single"/>
        </w:rPr>
        <w:t>Securities Act</w:t>
      </w:r>
      <w:r>
        <w:rPr>
          <w:rFonts w:ascii="Times New Roman" w:hAnsi="Times New Roman"/>
          <w:sz w:val="20"/>
        </w:rPr>
        <w:t xml:space="preserve">”), and to non-U.S. persons outside the United States pursuant to Regulation S of the Securities Act. The Notes have not been registered under the Securities Act and may not be offered or sold in the United States absent registration or an applicable exemption from the registration requirements.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Purchase Agreement does not purport to be complete and is qualified in its entirety by the full text of the Purchase Agreement attached hereto as Exhibit 10.1, which is hereby incorporated by reference herein.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Note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Except for historical information, all other information in this Form 8-K consists of forward-looking statements. These forward-looking statements involve a number of risks, uncertainties and other factors, including the expected completion of the offering of the Notes, which may cause the actual results to be materially different from those expressed or implied in the forward-looking statements. Other important factors that could cause the statements made in this Form 8-K or the actual results of operations or financial condition of the Company to differ include, without limitation, that the offering of the Notes is subject to a number of conditions. There can be no assurance that the offering of the Notes will be completed as described herein or at all. Other important factors are discussed under the caption “Forward Looking Statements” in the Company’s Form 10-K Annual Report for the year ended December 31, 2022 and in subsequent filings made prior to or after the date hereof. The Company does not intend to review or revise any particular forward-looking statement in light of future events.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9 - FINANCIAL STATEMENTS AND EXHIBITS </w:t>
      </w:r>
    </w:p>
    <w:p>
      <w:pPr>
        <w:pStyle w:val="TextBody"/>
        <w:bidi w:val="0"/>
        <w:spacing w:before="0" w:after="0"/>
        <w:jc w:val="left"/>
        <w:rPr/>
      </w:pPr>
      <w:r>
        <w:rPr/>
        <w:t> </w:t>
      </w:r>
    </w:p>
    <w:tbl>
      <w:tblPr>
        <w:tblW w:w="4000" w:type="dxa"/>
        <w:jc w:val="left"/>
        <w:tblInd w:w="0" w:type="dxa"/>
        <w:tblLayout w:type="fixed"/>
        <w:tblCellMar>
          <w:top w:w="0" w:type="dxa"/>
          <w:left w:w="0" w:type="dxa"/>
          <w:bottom w:w="0" w:type="dxa"/>
          <w:right w:w="0" w:type="dxa"/>
        </w:tblCellMar>
      </w:tblPr>
      <w:tblGrid>
        <w:gridCol w:w="1040"/>
        <w:gridCol w:w="2960"/>
      </w:tblGrid>
      <w:tr>
        <w:trPr/>
        <w:tc>
          <w:tcPr>
            <w:tcW w:w="1040"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05"/>
        <w:gridCol w:w="120"/>
        <w:gridCol w:w="8880"/>
      </w:tblGrid>
      <w:tr>
        <w:trPr/>
        <w:tc>
          <w:tcPr>
            <w:tcW w:w="1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880" w:type="dxa"/>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center"/>
              <w:rPr>
                <w:b/>
              </w:rPr>
            </w:pPr>
            <w:r>
              <w:rPr>
                <w:b/>
              </w:rPr>
              <w:t>Exhibit</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center"/>
              <w:rPr>
                <w:b/>
              </w:rPr>
            </w:pPr>
            <w:r>
              <w:rPr>
                <w:b/>
              </w:rPr>
              <w:t>Description</w:t>
            </w:r>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Exhibit 10.1</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479802dex101.htm">
              <w:r>
                <w:rPr>
                  <w:rStyle w:val="InternetLink"/>
                </w:rPr>
                <w:t xml:space="preserve">Purchase Agreement, dated as of May 9, 2023, by and among the Company, the Issuer, BNP Paribas, as representative of the Initial Purchasers named in Schedule I thereto, and the Guarantors (as defined therein).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Exhibit 104</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Form 8-K to be signed on its behalf by the undersigned hereunto duly authorized. </w:t>
      </w:r>
    </w:p>
    <w:p>
      <w:pPr>
        <w:pStyle w:val="TextBody"/>
        <w:bidi w:val="0"/>
        <w:spacing w:before="240" w:after="0"/>
        <w:jc w:val="left"/>
        <w:rPr>
          <w:rFonts w:ascii="Times New Roman" w:hAnsi="Times New Roman"/>
          <w:sz w:val="20"/>
        </w:rPr>
      </w:pPr>
      <w:r>
        <w:rPr>
          <w:rFonts w:ascii="Times New Roman" w:hAnsi="Times New Roman"/>
          <w:sz w:val="20"/>
        </w:rPr>
        <w:t xml:space="preserve">Dated: May 11, 2023 </w:t>
      </w:r>
    </w:p>
    <w:p>
      <w:pPr>
        <w:pStyle w:val="TextBody"/>
        <w:bidi w:val="0"/>
        <w:spacing w:before="0" w:after="0"/>
        <w:jc w:val="left"/>
        <w:rPr/>
      </w:pPr>
      <w:r>
        <w:rPr/>
        <w:t> </w:t>
      </w:r>
    </w:p>
    <w:tbl>
      <w:tblPr>
        <w:tblW w:w="4570" w:type="dxa"/>
        <w:jc w:val="left"/>
        <w:tblInd w:w="0" w:type="dxa"/>
        <w:tblLayout w:type="fixed"/>
        <w:tblCellMar>
          <w:top w:w="0" w:type="dxa"/>
          <w:left w:w="0" w:type="dxa"/>
          <w:bottom w:w="0" w:type="dxa"/>
          <w:right w:w="0" w:type="dxa"/>
        </w:tblCellMar>
      </w:tblPr>
      <w:tblGrid>
        <w:gridCol w:w="665"/>
        <w:gridCol w:w="60"/>
        <w:gridCol w:w="3845"/>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45" w:type="dxa"/>
            <w:tcBorders/>
            <w:vAlign w:val="center"/>
          </w:tcPr>
          <w:p>
            <w:pPr>
              <w:pStyle w:val="TableContents"/>
              <w:bidi w:val="0"/>
              <w:spacing w:before="0" w:after="283"/>
              <w:jc w:val="left"/>
              <w:rPr>
                <w:sz w:val="4"/>
                <w:szCs w:val="4"/>
              </w:rPr>
            </w:pPr>
            <w:r>
              <w:rPr>
                <w:sz w:val="4"/>
                <w:szCs w:val="4"/>
              </w:rPr>
            </w:r>
          </w:p>
        </w:tc>
      </w:tr>
      <w:tr>
        <w:trPr/>
        <w:tc>
          <w:tcPr>
            <w:tcW w:w="4570" w:type="dxa"/>
            <w:gridSpan w:val="3"/>
            <w:tcBorders/>
            <w:vAlign w:val="center"/>
          </w:tcPr>
          <w:p>
            <w:pPr>
              <w:pStyle w:val="TableContents"/>
              <w:bidi w:val="0"/>
              <w:spacing w:before="0" w:after="283"/>
              <w:jc w:val="left"/>
              <w:rPr/>
            </w:pPr>
            <w:r>
              <w:rPr/>
              <w:t>CROWN HOLDINGS, INC.</w:t>
            </w:r>
          </w:p>
        </w:tc>
      </w:tr>
      <w:tr>
        <w:trPr/>
        <w:tc>
          <w:tcPr>
            <w:tcW w:w="665" w:type="dxa"/>
            <w:tcBorders/>
            <w:vAlign w:val="center"/>
          </w:tcPr>
          <w:p>
            <w:pPr>
              <w:pStyle w:val="TableContents"/>
              <w:bidi w:val="0"/>
              <w:spacing w:before="0" w:after="283"/>
              <w:jc w:val="left"/>
              <w:rPr>
                <w:sz w:val="4"/>
                <w:szCs w:val="4"/>
              </w:rPr>
            </w:pPr>
            <w:r>
              <w:rPr>
                <w:sz w:val="4"/>
                <w:szCs w:val="4"/>
              </w:rPr>
            </w:r>
          </w:p>
        </w:tc>
        <w:tc>
          <w:tcPr>
            <w:tcW w:w="3905"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Christy L. Kalaus</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pPr>
            <w:r>
              <w:rPr/>
              <w:t>Christy L. Kalaus</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pPr>
            <w:r>
              <w:rPr/>
              <w:t>Vice President and Corporate Controller</w:t>
            </w:r>
          </w:p>
        </w:tc>
      </w:tr>
    </w:tbl>
    <w:p>
      <w:pPr>
        <w:pStyle w:val="TextBody"/>
        <w:bidi w:val="0"/>
        <w:spacing w:before="0" w:after="0"/>
        <w:jc w:val="right"/>
        <w:rPr>
          <w:rFonts w:ascii="Times New Roman" w:hAnsi="Times New Roman"/>
          <w:b/>
          <w:sz w:val="20"/>
        </w:rPr>
      </w:pPr>
      <w:bookmarkStart w:id="2" w:name="d479802dex101.htm"/>
      <w:bookmarkStart w:id="3" w:name="ksd479802dex101"/>
      <w:bookmarkEnd w:id="2"/>
      <w:bookmarkEnd w:id="3"/>
      <w:r>
        <w:rPr>
          <w:rFonts w:ascii="Times New Roman" w:hAnsi="Times New Roman"/>
          <w:b/>
          <w:sz w:val="20"/>
        </w:rPr>
        <w:t xml:space="preserve">Exhibit 10.1 </w:t>
      </w:r>
      <w:r>
        <w:br w:type="page"/>
      </w:r>
    </w:p>
    <w:p>
      <w:pPr>
        <w:pStyle w:val="TextBody"/>
        <w:bidi w:val="0"/>
        <w:spacing w:before="24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480" w:after="0"/>
        <w:jc w:val="center"/>
        <w:rPr>
          <w:rFonts w:ascii="Times New Roman" w:hAnsi="Times New Roman"/>
          <w:b/>
          <w:sz w:val="20"/>
        </w:rPr>
      </w:pPr>
      <w:r>
        <w:rPr>
          <w:rFonts w:ascii="Times New Roman" w:hAnsi="Times New Roman"/>
          <w:b/>
          <w:sz w:val="20"/>
        </w:rPr>
        <w:t xml:space="preserve">CROWN HOLDINGS, INC. </w:t>
      </w:r>
    </w:p>
    <w:p>
      <w:pPr>
        <w:pStyle w:val="TextBody"/>
        <w:bidi w:val="0"/>
        <w:spacing w:before="240" w:after="0"/>
        <w:jc w:val="center"/>
        <w:rPr>
          <w:rFonts w:ascii="Times New Roman" w:hAnsi="Times New Roman"/>
          <w:b/>
          <w:sz w:val="20"/>
        </w:rPr>
      </w:pPr>
      <w:r>
        <w:rPr>
          <w:rFonts w:ascii="Times New Roman" w:hAnsi="Times New Roman"/>
          <w:b/>
          <w:sz w:val="20"/>
        </w:rPr>
        <w:t xml:space="preserve">ISSUANCE BY </w:t>
      </w:r>
    </w:p>
    <w:p>
      <w:pPr>
        <w:pStyle w:val="TextBody"/>
        <w:bidi w:val="0"/>
        <w:spacing w:before="240" w:after="0"/>
        <w:jc w:val="center"/>
        <w:rPr>
          <w:rFonts w:ascii="Times New Roman" w:hAnsi="Times New Roman"/>
          <w:b/>
          <w:sz w:val="20"/>
        </w:rPr>
      </w:pPr>
      <w:r>
        <w:rPr>
          <w:rFonts w:ascii="Times New Roman" w:hAnsi="Times New Roman"/>
          <w:b/>
          <w:sz w:val="20"/>
        </w:rPr>
        <w:t xml:space="preserve">CROWN EUROPEAN HOLDINGS S.A. </w:t>
      </w:r>
    </w:p>
    <w:p>
      <w:pPr>
        <w:pStyle w:val="TextBody"/>
        <w:bidi w:val="0"/>
        <w:spacing w:before="240" w:after="0"/>
        <w:jc w:val="center"/>
        <w:rPr>
          <w:rFonts w:ascii="Times New Roman" w:hAnsi="Times New Roman"/>
          <w:b/>
          <w:sz w:val="20"/>
        </w:rPr>
      </w:pPr>
      <w:r>
        <w:rPr>
          <w:rFonts w:ascii="Times New Roman" w:hAnsi="Times New Roman"/>
          <w:b/>
          <w:sz w:val="20"/>
        </w:rPr>
        <w:t xml:space="preserve">OF </w:t>
      </w:r>
    </w:p>
    <w:p>
      <w:pPr>
        <w:pStyle w:val="TextBody"/>
        <w:bidi w:val="0"/>
        <w:spacing w:before="240" w:after="0"/>
        <w:jc w:val="center"/>
        <w:rPr>
          <w:rFonts w:ascii="Times New Roman" w:hAnsi="Times New Roman"/>
          <w:sz w:val="20"/>
        </w:rPr>
      </w:pPr>
      <w:r>
        <w:rPr>
          <w:rFonts w:ascii="Times New Roman" w:hAnsi="Times New Roman"/>
          <w:sz w:val="20"/>
        </w:rPr>
        <w:t xml:space="preserve">500,000,000 5.000% Senior Notes due 2028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Purchase Agreement </w:t>
      </w:r>
    </w:p>
    <w:p>
      <w:pPr>
        <w:pStyle w:val="TextBody"/>
        <w:bidi w:val="0"/>
        <w:spacing w:before="240" w:after="0"/>
        <w:jc w:val="right"/>
        <w:rPr>
          <w:rFonts w:ascii="Times New Roman" w:hAnsi="Times New Roman"/>
          <w:sz w:val="20"/>
        </w:rPr>
      </w:pPr>
      <w:r>
        <w:rPr>
          <w:rFonts w:ascii="Times New Roman" w:hAnsi="Times New Roman"/>
          <w:sz w:val="20"/>
        </w:rPr>
        <w:t xml:space="preserve">May 9,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20"/>
        <w:gridCol w:w="3326"/>
        <w:gridCol w:w="120"/>
        <w:gridCol w:w="3169"/>
      </w:tblGrid>
      <w:tr>
        <w:trPr/>
        <w:tc>
          <w:tcPr>
            <w:tcW w:w="34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2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69" w:type="dxa"/>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0"/>
              <w:jc w:val="center"/>
              <w:rPr>
                <w:rFonts w:ascii="Times New Roman" w:hAnsi="Times New Roman"/>
                <w:sz w:val="20"/>
              </w:rPr>
            </w:pPr>
            <w:r>
              <w:rPr>
                <w:rFonts w:ascii="Times New Roman" w:hAnsi="Times New Roman"/>
                <w:sz w:val="20"/>
              </w:rPr>
              <w:t>BNP Paribas</w:t>
            </w:r>
          </w:p>
          <w:p>
            <w:pPr>
              <w:pStyle w:val="TableContents"/>
              <w:bidi w:val="0"/>
              <w:spacing w:before="0" w:after="0"/>
              <w:jc w:val="center"/>
              <w:rPr>
                <w:rFonts w:ascii="Times New Roman" w:hAnsi="Times New Roman"/>
                <w:sz w:val="20"/>
              </w:rPr>
            </w:pPr>
            <w:r>
              <w:rPr>
                <w:rFonts w:ascii="Times New Roman" w:hAnsi="Times New Roman"/>
                <w:sz w:val="20"/>
              </w:rPr>
              <w:t>16, boulevard des Italiens</w:t>
            </w:r>
          </w:p>
          <w:p>
            <w:pPr>
              <w:pStyle w:val="TableContents"/>
              <w:bidi w:val="0"/>
              <w:spacing w:before="0" w:after="20"/>
              <w:jc w:val="center"/>
              <w:rPr>
                <w:rFonts w:ascii="Times New Roman" w:hAnsi="Times New Roman"/>
                <w:sz w:val="20"/>
              </w:rPr>
            </w:pPr>
            <w:r>
              <w:rPr>
                <w:rFonts w:ascii="Times New Roman" w:hAnsi="Times New Roman"/>
                <w:sz w:val="20"/>
              </w:rPr>
              <w:t>75009 Paris</w:t>
            </w:r>
          </w:p>
        </w:tc>
        <w:tc>
          <w:tcPr>
            <w:tcW w:w="120" w:type="dxa"/>
            <w:tcBorders/>
            <w:vAlign w:val="bottom"/>
          </w:tcPr>
          <w:p>
            <w:pPr>
              <w:pStyle w:val="TableContents"/>
              <w:bidi w:val="0"/>
              <w:spacing w:before="0" w:after="283"/>
              <w:jc w:val="left"/>
              <w:rPr/>
            </w:pPr>
            <w:r>
              <w:rPr/>
              <w:t>  </w:t>
            </w:r>
          </w:p>
        </w:tc>
        <w:tc>
          <w:tcPr>
            <w:tcW w:w="3326" w:type="dxa"/>
            <w:tcBorders/>
          </w:tcPr>
          <w:p>
            <w:pPr>
              <w:pStyle w:val="TableContents"/>
              <w:bidi w:val="0"/>
              <w:spacing w:before="0" w:after="0"/>
              <w:jc w:val="center"/>
              <w:rPr>
                <w:rFonts w:ascii="Times New Roman" w:hAnsi="Times New Roman"/>
                <w:sz w:val="20"/>
              </w:rPr>
            </w:pPr>
            <w:r>
              <w:rPr>
                <w:rFonts w:ascii="Times New Roman" w:hAnsi="Times New Roman"/>
                <w:sz w:val="20"/>
              </w:rPr>
              <w:t>Deutsche Bank Aktiengesellschaft</w:t>
            </w:r>
          </w:p>
          <w:p>
            <w:pPr>
              <w:pStyle w:val="TableContents"/>
              <w:bidi w:val="0"/>
              <w:spacing w:before="0" w:after="0"/>
              <w:jc w:val="center"/>
              <w:rPr>
                <w:rFonts w:ascii="Times New Roman" w:hAnsi="Times New Roman"/>
                <w:sz w:val="20"/>
              </w:rPr>
            </w:pPr>
            <w:r>
              <w:rPr>
                <w:rFonts w:ascii="Times New Roman" w:hAnsi="Times New Roman"/>
                <w:sz w:val="20"/>
              </w:rPr>
              <w:t>Mainzer Landstr. 11-17</w:t>
            </w:r>
          </w:p>
          <w:p>
            <w:pPr>
              <w:pStyle w:val="TableContents"/>
              <w:bidi w:val="0"/>
              <w:spacing w:before="0" w:after="0"/>
              <w:jc w:val="center"/>
              <w:rPr>
                <w:rFonts w:ascii="Times New Roman" w:hAnsi="Times New Roman"/>
                <w:sz w:val="20"/>
              </w:rPr>
            </w:pPr>
            <w:r>
              <w:rPr>
                <w:rFonts w:ascii="Times New Roman" w:hAnsi="Times New Roman"/>
                <w:sz w:val="20"/>
              </w:rPr>
              <w:t>60329 Frankfurt am Main</w:t>
            </w:r>
          </w:p>
          <w:p>
            <w:pPr>
              <w:pStyle w:val="TableContents"/>
              <w:bidi w:val="0"/>
              <w:spacing w:before="0" w:after="20"/>
              <w:jc w:val="center"/>
              <w:rPr>
                <w:rFonts w:ascii="Times New Roman" w:hAnsi="Times New Roman"/>
                <w:sz w:val="20"/>
              </w:rPr>
            </w:pPr>
            <w:r>
              <w:rPr>
                <w:rFonts w:ascii="Times New Roman" w:hAnsi="Times New Roman"/>
                <w:sz w:val="20"/>
              </w:rPr>
              <w:t>Germany</w:t>
            </w:r>
          </w:p>
        </w:tc>
        <w:tc>
          <w:tcPr>
            <w:tcW w:w="120" w:type="dxa"/>
            <w:tcBorders/>
            <w:vAlign w:val="bottom"/>
          </w:tcPr>
          <w:p>
            <w:pPr>
              <w:pStyle w:val="TableContents"/>
              <w:bidi w:val="0"/>
              <w:spacing w:before="0" w:after="283"/>
              <w:jc w:val="left"/>
              <w:rPr/>
            </w:pPr>
            <w:r>
              <w:rPr/>
              <w:t>  </w:t>
            </w:r>
          </w:p>
        </w:tc>
        <w:tc>
          <w:tcPr>
            <w:tcW w:w="3169" w:type="dxa"/>
            <w:tcBorders/>
          </w:tcPr>
          <w:p>
            <w:pPr>
              <w:pStyle w:val="TableContents"/>
              <w:bidi w:val="0"/>
              <w:spacing w:before="0" w:after="0"/>
              <w:jc w:val="center"/>
              <w:rPr>
                <w:rFonts w:ascii="Times New Roman" w:hAnsi="Times New Roman"/>
                <w:sz w:val="20"/>
              </w:rPr>
            </w:pPr>
            <w:r>
              <w:rPr>
                <w:rFonts w:ascii="Times New Roman" w:hAnsi="Times New Roman"/>
                <w:sz w:val="20"/>
              </w:rPr>
              <w:t>UniCredit Bank AG</w:t>
            </w:r>
          </w:p>
          <w:p>
            <w:pPr>
              <w:pStyle w:val="TableContents"/>
              <w:bidi w:val="0"/>
              <w:spacing w:before="0" w:after="20"/>
              <w:jc w:val="center"/>
              <w:rPr>
                <w:rFonts w:ascii="Times New Roman" w:hAnsi="Times New Roman"/>
                <w:sz w:val="20"/>
              </w:rPr>
            </w:pPr>
            <w:r>
              <w:rPr>
                <w:rFonts w:ascii="Times New Roman" w:hAnsi="Times New Roman"/>
                <w:sz w:val="20"/>
              </w:rPr>
              <w:t>Moor House, 120 London Wall, London EC2Y 5ET</w:t>
            </w:r>
          </w:p>
        </w:tc>
      </w:tr>
      <w:tr>
        <w:trPr>
          <w:trHeight w:val="120" w:hRule="atLeast"/>
        </w:trPr>
        <w:tc>
          <w:tcPr>
            <w:tcW w:w="3470" w:type="dxa"/>
            <w:tcBorders/>
            <w:vAlign w:val="center"/>
          </w:tcPr>
          <w:p>
            <w:pPr>
              <w:pStyle w:val="TableContents"/>
              <w:bidi w:val="0"/>
              <w:spacing w:before="0" w:after="283"/>
              <w:jc w:val="left"/>
              <w:rPr>
                <w:sz w:val="4"/>
                <w:szCs w:val="4"/>
              </w:rPr>
            </w:pPr>
            <w:r>
              <w:rPr>
                <w:sz w:val="4"/>
                <w:szCs w:val="4"/>
              </w:rPr>
            </w:r>
          </w:p>
        </w:tc>
        <w:tc>
          <w:tcPr>
            <w:tcW w:w="3446" w:type="dxa"/>
            <w:gridSpan w:val="2"/>
            <w:tcBorders/>
            <w:vAlign w:val="center"/>
          </w:tcPr>
          <w:p>
            <w:pPr>
              <w:pStyle w:val="TableContents"/>
              <w:bidi w:val="0"/>
              <w:spacing w:before="0" w:after="283"/>
              <w:jc w:val="left"/>
              <w:rPr>
                <w:sz w:val="4"/>
                <w:szCs w:val="4"/>
              </w:rPr>
            </w:pPr>
            <w:r>
              <w:rPr>
                <w:sz w:val="4"/>
                <w:szCs w:val="4"/>
              </w:rPr>
            </w:r>
          </w:p>
        </w:tc>
        <w:tc>
          <w:tcPr>
            <w:tcW w:w="3289" w:type="dxa"/>
            <w:gridSpan w:val="2"/>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0"/>
              <w:jc w:val="center"/>
              <w:rPr>
                <w:rFonts w:ascii="Times New Roman" w:hAnsi="Times New Roman"/>
                <w:sz w:val="20"/>
              </w:rPr>
            </w:pPr>
            <w:r>
              <w:rPr>
                <w:rFonts w:ascii="Times New Roman" w:hAnsi="Times New Roman"/>
                <w:sz w:val="20"/>
              </w:rPr>
              <w:t>BofA Securities Europe SA</w:t>
            </w:r>
          </w:p>
          <w:p>
            <w:pPr>
              <w:pStyle w:val="TableContents"/>
              <w:bidi w:val="0"/>
              <w:spacing w:before="0" w:after="0"/>
              <w:jc w:val="center"/>
              <w:rPr>
                <w:rFonts w:ascii="Times New Roman" w:hAnsi="Times New Roman"/>
                <w:sz w:val="20"/>
              </w:rPr>
            </w:pPr>
            <w:r>
              <w:rPr>
                <w:rFonts w:ascii="Times New Roman" w:hAnsi="Times New Roman"/>
                <w:sz w:val="20"/>
              </w:rPr>
              <w:t>51 rue La Boétie</w:t>
            </w:r>
          </w:p>
          <w:p>
            <w:pPr>
              <w:pStyle w:val="TableContents"/>
              <w:bidi w:val="0"/>
              <w:spacing w:before="0" w:after="20"/>
              <w:jc w:val="center"/>
              <w:rPr>
                <w:rFonts w:ascii="Times New Roman" w:hAnsi="Times New Roman"/>
                <w:sz w:val="20"/>
              </w:rPr>
            </w:pPr>
            <w:r>
              <w:rPr>
                <w:rFonts w:ascii="Times New Roman" w:hAnsi="Times New Roman"/>
                <w:sz w:val="20"/>
              </w:rPr>
              <w:t>75008 Paris</w:t>
            </w:r>
          </w:p>
        </w:tc>
        <w:tc>
          <w:tcPr>
            <w:tcW w:w="120" w:type="dxa"/>
            <w:tcBorders/>
            <w:vAlign w:val="bottom"/>
          </w:tcPr>
          <w:p>
            <w:pPr>
              <w:pStyle w:val="TableContents"/>
              <w:bidi w:val="0"/>
              <w:spacing w:before="0" w:after="283"/>
              <w:jc w:val="left"/>
              <w:rPr/>
            </w:pPr>
            <w:r>
              <w:rPr/>
              <w:t>  </w:t>
            </w:r>
          </w:p>
        </w:tc>
        <w:tc>
          <w:tcPr>
            <w:tcW w:w="3326" w:type="dxa"/>
            <w:tcBorders/>
          </w:tcPr>
          <w:p>
            <w:pPr>
              <w:pStyle w:val="TableContents"/>
              <w:bidi w:val="0"/>
              <w:spacing w:before="0" w:after="0"/>
              <w:jc w:val="center"/>
              <w:rPr>
                <w:rFonts w:ascii="Times New Roman" w:hAnsi="Times New Roman"/>
                <w:sz w:val="20"/>
              </w:rPr>
            </w:pPr>
            <w:r>
              <w:rPr>
                <w:rFonts w:ascii="Times New Roman" w:hAnsi="Times New Roman"/>
                <w:sz w:val="20"/>
              </w:rPr>
              <w:t>Citigroup Global Markets Inc.</w:t>
            </w:r>
          </w:p>
          <w:p>
            <w:pPr>
              <w:pStyle w:val="TableContents"/>
              <w:bidi w:val="0"/>
              <w:spacing w:before="0" w:after="20"/>
              <w:jc w:val="center"/>
              <w:rPr>
                <w:rFonts w:ascii="Times New Roman" w:hAnsi="Times New Roman"/>
                <w:sz w:val="20"/>
              </w:rPr>
            </w:pPr>
            <w:r>
              <w:rPr>
                <w:rFonts w:ascii="Times New Roman" w:hAnsi="Times New Roman"/>
                <w:sz w:val="20"/>
              </w:rPr>
              <w:t>388 Greenwich Street, New York, NY 10013</w:t>
            </w:r>
          </w:p>
        </w:tc>
        <w:tc>
          <w:tcPr>
            <w:tcW w:w="120" w:type="dxa"/>
            <w:tcBorders/>
            <w:vAlign w:val="bottom"/>
          </w:tcPr>
          <w:p>
            <w:pPr>
              <w:pStyle w:val="TableContents"/>
              <w:bidi w:val="0"/>
              <w:spacing w:before="0" w:after="283"/>
              <w:jc w:val="left"/>
              <w:rPr/>
            </w:pPr>
            <w:r>
              <w:rPr/>
              <w:t>  </w:t>
            </w:r>
          </w:p>
        </w:tc>
        <w:tc>
          <w:tcPr>
            <w:tcW w:w="3169" w:type="dxa"/>
            <w:tcBorders/>
          </w:tcPr>
          <w:p>
            <w:pPr>
              <w:pStyle w:val="TableContents"/>
              <w:bidi w:val="0"/>
              <w:spacing w:before="0" w:after="0"/>
              <w:jc w:val="center"/>
              <w:rPr>
                <w:rFonts w:ascii="Times New Roman" w:hAnsi="Times New Roman"/>
                <w:sz w:val="20"/>
              </w:rPr>
            </w:pPr>
            <w:r>
              <w:rPr>
                <w:rFonts w:ascii="Times New Roman" w:hAnsi="Times New Roman"/>
                <w:sz w:val="20"/>
              </w:rPr>
              <w:t>Crédit Agricole Corporate and Investment Bank</w:t>
            </w:r>
          </w:p>
          <w:p>
            <w:pPr>
              <w:pStyle w:val="TableContents"/>
              <w:bidi w:val="0"/>
              <w:spacing w:before="0" w:after="0"/>
              <w:jc w:val="center"/>
              <w:rPr>
                <w:rFonts w:ascii="Times New Roman" w:hAnsi="Times New Roman"/>
                <w:sz w:val="20"/>
              </w:rPr>
            </w:pPr>
            <w:r>
              <w:rPr>
                <w:rFonts w:ascii="Times New Roman" w:hAnsi="Times New Roman"/>
                <w:sz w:val="20"/>
              </w:rPr>
              <w:t>12, Place des Etats-Unis</w:t>
            </w:r>
          </w:p>
          <w:p>
            <w:pPr>
              <w:pStyle w:val="TableContents"/>
              <w:bidi w:val="0"/>
              <w:spacing w:before="0" w:after="0"/>
              <w:jc w:val="center"/>
              <w:rPr>
                <w:rFonts w:ascii="Times New Roman" w:hAnsi="Times New Roman"/>
                <w:sz w:val="20"/>
              </w:rPr>
            </w:pPr>
            <w:r>
              <w:rPr>
                <w:rFonts w:ascii="Times New Roman" w:hAnsi="Times New Roman"/>
                <w:sz w:val="20"/>
              </w:rPr>
              <w:t>CS 70052</w:t>
            </w:r>
          </w:p>
          <w:p>
            <w:pPr>
              <w:pStyle w:val="TableContents"/>
              <w:bidi w:val="0"/>
              <w:spacing w:before="0" w:after="0"/>
              <w:jc w:val="center"/>
              <w:rPr>
                <w:rFonts w:ascii="Times New Roman" w:hAnsi="Times New Roman"/>
                <w:sz w:val="20"/>
              </w:rPr>
            </w:pPr>
            <w:r>
              <w:rPr>
                <w:rFonts w:ascii="Times New Roman" w:hAnsi="Times New Roman"/>
                <w:sz w:val="20"/>
              </w:rPr>
              <w:t>92547 MONTROUGE CEDEX</w:t>
            </w:r>
          </w:p>
          <w:p>
            <w:pPr>
              <w:pStyle w:val="TableContents"/>
              <w:bidi w:val="0"/>
              <w:spacing w:before="0" w:after="20"/>
              <w:jc w:val="center"/>
              <w:rPr>
                <w:rFonts w:ascii="Times New Roman" w:hAnsi="Times New Roman"/>
                <w:sz w:val="20"/>
              </w:rPr>
            </w:pPr>
            <w:r>
              <w:rPr>
                <w:rFonts w:ascii="Times New Roman" w:hAnsi="Times New Roman"/>
                <w:sz w:val="20"/>
              </w:rPr>
              <w:t>France</w:t>
            </w:r>
          </w:p>
        </w:tc>
      </w:tr>
      <w:tr>
        <w:trPr>
          <w:trHeight w:val="120" w:hRule="atLeast"/>
        </w:trPr>
        <w:tc>
          <w:tcPr>
            <w:tcW w:w="3470" w:type="dxa"/>
            <w:tcBorders/>
            <w:vAlign w:val="center"/>
          </w:tcPr>
          <w:p>
            <w:pPr>
              <w:pStyle w:val="TableContents"/>
              <w:bidi w:val="0"/>
              <w:spacing w:before="0" w:after="283"/>
              <w:jc w:val="left"/>
              <w:rPr>
                <w:sz w:val="4"/>
                <w:szCs w:val="4"/>
              </w:rPr>
            </w:pPr>
            <w:r>
              <w:rPr>
                <w:sz w:val="4"/>
                <w:szCs w:val="4"/>
              </w:rPr>
            </w:r>
          </w:p>
        </w:tc>
        <w:tc>
          <w:tcPr>
            <w:tcW w:w="3446" w:type="dxa"/>
            <w:gridSpan w:val="2"/>
            <w:tcBorders/>
            <w:vAlign w:val="center"/>
          </w:tcPr>
          <w:p>
            <w:pPr>
              <w:pStyle w:val="TableContents"/>
              <w:bidi w:val="0"/>
              <w:spacing w:before="0" w:after="283"/>
              <w:jc w:val="left"/>
              <w:rPr>
                <w:sz w:val="4"/>
                <w:szCs w:val="4"/>
              </w:rPr>
            </w:pPr>
            <w:r>
              <w:rPr>
                <w:sz w:val="4"/>
                <w:szCs w:val="4"/>
              </w:rPr>
            </w:r>
          </w:p>
        </w:tc>
        <w:tc>
          <w:tcPr>
            <w:tcW w:w="3289" w:type="dxa"/>
            <w:gridSpan w:val="2"/>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0"/>
              <w:jc w:val="center"/>
              <w:rPr>
                <w:rFonts w:ascii="Times New Roman" w:hAnsi="Times New Roman"/>
                <w:sz w:val="20"/>
              </w:rPr>
            </w:pPr>
            <w:r>
              <w:rPr>
                <w:rFonts w:ascii="Times New Roman" w:hAnsi="Times New Roman"/>
                <w:sz w:val="20"/>
              </w:rPr>
              <w:t>Mizuho Securities Europe GmbH</w:t>
            </w:r>
          </w:p>
          <w:p>
            <w:pPr>
              <w:pStyle w:val="TableContents"/>
              <w:bidi w:val="0"/>
              <w:spacing w:before="0" w:after="0"/>
              <w:jc w:val="center"/>
              <w:rPr>
                <w:rFonts w:ascii="Times New Roman" w:hAnsi="Times New Roman"/>
                <w:sz w:val="20"/>
              </w:rPr>
            </w:pPr>
            <w:r>
              <w:rPr>
                <w:rFonts w:ascii="Times New Roman" w:hAnsi="Times New Roman"/>
                <w:sz w:val="20"/>
              </w:rPr>
              <w:t>Taunustor 1</w:t>
            </w:r>
          </w:p>
          <w:p>
            <w:pPr>
              <w:pStyle w:val="TableContents"/>
              <w:bidi w:val="0"/>
              <w:spacing w:before="0" w:after="0"/>
              <w:jc w:val="center"/>
              <w:rPr>
                <w:rFonts w:ascii="Times New Roman" w:hAnsi="Times New Roman"/>
                <w:sz w:val="20"/>
              </w:rPr>
            </w:pPr>
            <w:r>
              <w:rPr>
                <w:rFonts w:ascii="Times New Roman" w:hAnsi="Times New Roman"/>
                <w:sz w:val="20"/>
              </w:rPr>
              <w:t>60310 Frankfurt am Main</w:t>
            </w:r>
          </w:p>
          <w:p>
            <w:pPr>
              <w:pStyle w:val="TableContents"/>
              <w:bidi w:val="0"/>
              <w:spacing w:before="0" w:after="20"/>
              <w:jc w:val="center"/>
              <w:rPr>
                <w:rFonts w:ascii="Times New Roman" w:hAnsi="Times New Roman"/>
                <w:sz w:val="20"/>
              </w:rPr>
            </w:pPr>
            <w:r>
              <w:rPr>
                <w:rFonts w:ascii="Times New Roman" w:hAnsi="Times New Roman"/>
                <w:sz w:val="20"/>
              </w:rPr>
              <w:t>Germany</w:t>
            </w:r>
          </w:p>
        </w:tc>
        <w:tc>
          <w:tcPr>
            <w:tcW w:w="120" w:type="dxa"/>
            <w:tcBorders/>
            <w:vAlign w:val="bottom"/>
          </w:tcPr>
          <w:p>
            <w:pPr>
              <w:pStyle w:val="TableContents"/>
              <w:bidi w:val="0"/>
              <w:spacing w:before="0" w:after="283"/>
              <w:jc w:val="left"/>
              <w:rPr/>
            </w:pPr>
            <w:r>
              <w:rPr/>
              <w:t>  </w:t>
            </w:r>
          </w:p>
        </w:tc>
        <w:tc>
          <w:tcPr>
            <w:tcW w:w="3326" w:type="dxa"/>
            <w:tcBorders/>
          </w:tcPr>
          <w:p>
            <w:pPr>
              <w:pStyle w:val="TableContents"/>
              <w:bidi w:val="0"/>
              <w:spacing w:before="0" w:after="0"/>
              <w:jc w:val="center"/>
              <w:rPr>
                <w:rFonts w:ascii="Times New Roman" w:hAnsi="Times New Roman"/>
                <w:sz w:val="20"/>
              </w:rPr>
            </w:pPr>
            <w:r>
              <w:rPr>
                <w:rFonts w:ascii="Times New Roman" w:hAnsi="Times New Roman"/>
                <w:sz w:val="20"/>
              </w:rPr>
              <w:t>Banco Santander, S.A.</w:t>
            </w:r>
          </w:p>
          <w:p>
            <w:pPr>
              <w:pStyle w:val="TableContents"/>
              <w:bidi w:val="0"/>
              <w:spacing w:before="0" w:after="0"/>
              <w:jc w:val="center"/>
              <w:rPr>
                <w:rFonts w:ascii="Times New Roman" w:hAnsi="Times New Roman"/>
                <w:sz w:val="20"/>
              </w:rPr>
            </w:pPr>
            <w:r>
              <w:rPr>
                <w:rFonts w:ascii="Times New Roman" w:hAnsi="Times New Roman"/>
                <w:sz w:val="20"/>
              </w:rPr>
              <w:t>Ciudad Grupo Santander</w:t>
            </w:r>
          </w:p>
          <w:p>
            <w:pPr>
              <w:pStyle w:val="TableContents"/>
              <w:bidi w:val="0"/>
              <w:spacing w:before="0" w:after="0"/>
              <w:jc w:val="center"/>
              <w:rPr>
                <w:rFonts w:ascii="Times New Roman" w:hAnsi="Times New Roman"/>
                <w:sz w:val="20"/>
              </w:rPr>
            </w:pPr>
            <w:r>
              <w:rPr>
                <w:rFonts w:ascii="Times New Roman" w:hAnsi="Times New Roman"/>
                <w:sz w:val="20"/>
              </w:rPr>
              <w:t>Avenida de Cantabria s/n</w:t>
            </w:r>
          </w:p>
          <w:p>
            <w:pPr>
              <w:pStyle w:val="TableContents"/>
              <w:bidi w:val="0"/>
              <w:spacing w:before="0" w:after="0"/>
              <w:jc w:val="center"/>
              <w:rPr>
                <w:rFonts w:ascii="Times New Roman" w:hAnsi="Times New Roman"/>
                <w:sz w:val="20"/>
              </w:rPr>
            </w:pPr>
            <w:r>
              <w:rPr>
                <w:rFonts w:ascii="Times New Roman" w:hAnsi="Times New Roman"/>
                <w:sz w:val="20"/>
              </w:rPr>
              <w:t>Edificio Encinar</w:t>
            </w:r>
          </w:p>
          <w:p>
            <w:pPr>
              <w:pStyle w:val="TableContents"/>
              <w:bidi w:val="0"/>
              <w:spacing w:before="0" w:after="20"/>
              <w:jc w:val="center"/>
              <w:rPr>
                <w:rFonts w:ascii="Times New Roman" w:hAnsi="Times New Roman"/>
                <w:sz w:val="20"/>
              </w:rPr>
            </w:pPr>
            <w:r>
              <w:rPr>
                <w:rFonts w:ascii="Times New Roman" w:hAnsi="Times New Roman"/>
                <w:sz w:val="20"/>
              </w:rPr>
              <w:t>28660, Boadilla del Monte, Madrid, Spain</w:t>
            </w:r>
          </w:p>
        </w:tc>
        <w:tc>
          <w:tcPr>
            <w:tcW w:w="120" w:type="dxa"/>
            <w:tcBorders/>
            <w:vAlign w:val="bottom"/>
          </w:tcPr>
          <w:p>
            <w:pPr>
              <w:pStyle w:val="TableContents"/>
              <w:bidi w:val="0"/>
              <w:spacing w:before="0" w:after="283"/>
              <w:jc w:val="left"/>
              <w:rPr/>
            </w:pPr>
            <w:r>
              <w:rPr/>
              <w:t>  </w:t>
            </w:r>
          </w:p>
        </w:tc>
        <w:tc>
          <w:tcPr>
            <w:tcW w:w="3169" w:type="dxa"/>
            <w:tcBorders/>
          </w:tcPr>
          <w:p>
            <w:pPr>
              <w:pStyle w:val="TableContents"/>
              <w:bidi w:val="0"/>
              <w:spacing w:before="0" w:after="0"/>
              <w:jc w:val="center"/>
              <w:rPr>
                <w:rFonts w:ascii="Times New Roman" w:hAnsi="Times New Roman"/>
                <w:sz w:val="20"/>
              </w:rPr>
            </w:pPr>
            <w:r>
              <w:rPr>
                <w:rFonts w:ascii="Times New Roman" w:hAnsi="Times New Roman"/>
                <w:sz w:val="20"/>
              </w:rPr>
              <w:t>Scotiabank (Ireland)</w:t>
            </w:r>
          </w:p>
          <w:p>
            <w:pPr>
              <w:pStyle w:val="TableContents"/>
              <w:bidi w:val="0"/>
              <w:spacing w:before="0" w:after="0"/>
              <w:jc w:val="center"/>
              <w:rPr>
                <w:rFonts w:ascii="Times New Roman" w:hAnsi="Times New Roman"/>
                <w:sz w:val="20"/>
              </w:rPr>
            </w:pPr>
            <w:r>
              <w:rPr>
                <w:rFonts w:ascii="Times New Roman" w:hAnsi="Times New Roman"/>
                <w:sz w:val="20"/>
              </w:rPr>
              <w:t>Designated Activity Company</w:t>
            </w:r>
          </w:p>
          <w:p>
            <w:pPr>
              <w:pStyle w:val="TableContents"/>
              <w:bidi w:val="0"/>
              <w:spacing w:before="0" w:after="0"/>
              <w:jc w:val="center"/>
              <w:rPr>
                <w:rFonts w:ascii="Times New Roman" w:hAnsi="Times New Roman"/>
                <w:sz w:val="20"/>
              </w:rPr>
            </w:pPr>
            <w:r>
              <w:rPr>
                <w:rFonts w:ascii="Times New Roman" w:hAnsi="Times New Roman"/>
                <w:sz w:val="20"/>
              </w:rPr>
              <w:t>IFSC House, Custom House Quay, International Financial Services</w:t>
            </w:r>
          </w:p>
          <w:p>
            <w:pPr>
              <w:pStyle w:val="TableContents"/>
              <w:bidi w:val="0"/>
              <w:spacing w:before="0" w:after="0"/>
              <w:jc w:val="center"/>
              <w:rPr>
                <w:rFonts w:ascii="Times New Roman" w:hAnsi="Times New Roman"/>
                <w:sz w:val="20"/>
              </w:rPr>
            </w:pPr>
            <w:r>
              <w:rPr>
                <w:rFonts w:ascii="Times New Roman" w:hAnsi="Times New Roman"/>
                <w:sz w:val="20"/>
              </w:rPr>
              <w:t>Centre,</w:t>
            </w:r>
          </w:p>
          <w:p>
            <w:pPr>
              <w:pStyle w:val="TableContents"/>
              <w:bidi w:val="0"/>
              <w:spacing w:before="0" w:after="20"/>
              <w:jc w:val="center"/>
              <w:rPr>
                <w:rFonts w:ascii="Times New Roman" w:hAnsi="Times New Roman"/>
                <w:sz w:val="20"/>
              </w:rPr>
            </w:pPr>
            <w:r>
              <w:rPr>
                <w:rFonts w:ascii="Times New Roman" w:hAnsi="Times New Roman"/>
                <w:sz w:val="20"/>
              </w:rPr>
              <w:t>Dublin, D01 R2P9,</w:t>
            </w:r>
          </w:p>
        </w:tc>
      </w:tr>
      <w:tr>
        <w:trPr>
          <w:trHeight w:val="120" w:hRule="atLeast"/>
        </w:trPr>
        <w:tc>
          <w:tcPr>
            <w:tcW w:w="3470" w:type="dxa"/>
            <w:tcBorders/>
            <w:vAlign w:val="center"/>
          </w:tcPr>
          <w:p>
            <w:pPr>
              <w:pStyle w:val="TableContents"/>
              <w:bidi w:val="0"/>
              <w:spacing w:before="0" w:after="283"/>
              <w:jc w:val="left"/>
              <w:rPr>
                <w:sz w:val="4"/>
                <w:szCs w:val="4"/>
              </w:rPr>
            </w:pPr>
            <w:r>
              <w:rPr>
                <w:sz w:val="4"/>
                <w:szCs w:val="4"/>
              </w:rPr>
            </w:r>
          </w:p>
        </w:tc>
        <w:tc>
          <w:tcPr>
            <w:tcW w:w="3446" w:type="dxa"/>
            <w:gridSpan w:val="2"/>
            <w:tcBorders/>
            <w:vAlign w:val="center"/>
          </w:tcPr>
          <w:p>
            <w:pPr>
              <w:pStyle w:val="TableContents"/>
              <w:bidi w:val="0"/>
              <w:spacing w:before="0" w:after="283"/>
              <w:jc w:val="left"/>
              <w:rPr>
                <w:sz w:val="4"/>
                <w:szCs w:val="4"/>
              </w:rPr>
            </w:pPr>
            <w:r>
              <w:rPr>
                <w:sz w:val="4"/>
                <w:szCs w:val="4"/>
              </w:rPr>
            </w:r>
          </w:p>
        </w:tc>
        <w:tc>
          <w:tcPr>
            <w:tcW w:w="3289" w:type="dxa"/>
            <w:gridSpan w:val="2"/>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0"/>
              <w:jc w:val="center"/>
              <w:rPr>
                <w:rFonts w:ascii="Times New Roman" w:hAnsi="Times New Roman"/>
                <w:sz w:val="20"/>
              </w:rPr>
            </w:pPr>
            <w:r>
              <w:rPr>
                <w:rFonts w:ascii="Times New Roman" w:hAnsi="Times New Roman"/>
                <w:sz w:val="20"/>
              </w:rPr>
              <w:t>SMBC Bank EU AG</w:t>
            </w:r>
          </w:p>
          <w:p>
            <w:pPr>
              <w:pStyle w:val="TableContents"/>
              <w:bidi w:val="0"/>
              <w:spacing w:before="0" w:after="0"/>
              <w:jc w:val="center"/>
              <w:rPr>
                <w:rFonts w:ascii="Times New Roman" w:hAnsi="Times New Roman"/>
                <w:sz w:val="20"/>
              </w:rPr>
            </w:pPr>
            <w:r>
              <w:rPr>
                <w:rFonts w:ascii="Times New Roman" w:hAnsi="Times New Roman"/>
                <w:sz w:val="20"/>
              </w:rPr>
              <w:t>Neue Mainzer Straße 52-58,</w:t>
            </w:r>
          </w:p>
          <w:p>
            <w:pPr>
              <w:pStyle w:val="TableContents"/>
              <w:bidi w:val="0"/>
              <w:spacing w:before="0" w:after="20"/>
              <w:jc w:val="center"/>
              <w:rPr>
                <w:rFonts w:ascii="Times New Roman" w:hAnsi="Times New Roman"/>
                <w:sz w:val="20"/>
              </w:rPr>
            </w:pPr>
            <w:r>
              <w:rPr>
                <w:rFonts w:ascii="Times New Roman" w:hAnsi="Times New Roman"/>
                <w:sz w:val="20"/>
              </w:rPr>
              <w:t>60311 Frankfurt, Germany</w:t>
            </w:r>
          </w:p>
        </w:tc>
        <w:tc>
          <w:tcPr>
            <w:tcW w:w="120" w:type="dxa"/>
            <w:tcBorders/>
            <w:vAlign w:val="bottom"/>
          </w:tcPr>
          <w:p>
            <w:pPr>
              <w:pStyle w:val="TableContents"/>
              <w:bidi w:val="0"/>
              <w:spacing w:before="0" w:after="283"/>
              <w:jc w:val="left"/>
              <w:rPr/>
            </w:pPr>
            <w:r>
              <w:rPr/>
              <w:t>  </w:t>
            </w:r>
          </w:p>
        </w:tc>
        <w:tc>
          <w:tcPr>
            <w:tcW w:w="3326" w:type="dxa"/>
            <w:tcBorders/>
          </w:tcPr>
          <w:p>
            <w:pPr>
              <w:pStyle w:val="TableContents"/>
              <w:bidi w:val="0"/>
              <w:spacing w:before="0" w:after="0"/>
              <w:jc w:val="center"/>
              <w:rPr>
                <w:rFonts w:ascii="Times New Roman" w:hAnsi="Times New Roman"/>
                <w:sz w:val="20"/>
              </w:rPr>
            </w:pPr>
            <w:r>
              <w:rPr>
                <w:rFonts w:ascii="Times New Roman" w:hAnsi="Times New Roman"/>
                <w:sz w:val="20"/>
              </w:rPr>
              <w:t>TD Securities (USA) LLC</w:t>
            </w:r>
          </w:p>
          <w:p>
            <w:pPr>
              <w:pStyle w:val="TableContents"/>
              <w:bidi w:val="0"/>
              <w:spacing w:before="0" w:after="0"/>
              <w:jc w:val="center"/>
              <w:rPr>
                <w:rFonts w:ascii="Times New Roman" w:hAnsi="Times New Roman"/>
                <w:sz w:val="20"/>
              </w:rPr>
            </w:pPr>
            <w:r>
              <w:rPr>
                <w:rFonts w:ascii="Times New Roman" w:hAnsi="Times New Roman"/>
                <w:sz w:val="20"/>
              </w:rPr>
              <w:t>1 Vanderbilt Avenue, New</w:t>
            </w:r>
          </w:p>
          <w:p>
            <w:pPr>
              <w:pStyle w:val="TableContents"/>
              <w:bidi w:val="0"/>
              <w:spacing w:before="0" w:after="20"/>
              <w:jc w:val="center"/>
              <w:rPr>
                <w:rFonts w:ascii="Times New Roman" w:hAnsi="Times New Roman"/>
                <w:sz w:val="20"/>
              </w:rPr>
            </w:pPr>
            <w:r>
              <w:rPr>
                <w:rFonts w:ascii="Times New Roman" w:hAnsi="Times New Roman"/>
                <w:sz w:val="20"/>
              </w:rPr>
              <w:t>York, NY 10017</w:t>
            </w:r>
          </w:p>
        </w:tc>
        <w:tc>
          <w:tcPr>
            <w:tcW w:w="120" w:type="dxa"/>
            <w:tcBorders/>
            <w:vAlign w:val="bottom"/>
          </w:tcPr>
          <w:p>
            <w:pPr>
              <w:pStyle w:val="TableContents"/>
              <w:bidi w:val="0"/>
              <w:spacing w:before="0" w:after="283"/>
              <w:jc w:val="left"/>
              <w:rPr/>
            </w:pPr>
            <w:r>
              <w:rPr/>
              <w:t>  </w:t>
            </w:r>
          </w:p>
        </w:tc>
        <w:tc>
          <w:tcPr>
            <w:tcW w:w="3169" w:type="dxa"/>
            <w:tcBorders/>
          </w:tcPr>
          <w:p>
            <w:pPr>
              <w:pStyle w:val="TableContents"/>
              <w:bidi w:val="0"/>
              <w:spacing w:before="0" w:after="0"/>
              <w:jc w:val="center"/>
              <w:rPr>
                <w:rFonts w:ascii="Times New Roman" w:hAnsi="Times New Roman"/>
                <w:sz w:val="20"/>
              </w:rPr>
            </w:pPr>
            <w:r>
              <w:rPr>
                <w:rFonts w:ascii="Times New Roman" w:hAnsi="Times New Roman"/>
                <w:sz w:val="20"/>
              </w:rPr>
              <w:t>Wells Fargo Securities Europe S.A.</w:t>
            </w:r>
          </w:p>
          <w:p>
            <w:pPr>
              <w:pStyle w:val="TableContents"/>
              <w:bidi w:val="0"/>
              <w:spacing w:before="0" w:after="20"/>
              <w:jc w:val="center"/>
              <w:rPr>
                <w:rFonts w:ascii="Times New Roman" w:hAnsi="Times New Roman"/>
                <w:sz w:val="20"/>
              </w:rPr>
            </w:pPr>
            <w:r>
              <w:rPr>
                <w:rFonts w:ascii="Times New Roman" w:hAnsi="Times New Roman"/>
                <w:sz w:val="20"/>
              </w:rPr>
              <w:t>1-5 Rue Paul Cézanne, 75008 Paris, France</w:t>
            </w:r>
          </w:p>
        </w:tc>
      </w:tr>
      <w:tr>
        <w:trPr>
          <w:trHeight w:val="120" w:hRule="atLeast"/>
        </w:trPr>
        <w:tc>
          <w:tcPr>
            <w:tcW w:w="3470" w:type="dxa"/>
            <w:tcBorders/>
            <w:vAlign w:val="center"/>
          </w:tcPr>
          <w:p>
            <w:pPr>
              <w:pStyle w:val="TableContents"/>
              <w:bidi w:val="0"/>
              <w:spacing w:before="0" w:after="283"/>
              <w:jc w:val="left"/>
              <w:rPr>
                <w:sz w:val="4"/>
                <w:szCs w:val="4"/>
              </w:rPr>
            </w:pPr>
            <w:r>
              <w:rPr>
                <w:sz w:val="4"/>
                <w:szCs w:val="4"/>
              </w:rPr>
            </w:r>
          </w:p>
        </w:tc>
        <w:tc>
          <w:tcPr>
            <w:tcW w:w="3446" w:type="dxa"/>
            <w:gridSpan w:val="2"/>
            <w:tcBorders/>
            <w:vAlign w:val="center"/>
          </w:tcPr>
          <w:p>
            <w:pPr>
              <w:pStyle w:val="TableContents"/>
              <w:bidi w:val="0"/>
              <w:spacing w:before="0" w:after="283"/>
              <w:jc w:val="left"/>
              <w:rPr>
                <w:sz w:val="4"/>
                <w:szCs w:val="4"/>
              </w:rPr>
            </w:pPr>
            <w:r>
              <w:rPr>
                <w:sz w:val="4"/>
                <w:szCs w:val="4"/>
              </w:rPr>
            </w:r>
          </w:p>
        </w:tc>
        <w:tc>
          <w:tcPr>
            <w:tcW w:w="3289" w:type="dxa"/>
            <w:gridSpan w:val="2"/>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0"/>
              <w:jc w:val="center"/>
              <w:rPr>
                <w:rFonts w:ascii="Times New Roman" w:hAnsi="Times New Roman"/>
                <w:sz w:val="20"/>
              </w:rPr>
            </w:pPr>
            <w:r>
              <w:rPr>
                <w:rFonts w:ascii="Times New Roman" w:hAnsi="Times New Roman"/>
                <w:sz w:val="20"/>
              </w:rPr>
              <w:t>Huntington Securities, Inc.</w:t>
            </w:r>
          </w:p>
          <w:p>
            <w:pPr>
              <w:pStyle w:val="TableContents"/>
              <w:bidi w:val="0"/>
              <w:spacing w:before="0" w:after="0"/>
              <w:jc w:val="center"/>
              <w:rPr>
                <w:rFonts w:ascii="Times New Roman" w:hAnsi="Times New Roman"/>
                <w:sz w:val="20"/>
              </w:rPr>
            </w:pPr>
            <w:r>
              <w:rPr>
                <w:rFonts w:ascii="Times New Roman" w:hAnsi="Times New Roman"/>
                <w:sz w:val="20"/>
              </w:rPr>
              <w:t>41 S. High St.</w:t>
            </w:r>
          </w:p>
          <w:p>
            <w:pPr>
              <w:pStyle w:val="TableContents"/>
              <w:bidi w:val="0"/>
              <w:spacing w:before="0" w:after="0"/>
              <w:jc w:val="center"/>
              <w:rPr>
                <w:rFonts w:ascii="Times New Roman" w:hAnsi="Times New Roman"/>
                <w:sz w:val="20"/>
              </w:rPr>
            </w:pPr>
            <w:r>
              <w:rPr>
                <w:rFonts w:ascii="Times New Roman" w:hAnsi="Times New Roman"/>
                <w:sz w:val="20"/>
              </w:rPr>
              <w:t>5th Floor</w:t>
            </w:r>
          </w:p>
          <w:p>
            <w:pPr>
              <w:pStyle w:val="TableContents"/>
              <w:bidi w:val="0"/>
              <w:spacing w:before="0" w:after="20"/>
              <w:jc w:val="center"/>
              <w:rPr>
                <w:rFonts w:ascii="Times New Roman" w:hAnsi="Times New Roman"/>
                <w:sz w:val="20"/>
              </w:rPr>
            </w:pPr>
            <w:r>
              <w:rPr>
                <w:rFonts w:ascii="Times New Roman" w:hAnsi="Times New Roman"/>
                <w:sz w:val="20"/>
              </w:rPr>
              <w:t>Columbus, OH 43287</w:t>
            </w:r>
          </w:p>
        </w:tc>
        <w:tc>
          <w:tcPr>
            <w:tcW w:w="120" w:type="dxa"/>
            <w:tcBorders/>
            <w:vAlign w:val="bottom"/>
          </w:tcPr>
          <w:p>
            <w:pPr>
              <w:pStyle w:val="TableContents"/>
              <w:bidi w:val="0"/>
              <w:spacing w:before="0" w:after="283"/>
              <w:jc w:val="left"/>
              <w:rPr/>
            </w:pPr>
            <w:r>
              <w:rPr/>
              <w:t>  </w:t>
            </w:r>
          </w:p>
        </w:tc>
        <w:tc>
          <w:tcPr>
            <w:tcW w:w="3326" w:type="dxa"/>
            <w:tcBorders/>
          </w:tcPr>
          <w:p>
            <w:pPr>
              <w:pStyle w:val="TableContents"/>
              <w:bidi w:val="0"/>
              <w:spacing w:before="0" w:after="0"/>
              <w:jc w:val="center"/>
              <w:rPr>
                <w:rFonts w:ascii="Times New Roman" w:hAnsi="Times New Roman"/>
                <w:sz w:val="20"/>
              </w:rPr>
            </w:pPr>
            <w:r>
              <w:rPr>
                <w:rFonts w:ascii="Times New Roman" w:hAnsi="Times New Roman"/>
                <w:sz w:val="20"/>
              </w:rPr>
              <w:t>ING Bank N.V.</w:t>
            </w:r>
          </w:p>
          <w:p>
            <w:pPr>
              <w:pStyle w:val="TableContents"/>
              <w:bidi w:val="0"/>
              <w:spacing w:before="0" w:after="0"/>
              <w:jc w:val="center"/>
              <w:rPr>
                <w:rFonts w:ascii="Times New Roman" w:hAnsi="Times New Roman"/>
                <w:sz w:val="20"/>
              </w:rPr>
            </w:pPr>
            <w:r>
              <w:rPr>
                <w:rFonts w:ascii="Times New Roman" w:hAnsi="Times New Roman"/>
                <w:sz w:val="20"/>
              </w:rPr>
              <w:t>Foppingadreef 7</w:t>
            </w:r>
          </w:p>
          <w:p>
            <w:pPr>
              <w:pStyle w:val="TableContents"/>
              <w:bidi w:val="0"/>
              <w:spacing w:before="0" w:after="0"/>
              <w:jc w:val="center"/>
              <w:rPr>
                <w:rFonts w:ascii="Times New Roman" w:hAnsi="Times New Roman"/>
                <w:sz w:val="20"/>
              </w:rPr>
            </w:pPr>
            <w:r>
              <w:rPr>
                <w:rFonts w:ascii="Times New Roman" w:hAnsi="Times New Roman"/>
                <w:sz w:val="20"/>
              </w:rPr>
              <w:t>1102 BD Amsterdam</w:t>
            </w:r>
          </w:p>
          <w:p>
            <w:pPr>
              <w:pStyle w:val="TableContents"/>
              <w:bidi w:val="0"/>
              <w:spacing w:before="0" w:after="20"/>
              <w:jc w:val="center"/>
              <w:rPr>
                <w:rFonts w:ascii="Times New Roman" w:hAnsi="Times New Roman"/>
                <w:sz w:val="20"/>
              </w:rPr>
            </w:pPr>
            <w:r>
              <w:rPr>
                <w:rFonts w:ascii="Times New Roman" w:hAnsi="Times New Roman"/>
                <w:sz w:val="20"/>
              </w:rPr>
              <w:t>The Netherlands</w:t>
            </w:r>
          </w:p>
        </w:tc>
        <w:tc>
          <w:tcPr>
            <w:tcW w:w="120" w:type="dxa"/>
            <w:tcBorders/>
            <w:vAlign w:val="bottom"/>
          </w:tcPr>
          <w:p>
            <w:pPr>
              <w:pStyle w:val="TableContents"/>
              <w:bidi w:val="0"/>
              <w:spacing w:before="0" w:after="283"/>
              <w:jc w:val="left"/>
              <w:rPr/>
            </w:pPr>
            <w:r>
              <w:rPr/>
              <w:t>  </w:t>
            </w:r>
          </w:p>
        </w:tc>
        <w:tc>
          <w:tcPr>
            <w:tcW w:w="3169" w:type="dxa"/>
            <w:tcBorders/>
          </w:tcPr>
          <w:p>
            <w:pPr>
              <w:pStyle w:val="TableContents"/>
              <w:bidi w:val="0"/>
              <w:spacing w:before="0" w:after="0"/>
              <w:jc w:val="center"/>
              <w:rPr>
                <w:rFonts w:ascii="Times New Roman" w:hAnsi="Times New Roman"/>
                <w:sz w:val="20"/>
              </w:rPr>
            </w:pPr>
            <w:r>
              <w:rPr>
                <w:rFonts w:ascii="Times New Roman" w:hAnsi="Times New Roman"/>
                <w:sz w:val="20"/>
              </w:rPr>
              <w:t>MUFG Securities (Europe) N.V.</w:t>
            </w:r>
          </w:p>
          <w:p>
            <w:pPr>
              <w:pStyle w:val="TableContents"/>
              <w:bidi w:val="0"/>
              <w:spacing w:before="0" w:after="0"/>
              <w:jc w:val="center"/>
              <w:rPr>
                <w:rFonts w:ascii="Times New Roman" w:hAnsi="Times New Roman"/>
                <w:sz w:val="20"/>
              </w:rPr>
            </w:pPr>
            <w:r>
              <w:rPr>
                <w:rFonts w:ascii="Times New Roman" w:hAnsi="Times New Roman"/>
                <w:sz w:val="20"/>
              </w:rPr>
              <w:t>World Trade Center,</w:t>
            </w:r>
          </w:p>
          <w:p>
            <w:pPr>
              <w:pStyle w:val="TableContents"/>
              <w:bidi w:val="0"/>
              <w:spacing w:before="0" w:after="0"/>
              <w:jc w:val="center"/>
              <w:rPr>
                <w:rFonts w:ascii="Times New Roman" w:hAnsi="Times New Roman"/>
                <w:sz w:val="20"/>
              </w:rPr>
            </w:pPr>
            <w:r>
              <w:rPr>
                <w:rFonts w:ascii="Times New Roman" w:hAnsi="Times New Roman"/>
                <w:sz w:val="20"/>
              </w:rPr>
              <w:t>Tower H, 11th Floor</w:t>
            </w:r>
          </w:p>
          <w:p>
            <w:pPr>
              <w:pStyle w:val="TableContents"/>
              <w:bidi w:val="0"/>
              <w:spacing w:before="0" w:after="0"/>
              <w:jc w:val="center"/>
              <w:rPr>
                <w:rFonts w:ascii="Times New Roman" w:hAnsi="Times New Roman"/>
                <w:sz w:val="20"/>
              </w:rPr>
            </w:pPr>
            <w:r>
              <w:rPr>
                <w:rFonts w:ascii="Times New Roman" w:hAnsi="Times New Roman"/>
                <w:sz w:val="20"/>
              </w:rPr>
              <w:t>Zuidplein 98</w:t>
            </w:r>
          </w:p>
          <w:p>
            <w:pPr>
              <w:pStyle w:val="TableContents"/>
              <w:bidi w:val="0"/>
              <w:spacing w:before="0" w:after="20"/>
              <w:jc w:val="center"/>
              <w:rPr>
                <w:rFonts w:ascii="Times New Roman" w:hAnsi="Times New Roman"/>
                <w:sz w:val="20"/>
              </w:rPr>
            </w:pPr>
            <w:r>
              <w:rPr>
                <w:rFonts w:ascii="Times New Roman" w:hAnsi="Times New Roman"/>
                <w:sz w:val="20"/>
              </w:rPr>
              <w:t>1077 XV Amsterdam</w:t>
            </w:r>
          </w:p>
        </w:tc>
      </w:tr>
      <w:tr>
        <w:trPr>
          <w:trHeight w:val="120" w:hRule="atLeast"/>
        </w:trPr>
        <w:tc>
          <w:tcPr>
            <w:tcW w:w="3470" w:type="dxa"/>
            <w:tcBorders/>
            <w:vAlign w:val="center"/>
          </w:tcPr>
          <w:p>
            <w:pPr>
              <w:pStyle w:val="TableContents"/>
              <w:bidi w:val="0"/>
              <w:spacing w:before="0" w:after="283"/>
              <w:jc w:val="left"/>
              <w:rPr>
                <w:sz w:val="4"/>
                <w:szCs w:val="4"/>
              </w:rPr>
            </w:pPr>
            <w:r>
              <w:rPr>
                <w:sz w:val="4"/>
                <w:szCs w:val="4"/>
              </w:rPr>
            </w:r>
          </w:p>
        </w:tc>
        <w:tc>
          <w:tcPr>
            <w:tcW w:w="3446" w:type="dxa"/>
            <w:gridSpan w:val="2"/>
            <w:tcBorders/>
            <w:vAlign w:val="center"/>
          </w:tcPr>
          <w:p>
            <w:pPr>
              <w:pStyle w:val="TableContents"/>
              <w:bidi w:val="0"/>
              <w:spacing w:before="0" w:after="283"/>
              <w:jc w:val="left"/>
              <w:rPr>
                <w:sz w:val="4"/>
                <w:szCs w:val="4"/>
              </w:rPr>
            </w:pPr>
            <w:r>
              <w:rPr>
                <w:sz w:val="4"/>
                <w:szCs w:val="4"/>
              </w:rPr>
            </w:r>
          </w:p>
        </w:tc>
        <w:tc>
          <w:tcPr>
            <w:tcW w:w="3289" w:type="dxa"/>
            <w:gridSpan w:val="2"/>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0"/>
              <w:jc w:val="center"/>
              <w:rPr>
                <w:rFonts w:ascii="Times New Roman" w:hAnsi="Times New Roman"/>
                <w:sz w:val="20"/>
              </w:rPr>
            </w:pPr>
            <w:r>
              <w:rPr>
                <w:rFonts w:ascii="Times New Roman" w:hAnsi="Times New Roman"/>
                <w:sz w:val="20"/>
              </w:rPr>
              <w:t>PNC Capital Markets LLC</w:t>
            </w:r>
          </w:p>
          <w:p>
            <w:pPr>
              <w:pStyle w:val="TableContents"/>
              <w:bidi w:val="0"/>
              <w:spacing w:before="0" w:after="0"/>
              <w:jc w:val="center"/>
              <w:rPr>
                <w:rFonts w:ascii="Times New Roman" w:hAnsi="Times New Roman"/>
                <w:sz w:val="20"/>
              </w:rPr>
            </w:pPr>
            <w:r>
              <w:rPr>
                <w:rFonts w:ascii="Times New Roman" w:hAnsi="Times New Roman"/>
                <w:sz w:val="20"/>
              </w:rPr>
              <w:t>300 Fifth Avenue., 10th Floor</w:t>
            </w:r>
          </w:p>
          <w:p>
            <w:pPr>
              <w:pStyle w:val="TableContents"/>
              <w:bidi w:val="0"/>
              <w:spacing w:before="0" w:after="20"/>
              <w:jc w:val="center"/>
              <w:rPr>
                <w:rFonts w:ascii="Times New Roman" w:hAnsi="Times New Roman"/>
                <w:sz w:val="20"/>
              </w:rPr>
            </w:pPr>
            <w:r>
              <w:rPr>
                <w:rFonts w:ascii="Times New Roman" w:hAnsi="Times New Roman"/>
                <w:sz w:val="20"/>
              </w:rPr>
              <w:t>Pittsburgh, PA 15222</w:t>
            </w:r>
          </w:p>
        </w:tc>
        <w:tc>
          <w:tcPr>
            <w:tcW w:w="120" w:type="dxa"/>
            <w:tcBorders/>
            <w:vAlign w:val="bottom"/>
          </w:tcPr>
          <w:p>
            <w:pPr>
              <w:pStyle w:val="TableContents"/>
              <w:bidi w:val="0"/>
              <w:spacing w:before="0" w:after="283"/>
              <w:jc w:val="left"/>
              <w:rPr/>
            </w:pPr>
            <w:r>
              <w:rPr/>
              <w:t>  </w:t>
            </w:r>
          </w:p>
        </w:tc>
        <w:tc>
          <w:tcPr>
            <w:tcW w:w="3326" w:type="dxa"/>
            <w:tcBorders/>
          </w:tcPr>
          <w:p>
            <w:pPr>
              <w:pStyle w:val="TableContents"/>
              <w:bidi w:val="0"/>
              <w:spacing w:before="0" w:after="0"/>
              <w:jc w:val="center"/>
              <w:rPr>
                <w:rFonts w:ascii="Times New Roman" w:hAnsi="Times New Roman"/>
                <w:sz w:val="20"/>
              </w:rPr>
            </w:pPr>
            <w:r>
              <w:rPr>
                <w:rFonts w:ascii="Times New Roman" w:hAnsi="Times New Roman"/>
                <w:sz w:val="20"/>
              </w:rPr>
              <w:t>Coöperatieve Rabobank U.A.</w:t>
            </w:r>
          </w:p>
          <w:p>
            <w:pPr>
              <w:pStyle w:val="TableContents"/>
              <w:bidi w:val="0"/>
              <w:spacing w:before="0" w:after="0"/>
              <w:jc w:val="center"/>
              <w:rPr>
                <w:rFonts w:ascii="Times New Roman" w:hAnsi="Times New Roman"/>
                <w:sz w:val="20"/>
              </w:rPr>
            </w:pPr>
            <w:r>
              <w:rPr>
                <w:rFonts w:ascii="Times New Roman" w:hAnsi="Times New Roman"/>
                <w:sz w:val="20"/>
              </w:rPr>
              <w:t>Croeselaan 18</w:t>
            </w:r>
          </w:p>
          <w:p>
            <w:pPr>
              <w:pStyle w:val="TableContents"/>
              <w:bidi w:val="0"/>
              <w:spacing w:before="0" w:after="0"/>
              <w:jc w:val="center"/>
              <w:rPr>
                <w:rFonts w:ascii="Times New Roman" w:hAnsi="Times New Roman"/>
                <w:sz w:val="20"/>
              </w:rPr>
            </w:pPr>
            <w:r>
              <w:rPr>
                <w:rFonts w:ascii="Times New Roman" w:hAnsi="Times New Roman"/>
                <w:sz w:val="20"/>
              </w:rPr>
              <w:t>3521CB Utrecht</w:t>
            </w:r>
          </w:p>
          <w:p>
            <w:pPr>
              <w:pStyle w:val="TableContents"/>
              <w:bidi w:val="0"/>
              <w:spacing w:before="0" w:after="20"/>
              <w:jc w:val="center"/>
              <w:rPr>
                <w:rFonts w:ascii="Times New Roman" w:hAnsi="Times New Roman"/>
                <w:sz w:val="20"/>
              </w:rPr>
            </w:pPr>
            <w:r>
              <w:rPr>
                <w:rFonts w:ascii="Times New Roman" w:hAnsi="Times New Roman"/>
                <w:sz w:val="20"/>
              </w:rPr>
              <w:t>The Netherlands</w:t>
            </w:r>
          </w:p>
        </w:tc>
        <w:tc>
          <w:tcPr>
            <w:tcW w:w="120" w:type="dxa"/>
            <w:tcBorders/>
            <w:vAlign w:val="bottom"/>
          </w:tcPr>
          <w:p>
            <w:pPr>
              <w:pStyle w:val="TableContents"/>
              <w:bidi w:val="0"/>
              <w:spacing w:before="0" w:after="283"/>
              <w:jc w:val="left"/>
              <w:rPr/>
            </w:pPr>
            <w:r>
              <w:rPr/>
              <w:t>  </w:t>
            </w:r>
          </w:p>
        </w:tc>
        <w:tc>
          <w:tcPr>
            <w:tcW w:w="3169"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Crown Holdings, Inc., a Pennsylvania corporation (</w:t>
      </w:r>
      <w:r>
        <w:rPr>
          <w:rFonts w:ascii="Times New Roman" w:hAnsi="Times New Roman"/>
          <w:sz w:val="20"/>
          <w:u w:val="single"/>
        </w:rPr>
        <w:t>Holdings</w:t>
      </w:r>
      <w:r>
        <w:rPr>
          <w:rFonts w:ascii="Times New Roman" w:hAnsi="Times New Roman"/>
          <w:sz w:val="20"/>
        </w:rPr>
        <w:t xml:space="preserve">), and the indirect parent company of Crown European Holdings S.A., a </w:t>
      </w:r>
      <w:r>
        <w:rPr>
          <w:rFonts w:ascii="Times New Roman" w:hAnsi="Times New Roman"/>
          <w:i/>
          <w:sz w:val="20"/>
        </w:rPr>
        <w:t>société</w:t>
      </w:r>
      <w:r>
        <w:rPr>
          <w:rFonts w:ascii="Times New Roman" w:hAnsi="Times New Roman"/>
          <w:sz w:val="20"/>
        </w:rPr>
        <w:t xml:space="preserve"> </w:t>
      </w:r>
      <w:r>
        <w:rPr>
          <w:rFonts w:ascii="Times New Roman" w:hAnsi="Times New Roman"/>
          <w:i/>
          <w:sz w:val="20"/>
        </w:rPr>
        <w:t>anonyme</w:t>
      </w:r>
      <w:r>
        <w:rPr>
          <w:rFonts w:ascii="Times New Roman" w:hAnsi="Times New Roman"/>
          <w:sz w:val="20"/>
        </w:rPr>
        <w:t xml:space="preserve"> organized under the laws of France (the </w:t>
      </w:r>
      <w:r>
        <w:rPr>
          <w:rFonts w:ascii="Times New Roman" w:hAnsi="Times New Roman"/>
          <w:sz w:val="20"/>
          <w:u w:val="single"/>
        </w:rPr>
        <w:t>Issuer</w:t>
      </w:r>
      <w:r>
        <w:rPr>
          <w:rFonts w:ascii="Times New Roman" w:hAnsi="Times New Roman"/>
          <w:sz w:val="20"/>
        </w:rPr>
        <w:t xml:space="preserve">), proposes that the Issuer issue and sell to the several purchasers named in </w:t>
      </w:r>
      <w:r>
        <w:rPr>
          <w:rFonts w:ascii="Times New Roman" w:hAnsi="Times New Roman"/>
          <w:sz w:val="20"/>
          <w:u w:val="single"/>
        </w:rPr>
        <w:t>Schedule I</w:t>
      </w:r>
      <w:r>
        <w:rPr>
          <w:rFonts w:ascii="Times New Roman" w:hAnsi="Times New Roman"/>
          <w:sz w:val="20"/>
        </w:rPr>
        <w:t xml:space="preserve"> hereto (the </w:t>
      </w:r>
      <w:r>
        <w:rPr>
          <w:rFonts w:ascii="Times New Roman" w:hAnsi="Times New Roman"/>
          <w:sz w:val="20"/>
          <w:u w:val="single"/>
        </w:rPr>
        <w:t>Initial Purchasers</w:t>
      </w:r>
      <w:r>
        <w:rPr>
          <w:rFonts w:ascii="Times New Roman" w:hAnsi="Times New Roman"/>
          <w:sz w:val="20"/>
        </w:rPr>
        <w:t>), for whom BNP Paribas (the </w:t>
      </w:r>
      <w:r>
        <w:rPr>
          <w:rFonts w:ascii="Times New Roman" w:hAnsi="Times New Roman"/>
          <w:sz w:val="20"/>
          <w:u w:val="single"/>
        </w:rPr>
        <w:t>Representative</w:t>
      </w:r>
      <w:r>
        <w:rPr>
          <w:rFonts w:ascii="Times New Roman" w:hAnsi="Times New Roman"/>
          <w:sz w:val="20"/>
        </w:rPr>
        <w:t>) is acting as representative, 500,000,000 aggregate principal amount of its 5.000% Senior Notes due 2028 (the </w:t>
      </w:r>
      <w:r>
        <w:rPr>
          <w:rFonts w:ascii="Times New Roman" w:hAnsi="Times New Roman"/>
          <w:sz w:val="20"/>
          <w:u w:val="single"/>
        </w:rPr>
        <w:t>Notes</w:t>
      </w:r>
      <w:r>
        <w:rPr>
          <w:rFonts w:ascii="Times New Roman" w:hAnsi="Times New Roman"/>
          <w:sz w:val="20"/>
        </w:rPr>
        <w:t xml:space="preserve">). The Notes will be fully and unconditionally guaranteed on a senior basis by Holdings and the other guarantors named in </w:t>
      </w:r>
      <w:r>
        <w:rPr>
          <w:rFonts w:ascii="Times New Roman" w:hAnsi="Times New Roman"/>
          <w:sz w:val="20"/>
          <w:u w:val="single"/>
        </w:rPr>
        <w:t>Schedule II</w:t>
      </w:r>
      <w:r>
        <w:rPr>
          <w:rFonts w:ascii="Times New Roman" w:hAnsi="Times New Roman"/>
          <w:sz w:val="20"/>
        </w:rPr>
        <w:t xml:space="preserve"> hereto (together with Holdings, the </w:t>
      </w:r>
      <w:r>
        <w:rPr>
          <w:rFonts w:ascii="Times New Roman" w:hAnsi="Times New Roman"/>
          <w:sz w:val="20"/>
          <w:u w:val="single"/>
        </w:rPr>
        <w:t>Guarantors</w:t>
      </w:r>
      <w:r>
        <w:rPr>
          <w:rFonts w:ascii="Times New Roman" w:hAnsi="Times New Roman"/>
          <w:sz w:val="20"/>
        </w:rPr>
        <w:t>; the Guarantors collectively with the Issuer, the </w:t>
      </w:r>
      <w:r>
        <w:rPr>
          <w:rFonts w:ascii="Times New Roman" w:hAnsi="Times New Roman"/>
          <w:sz w:val="20"/>
          <w:u w:val="single"/>
        </w:rPr>
        <w:t>Companies</w:t>
      </w:r>
      <w:r>
        <w:rPr>
          <w:rFonts w:ascii="Times New Roman" w:hAnsi="Times New Roman"/>
          <w:sz w:val="20"/>
        </w:rPr>
        <w:t>). The Notes will be issued pursuant to an indenture to be dated as of May 18, 2023 (the </w:t>
      </w:r>
      <w:r>
        <w:rPr>
          <w:rFonts w:ascii="Times New Roman" w:hAnsi="Times New Roman"/>
          <w:sz w:val="20"/>
          <w:u w:val="single"/>
        </w:rPr>
        <w:t>Indenture</w:t>
      </w:r>
      <w:r>
        <w:rPr>
          <w:rFonts w:ascii="Times New Roman" w:hAnsi="Times New Roman"/>
          <w:sz w:val="20"/>
        </w:rPr>
        <w:t>) among the Issuer, the Guarantors, U.S. Bank Trust Company, National Association, as trustee (the </w:t>
      </w:r>
      <w:r>
        <w:rPr>
          <w:rFonts w:ascii="Times New Roman" w:hAnsi="Times New Roman"/>
          <w:sz w:val="20"/>
          <w:u w:val="single"/>
        </w:rPr>
        <w:t>Trustee</w:t>
      </w:r>
      <w:r>
        <w:rPr>
          <w:rFonts w:ascii="Times New Roman" w:hAnsi="Times New Roman"/>
          <w:sz w:val="20"/>
        </w:rPr>
        <w:t>), Elavon Financial Services DAC, as paying agent, and Elavon Financial Services DAC, as registrar and transfer agent. The Notes will have the benefit of the guarantees (the </w:t>
      </w:r>
      <w:r>
        <w:rPr>
          <w:rFonts w:ascii="Times New Roman" w:hAnsi="Times New Roman"/>
          <w:sz w:val="20"/>
          <w:u w:val="single"/>
        </w:rPr>
        <w:t>Guarantees</w:t>
      </w:r>
      <w:r>
        <w:rPr>
          <w:rFonts w:ascii="Times New Roman" w:hAnsi="Times New Roman"/>
          <w:sz w:val="20"/>
        </w:rPr>
        <w:t> and, together with the Notes, the </w:t>
      </w:r>
      <w:r>
        <w:rPr>
          <w:rFonts w:ascii="Times New Roman" w:hAnsi="Times New Roman"/>
          <w:sz w:val="20"/>
          <w:u w:val="single"/>
        </w:rPr>
        <w:t>Securities</w:t>
      </w:r>
      <w:r>
        <w:rPr>
          <w:rFonts w:ascii="Times New Roman" w:hAnsi="Times New Roman"/>
          <w:sz w:val="20"/>
        </w:rPr>
        <w:t>) provided for in the Indenture. The use of the neuter in this Purchase Agreement (this </w:t>
      </w:r>
      <w:r>
        <w:rPr>
          <w:rFonts w:ascii="Times New Roman" w:hAnsi="Times New Roman"/>
          <w:sz w:val="20"/>
          <w:u w:val="single"/>
        </w:rPr>
        <w:t>Agreement</w:t>
      </w:r>
      <w:r>
        <w:rPr>
          <w:rFonts w:ascii="Times New Roman" w:hAnsi="Times New Roman"/>
          <w:sz w:val="20"/>
        </w:rPr>
        <w:t xml:space="preserve">) shall include the feminine and masculine wherever appropriate. Certain terms used herein are defined in Section 18 hereof. </w:t>
      </w:r>
    </w:p>
    <w:p>
      <w:pPr>
        <w:pStyle w:val="TextBody"/>
        <w:bidi w:val="0"/>
        <w:spacing w:before="240" w:after="0"/>
        <w:jc w:val="left"/>
        <w:rPr>
          <w:rFonts w:ascii="Times New Roman" w:hAnsi="Times New Roman"/>
          <w:sz w:val="20"/>
        </w:rPr>
      </w:pPr>
      <w:r>
        <w:rPr>
          <w:rFonts w:ascii="Times New Roman" w:hAnsi="Times New Roman"/>
          <w:sz w:val="20"/>
        </w:rPr>
        <w:t xml:space="preserve">As described in the Pricing Disclosure Package and the Final Memorandum (each as defined below), the Issuer intends to use the net proceeds from the issuance and sale of the Securities for general corporate purposes, which may include the temporary repayment of indebtedness under the Companys senior secured revolving credit facility. </w:t>
      </w:r>
    </w:p>
    <w:p>
      <w:pPr>
        <w:pStyle w:val="TextBody"/>
        <w:bidi w:val="0"/>
        <w:spacing w:before="240" w:after="0"/>
        <w:jc w:val="left"/>
        <w:rPr>
          <w:rFonts w:ascii="Times New Roman" w:hAnsi="Times New Roman"/>
          <w:sz w:val="20"/>
        </w:rPr>
      </w:pPr>
      <w:r>
        <w:rPr>
          <w:rFonts w:ascii="Times New Roman" w:hAnsi="Times New Roman"/>
          <w:sz w:val="20"/>
        </w:rPr>
        <w:t>This Agreement, the Securities, the Indenture and the agreements and instruments to which Holdings or any of its subsidiaries is a signatory relating to the consummation of the transactions contemplated hereby and the issuance and sale of the Securities contemplated hereby, collectively, are referred to herein as the </w:t>
      </w:r>
      <w:r>
        <w:rPr>
          <w:rFonts w:ascii="Times New Roman" w:hAnsi="Times New Roman"/>
          <w:sz w:val="20"/>
          <w:u w:val="single"/>
        </w:rPr>
        <w:t>Transaction Documents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sale of the Securities to the Initial Purchasers will be made without registration of the Securities under the Act in reliance upon exemptions from the registration requirements of the Act. </w:t>
      </w:r>
    </w:p>
    <w:p>
      <w:pPr>
        <w:pStyle w:val="TextBody"/>
        <w:bidi w:val="0"/>
        <w:spacing w:before="240" w:after="0"/>
        <w:jc w:val="left"/>
        <w:rPr>
          <w:rFonts w:ascii="Times New Roman" w:hAnsi="Times New Roman"/>
          <w:sz w:val="20"/>
        </w:rPr>
      </w:pPr>
      <w:r>
        <w:rPr>
          <w:rFonts w:ascii="Times New Roman" w:hAnsi="Times New Roman"/>
          <w:sz w:val="20"/>
        </w:rPr>
        <w:t>In connection with the sale of the Securities, the Companies have prepared a preliminary offering memorandum dated May 9, 2023 (including the information incorporated by reference therein, the </w:t>
      </w:r>
      <w:r>
        <w:rPr>
          <w:rFonts w:ascii="Times New Roman" w:hAnsi="Times New Roman"/>
          <w:sz w:val="20"/>
          <w:u w:val="single"/>
        </w:rPr>
        <w:t>Preliminary Memorandum</w:t>
      </w:r>
      <w:r>
        <w:rPr>
          <w:rFonts w:ascii="Times New Roman" w:hAnsi="Times New Roman"/>
          <w:sz w:val="20"/>
        </w:rPr>
        <w:t>), setting forth or including a description of the terms of the Securities, the terms of the offering of the Securities, a description of the Companies and any material developments relating to the Companies occurring after the date of the most recent historical financial statements included therein. As used herein, </w:t>
      </w:r>
      <w:r>
        <w:rPr>
          <w:rFonts w:ascii="Times New Roman" w:hAnsi="Times New Roman"/>
          <w:sz w:val="20"/>
          <w:u w:val="single"/>
        </w:rPr>
        <w:t>Pricing Disclosure Package</w:t>
      </w:r>
      <w:r>
        <w:rPr>
          <w:rFonts w:ascii="Times New Roman" w:hAnsi="Times New Roman"/>
          <w:sz w:val="20"/>
        </w:rPr>
        <w:t xml:space="preserve"> shall mean the Preliminary Memorandum, as supplemented or amended by the written communications listed on </w:t>
      </w:r>
      <w:r>
        <w:rPr>
          <w:rFonts w:ascii="Times New Roman" w:hAnsi="Times New Roman"/>
          <w:sz w:val="20"/>
          <w:u w:val="single"/>
        </w:rPr>
        <w:t>Annex A</w:t>
      </w:r>
      <w:r>
        <w:rPr>
          <w:rFonts w:ascii="Times New Roman" w:hAnsi="Times New Roman"/>
          <w:sz w:val="20"/>
        </w:rPr>
        <w:t xml:space="preserve"> hereto in the most recent form that has been prepared and delivered by the Companies to the Initial Purchasers in connection with their solicitation of offers to purchase Securities prior to the time when sales of the Securities were first made (the </w:t>
      </w:r>
      <w:r>
        <w:rPr>
          <w:rFonts w:ascii="Times New Roman" w:hAnsi="Times New Roman"/>
          <w:sz w:val="20"/>
          <w:u w:val="single"/>
        </w:rPr>
        <w:t>Time of Execution</w:t>
      </w:r>
      <w:r>
        <w:rPr>
          <w:rFonts w:ascii="Times New Roman" w:hAnsi="Times New Roman"/>
          <w:sz w:val="20"/>
        </w:rPr>
        <w:t xml:space="preserve">). Promptly after the Time of Execution and in any event no later than the second Business Day following the Time of Execution, the Companies will prepare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and deliver to the Initial Purchasers a final offering memorandum (including the information incorporated by reference therein, the </w:t>
      </w:r>
      <w:r>
        <w:rPr>
          <w:rFonts w:ascii="Times New Roman" w:hAnsi="Times New Roman"/>
          <w:sz w:val="20"/>
          <w:u w:val="single"/>
        </w:rPr>
        <w:t>Final Memorandum</w:t>
      </w:r>
      <w:r>
        <w:rPr>
          <w:rFonts w:ascii="Times New Roman" w:hAnsi="Times New Roman"/>
          <w:sz w:val="20"/>
        </w:rPr>
        <w:t xml:space="preserve">), which will consist of the Preliminary Memorandum with such changes therein as are required to reflect the information contained in the amendments or supplements listed on </w:t>
      </w:r>
      <w:r>
        <w:rPr>
          <w:rFonts w:ascii="Times New Roman" w:hAnsi="Times New Roman"/>
          <w:sz w:val="20"/>
          <w:u w:val="single"/>
        </w:rPr>
        <w:t>Annex A</w:t>
      </w:r>
      <w:r>
        <w:rPr>
          <w:rFonts w:ascii="Times New Roman" w:hAnsi="Times New Roman"/>
          <w:sz w:val="20"/>
        </w:rPr>
        <w:t xml:space="preserve"> hereto. The Companies hereby confirm that they have authorized the use of the Pricing Disclosure Package, the Final Memorandum and the Recorded Road Show (as defined below) in connection with the offer and sale of the Securities by the Initial Purchasers.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Representations and Warranties</w:t>
      </w:r>
      <w:r>
        <w:rPr>
          <w:rFonts w:ascii="Times New Roman" w:hAnsi="Times New Roman"/>
          <w:sz w:val="20"/>
        </w:rPr>
        <w:t>. As of the Time of Execution and at the Closing Date (as defined in Section 3 below), the Companies, jointly and severally, represent and warrant to and agree with each of the Initial Purchasers as follows (references in this Section 1 to the </w:t>
      </w:r>
      <w:r>
        <w:rPr>
          <w:rFonts w:ascii="Times New Roman" w:hAnsi="Times New Roman"/>
          <w:sz w:val="20"/>
          <w:u w:val="single"/>
        </w:rPr>
        <w:t>Offering Memorandum</w:t>
      </w:r>
      <w:r>
        <w:rPr>
          <w:rFonts w:ascii="Times New Roman" w:hAnsi="Times New Roman"/>
          <w:sz w:val="20"/>
        </w:rPr>
        <w:t xml:space="preserve"> are to (i) the Pricing Disclosure Package in the case of representations and warranties made as of the Time of Execution and (ii) both the Pricing Disclosure Package and the Final Memorandum in the case of representations and warranties made at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(a) The Preliminary Memorandum, at the date thereof, did not contain any untrue statement of a material fact or omit to state any material fact necessary to make the statements therein, in the light of the circumstances under which they were made, not misleading. At the Time of Execution, the Pricing Disclosure Package does not, and on the Closing Date, will not, and the Final Memorandum as of its date and on the Closing Date will not, contain any untrue statement of a material fact or omit to state any material fact necessary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the Companies make no representation or warranty as to the information contained in or omitted from the Pricing Disclosure Package and Final Memorandum, in reliance upon and in conformity with information furnished in writing to the Companies by or on behalf of the Initial Purchasers specifically for inclusion therein. The Companies have not distributed or referred to and will not distribute or refer to any written communications (as defined in Rule 405 of the Act) that constitute an offer to sell or solicitation of an offer to buy the Securities (each such communication by the Companies or their agents and representatives (other than the Pricing Disclosure Package and Final Memorandum) an </w:t>
      </w:r>
      <w:r>
        <w:rPr>
          <w:rFonts w:ascii="Times New Roman" w:hAnsi="Times New Roman"/>
          <w:sz w:val="20"/>
          <w:u w:val="single"/>
        </w:rPr>
        <w:t>Issuer Written Communication</w:t>
      </w:r>
      <w:r>
        <w:rPr>
          <w:rFonts w:ascii="Times New Roman" w:hAnsi="Times New Roman"/>
          <w:sz w:val="20"/>
        </w:rPr>
        <w:t>) other than the Pricing Disclosure Package, the Final Memorandum and the recorded electronic road show made available to investors (the </w:t>
      </w:r>
      <w:r>
        <w:rPr>
          <w:rFonts w:ascii="Times New Roman" w:hAnsi="Times New Roman"/>
          <w:sz w:val="20"/>
          <w:u w:val="single"/>
        </w:rPr>
        <w:t>Recorded Road Show</w:t>
      </w:r>
      <w:r>
        <w:rPr>
          <w:rFonts w:ascii="Times New Roman" w:hAnsi="Times New Roman"/>
          <w:sz w:val="20"/>
        </w:rPr>
        <w:t xml:space="preserve">). Any information in an Issuer Written Communication that is not otherwise included in the Pricing Disclosure Package and the Final Memorandum does not conflict with the Pricing Disclosure Package or the Final Memorandum, and each Issuer Written Communication, when taken together with the Pricing Disclosure Package, does not at the Time of Execution and, when taken together with the Final Memorandum at the Closing Date, will not contain any untrue statement of a material fact or omit to state any material fact necessary in order to make the statements therein, in the light of the circumstances under which they were made, not misleading.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None of the Companies or their respective Affiliates, or any person acting on behalf of any of them (other than the Initial Purchasers, as to which the Companies make no representation or warranty), has, directly or indirectly, made offers or sales of any security, or solicited offers to buy any security, under circumstances that would require the registration of the Securities under the Act. Assuming the accuracy of the representations and warranties of the Initial Purchasers in Section 4 of this Agreement, it is not necessary in connection with the offer, sale and delivery of the Securities to the Initial Purchasers or the initial resale of the Securities by the Initial Purchasers, in each case, in the manner contemplated by this Agreement, to register any of the Securities under the Act or to qualify the Indenture under the Trust Indenture Act. </w:t>
      </w:r>
    </w:p>
    <w:p>
      <w:pPr>
        <w:pStyle w:val="TextBody"/>
        <w:bidi w:val="0"/>
        <w:spacing w:before="120" w:after="0"/>
        <w:jc w:val="left"/>
        <w:rPr>
          <w:rFonts w:ascii="Times New Roman" w:hAnsi="Times New Roman"/>
          <w:sz w:val="20"/>
        </w:rPr>
      </w:pPr>
      <w:r>
        <w:rPr>
          <w:rFonts w:ascii="Times New Roman" w:hAnsi="Times New Roman"/>
          <w:sz w:val="20"/>
        </w:rPr>
        <w:t xml:space="preserve">(c) None of the Companies or their respective Affiliates, or any person acting on behalf of any of them (other than the Initial Purchasers, as to which the Companies make no representation or warranty), has engaged in any form of general solicitation or general advertising (within the meaning of Regulation D) in connection with any offer or sale of the Securities in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(d) The Securities satisfy the eligibility requirements of Rule 144A(d)(3) under the Act. </w:t>
      </w:r>
    </w:p>
    <w:p>
      <w:pPr>
        <w:pStyle w:val="TextBody"/>
        <w:bidi w:val="0"/>
        <w:spacing w:before="120" w:after="0"/>
        <w:jc w:val="left"/>
        <w:rPr>
          <w:rFonts w:ascii="Times New Roman" w:hAnsi="Times New Roman"/>
          <w:sz w:val="20"/>
        </w:rPr>
      </w:pPr>
      <w:r>
        <w:rPr>
          <w:rFonts w:ascii="Times New Roman" w:hAnsi="Times New Roman"/>
          <w:sz w:val="20"/>
        </w:rPr>
        <w:t xml:space="preserve">(e) None of the Companies or their respective Affiliates, or any person acting on behalf of any of them (other than the Initial Purchasers, as to which the Companies make no representation or warranty), has engaged in any directed selling efforts with respect to the Securities, and each of the Companies and their respective Affiliates has complied with the offering restrictions requirement of Regulation S. Terms used in this paragraph have the meanings given to them by Regulation S. </w:t>
      </w:r>
    </w:p>
    <w:p>
      <w:pPr>
        <w:pStyle w:val="TextBody"/>
        <w:bidi w:val="0"/>
        <w:spacing w:before="120" w:after="0"/>
        <w:jc w:val="left"/>
        <w:rPr>
          <w:rFonts w:ascii="Times New Roman" w:hAnsi="Times New Roman"/>
          <w:sz w:val="20"/>
        </w:rPr>
      </w:pPr>
      <w:r>
        <w:rPr>
          <w:rFonts w:ascii="Times New Roman" w:hAnsi="Times New Roman"/>
          <w:sz w:val="20"/>
        </w:rPr>
        <w:t xml:space="preserve">(f) No securities of any of the Companies are of the same class (within the meaning of Rule 144A under the Act) as any of the Securities and listed on a national securities exchange registered under Section 6 of the Exchange Act or quoted in a U.S. automated inter-dealer quotation system. </w:t>
      </w:r>
    </w:p>
    <w:p>
      <w:pPr>
        <w:pStyle w:val="TextBody"/>
        <w:bidi w:val="0"/>
        <w:spacing w:before="120" w:after="0"/>
        <w:jc w:val="left"/>
        <w:rPr>
          <w:rFonts w:ascii="Times New Roman" w:hAnsi="Times New Roman"/>
          <w:sz w:val="20"/>
        </w:rPr>
      </w:pPr>
      <w:r>
        <w:rPr>
          <w:rFonts w:ascii="Times New Roman" w:hAnsi="Times New Roman"/>
          <w:sz w:val="20"/>
        </w:rPr>
        <w:t xml:space="preserve">(g) None of the transactions contemplated by this Agreement (including, without limitation, the use of the proceeds from the sale of the Securities) will violate or result in a violation of Section 7 of the Exchange Act, or any regulation promulgated thereunder, including, without limitation, Regulations T, U or X of the Board of Governors of the Federal Reserve System. </w:t>
      </w:r>
    </w:p>
    <w:p>
      <w:pPr>
        <w:pStyle w:val="TextBody"/>
        <w:bidi w:val="0"/>
        <w:spacing w:before="120" w:after="0"/>
        <w:jc w:val="left"/>
        <w:rPr>
          <w:rFonts w:ascii="Times New Roman" w:hAnsi="Times New Roman"/>
          <w:sz w:val="20"/>
        </w:rPr>
      </w:pPr>
      <w:r>
        <w:rPr>
          <w:rFonts w:ascii="Times New Roman" w:hAnsi="Times New Roman"/>
          <w:sz w:val="20"/>
        </w:rPr>
        <w:t xml:space="preserve">(h) Application will be made by the Companies for the Notes to be listed on the Official List of the Luxembourg Stock Exchange and to be admitted to trading on the Euro MTF Market of the Luxembourg Stock Exchange. </w:t>
      </w:r>
    </w:p>
    <w:p>
      <w:pPr>
        <w:pStyle w:val="TextBody"/>
        <w:bidi w:val="0"/>
        <w:spacing w:before="120" w:after="0"/>
        <w:jc w:val="left"/>
        <w:rPr>
          <w:rFonts w:ascii="Times New Roman" w:hAnsi="Times New Roman"/>
          <w:sz w:val="20"/>
        </w:rPr>
      </w:pPr>
      <w:r>
        <w:rPr>
          <w:rFonts w:ascii="Times New Roman" w:hAnsi="Times New Roman"/>
          <w:sz w:val="20"/>
        </w:rPr>
        <w:t xml:space="preserve">(i) None of the Companies or their respective subsidiaries is, and after giving effect to the offering and sale of the Securities and the application of the proceeds thereof as described in the Offering Memorandum none of them will be, required to register as an investment company within the meaning of the Investment Company Act. </w:t>
      </w:r>
    </w:p>
    <w:p>
      <w:pPr>
        <w:pStyle w:val="TextBody"/>
        <w:bidi w:val="0"/>
        <w:spacing w:before="120" w:after="0"/>
        <w:jc w:val="left"/>
        <w:rPr>
          <w:rFonts w:ascii="Times New Roman" w:hAnsi="Times New Roman"/>
          <w:sz w:val="20"/>
        </w:rPr>
      </w:pPr>
      <w:r>
        <w:rPr>
          <w:rFonts w:ascii="Times New Roman" w:hAnsi="Times New Roman"/>
          <w:sz w:val="20"/>
        </w:rPr>
        <w:t xml:space="preserve">(j) Holdings is subject to the reporting requirements of, and has timely filed all material required to be filed by it pursuant to, Section 13 or Section 15(d) of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None of the Companies or their respective Affiliates has paid or agreed to pay to any person any compensation for soliciting another to purchase any securities of any of them (except as contemplated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(l) None of the Companies or their respective Affiliates has taken, directly or indirectly, any action designed to cause or which has constituted or which might reasonably be expected to cause or result, under the Exchange Act or otherwise, in the stabilization or manipulation of the price of any security of any of them to facilitate the sale or resale of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(m) The information to be provided by the Companies pursuant to Section 5(h) hereof will not, at the date thereof, contain any untrue statement of a material fact or omit to state any material fact necessary to make the statements therein, in the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(n) The statements in the Offering Memorandum set forth or referenced under the headings Description of Certain Indebtedness, Description of the Notes, Certain U.S. Federal Income Tax Considerations and Material French Tax Considerations fairly summarize the matters therein described. </w:t>
      </w:r>
    </w:p>
    <w:p>
      <w:pPr>
        <w:pStyle w:val="TextBody"/>
        <w:bidi w:val="0"/>
        <w:spacing w:before="120" w:after="0"/>
        <w:jc w:val="left"/>
        <w:rPr>
          <w:rFonts w:ascii="Times New Roman" w:hAnsi="Times New Roman"/>
          <w:sz w:val="20"/>
        </w:rPr>
      </w:pPr>
      <w:r>
        <w:rPr>
          <w:rFonts w:ascii="Times New Roman" w:hAnsi="Times New Roman"/>
          <w:sz w:val="20"/>
        </w:rPr>
        <w:t xml:space="preserve">(o) The statistical and market-related data included in the Offering Memorandum are based on or derived from sources which the Companies believe to be reliable and accurate in all material respects. </w:t>
      </w:r>
    </w:p>
    <w:p>
      <w:pPr>
        <w:pStyle w:val="TextBody"/>
        <w:bidi w:val="0"/>
        <w:spacing w:before="120" w:after="0"/>
        <w:jc w:val="left"/>
        <w:rPr>
          <w:rFonts w:ascii="Times New Roman" w:hAnsi="Times New Roman"/>
          <w:sz w:val="20"/>
        </w:rPr>
      </w:pPr>
      <w:r>
        <w:rPr>
          <w:rFonts w:ascii="Times New Roman" w:hAnsi="Times New Roman"/>
          <w:sz w:val="20"/>
        </w:rPr>
        <w:t>(p) There are no contracts, agreements or other documents or pending legal or governmental proceedings to which any of the Companies or their respective subsidiaries is a party or any property of any of the Companies or their respective subsidiaries is subject that would be required to be described in a prospectus under the Act that have not been described in the Offering Memorandum. The contracts, agreements and other documents so described in the Offering Memorandum are in full force and effect on the date of this Agreement. None of the Companies or their respective subsidiaries or, to the knowledge of any of the Companies, any other party is in breach of or default under any such contracts, agreements or other documents, other than a breach or default that would not reasonably be expected to have a material adverse effect on (i) the issue and sale of the Securities or the consummation of the other transactions contemplated by the Transaction Documents (including, without limitation the application of the proceeds from the issuance of the Securities) or (ii) the condition (financial or otherwise), prospects, earnings, business or properties of Holdings and its subsidiaries, taken as a whole, whether or not arising from transactions in the ordinary course of business (</w:t>
      </w:r>
      <w:r>
        <w:rPr>
          <w:rFonts w:ascii="Times New Roman" w:hAnsi="Times New Roman"/>
          <w:sz w:val="20"/>
          <w:u w:val="single"/>
        </w:rPr>
        <w:t>Material Adverse Effect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(q) Holdings and each of its subsidiaries have been duly organized and are validly existing as a corporation or other legal entity in good standing (to the extent that such concept exists under the laws of such jurisdiction) under the laws of the jurisdiction in which they are organized, with full corporate or other statutory power and authority to own or lease, as the case may be, and operate their properties and conduct their business as described in the Offering Memorandum. Holdings and each of its subsidiaries are duly qualified to do business as a foreign corporation or other legal entity and are in good standing under the laws of each jurisdiction which requires such qualification, except where the failure to do so qualify or be in good standing would not reasonably be expected to result in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 All the outstanding shares of capital stock of each subsidiary of Holdings have been duly and validly authorized and issued and are fully paid and, except as set forth in the Offering Memorandum, all outstanding shares of capital stock of such subsidiaries are owned by Holdings, either directly or through wholly-owned subsidiaries, free and clear of any perfected security interest or any other security interests, claims, liens or encumbrances, except for any such perfected security interests, or other security interests, claims, liens or encumbrances described in the Offering Memorandum or that would not reasonably be expected to result in a Material Adverse Effect or an Event of Default (as defined in the Indenture). </w:t>
      </w:r>
    </w:p>
    <w:p>
      <w:pPr>
        <w:pStyle w:val="TextBody"/>
        <w:bidi w:val="0"/>
        <w:spacing w:before="120" w:after="0"/>
        <w:jc w:val="left"/>
        <w:rPr>
          <w:rFonts w:ascii="Times New Roman" w:hAnsi="Times New Roman"/>
          <w:sz w:val="20"/>
        </w:rPr>
      </w:pPr>
      <w:r>
        <w:rPr>
          <w:rFonts w:ascii="Times New Roman" w:hAnsi="Times New Roman"/>
          <w:sz w:val="20"/>
        </w:rPr>
        <w:t xml:space="preserve">(s) Holdings capitalization is, on the basis stated in the Offering Memorandum, as set forth in the Actual column of the table set forth under the heading Capitalization in the Offering Memorandum. On the Closing Date, Holdings capitalization will be, on the basis stated in the Offering Memorandum, consistent in all material respects with the As Adjusted column of the table set forth under the heading Capitalization in the Offering Memorandum. </w:t>
      </w:r>
    </w:p>
    <w:p>
      <w:pPr>
        <w:pStyle w:val="TextBody"/>
        <w:bidi w:val="0"/>
        <w:spacing w:before="120" w:after="0"/>
        <w:jc w:val="left"/>
        <w:rPr>
          <w:rFonts w:ascii="Times New Roman" w:hAnsi="Times New Roman"/>
          <w:sz w:val="20"/>
        </w:rPr>
      </w:pPr>
      <w:r>
        <w:rPr>
          <w:rFonts w:ascii="Times New Roman" w:hAnsi="Times New Roman"/>
          <w:sz w:val="20"/>
        </w:rPr>
        <w:t xml:space="preserve">(t) This Agreement has been duly authorized, executed and delivered by each Company and, assuming the due authorization, execution and delivery thereof by the Initial Purchasers, will constitute the legal, valid and binding obligation of each Company, enforceable against such Company in accordance with its terms (except that the enforcement thereof may be subject to applicable bankruptcy, reorganization, insolvency, fraudulent conveyance, moratorium or other laws of general applicability affecting creditors rights generally from time to time in effect and to general principles of equity and the discretion of the court before which any proceeding therefor may be brought regardless of whether such enforcement is considered in a proceeding at law or in equity and except that any rights to indemnity and contribution further may be limited or prohibited by applicable laws and public policy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(u) [Reserved]. </w:t>
      </w:r>
    </w:p>
    <w:p>
      <w:pPr>
        <w:pStyle w:val="TextBody"/>
        <w:bidi w:val="0"/>
        <w:spacing w:before="120" w:after="0"/>
        <w:jc w:val="left"/>
        <w:rPr>
          <w:rFonts w:ascii="Times New Roman" w:hAnsi="Times New Roman"/>
          <w:sz w:val="20"/>
        </w:rPr>
      </w:pPr>
      <w:r>
        <w:rPr>
          <w:rFonts w:ascii="Times New Roman" w:hAnsi="Times New Roman"/>
          <w:sz w:val="20"/>
        </w:rPr>
        <w:t xml:space="preserve">(v) The Indenture has been duly authorized by each of the Companies and, assuming the due authorization, execution and delivery thereof by the Trustee, when executed and delivered by each of the Companies, will constitute the legal, valid and binding obligation of each of the Companies, enforceable against each of the Companies in accordance with its terms (except that the enforcement thereof may be subject to applicable bankruptcy, reorganization, insolvency, fraudulent conveyance, moratorium or other laws of general applicability affecting creditors rights generally from time to time in effect and to general principles of equity and the discretion of the court before which any proceeding therefor may be brought regardless of whether such enforcement is considered in a proceeding at law or in equity). The Indenture meets the requirements for qualification under the Trust Indenture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 [Reserved]. </w:t>
      </w:r>
    </w:p>
    <w:p>
      <w:pPr>
        <w:pStyle w:val="TextBody"/>
        <w:bidi w:val="0"/>
        <w:spacing w:before="120" w:after="0"/>
        <w:jc w:val="left"/>
        <w:rPr>
          <w:rFonts w:ascii="Times New Roman" w:hAnsi="Times New Roman"/>
          <w:sz w:val="20"/>
        </w:rPr>
      </w:pPr>
      <w:r>
        <w:rPr>
          <w:rFonts w:ascii="Times New Roman" w:hAnsi="Times New Roman"/>
          <w:sz w:val="20"/>
        </w:rPr>
        <w:t xml:space="preserve">(x) The Notes have been duly authorized by the Issuer and, when executed and authenticated in accordance with the provisions of the Indenture and delivered to and paid for by the Initial Purchasers in accordance with the terms hereof, will have been duly executed and delivered by the Issuer and will constitute the legal, valid and binding obligations of the Issuer, entitled to the benefits of the Indenture and enforceable against the Issuer in accordance with their terms (except that the enforcement thereof may be subject to applicable bankruptcy, reorganization, insolvency, fraudulent conveyance, moratorium or other laws of general applicability affecting creditors rights generally from time to time in effect and to general principles of equity and the discretion of the court before which any proceeding therefor may be brought regardless of whether such enforcement is considered in a proceeding at law or in equity). </w:t>
      </w:r>
    </w:p>
    <w:p>
      <w:pPr>
        <w:pStyle w:val="TextBody"/>
        <w:bidi w:val="0"/>
        <w:spacing w:before="120" w:after="0"/>
        <w:jc w:val="left"/>
        <w:rPr>
          <w:rFonts w:ascii="Times New Roman" w:hAnsi="Times New Roman"/>
          <w:sz w:val="20"/>
        </w:rPr>
      </w:pPr>
      <w:r>
        <w:rPr>
          <w:rFonts w:ascii="Times New Roman" w:hAnsi="Times New Roman"/>
          <w:sz w:val="20"/>
        </w:rPr>
        <w:t xml:space="preserve">(y) The Guarantees have been duly authorized by the Guarantors and, when the Notes have been executed in accordance with the provisions of the Indenture, will have been duly executed and delivered by the Guarantors and will constitute legal, valid and binding obligations of the Guarantors, entitled to the benefits of the Indenture and enforceable against the Guarantors in accordance with their terms (except that the enforcement thereof may be subject to applicable provisions of corporate law regarding the preservation of share capital and statutory reserves as well as bankruptcy, reorganization, insolvency, fraudulent conveyance, moratorium or other laws of general applicability affecting creditors rights generally from time to time in effect and to general principles of equity (and corresponding provisions under the laws applicable to the respective Guarantor) and the discretion of the court before which any proceeding therefor may be brought regardless of whether such enforcement is considered in a proceeding at law or in equity or as described in the Offering Memorandum). </w:t>
      </w:r>
    </w:p>
    <w:p>
      <w:pPr>
        <w:pStyle w:val="TextBody"/>
        <w:bidi w:val="0"/>
        <w:spacing w:before="120" w:after="0"/>
        <w:jc w:val="left"/>
        <w:rPr>
          <w:rFonts w:ascii="Times New Roman" w:hAnsi="Times New Roman"/>
          <w:sz w:val="20"/>
        </w:rPr>
      </w:pPr>
      <w:r>
        <w:rPr>
          <w:rFonts w:ascii="Times New Roman" w:hAnsi="Times New Roman"/>
          <w:sz w:val="20"/>
        </w:rPr>
        <w:t xml:space="preserve">(z) Each other Transaction Document has been duly authorized by each Company a party thereto and, assuming the due authorization, execution and delivery thereof by the other parties thereto, when executed and delivered by each such Company, will constitute the legal, valid and binding obligation of each such Company (each subject to the exclusions, exceptions and limitations provided therein), enforceable against each such Company in accordance with its terms (except that the enforcement thereof may be subject to applicable bankruptcy, reorganization, insolvency, fraudulent conveyance, moratorium or other laws of general applicability affecting creditors rights generally from time to time in effect and to general principles of equity and the discretion of the court before which any proceeding therefor may be brought regardless of whether such enforcement is considered in a proceeding at law or in equity and except that any rights to indemnity and contribution further may be limited or prohibited by Federal or state securities laws and public policy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(aa) The documents (or portions thereof) incorporated by reference in the Offering Memorandum when they became effective or were filed with the Commission, as the case may be, complied as to form in all material respects with the requirements of the Act or the Exchange Act, as applicable, and none of such documents contained an untrue statement of a material fact or omitted to state a material fact necessary to make the statements therein, in the light of the circumstances under which they were made, not misleading.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(bb) No consent, approval, authorization, filing with or order of any court or governmental agency or body is required in connection with the issue and sale of the Securities or the consummation of the transactions contemplated by any of the Transaction Documents, except such as may be required by the Luxembourg Stock Exchange or under the blue sky laws of any state in connection with the purchase and distribution of the Securities by the Initial Purchasers in the manner contemplated herein and in the Offering Memorandum, and except where the failure to obtain the same would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(cc) None of the execution and delivery by any of the Companies party thereto of any of the Transaction Documents, the issue and sale of the Securities, the consummation of the other transactions contemplated by the Transaction Documents (including, without limitation the application of the proceeds from the issuance of the Securities) will conflict with, result in a breach or violation or imposition of any lien, charge or encumbrance upon any property or assets of any of the Companies or their respective subsidiaries pursuant to (i) the organizational documents of Holdings or any of its subsidiaries; (ii) the terms of any indenture, contract, lease, mortgage, deed of trust, note agreement, loan agreement, credit agreement or other agreement, obligation, condition, covenant or instrument to which Holdings or any of its subsidiaries is a party or bound or to which any property or assets of Holdings or any of its subsidiaries is subject; or (iii) any statute, law, rule, regulation, judgment, order or decree applicable to Holdings or any of its subsidiaries or any property or assets of Holdings or any of its subsidiaries of any court, regulatory body, administrative agency, governmental body, arbitrator or other authority having jurisdiction over Holdings or any of its subsidiaries or property or assets of any of their respective subsidiaries, except, in the case of clauses (ii) and (iii) above, as would not reasonably be expected to have a Material Adverse Effect or to materially adversely affect the rights of the holders of the Securities or of the Initial Purchasers under the Transaction Documents. </w:t>
      </w:r>
    </w:p>
    <w:p>
      <w:pPr>
        <w:pStyle w:val="TextBody"/>
        <w:bidi w:val="0"/>
        <w:spacing w:before="120" w:after="0"/>
        <w:jc w:val="left"/>
        <w:rPr>
          <w:rFonts w:ascii="Times New Roman" w:hAnsi="Times New Roman"/>
          <w:sz w:val="20"/>
        </w:rPr>
      </w:pPr>
      <w:r>
        <w:rPr>
          <w:rFonts w:ascii="Times New Roman" w:hAnsi="Times New Roman"/>
          <w:sz w:val="20"/>
        </w:rPr>
        <w:t xml:space="preserve">(dd) The consolidated historical financial statements and schedules of Holdings and its consolidated subsidiaries included in the Offering Memorandum present fairly in all material respects the financial condition, results of operations and cash flows of Holdings and its consolidated subsidiaries as of the dates and for the periods indicated, comply as to form in all material respects with the applicable requirements of the Act and have been prepared in conformity with generally accepted accounting principles applied on a consistent basis throughout the periods involved (except as otherwise noted therein). The financial data set forth under the caption SummarySummary Historical Financial Data in the Offering Memorandum fairly present, on the basis stated in the Offering Memorandum, the information included therein. The adjusted financial data included in the Offering Memorandum include assumptions that provide a reasonable basis for presenting the significant effects directly attributable to the transactions and events described therein, the related adjustments give appropriate effect to those assumptions, and the adjustments reflect the proper application of those adjustments to the historical amounts in the adjusted financial data included in the Offering Memorandum.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(ee) Other than as set forth in the Offering Memorandum, no action, suit or proceeding by or before any court or governmental agency, authority or body or any arbitrator involving Holdings or any of its subsidiaries or any property or assets of Holdings or any of its subsidiaries is pending or, to the knowledge of Holdings, threatened that would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(ff) Holdings and each of its subsidiaries own or lease all such properties as are necessary to the conduct of their operations as presently conducted. Holdings and each of its subsidiaries have good and marketable title to, or valid leasehold interests in, or easements or other limited property interests in, or are licensed to use, all their material properties and assets, except for minor defects that do not interfere with their ability to conduct their business as currently conducted or utilize such properties and assets for their intended purposes, and except where failure to have such title, leasehold interests, easements or other limited property interests or licenses to use, in the aggregate, would not reasonably be expected to have a Material Adverse Effect. All material properties and assets of Holdings and each of its subsidiaries are free and clear of all liens, charges, encumbrances or restrictions, except for Permitted Liens (as defined in the Indenture) and as described in the Offering Memorandum. Each of the Companies and their respective subsidiaries has good and marketable title to all personal property it purports to own, except as described in the Offering Memorandum. </w:t>
      </w:r>
    </w:p>
    <w:p>
      <w:pPr>
        <w:pStyle w:val="TextBody"/>
        <w:bidi w:val="0"/>
        <w:spacing w:before="120" w:after="0"/>
        <w:jc w:val="left"/>
        <w:rPr>
          <w:rFonts w:ascii="Times New Roman" w:hAnsi="Times New Roman"/>
          <w:sz w:val="20"/>
        </w:rPr>
      </w:pPr>
      <w:r>
        <w:rPr>
          <w:rFonts w:ascii="Times New Roman" w:hAnsi="Times New Roman"/>
          <w:sz w:val="20"/>
        </w:rPr>
        <w:t xml:space="preserve">(gg) Neither Holdings nor any of its subsidiaries is in violation or default of (i) any provision of its organizational documents; (ii) the terms of any indenture, contract, lease, mortgage, deed of trust, note agreement, loan agreement, credit agreement or other agreement, obligation, condition, covenant or instrument to which it is a party or bound or to which its property or assets is subject; or (iii) any statute, law, rule, regulation, judgment, order or decree applicable to it or any of its subsidiaries of any court, regulatory body, administrative agency, governmental body, arbitrator or other authority having jurisdiction over it or any such subsidiaries or any of their respective property or assets, except, in the case of clauses (ii) and (iii) above, for any such violation or default which would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(hh) PricewaterhouseCoopers LLP, who have certified certain financial statements of Holdings and its consolidated subsidiaries and delivered their report with respect to the audited consolidated financial statements and schedules included in the Offering Memorandum, are independent public accountants with respect to Holdings within the meaning of the Act and the Exchange Act and the related published rules and regulations thereunder. </w:t>
      </w:r>
    </w:p>
    <w:p>
      <w:pPr>
        <w:pStyle w:val="TextBody"/>
        <w:bidi w:val="0"/>
        <w:spacing w:before="120" w:after="0"/>
        <w:jc w:val="left"/>
        <w:rPr>
          <w:rFonts w:ascii="Times New Roman" w:hAnsi="Times New Roman"/>
          <w:sz w:val="20"/>
        </w:rPr>
      </w:pPr>
      <w:r>
        <w:rPr>
          <w:rFonts w:ascii="Times New Roman" w:hAnsi="Times New Roman"/>
          <w:sz w:val="20"/>
        </w:rPr>
        <w:t xml:space="preserve">(ii) [Reserved]. </w:t>
      </w:r>
    </w:p>
    <w:p>
      <w:pPr>
        <w:pStyle w:val="TextBody"/>
        <w:bidi w:val="0"/>
        <w:spacing w:before="120" w:after="0"/>
        <w:jc w:val="left"/>
        <w:rPr>
          <w:rFonts w:ascii="Times New Roman" w:hAnsi="Times New Roman"/>
          <w:sz w:val="20"/>
        </w:rPr>
      </w:pPr>
      <w:r>
        <w:rPr>
          <w:rFonts w:ascii="Times New Roman" w:hAnsi="Times New Roman"/>
          <w:sz w:val="20"/>
        </w:rPr>
        <w:t xml:space="preserve">(jj) Holdings and each of its subsidiaries have timely filed all foreign, federal, state and local tax returns (or the equivalents thereof) that are required to be filed or have requested extensions thereof, except in any case in which the failure so to file would not reasonably be expected to have a Material Adverse Effect. Holdings and each of its subsidiaries have timely paid all taxes required to be paid by them whether or not shown in such returns (including withholding taxes) and any other assessment, fine or penalty levied against them, or to the extent that any of the foregoing is due and payable, except for any such assessment, fine or penalty that is being contested in good faith or as would not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(kk) No labor problem or dispute with the employees of Holdings or any of its subsidiaries exists or, to the knowledge of the Companies, is threatened or imminent, and there is no existing or imminent labor disturbance or collective bargaining activities by the employees of Holdings or any of its subsidiaries or, to the knowledge of any of the Companies, by the employees of any of the principal suppliers, contractors or customers of Holdings or any of its subsidiaries, in each case, that would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(ll) Holdings and each of its subsidiaries are insured by insurers of recognized financial responsibility against such losses and risks and in such amounts as are prudent and customary in the businesses in which they are engaged, except, in each case, as disclosed in the Offering Memorandum or to the extent that such lack of insurance would not reasonably be expected to have a Material Adverse Effect. All policies of insurance and fidelity or surety bonds insuring Holdings or any of its subsidiaries or the businesses, assets, employees, officers and directors of Holdings or any of its subsidiaries are in full force and effect other than any policies of insurance and fidelity or surety bonds that, if not in full force and effect, would not reasonably be expected to have a Material Adverse Effect. Holdings and each of its subsidiaries are in compliance with the terms of such policies and instruments in all material respects. There are no claims by Holdings or any of its subsidiaries under any such policy or instrument as to which any insurance company is denying liability or defending under a reservation of rights clause, except for such claims which, if successfully denied, would not reasonably be expected to have a Material Adverse Effect. Neither Holdings nor any of its subsidiaries has been refused any insurance coverage sought or applied for. Neither Holdings nor any of its subsidiaries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(mm) No subsidiary of Holdings is prohibited, directly or indirectly, from paying any dividends on such subsidiarys capital stock, from making any other distribution on such subsidiarys capital stock, from repaying to Holdings or any other subsidiary of Holdings, any loans or advances to such subsidiary from Holdings or such other subsidiary or from transferring any of such subsidiarys property or assets to Holdings or any other subsidiary of Holdings, except as described in or contemplated by the Offering Memorandum (exclusive of any amendment or supplement thereto). </w:t>
      </w:r>
    </w:p>
    <w:p>
      <w:pPr>
        <w:pStyle w:val="TextBody"/>
        <w:bidi w:val="0"/>
        <w:spacing w:before="120" w:after="0"/>
        <w:jc w:val="left"/>
        <w:rPr>
          <w:rFonts w:ascii="Times New Roman" w:hAnsi="Times New Roman"/>
          <w:sz w:val="20"/>
        </w:rPr>
      </w:pPr>
      <w:r>
        <w:rPr>
          <w:rFonts w:ascii="Times New Roman" w:hAnsi="Times New Roman"/>
          <w:sz w:val="20"/>
        </w:rPr>
        <w:t xml:space="preserve">(nn) Holdings and each of its subsidiaries own or possess adequate licenses or other rights to use all patents, trademarks, service marks, trade names, copyrights and know-how that are necessary to conduct their respective businesses as described in the Offering Memorandum, except where the failure to own or possess such licenses or other rights to use such patents, trademarks, service marks, trade names, copyrights and know-how would not reasonably be expected to have a Material Adverse Effect. Neither Holdings nor any of its subsidiaries has received in the last three years, any notice of infringement of or conflict with (or knows of any such infringement of or conflict with) asserted rights of others with respect to any patents, trademarks, service marks, trade names, copyrights or know-how that, if such assertion of infringement or conflict were sustained, could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(oo) Holdings and each of its subsidiaries possess all licenses, certificates, permits and other authorizations issued by the appropriate federal, state or foreign regulatory authorities necessary to conduct their respective businesses as currently conducted, except where the failure to possess such licenses, certificates, permits or other authorizations would not reasonably be expected to have a Material Adverse Effect, and neither Holdings nor any of its subsidiaries has received any notice of proceedings relating to the revocation or modification of any such certificate, authorization or permit which, singly or in the aggregate, if the subject of an unfavorable decision, ruling or finding, would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(pp) Holdings and each of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Holdings and each of its subsidiaries maintain systems of internal control over financial reporting (as defined in Rule 13a-15(f) of the Exchange Act) that comply with the requirements of the Exchange Act and have been designed by, or under the supervision of, management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0"/>
        <w:jc w:val="left"/>
        <w:rPr>
          <w:rFonts w:ascii="Times New Roman" w:hAnsi="Times New Roman"/>
          <w:sz w:val="20"/>
        </w:rPr>
      </w:pPr>
      <w:r>
        <w:rPr>
          <w:rFonts w:ascii="Times New Roman" w:hAnsi="Times New Roman"/>
          <w:sz w:val="20"/>
        </w:rPr>
        <w:t>(qq) (i) Holdings and each of its subsidiaries are in compliance in all material respects with any and all applicable foreign, federal, state and local laws and regulations and rules of common law relating to pollution or the protection of the environment, natural resources or occupational health and safety, including without limitation those relating to the release or threat of release of Hazardous Materials (</w:t>
      </w:r>
      <w:r>
        <w:rPr>
          <w:rFonts w:ascii="Times New Roman" w:hAnsi="Times New Roman"/>
          <w:sz w:val="20"/>
          <w:u w:val="single"/>
        </w:rPr>
        <w:t>Environmental Laws</w:t>
      </w:r>
      <w:r>
        <w:rPr>
          <w:rFonts w:ascii="Times New Roman" w:hAnsi="Times New Roman"/>
          <w:sz w:val="20"/>
        </w:rPr>
        <w:t xml:space="preserve">); (ii) Holdings and each of its subsidiaries have received and are in compliance in all material respects with all permits, licenses or other approvals required of it under applicable Environmental Laws to conduct their businesses as currently conducted; (iii) neither Holdings nor any of its subsidiaries has received written notice of any actual or potential liability for the investigation or remediation of any Hazardous Materials; (iv) there is no civil, criminal or administrative action, suit, demand, claim, hearing, notice of violation, investigation, proceeding, notice or demand letter or request for information pending or, to the knowledge of any of the Companies, threatened against Holdings or any of its subsidiaries under any Environmental Law; (v) no lien, charge, encumbrance or restriction has been recorded under any Environmental Law with respect to any assets, facility or property owned, operated, leased or controlled by Holdings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any of its subsidiaries; (vi) neither Holdings nor any of its subsidiaries is subject to any order, decree, consent, settlement or agreement requiring, or is otherwise obligated or required to perform, any response or corrective action relating to any Hazardous Materials; (vii) neither Holdings nor any of its subsidiaries has received written notice that it has been identified as a potentially responsible party under the Comprehensive Environmental Response, Compensation and Liability Act of 1980, as amended (</w:t>
      </w:r>
      <w:r>
        <w:rPr>
          <w:rFonts w:ascii="Times New Roman" w:hAnsi="Times New Roman"/>
          <w:sz w:val="20"/>
          <w:u w:val="single"/>
        </w:rPr>
        <w:t>CERCLA</w:t>
      </w:r>
      <w:r>
        <w:rPr>
          <w:rFonts w:ascii="Times New Roman" w:hAnsi="Times New Roman"/>
          <w:sz w:val="20"/>
        </w:rPr>
        <w:t>), or any comparable state or foreign law; (viii) no property or facility of Holdings or any of its subsidiaries is (x) listed or, to the knowledge of the Companies, proposed for listing on the National Priorities List under CERCLA or (y) listed in the Comprehensive Environmental Response, Compensation and Liability Information System List promulgated pursuant to CERCLA, or on any comparable list maintained by any governmental authority; and (ix) there are no past or present actions, events, operations or activities which would reasonably be expected to prevent or interfere with compliance by Holdings or any of its subsidiaries with any applicable Environmental Law or result in liability (including, without limitation, fines or penalties) under any applicable Environmental Law, except, in the case of each of clauses (i) through (ix) above, as (A) described in the Offering Memorandum (exclusive of any amendment or supplement thereto) or (B) would not reasonably be expected, individually or in the aggregate, to have a Material Adverse Effect. </w:t>
      </w:r>
      <w:r>
        <w:rPr>
          <w:rFonts w:ascii="Times New Roman" w:hAnsi="Times New Roman"/>
          <w:sz w:val="20"/>
          <w:u w:val="single"/>
        </w:rPr>
        <w:t>Hazardous Materials</w:t>
      </w:r>
      <w:r>
        <w:rPr>
          <w:rFonts w:ascii="Times New Roman" w:hAnsi="Times New Roman"/>
          <w:sz w:val="20"/>
        </w:rPr>
        <w:t xml:space="preserve"> means any hazardous or toxic substance, chemical, material, pollutant, waste, contaminant or constituent, which is subject to regulation under or could give rise to liability under any Environmental Law. </w:t>
      </w:r>
    </w:p>
    <w:p>
      <w:pPr>
        <w:pStyle w:val="TextBody"/>
        <w:bidi w:val="0"/>
        <w:spacing w:before="120" w:after="0"/>
        <w:jc w:val="left"/>
        <w:rPr>
          <w:rFonts w:ascii="Times New Roman" w:hAnsi="Times New Roman"/>
          <w:sz w:val="20"/>
        </w:rPr>
      </w:pPr>
      <w:r>
        <w:rPr>
          <w:rFonts w:ascii="Times New Roman" w:hAnsi="Times New Roman"/>
          <w:sz w:val="20"/>
        </w:rPr>
        <w:t xml:space="preserve">(rr) In the ordinary course of its business, Holdings periodically reviews the effect of Environmental Laws on the business, operations and properties of Holdings and its subsidiaries in the course of which it seeks to identify and evaluate associated costs and liabilities. On the basis of such review, and except as described in the Offering Memorandum, Holdings does not reasonably expect that such associated costs and liabilities would, singly or in the aggregate, have a Material Adverse Effect. </w:t>
      </w:r>
    </w:p>
    <w:p>
      <w:pPr>
        <w:pStyle w:val="TextBody"/>
        <w:bidi w:val="0"/>
        <w:spacing w:before="120" w:after="0"/>
        <w:jc w:val="left"/>
        <w:rPr>
          <w:rFonts w:ascii="Times New Roman" w:hAnsi="Times New Roman"/>
          <w:sz w:val="20"/>
        </w:rPr>
      </w:pPr>
      <w:r>
        <w:rPr>
          <w:rFonts w:ascii="Times New Roman" w:hAnsi="Times New Roman"/>
          <w:sz w:val="20"/>
        </w:rPr>
        <w:t>(ss) Holdings and each of its subsidiaries have fulfilled their obligations, if any, under the minimum funding standards of Section 302 of the United States Employee Retirement Income Security Act of 1974, as amended (</w:t>
      </w:r>
      <w:r>
        <w:rPr>
          <w:rFonts w:ascii="Times New Roman" w:hAnsi="Times New Roman"/>
          <w:sz w:val="20"/>
          <w:u w:val="single"/>
        </w:rPr>
        <w:t>ERISA</w:t>
      </w:r>
      <w:r>
        <w:rPr>
          <w:rFonts w:ascii="Times New Roman" w:hAnsi="Times New Roman"/>
          <w:sz w:val="20"/>
        </w:rPr>
        <w:t xml:space="preserve">), and the regulations and published interpretations thereunder with respect to each plan (as defined in Section 3(3) of ERISA and such regulations and published interpretations) in which employees of any of the Companies or their respective subsidiaries are eligible to participate, and each such plan is, and on the Closing Date will be, in compliance in all material respects with the presently applicable provisions of ERISA and such regulations and published interpretations. Neither Holdings nor any of its subsidiaries has incurred any unpaid liability to the Pension Benefit Guaranty Corporation (other than for the payment of premiums in the ordinary course) under Title IV of ERISA. </w:t>
      </w:r>
    </w:p>
    <w:p>
      <w:pPr>
        <w:pStyle w:val="TextBody"/>
        <w:bidi w:val="0"/>
        <w:spacing w:before="120" w:after="0"/>
        <w:jc w:val="left"/>
        <w:rPr>
          <w:rFonts w:ascii="Times New Roman" w:hAnsi="Times New Roman"/>
          <w:sz w:val="20"/>
        </w:rPr>
      </w:pPr>
      <w:r>
        <w:rPr>
          <w:rFonts w:ascii="Times New Roman" w:hAnsi="Times New Roman"/>
          <w:sz w:val="20"/>
        </w:rPr>
        <w:t xml:space="preserve">(tt) None of the Companies, any of their respective Affiliates or any director, officer, agent or employee of any of the Companies or their respective Affiliates has (i) used any corporate funds for any unlawful contribution, gift, entertainment or other unlawful expense relating to political activity; (ii) made any direct or indirect unlawful payment to any foreign or domestic government official or employee from corporate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funds; (iii) violated any provision of the Foreign Corrupt Practices Act of 1977; (iv) violated or is in violation of any provision of the Bribery Act 2010 of the United Kingdom or of any other applicable European Union or local law regulating payments to any government official or employee or (v) made any bribe, rebate, payoff, influence payment, kickback or other unlawful payment. Holdings and its subsidiaries have instituted and will maintain and enforce, policies and procedures designed to ensure compliance by Holdings and its subsidiaries with all applicable anti-bribery and anti-corruption laws. </w:t>
      </w:r>
    </w:p>
    <w:p>
      <w:pPr>
        <w:pStyle w:val="TextBody"/>
        <w:bidi w:val="0"/>
        <w:spacing w:before="120" w:after="0"/>
        <w:jc w:val="left"/>
        <w:rPr>
          <w:rFonts w:ascii="Times New Roman" w:hAnsi="Times New Roman"/>
          <w:sz w:val="20"/>
        </w:rPr>
      </w:pPr>
      <w:r>
        <w:rPr>
          <w:rFonts w:ascii="Times New Roman" w:hAnsi="Times New Roman"/>
          <w:sz w:val="20"/>
        </w:rPr>
        <w:t>(uu) The operations of Holdings and its subsidiaries are and have been conducted at all times in compliance with applicable financial recordkeeping and reporting requirements (including, but not limited to, the Currency and Foreign Transactions Reporting Act of 1970, as amended) and the money laundering statutes of all jurisdictions that apply to Holdings and its subsidiaries, the rules and regulations thereunder, and any related or similar rules, regulations or guidelines, issued administered or enforced by any relevant governmental agency (collectively, the </w:t>
      </w:r>
      <w:r>
        <w:rPr>
          <w:rFonts w:ascii="Times New Roman" w:hAnsi="Times New Roman"/>
          <w:sz w:val="20"/>
          <w:u w:val="single"/>
        </w:rPr>
        <w:t>Money Laundering Laws</w:t>
      </w:r>
      <w:r>
        <w:rPr>
          <w:rFonts w:ascii="Times New Roman" w:hAnsi="Times New Roman"/>
          <w:sz w:val="20"/>
        </w:rPr>
        <w:t xml:space="preserve">), and no material action, suit or proceeding by or before any court or governmental agency, authority or body or any arbitrator involving Holdings or any of its subsidiaries with respect to the Money Laundering Laws is pending or, to the knowledge of Holdings, threatened. </w:t>
      </w:r>
    </w:p>
    <w:p>
      <w:pPr>
        <w:pStyle w:val="TextBody"/>
        <w:bidi w:val="0"/>
        <w:spacing w:before="120" w:after="0"/>
        <w:jc w:val="left"/>
        <w:rPr>
          <w:rFonts w:ascii="Times New Roman" w:hAnsi="Times New Roman"/>
          <w:sz w:val="20"/>
        </w:rPr>
      </w:pPr>
      <w:r>
        <w:rPr>
          <w:rFonts w:ascii="Times New Roman" w:hAnsi="Times New Roman"/>
          <w:sz w:val="20"/>
        </w:rPr>
        <w:t>(vv) None of Holdings or any of its subsidiaries or, to the knowledge of the Companies, any of their respective Affiliates, any director, officer, agent or employee of Holdings or any of its subsidiaries is or has been in violation of any applicable economic or trade sanctions or laws relating to money laundering, unlawful financial activities or unlawful use or appropriation of corporate funds, including those administered by the Office of Foreign Assets Control of the U.S. Department of Treasury, European Union (including, without limitation, economic sanctions imposed against certain states, organizations and individuals under the European Unions Common Foreign &amp; Security Policy), the United Nations Security Council, His Majestys Treasury, France, or other relevant sanctions authority (collectively, </w:t>
      </w:r>
      <w:r>
        <w:rPr>
          <w:rFonts w:ascii="Times New Roman" w:hAnsi="Times New Roman"/>
          <w:sz w:val="20"/>
          <w:u w:val="single"/>
        </w:rPr>
        <w:t>Sanctions</w:t>
      </w:r>
      <w:r>
        <w:rPr>
          <w:rFonts w:ascii="Times New Roman" w:hAnsi="Times New Roman"/>
          <w:sz w:val="20"/>
        </w:rPr>
        <w:t>) or is the subject or the target of Sanctions or owned 50% or more by or otherwise controlled by or acting on behalf of one or more persons or entities that are the subject to Sanctions or located, organized or resident in a country or territory that is the subject to Sanctions (especially, but not limited to Cuba, Iran, Syria, North Korea, the Crimea Region of Ukraine, the non-government controlled areas of the Kherson and Zaporizhzhia regions of Ukraine, the self-proclaimed Donetsk Peoples Republic (DNR) and the self-proclaimed Luhansk Peoples Republic, each a </w:t>
      </w:r>
      <w:r>
        <w:rPr>
          <w:rFonts w:ascii="Times New Roman" w:hAnsi="Times New Roman"/>
          <w:sz w:val="20"/>
          <w:u w:val="single"/>
        </w:rPr>
        <w:t>Sanctioned Country</w:t>
      </w:r>
      <w:r>
        <w:rPr>
          <w:rFonts w:ascii="Times New Roman" w:hAnsi="Times New Roman"/>
          <w:sz w:val="20"/>
        </w:rPr>
        <w:t xml:space="preserve">); the Issuer agrees that it will not directly or indirectly use the proceeds of the offering and sale of the Securities, or lend, contribute or otherwise make available such proceeds to any person or entity, or any subsidiary, joint venture partner or sub-division of such other person or entity, for the purpose of financing or facilitating the activities of any person or entity then subject to Sanctions or in a Sanctioned Country. With regard to BNP Paribas, Banco Santander, S.A., Wells Fargo Securities Europe S.A., Coöperatieve Rabobank U.A., ING Bank N.V., SMBC Bank EU AG, UniCredit Bank AG, Scotiabank (Ireland) Designated Activity Company, MUFG Securities (Europe) N.V. and Mizuho Securities Europe GmbH, the representations in this paragraph (vv) shall not apply if and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extent that the expression of, or compliance with, or receipt or acceptance of, such representation would breach any provision of (i) Council Regulation (EC) No. 2271/96, as amended from time to time (the EU Blocking Regulation), or any law or regulation implementing the EU Blocking Regulation in any member state of the European Union; or (ii) any other applicable and similar anti-boycott law, instrument or regulation in the United Kingdom; or (iii) solely to the extent such regulation applies to the applicable Initial Purchasers, Section 7 of the German Foreign Trade Regulation (</w:t>
      </w:r>
      <w:r>
        <w:rPr>
          <w:rFonts w:ascii="Times New Roman" w:hAnsi="Times New Roman"/>
          <w:i/>
          <w:sz w:val="20"/>
        </w:rPr>
        <w:t>Außenwirtschaftsverordnung</w:t>
      </w:r>
      <w:r>
        <w:rPr>
          <w:rFonts w:ascii="Times New Roman" w:hAnsi="Times New Roman"/>
          <w:sz w:val="20"/>
        </w:rPr>
        <w:t xml:space="preserve">) or any similar applicable anti-boycott law or regulation. </w:t>
      </w:r>
    </w:p>
    <w:p>
      <w:pPr>
        <w:pStyle w:val="TextBody"/>
        <w:bidi w:val="0"/>
        <w:spacing w:before="120" w:after="0"/>
        <w:jc w:val="left"/>
        <w:rPr>
          <w:rFonts w:ascii="Times New Roman" w:hAnsi="Times New Roman"/>
          <w:sz w:val="20"/>
        </w:rPr>
      </w:pPr>
      <w:r>
        <w:rPr>
          <w:rFonts w:ascii="Times New Roman" w:hAnsi="Times New Roman"/>
          <w:sz w:val="20"/>
        </w:rPr>
        <w:t xml:space="preserve">(ww) The issue of the Notes by the Issuer and the Guarantees by the Guarantors (subject to the exclusions and limitations set forth therein and in the Indenture) will not result in a breach of any provisions relating to financial assistance, principles of corporate benefit or any similar law or regulation of the jurisdictions applicable to them, which could affect the enforceability of the Notes or the Guarantees; </w:t>
      </w:r>
    </w:p>
    <w:p>
      <w:pPr>
        <w:pStyle w:val="TextBody"/>
        <w:bidi w:val="0"/>
        <w:spacing w:before="120" w:after="0"/>
        <w:jc w:val="left"/>
        <w:rPr>
          <w:rFonts w:ascii="Times New Roman" w:hAnsi="Times New Roman"/>
          <w:sz w:val="20"/>
        </w:rPr>
      </w:pPr>
      <w:r>
        <w:rPr>
          <w:rFonts w:ascii="Times New Roman" w:hAnsi="Times New Roman"/>
          <w:sz w:val="20"/>
        </w:rPr>
        <w:t>(xx) None of Holdings, its subsidiaries or, to the knowledge of Holdings, any director, officer, agent, employee or Affiliate of Holdings or any of its subsidiaries has distributed or, prior to the later to occur of (i) the Closing Date and (ii) the completion of the distribution of the Notes, will distribute any material referring to the offering and sale of the Notes other than the Preliminary Memorandum, the Pricing Disclosure Package or the Final Memorandum or other materials, if any, permitted by the Act and the U.K. Financial Services and Markets Act 2000 (the </w:t>
      </w:r>
      <w:r>
        <w:rPr>
          <w:rFonts w:ascii="Times New Roman" w:hAnsi="Times New Roman"/>
          <w:sz w:val="20"/>
          <w:u w:val="single"/>
        </w:rPr>
        <w:t>FSMA</w:t>
      </w:r>
      <w:r>
        <w:rPr>
          <w:rFonts w:ascii="Times New Roman" w:hAnsi="Times New Roman"/>
          <w:sz w:val="20"/>
        </w:rPr>
        <w:t xml:space="preserve">) (or regulations or legislation promulgated pursuant to the Act or the FSMA) or required to be distributed by the Luxembourg Stock Exchange. </w:t>
      </w:r>
    </w:p>
    <w:p>
      <w:pPr>
        <w:pStyle w:val="TextBody"/>
        <w:bidi w:val="0"/>
        <w:spacing w:before="120" w:after="0"/>
        <w:jc w:val="left"/>
        <w:rPr>
          <w:rFonts w:ascii="Times New Roman" w:hAnsi="Times New Roman"/>
          <w:sz w:val="20"/>
        </w:rPr>
      </w:pPr>
      <w:r>
        <w:rPr>
          <w:rFonts w:ascii="Times New Roman" w:hAnsi="Times New Roman"/>
          <w:sz w:val="20"/>
        </w:rPr>
        <w:t>(yy) Except as disclosed in the Offering Memorandum, and subject to the limitations described therein, no income, stamp or other taxes or levies, imposts, deductions, charges, compulsory loans or withholdings whatsoever (collectively, </w:t>
      </w:r>
      <w:r>
        <w:rPr>
          <w:rFonts w:ascii="Times New Roman" w:hAnsi="Times New Roman"/>
          <w:sz w:val="20"/>
          <w:u w:val="single"/>
        </w:rPr>
        <w:t>Taxes</w:t>
      </w:r>
      <w:r>
        <w:rPr>
          <w:rFonts w:ascii="Times New Roman" w:hAnsi="Times New Roman"/>
          <w:sz w:val="20"/>
        </w:rPr>
        <w:t>) are or will be, under applicable law in France, the United States or any other jurisdiction of incorporation, organization, formation, tax residency or place of business, as the case may be, of the Companies, or a jurisdiction in which any Company has a paying agent (for the avoidance of doubt, such paying agent not to include any Guarantor) with respect to the Notes, or any political subdivision thereof or therein (each, a </w:t>
      </w:r>
      <w:r>
        <w:rPr>
          <w:rFonts w:ascii="Times New Roman" w:hAnsi="Times New Roman"/>
          <w:sz w:val="20"/>
          <w:u w:val="single"/>
        </w:rPr>
        <w:t>Taxing Jurisdiction</w:t>
      </w:r>
      <w:r>
        <w:rPr>
          <w:rFonts w:ascii="Times New Roman" w:hAnsi="Times New Roman"/>
          <w:sz w:val="20"/>
        </w:rPr>
        <w:t xml:space="preserve">), imposed on, assessed against, levied against or collected with respect to any holder of the Notes by any such Taxing Jurisdiction on or in respect of principal, interest, premiums and penalties or other amounts payable under the Securities, or on account of the issue and sale, by the Companies or the execution, delivery or performance of this Agreement, the Indenture or any payments hereunder or thereunder, except for Taxes of a holder of the Notes levied, imposed, deducted, charged, compulsorily lent or withheld by any jurisdiction where such holder is incorporated, organized, formed or tax resident. </w:t>
      </w:r>
    </w:p>
    <w:p>
      <w:pPr>
        <w:pStyle w:val="TextBody"/>
        <w:bidi w:val="0"/>
        <w:spacing w:before="120" w:after="0"/>
        <w:jc w:val="left"/>
        <w:rPr>
          <w:rFonts w:ascii="Times New Roman" w:hAnsi="Times New Roman"/>
          <w:sz w:val="20"/>
        </w:rPr>
      </w:pPr>
      <w:r>
        <w:rPr>
          <w:rFonts w:ascii="Times New Roman" w:hAnsi="Times New Roman"/>
          <w:sz w:val="20"/>
        </w:rPr>
        <w:t xml:space="preserve">(zz) None of the Companies or any property or assets of any of the Companies has any immunity from jurisdiction of any court or from any legal process.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(aaa) After giving effect to savings clauses in the Indenture and the Guarantees that limit the liability of the Guarantors in certain cases to the extent provided therein, the fair value and present fair saleable value of the assets of each of the Companies and their respective subsidiaries exceeds, and immediately after the consummation of the issue and sale of the Securities and the consummation of the other transactions contemplated by the Transaction Documents will exceed, the sum of its stated liabilities and identified contingent liabilities. After giving effect to savings clauses in the Indenture and the Guarantees that limit the liability of the Guarantors in certain cases to the extent provided therein, none of the Companies or their respective subsidiaries is, and immediately after the consummation of the issue and sale of the Securities and the consummation of the other transactions contemplated by the Transaction Documents none of them will be, (x) left with unreasonably small capital with which to carry on its business as it is proposed to be conducted, (y) unable to pay its debts (contingent or otherwise) as they mature or (z) otherwise insolvent. </w:t>
      </w:r>
    </w:p>
    <w:p>
      <w:pPr>
        <w:pStyle w:val="TextBody"/>
        <w:bidi w:val="0"/>
        <w:spacing w:before="120" w:after="0"/>
        <w:jc w:val="left"/>
        <w:rPr>
          <w:rFonts w:ascii="Times New Roman" w:hAnsi="Times New Roman"/>
          <w:sz w:val="20"/>
        </w:rPr>
      </w:pPr>
      <w:r>
        <w:rPr>
          <w:rFonts w:ascii="Times New Roman" w:hAnsi="Times New Roman"/>
          <w:sz w:val="20"/>
        </w:rPr>
        <w:t xml:space="preserve">(bbb) None of the French subsidiaries of Holdings nor any of the Companies has applied, or will apply, for until the Closing Date or is or will be at the Closing Date subject to: </w:t>
      </w:r>
    </w:p>
    <w:p>
      <w:pPr>
        <w:pStyle w:val="TextBody"/>
        <w:bidi w:val="0"/>
        <w:spacing w:before="120" w:after="0"/>
        <w:jc w:val="left"/>
        <w:rPr>
          <w:rFonts w:ascii="Times New Roman" w:hAnsi="Times New Roman"/>
          <w:sz w:val="20"/>
        </w:rPr>
      </w:pPr>
      <w:r>
        <w:rPr>
          <w:rFonts w:ascii="Times New Roman" w:hAnsi="Times New Roman"/>
          <w:sz w:val="20"/>
        </w:rPr>
        <w:t xml:space="preserve">(i) a </w:t>
      </w:r>
      <w:r>
        <w:rPr>
          <w:rFonts w:ascii="Times New Roman" w:hAnsi="Times New Roman"/>
          <w:i/>
          <w:sz w:val="20"/>
        </w:rPr>
        <w:t>mandat</w:t>
      </w:r>
      <w:r>
        <w:rPr>
          <w:rFonts w:ascii="Times New Roman" w:hAnsi="Times New Roman"/>
          <w:sz w:val="20"/>
        </w:rPr>
        <w:t xml:space="preserve"> </w:t>
      </w:r>
      <w:r>
        <w:rPr>
          <w:rFonts w:ascii="Times New Roman" w:hAnsi="Times New Roman"/>
          <w:i/>
          <w:sz w:val="20"/>
        </w:rPr>
        <w:t>ad</w:t>
      </w:r>
      <w:r>
        <w:rPr>
          <w:rFonts w:ascii="Times New Roman" w:hAnsi="Times New Roman"/>
          <w:sz w:val="20"/>
        </w:rPr>
        <w:t xml:space="preserve"> </w:t>
      </w:r>
      <w:r>
        <w:rPr>
          <w:rFonts w:ascii="Times New Roman" w:hAnsi="Times New Roman"/>
          <w:i/>
          <w:sz w:val="20"/>
        </w:rPr>
        <w:t>hoc proceedings</w:t>
      </w:r>
      <w:r>
        <w:rPr>
          <w:rFonts w:ascii="Times New Roman" w:hAnsi="Times New Roman"/>
          <w:sz w:val="20"/>
        </w:rPr>
        <w:t xml:space="preserve"> (</w:t>
      </w:r>
      <w:r>
        <w:rPr>
          <w:rFonts w:ascii="Times New Roman" w:hAnsi="Times New Roman"/>
          <w:i/>
          <w:sz w:val="20"/>
        </w:rPr>
        <w:t>procédure de mandat ad hoc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(ii) a conciliation proceedings (</w:t>
      </w:r>
      <w:r>
        <w:rPr>
          <w:rFonts w:ascii="Times New Roman" w:hAnsi="Times New Roman"/>
          <w:i/>
          <w:sz w:val="20"/>
        </w:rPr>
        <w:t>procédure de conciliation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(iii) a safeguard proceedings (</w:t>
      </w:r>
      <w:r>
        <w:rPr>
          <w:rFonts w:ascii="Times New Roman" w:hAnsi="Times New Roman"/>
          <w:i/>
          <w:sz w:val="20"/>
        </w:rPr>
        <w:t>procédure de sauvegarde</w:t>
      </w:r>
      <w:r>
        <w:rPr>
          <w:rFonts w:ascii="Times New Roman" w:hAnsi="Times New Roman"/>
          <w:sz w:val="20"/>
        </w:rPr>
        <w:t>) or an accelerated safeguard proceedings (</w:t>
      </w:r>
      <w:r>
        <w:rPr>
          <w:rFonts w:ascii="Times New Roman" w:hAnsi="Times New Roman"/>
          <w:i/>
          <w:sz w:val="20"/>
        </w:rPr>
        <w:t>procédure de sauvegarde accélérée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(iv) a crisis exit proceedings (</w:t>
      </w:r>
      <w:r>
        <w:rPr>
          <w:rFonts w:ascii="Times New Roman" w:hAnsi="Times New Roman"/>
          <w:i/>
          <w:sz w:val="20"/>
        </w:rPr>
        <w:t xml:space="preserve">procédure de traitement de sortie de crise </w:t>
      </w:r>
      <w:r>
        <w:rPr>
          <w:rFonts w:ascii="Times New Roman" w:hAnsi="Times New Roman"/>
          <w:sz w:val="20"/>
        </w:rPr>
        <w:t xml:space="preserve">- provisional proceedings set up in the context of the Covid-19 crisis, applicable until 1st June 2023); </w:t>
      </w:r>
    </w:p>
    <w:p>
      <w:pPr>
        <w:pStyle w:val="TextBody"/>
        <w:bidi w:val="0"/>
        <w:spacing w:before="120" w:after="0"/>
        <w:jc w:val="left"/>
        <w:rPr>
          <w:rFonts w:ascii="Times New Roman" w:hAnsi="Times New Roman"/>
          <w:sz w:val="20"/>
        </w:rPr>
      </w:pPr>
      <w:r>
        <w:rPr>
          <w:rFonts w:ascii="Times New Roman" w:hAnsi="Times New Roman"/>
          <w:sz w:val="20"/>
        </w:rPr>
        <w:t>(v) a judgment issued for (x) the judicial reorganization (</w:t>
      </w:r>
      <w:r>
        <w:rPr>
          <w:rFonts w:ascii="Times New Roman" w:hAnsi="Times New Roman"/>
          <w:i/>
          <w:sz w:val="20"/>
        </w:rPr>
        <w:t>redressement judiciaire</w:t>
      </w:r>
      <w:r>
        <w:rPr>
          <w:rFonts w:ascii="Times New Roman" w:hAnsi="Times New Roman"/>
          <w:sz w:val="20"/>
        </w:rPr>
        <w:t>) or (y) the judicial liquidation proceedings (</w:t>
      </w:r>
      <w:r>
        <w:rPr>
          <w:rFonts w:ascii="Times New Roman" w:hAnsi="Times New Roman"/>
          <w:i/>
          <w:sz w:val="20"/>
        </w:rPr>
        <w:t>liquidation judiciaire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(vi) a transfer of the whole of the business (</w:t>
      </w:r>
      <w:r>
        <w:rPr>
          <w:rFonts w:ascii="Times New Roman" w:hAnsi="Times New Roman"/>
          <w:i/>
          <w:sz w:val="20"/>
        </w:rPr>
        <w:t>cession totale de lentreprise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(vii) a voluntary liquidation; </w:t>
      </w:r>
    </w:p>
    <w:p>
      <w:pPr>
        <w:pStyle w:val="TextBody"/>
        <w:bidi w:val="0"/>
        <w:spacing w:before="120" w:after="0"/>
        <w:jc w:val="left"/>
        <w:rPr>
          <w:rFonts w:ascii="Times New Roman" w:hAnsi="Times New Roman"/>
          <w:sz w:val="20"/>
        </w:rPr>
      </w:pPr>
      <w:r>
        <w:rPr>
          <w:rFonts w:ascii="Times New Roman" w:hAnsi="Times New Roman"/>
          <w:sz w:val="20"/>
        </w:rPr>
        <w:t xml:space="preserve">(viii) any other proceedings under any applicable laws which has an analogous effect to any of the proceedings referred to from (i) to (vi) in this paragraph; </w:t>
      </w:r>
    </w:p>
    <w:p>
      <w:pPr>
        <w:pStyle w:val="TextBody"/>
        <w:bidi w:val="0"/>
        <w:spacing w:before="120" w:after="0"/>
        <w:jc w:val="left"/>
        <w:rPr>
          <w:rFonts w:ascii="Times New Roman" w:hAnsi="Times New Roman"/>
          <w:sz w:val="20"/>
        </w:rPr>
      </w:pPr>
      <w:r>
        <w:rPr>
          <w:rFonts w:ascii="Times New Roman" w:hAnsi="Times New Roman"/>
          <w:sz w:val="20"/>
        </w:rPr>
        <w:t xml:space="preserve">(ix) any conveyance, assignment or other arrangement for the benefit of its creditors; or </w:t>
      </w:r>
    </w:p>
    <w:p>
      <w:pPr>
        <w:pStyle w:val="TextBody"/>
        <w:bidi w:val="0"/>
        <w:spacing w:before="120" w:after="0"/>
        <w:jc w:val="left"/>
        <w:rPr>
          <w:rFonts w:ascii="Times New Roman" w:hAnsi="Times New Roman"/>
          <w:sz w:val="20"/>
        </w:rPr>
      </w:pPr>
      <w:r>
        <w:rPr>
          <w:rFonts w:ascii="Times New Roman" w:hAnsi="Times New Roman"/>
          <w:sz w:val="20"/>
        </w:rPr>
        <w:t xml:space="preserve">(x) any composition with its creditors.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(ccc) None of the Companies or their respective Affiliates, or any person acting on behalf of any of them (other than the Initial Purchasers, as to which the Companies make no representation or warranty), has offered or sold and will offer or sell, directly or indirectly, any Notes to the public in France other than pursuant to an exemption under Article 1(4) of the Regulation (EU) 2017/1129 of the European Parliament and of the Council of 14 June 2017 as amended from time to time (the </w:t>
      </w:r>
      <w:r>
        <w:rPr>
          <w:rFonts w:ascii="Times New Roman" w:hAnsi="Times New Roman"/>
          <w:sz w:val="20"/>
          <w:u w:val="single"/>
        </w:rPr>
        <w:t>Prospectus Regulation</w:t>
      </w:r>
      <w:r>
        <w:rPr>
          <w:rFonts w:ascii="Times New Roman" w:hAnsi="Times New Roman"/>
          <w:sz w:val="20"/>
        </w:rPr>
        <w:t>) or has distributed or caused to be distributed or will distribute or cause to be distributed to the public in France the Preliminary Memorandum, the Final Memorandum or any other offering or marketing material relating to the Notes, and that such offers, sales and distributions have been and shall only be made in France to qualified investors (</w:t>
      </w:r>
      <w:r>
        <w:rPr>
          <w:rFonts w:ascii="Times New Roman" w:hAnsi="Times New Roman"/>
          <w:i/>
          <w:sz w:val="20"/>
        </w:rPr>
        <w:t>investisseurs qualifiés</w:t>
      </w:r>
      <w:r>
        <w:rPr>
          <w:rFonts w:ascii="Times New Roman" w:hAnsi="Times New Roman"/>
          <w:sz w:val="20"/>
        </w:rPr>
        <w:t xml:space="preserve">), as defined in the Prospectus Regulation and any related applicable French laws and regulations implementing the Prospectus Regulation. </w:t>
      </w:r>
    </w:p>
    <w:p>
      <w:pPr>
        <w:pStyle w:val="TextBody"/>
        <w:bidi w:val="0"/>
        <w:spacing w:before="120" w:after="0"/>
        <w:jc w:val="left"/>
        <w:rPr>
          <w:rFonts w:ascii="Times New Roman" w:hAnsi="Times New Roman"/>
          <w:sz w:val="20"/>
        </w:rPr>
      </w:pPr>
      <w:r>
        <w:rPr>
          <w:rFonts w:ascii="Times New Roman" w:hAnsi="Times New Roman"/>
          <w:sz w:val="20"/>
        </w:rPr>
        <w:t>(ddd) Holdings and its subsidiaries information technology assets and equipment, computers, systems, networks, hardware, software, websites, applications, and databases (collectively, </w:t>
      </w:r>
      <w:r>
        <w:rPr>
          <w:rFonts w:ascii="Times New Roman" w:hAnsi="Times New Roman"/>
          <w:sz w:val="20"/>
          <w:u w:val="single"/>
        </w:rPr>
        <w:t>IT Systems</w:t>
      </w:r>
      <w:r>
        <w:rPr>
          <w:rFonts w:ascii="Times New Roman" w:hAnsi="Times New Roman"/>
          <w:sz w:val="20"/>
        </w:rPr>
        <w:t>) are adequate for, and operate and perform in all material respects as required in connection with the operation of the business of Holdings and its subsidiaries as currently conducted, free and clear of all material bugs, errors, defects, Trojan horses, time bombs, malware and other corruptants. Holdings and its subsidiaries have implemented and maintained commercially reasonable controls, policies, procedures, and safeguards to maintain and protect their material confidential information and the integrity, continuous operation, redundancy and security of all IT Systems and data (including all personal, personally identifiable, sensitive, confidential or regulated data (</w:t>
      </w:r>
      <w:r>
        <w:rPr>
          <w:rFonts w:ascii="Times New Roman" w:hAnsi="Times New Roman"/>
          <w:sz w:val="20"/>
          <w:u w:val="single"/>
        </w:rPr>
        <w:t>Personal Data</w:t>
      </w:r>
      <w:r>
        <w:rPr>
          <w:rFonts w:ascii="Times New Roman" w:hAnsi="Times New Roman"/>
          <w:sz w:val="20"/>
        </w:rPr>
        <w:t xml:space="preserve">)) used or held for use in connection with their businesses, and there have been no breaches, violations, disruptions, compromises or unauthorized uses of or accesses to same, except for the duty to notify any other person or where such breaches, violations, disruptions, compromises or unauthorized uses of or access to same, would not, individually or in the aggregate, be reasonably expected to have a Material Adverse Effect. Holdings and its subsidiaries are presently in material compliance with all applicable laws, statutes and regulations (including the European Union General Data Protection Regulation) and all judgments, orders, rules and regulations of any court or arbitrator or governmental or regulatory authority, internal policies and contractual obligations and, to the extent applicable, PCI-DSS, relating to the privacy and security of IT Systems and Personal Data and to the protection of such IT Systems and Personal Data from unauthorized use, access, misappropriation or modification. </w:t>
      </w:r>
    </w:p>
    <w:p>
      <w:pPr>
        <w:pStyle w:val="TextBody"/>
        <w:bidi w:val="0"/>
        <w:spacing w:before="120" w:after="0"/>
        <w:jc w:val="left"/>
        <w:rPr>
          <w:rFonts w:ascii="Times New Roman" w:hAnsi="Times New Roman"/>
          <w:sz w:val="20"/>
        </w:rPr>
      </w:pPr>
      <w:r>
        <w:rPr>
          <w:rFonts w:ascii="Times New Roman" w:hAnsi="Times New Roman"/>
          <w:sz w:val="20"/>
        </w:rPr>
        <w:t xml:space="preserve">(eee) Holdings and each of its subsidiaries maintain an effective system of disclosure controls and procedures (as defined in Rule 13a-15(e) of the Exchange Act) that is designed to ensure that information required to be disclosed by Holdings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Holdings management as appropriate to allow timely decisions regarding required disclosure. Holdings and its subsidiaries have carried out evaluations, with the participation of management, of the effectiveness of their disclosure controls and procedures as required by Rule 13a-15 of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certificate signed by any officer of any of the Companies and delivered to the Initial Purchasers or counsel for the Initial Purchasers pursuant to this Agreement shall be deemed a representation and warranty by such Company, as to matters covered thereby, to each Initial Purchaser.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Purchase and Sale</w:t>
      </w:r>
      <w:r>
        <w:rPr>
          <w:rFonts w:ascii="Times New Roman" w:hAnsi="Times New Roman"/>
          <w:sz w:val="20"/>
        </w:rPr>
        <w:t xml:space="preserve">. Subject to the terms and conditions and in reliance upon the representations and warranties herein set forth, the Issuer agrees to sell to each Initial Purchaser, and each Initial Purchaser agrees, severally and not jointly, to purchase from the Issuer, at a purchase price equal to 98.750% of the principal amount of the Notes, plus accrued interest, if any, from May 18, 2023 to the Closing Date (the Purchase Amount), the principal amount of Securities set forth opposite such Initial Purchasers name in </w:t>
      </w:r>
      <w:r>
        <w:rPr>
          <w:rFonts w:ascii="Times New Roman" w:hAnsi="Times New Roman"/>
          <w:sz w:val="20"/>
          <w:u w:val="single"/>
        </w:rPr>
        <w:t>Schedule I</w:t>
      </w:r>
      <w:r>
        <w:rPr>
          <w:rFonts w:ascii="Times New Roman" w:hAnsi="Times New Roman"/>
          <w:sz w:val="20"/>
        </w:rPr>
        <w:t xml:space="preserve"> hereto.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Delivery and Payment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Delivery of and payment for the Securities shall be made at 10:00 A.M., London time, on May 18, 2023, or at such time on such later date (not later than May 25, 2023) as the Initial Purchasers shall designate, which date and time may be postponed among the Initial Purchasers and the Issuer or as provided in Section 9 hereof (such date and time of delivery and payment for the Securities being herein called the </w:t>
      </w:r>
      <w:r>
        <w:rPr>
          <w:rFonts w:ascii="Times New Roman" w:hAnsi="Times New Roman"/>
          <w:sz w:val="20"/>
          <w:u w:val="single"/>
        </w:rPr>
        <w:t>Closing 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(b) The Notes sold within the United States to QIBs in reliance on Rule 144A will be represented by one or more global notes in registered form without interest coupons attached (the </w:t>
      </w:r>
      <w:r>
        <w:rPr>
          <w:rFonts w:ascii="Times New Roman" w:hAnsi="Times New Roman"/>
          <w:sz w:val="20"/>
          <w:u w:val="single"/>
        </w:rPr>
        <w:t>Rule 144A Global Note</w:t>
      </w:r>
      <w:r>
        <w:rPr>
          <w:rFonts w:ascii="Times New Roman" w:hAnsi="Times New Roman"/>
          <w:sz w:val="20"/>
        </w:rPr>
        <w:t>). The Notes sold outside the United States to persons who are not U.S. persons in reliance on Regulation S will be represented by one or more global notes in registered form without interest coupons attached (the </w:t>
      </w:r>
      <w:r>
        <w:rPr>
          <w:rFonts w:ascii="Times New Roman" w:hAnsi="Times New Roman"/>
          <w:sz w:val="20"/>
          <w:u w:val="single"/>
        </w:rPr>
        <w:t>Regulation S Global Note</w:t>
      </w:r>
      <w:r>
        <w:rPr>
          <w:rFonts w:ascii="Times New Roman" w:hAnsi="Times New Roman"/>
          <w:sz w:val="20"/>
        </w:rPr>
        <w:t> and, together with the Rule 144A Global Note, the </w:t>
      </w:r>
      <w:r>
        <w:rPr>
          <w:rFonts w:ascii="Times New Roman" w:hAnsi="Times New Roman"/>
          <w:sz w:val="20"/>
          <w:u w:val="single"/>
        </w:rPr>
        <w:t>Global Notes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(c) The Securities represented by the Global Notes will initially be credited free of payment to an account (the </w:t>
      </w:r>
      <w:r>
        <w:rPr>
          <w:rFonts w:ascii="Times New Roman" w:hAnsi="Times New Roman"/>
          <w:sz w:val="20"/>
          <w:u w:val="single"/>
        </w:rPr>
        <w:t>Commissionaire Account</w:t>
      </w:r>
      <w:r>
        <w:rPr>
          <w:rFonts w:ascii="Times New Roman" w:hAnsi="Times New Roman"/>
          <w:sz w:val="20"/>
        </w:rPr>
        <w:t>) for the benefit of the Representative, the terms of which will include a third-party beneficiary clause (</w:t>
      </w:r>
      <w:r>
        <w:rPr>
          <w:rFonts w:ascii="Times New Roman" w:hAnsi="Times New Roman"/>
          <w:i/>
          <w:sz w:val="20"/>
        </w:rPr>
        <w:t>stipulation pour autrui</w:t>
      </w:r>
      <w:r>
        <w:rPr>
          <w:rFonts w:ascii="Times New Roman" w:hAnsi="Times New Roman"/>
          <w:sz w:val="20"/>
        </w:rPr>
        <w:t xml:space="preserve">) with the Issuer as the third-party beneficiary, and provide that such Notes are to be delivered to others only against payment of the net Purchase Amount (i.e. less the commissions and expenses to be deducted from the Purchase Amount) into the Commissionaire Account on a delivery against payments basis. </w:t>
      </w:r>
    </w:p>
    <w:p>
      <w:pPr>
        <w:pStyle w:val="TextBody"/>
        <w:bidi w:val="0"/>
        <w:spacing w:before="120" w:after="0"/>
        <w:jc w:val="left"/>
        <w:rPr>
          <w:rFonts w:ascii="Times New Roman" w:hAnsi="Times New Roman"/>
          <w:sz w:val="20"/>
        </w:rPr>
      </w:pPr>
      <w:r>
        <w:rPr>
          <w:rFonts w:ascii="Times New Roman" w:hAnsi="Times New Roman"/>
          <w:sz w:val="20"/>
        </w:rPr>
        <w:t xml:space="preserve">(d) The Representative acknowledges that (i) the Global Notes shall be held to the order of the Issuer and (ii) the net Purchase Amount received in the Commissionaire Accounts (i.e. less the commissions and expenses deducted from the Purchase Amount) will be held on behalf of the Issuer until such time as they are transferred to the Issuers order. The Representative undertakes that the net Purchase Amount for the Securities (i.e. less the commissions and expenses deducted from the Purchase Amount) will be transferred to the Issuers order promptly following receipt of the Purchase Amount in the Commissionaire Account. </w:t>
      </w:r>
    </w:p>
    <w:p>
      <w:pPr>
        <w:pStyle w:val="TextBody"/>
        <w:bidi w:val="0"/>
        <w:spacing w:before="120" w:after="0"/>
        <w:jc w:val="left"/>
        <w:rPr>
          <w:rFonts w:ascii="Times New Roman" w:hAnsi="Times New Roman"/>
          <w:sz w:val="20"/>
        </w:rPr>
      </w:pPr>
      <w:r>
        <w:rPr>
          <w:rFonts w:ascii="Times New Roman" w:hAnsi="Times New Roman"/>
          <w:sz w:val="20"/>
        </w:rPr>
        <w:t>(e) The Issuer acknowledges and accepts the benefit of the third-party beneficiary clause (</w:t>
      </w:r>
      <w:r>
        <w:rPr>
          <w:rFonts w:ascii="Times New Roman" w:hAnsi="Times New Roman"/>
          <w:i/>
          <w:sz w:val="20"/>
        </w:rPr>
        <w:t>stipulation pour autrui</w:t>
      </w:r>
      <w:r>
        <w:rPr>
          <w:rFonts w:ascii="Times New Roman" w:hAnsi="Times New Roman"/>
          <w:sz w:val="20"/>
        </w:rPr>
        <w:t>) pursuant to the Belgian Civil Code, in the case of Euroclear Bank SA/NV, as operator of the Euroclear System (</w:t>
      </w:r>
      <w:r>
        <w:rPr>
          <w:rFonts w:ascii="Times New Roman" w:hAnsi="Times New Roman"/>
          <w:sz w:val="20"/>
          <w:u w:val="single"/>
        </w:rPr>
        <w:t>Euroclear</w:t>
      </w:r>
      <w:r>
        <w:rPr>
          <w:rFonts w:ascii="Times New Roman" w:hAnsi="Times New Roman"/>
          <w:sz w:val="20"/>
        </w:rPr>
        <w:t xml:space="preserve">), and the Luxembourg Civil Code, in the case of Clearstream Banking, </w:t>
      </w:r>
      <w:r>
        <w:rPr>
          <w:rFonts w:ascii="Times New Roman" w:hAnsi="Times New Roman"/>
          <w:i/>
          <w:sz w:val="20"/>
        </w:rPr>
        <w:t xml:space="preserve">société anonyme </w:t>
      </w:r>
      <w:r>
        <w:rPr>
          <w:rFonts w:ascii="Times New Roman" w:hAnsi="Times New Roman"/>
          <w:sz w:val="20"/>
        </w:rPr>
        <w:t>(</w:t>
      </w:r>
      <w:r>
        <w:rPr>
          <w:rFonts w:ascii="Times New Roman" w:hAnsi="Times New Roman"/>
          <w:sz w:val="20"/>
          <w:u w:val="single"/>
        </w:rPr>
        <w:t>Clearstream</w:t>
      </w:r>
      <w:r>
        <w:rPr>
          <w:rFonts w:ascii="Times New Roman" w:hAnsi="Times New Roman"/>
          <w:sz w:val="20"/>
        </w:rPr>
        <w:t xml:space="preserve">), in each case in respect of the Commissionaire Account.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Payment for the Securities shall be made by the several Initial Purchasers by wire transfer payable in same-day funds to the account specified by the Issuer, and Euroclear and Clearstream shall credit the Securities to the Commissionaire Account of the Representative.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Offering by Initial Purchasers</w:t>
      </w:r>
      <w:r>
        <w:rPr>
          <w:rFonts w:ascii="Times New Roman" w:hAnsi="Times New Roman"/>
          <w:sz w:val="20"/>
        </w:rPr>
        <w:t xml:space="preserve">. Each Initial Purchaser, severally and not jointly, represents and warrants to and agrees with the Issuer that: </w:t>
      </w:r>
    </w:p>
    <w:p>
      <w:pPr>
        <w:pStyle w:val="TextBody"/>
        <w:bidi w:val="0"/>
        <w:spacing w:before="120" w:after="0"/>
        <w:jc w:val="left"/>
        <w:rPr>
          <w:rFonts w:ascii="Times New Roman" w:hAnsi="Times New Roman"/>
          <w:sz w:val="20"/>
        </w:rPr>
      </w:pPr>
      <w:r>
        <w:rPr>
          <w:rFonts w:ascii="Times New Roman" w:hAnsi="Times New Roman"/>
          <w:sz w:val="20"/>
        </w:rPr>
        <w:t xml:space="preserve">(a) It is an accredited investor within the meaning of Rule 501 of the Act and acknowledges that it is purchasing the Securities pursuant to a private sale exemption from registration under the Act. </w:t>
      </w:r>
    </w:p>
    <w:p>
      <w:pPr>
        <w:pStyle w:val="TextBody"/>
        <w:bidi w:val="0"/>
        <w:spacing w:before="120" w:after="0"/>
        <w:jc w:val="left"/>
        <w:rPr>
          <w:rFonts w:ascii="Times New Roman" w:hAnsi="Times New Roman"/>
          <w:sz w:val="20"/>
        </w:rPr>
      </w:pPr>
      <w:r>
        <w:rPr>
          <w:rFonts w:ascii="Times New Roman" w:hAnsi="Times New Roman"/>
          <w:sz w:val="20"/>
        </w:rPr>
        <w:t xml:space="preserve">(b) It has not offered or sold, and will not offer or sell, any Securities except (i) to those it reasonably believes to be qualified institutional buyers (as defined in Rule 144A under the Act) and that, in connection with each such sale, it has taken or will take reasonable steps to ensure that the purchaser of such Securities is aware that such sale is being made in reliance on Rule 144A or (ii) in accordance with the restrictions set forth in </w:t>
      </w:r>
      <w:r>
        <w:rPr>
          <w:rFonts w:ascii="Times New Roman" w:hAnsi="Times New Roman"/>
          <w:sz w:val="20"/>
          <w:u w:val="single"/>
        </w:rPr>
        <w:t>Exhibit A</w:t>
      </w:r>
      <w:r>
        <w:rPr>
          <w:rFonts w:ascii="Times New Roman" w:hAnsi="Times New Roman"/>
          <w:sz w:val="20"/>
        </w:rPr>
        <w:t xml:space="preserve"> hereto. Each of the Initial Purchasers will comply with all applicable laws and regulations in each jurisdiction in which it acquires, offers, sells or delivers Securities or has in its possession or distributes the Pricing Disclosure Package, the Final Memorandum, any Issuer Written Communication or any such other material, in all cases at its own expense, except as provided in Section 5(m). </w:t>
      </w:r>
    </w:p>
    <w:p>
      <w:pPr>
        <w:pStyle w:val="TextBody"/>
        <w:bidi w:val="0"/>
        <w:spacing w:before="120" w:after="0"/>
        <w:jc w:val="left"/>
        <w:rPr>
          <w:rFonts w:ascii="Times New Roman" w:hAnsi="Times New Roman"/>
          <w:sz w:val="20"/>
        </w:rPr>
      </w:pPr>
      <w:r>
        <w:rPr>
          <w:rFonts w:ascii="Times New Roman" w:hAnsi="Times New Roman"/>
          <w:sz w:val="20"/>
        </w:rPr>
        <w:t xml:space="preserve">(c) Neither it nor any person acting on its behalf has made or will make offers or sales of the Securities in the United States by means of any form of general solicitation or general advertising (within the meaning of Regulation D under the Securities Act) in the United States or in any manner involving a public offering within the meaning of Section 4(a) of the Act. </w:t>
      </w:r>
    </w:p>
    <w:p>
      <w:pPr>
        <w:pStyle w:val="TextBody"/>
        <w:bidi w:val="0"/>
        <w:spacing w:before="120" w:after="0"/>
        <w:jc w:val="left"/>
        <w:rPr>
          <w:rFonts w:ascii="Times New Roman" w:hAnsi="Times New Roman"/>
          <w:sz w:val="20"/>
        </w:rPr>
      </w:pPr>
      <w:r>
        <w:rPr>
          <w:rFonts w:ascii="Times New Roman" w:hAnsi="Times New Roman"/>
          <w:sz w:val="20"/>
        </w:rPr>
        <w:t xml:space="preserve">(d) Each Initial Purchaser acknowledges and agrees that the Issuer and, for the purposes of the opinions to be delivered to the Initial Purchasers pursuant to Section 6(a) through 6(d), (i) counsel for the Companies and (ii) counsel for the Initial Purchasers, respectively, may rely upon the accuracy of the representations and warranties of such Initial Purchaser, and compliance of such Initial Purchaser with its agreements, contained in paragraphs 4(a) through (c), above, and such Initial Purchaser hereby consents to such reliance. </w:t>
      </w:r>
    </w:p>
    <w:p>
      <w:pPr>
        <w:pStyle w:val="TextBody"/>
        <w:bidi w:val="0"/>
        <w:spacing w:before="12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Agreements</w:t>
      </w:r>
      <w:r>
        <w:rPr>
          <w:rFonts w:ascii="Times New Roman" w:hAnsi="Times New Roman"/>
          <w:sz w:val="20"/>
        </w:rPr>
        <w:t xml:space="preserve">. The Companies, jointly and severally, agree, with each Initial Purchaser that: </w:t>
      </w:r>
    </w:p>
    <w:p>
      <w:pPr>
        <w:pStyle w:val="TextBody"/>
        <w:bidi w:val="0"/>
        <w:spacing w:before="120" w:after="0"/>
        <w:jc w:val="left"/>
        <w:rPr>
          <w:rFonts w:ascii="Times New Roman" w:hAnsi="Times New Roman"/>
          <w:sz w:val="20"/>
        </w:rPr>
      </w:pPr>
      <w:r>
        <w:rPr>
          <w:rFonts w:ascii="Times New Roman" w:hAnsi="Times New Roman"/>
          <w:sz w:val="20"/>
        </w:rPr>
        <w:t xml:space="preserve">(a) The Companies will furnish to each Initial Purchaser and to counsel for the Initial Purchasers, without charge, during the period referred to in paragraph (c) below, as many copies of the Pricing Disclosure Package, any Issuer Written Communication and the Final Memorandum and any amendments and supplements thereto as they may reasonably request and each as so delivered shall be in form and substance reasonably satisfactory to the Representative.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Companies will not amend or supplement the Pricing Disclosure Package or the Final Memorandum, other than by filing documents under the Exchange Act that are incorporated by reference therein, or distribute or refer to any Issuer Written Communication, in each case, without the prior written consent of the Representative;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prior to the completion of the distribution of the Securities by the Initial Purchasers (as determined by the Representative in its sole discretion), Holdings and its subsidiaries will not file any document under the Exchange Act that is incorporated by reference in the Pricing Disclosure Package or the Final Memorandum unless, prior to such proposed filing, the Companies have furnished the Representative with a copy of such document for their review and the Representative has not reasonably objected to the filing of such document. The Companies will promptly advise the Initial Purchasers when any document filed under the Exchange Act that is incorporated by reference in the Pricing Disclosure Package or the Final Memorandum shall have been filed with the Commission. The Companies will promptly, upon the reasonable request of the Representative or counsel for the Initial Purchasers, make any amendments or supplements to the Pricing Disclosure Package and the Final Memorandum that may be necessary or advisable in connection with the resale of the Notes by the Initial Purchasers. </w:t>
      </w:r>
    </w:p>
    <w:p>
      <w:pPr>
        <w:pStyle w:val="TextBody"/>
        <w:bidi w:val="0"/>
        <w:spacing w:before="120" w:after="0"/>
        <w:jc w:val="left"/>
        <w:rPr>
          <w:rFonts w:ascii="Times New Roman" w:hAnsi="Times New Roman"/>
          <w:sz w:val="20"/>
        </w:rPr>
      </w:pPr>
      <w:r>
        <w:rPr>
          <w:rFonts w:ascii="Times New Roman" w:hAnsi="Times New Roman"/>
          <w:sz w:val="20"/>
        </w:rPr>
        <w:t xml:space="preserve">(c) If at any time prior to the completion of the sale of the Securities by the Initial Purchasers (as determined by the Representative), (i) any governmental or regulatory authority issues any order preventing or suspending the use of any of the Pricing Disclosure Package or the Final Memorandum or (ii) any event occurs as a result of which the Pricing Disclosure Package, any Issuer Written Communication or the Final Memorandum, as then amended or supplemented, would include any untrue statement of a material fact or omit to state any material fact necessary to make the statements therein, in the light of the circumstances under which they were made or the circumstances then prevailing, not misleading, or if it should be necessary to amend or supplement the Pricing Disclosure Package, any Issuer Written Communication or the Final Memorandum to comply with applicable law, the Companies will promptly (i) notify the Initial Purchasers of any such event; (ii) subject to the requirements of paragraph (b) of this Section 5, prepare an amendment or supplement that will correct such statement or omission or effect such compliance; and (iii) supply any supplemented or amended Pricing Disclosure Package, Issuer Written Communication or the Final Memorandum to the Initial Purchasers and counsel for the Initial Purchasers without charge in such quantities as they may reasonably request. </w:t>
      </w:r>
    </w:p>
    <w:p>
      <w:pPr>
        <w:pStyle w:val="TextBody"/>
        <w:bidi w:val="0"/>
        <w:spacing w:before="120" w:after="0"/>
        <w:jc w:val="left"/>
        <w:rPr>
          <w:rFonts w:ascii="Times New Roman" w:hAnsi="Times New Roman"/>
          <w:sz w:val="20"/>
        </w:rPr>
      </w:pPr>
      <w:r>
        <w:rPr>
          <w:rFonts w:ascii="Times New Roman" w:hAnsi="Times New Roman"/>
          <w:sz w:val="20"/>
        </w:rPr>
        <w:t xml:space="preserve">(d) To the extent a Company may do so under applicable law, the Companies will arrange, if necessary, for the qualification of the Securities for sale by the Initial Purchasers under the laws of such jurisdictions as the Initial Purchasers may reasonably designate and will maintain such qualifications in effect so long as required for the sale of the Securities; </w:t>
      </w:r>
      <w:r>
        <w:rPr>
          <w:rFonts w:ascii="Times New Roman" w:hAnsi="Times New Roman"/>
          <w:sz w:val="20"/>
          <w:u w:val="single"/>
        </w:rPr>
        <w:t>provided</w:t>
      </w:r>
      <w:r>
        <w:rPr>
          <w:rFonts w:ascii="Times New Roman" w:hAnsi="Times New Roman"/>
          <w:sz w:val="20"/>
        </w:rPr>
        <w:t xml:space="preserve"> that in no event shall any Company be obligated to qualify to do business in any jurisdiction where it is not now so qualified, to execute a general consent to service of process in any jurisdiction with respect to which such a consent has not been previously executed or to subject itself to taxation in any jurisdiction wherein it would not otherwise be subject to tax but for the requirements of this paragraph. The Companies will promptly advise the Representative of the receipt by any Company of any notification with respect to the suspension of the qualification of the Securities for sale in any jurisdiction or the initiation or threatening of any proceeding for such purpose.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Companies will not, and will not permit any of their respective Affiliates to, resell any Securities that have been acquired by any of them. </w:t>
      </w:r>
    </w:p>
    <w:p>
      <w:pPr>
        <w:pStyle w:val="TextBody"/>
        <w:bidi w:val="0"/>
        <w:spacing w:before="120" w:after="0"/>
        <w:jc w:val="left"/>
        <w:rPr>
          <w:rFonts w:ascii="Times New Roman" w:hAnsi="Times New Roman"/>
          <w:sz w:val="20"/>
        </w:rPr>
      </w:pPr>
      <w:r>
        <w:rPr>
          <w:rFonts w:ascii="Times New Roman" w:hAnsi="Times New Roman"/>
          <w:sz w:val="20"/>
        </w:rPr>
        <w:t xml:space="preserve">(f) None of the Companies or their respective Affiliates, or any person acting on behalf of any of them, will, directly or indirectly, make offers or sales of any security, or solicit offers to buy any security, under circumstances that would require the registration of the Securities under the Act. </w:t>
      </w:r>
    </w:p>
    <w:p>
      <w:pPr>
        <w:pStyle w:val="TextBody"/>
        <w:bidi w:val="0"/>
        <w:spacing w:before="120" w:after="0"/>
        <w:jc w:val="left"/>
        <w:rPr>
          <w:rFonts w:ascii="Times New Roman" w:hAnsi="Times New Roman"/>
          <w:sz w:val="20"/>
        </w:rPr>
      </w:pPr>
      <w:r>
        <w:rPr>
          <w:rFonts w:ascii="Times New Roman" w:hAnsi="Times New Roman"/>
          <w:sz w:val="20"/>
        </w:rPr>
        <w:t xml:space="preserve">(g) None of the Companies or their respective Affiliates, or any person acting on behalf of any of them, will engage in any form of general solicitation or general advertising (within the meaning of Regulation D) in connection with any offer or sale of the Securities in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(h) So long as any of the Securities are restricted securities within the meaning of Rule 144(a)(3) under the Act, each Company will, during any period in which it is not subject to and in compliance with Section 13 or 15(d) of the Exchange Act or it is not exempt from such reporting requirements pursuant to and in compliance with Rule 12g3-2(b) under the Exchange Act, provide to each holder of such restricted securities and to each prospective purchaser (as designated by such holder) of such restricted securities, upon the request of such holder or prospective purchaser, any information required to be provided by Rule 144A(d)(4) under the Act. This covenant is intended to be for the benefit of the holders, and the prospective purchasers designated by such holders, from time to time, of such restricted securities. </w:t>
      </w:r>
    </w:p>
    <w:p>
      <w:pPr>
        <w:pStyle w:val="TextBody"/>
        <w:bidi w:val="0"/>
        <w:spacing w:before="120" w:after="0"/>
        <w:jc w:val="left"/>
        <w:rPr>
          <w:rFonts w:ascii="Times New Roman" w:hAnsi="Times New Roman"/>
          <w:sz w:val="20"/>
        </w:rPr>
      </w:pPr>
      <w:r>
        <w:rPr>
          <w:rFonts w:ascii="Times New Roman" w:hAnsi="Times New Roman"/>
          <w:sz w:val="20"/>
        </w:rPr>
        <w:t xml:space="preserve">(i) None of the Companies or their respective Affiliates, or any person acting on behalf of any of them, will engage in any directed selling efforts with respect to the Securities, and each of them will comply with the offering restrictions requirement of Regulation S. Terms used in this paragraph have the meanings given to them by Regulation S. </w:t>
      </w:r>
    </w:p>
    <w:p>
      <w:pPr>
        <w:pStyle w:val="TextBody"/>
        <w:bidi w:val="0"/>
        <w:spacing w:before="120" w:after="0"/>
        <w:jc w:val="left"/>
        <w:rPr>
          <w:rFonts w:ascii="Times New Roman" w:hAnsi="Times New Roman"/>
          <w:sz w:val="20"/>
        </w:rPr>
      </w:pPr>
      <w:r>
        <w:rPr>
          <w:rFonts w:ascii="Times New Roman" w:hAnsi="Times New Roman"/>
          <w:sz w:val="20"/>
        </w:rPr>
        <w:t xml:space="preserve">(j) The Companies will cooperate with the Representative and use their respective reasonable best efforts to permit the Notes to be eligible for clearance and settlement through Euroclear and Clearstream. The Companies will use their reasonable best efforts to cause the Notes to be listed on the Official List of the Luxembourg Stock Exchange and to be admitted to trading on the Euro MTF Market of the Luxembourg Stock Exchange as soon as practicable after the date hereof. If the Notes cease to be listed on the Official List of the Luxembourg Stock Exchange, the Companies will use their reasonable best efforts as soon as practicable to list such Notes on another recognized stock exchange or exchange regulated market in western Europe. </w:t>
      </w:r>
    </w:p>
    <w:p>
      <w:pPr>
        <w:pStyle w:val="TextBody"/>
        <w:bidi w:val="0"/>
        <w:spacing w:before="120" w:after="0"/>
        <w:jc w:val="left"/>
        <w:rPr>
          <w:rFonts w:ascii="Times New Roman" w:hAnsi="Times New Roman"/>
          <w:sz w:val="20"/>
        </w:rPr>
      </w:pPr>
      <w:r>
        <w:rPr>
          <w:rFonts w:ascii="Times New Roman" w:hAnsi="Times New Roman"/>
          <w:sz w:val="20"/>
        </w:rPr>
        <w:t xml:space="preserve">(k) The Companies will not and will not permit any of their subsidiaries to, for a period of ninety (90) days following the Time of Execution, without the prior written consent of the Representative, offer, sell or contract to sell, or otherwise dispose of, or enter into any transaction which is designed to, or might reasonably be expected to, result in the disposition (whether by actual disposition or effective economic disposition due to cash settlement or otherwise) by any Company or any Affiliate of any Company or any person in privity with any Company or any Affiliate of any Company, directly or indirectly, or announce the offering of any debt securities issued or guaranteed by any Company (or any subsidiary of a Company) (other than the Securities, debt under the Existing Credit Agreement, the issuance by Crown Americas LLC of U.S. dollar-denominated senior notes and intercompany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The Companies will not take, directly or indirectly, any action designed to or which has constituted or which might reasonably be expected to cause or result, under the Act or the Exchange Act or otherwise, in stabilization or manipulation of the price of any security of any Company to facilitate the sale or resale of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(m) The Companies, jointly and severally, agree to pay the costs and expenses relating to the following matters: (i) the preparation of the Indenture, the issuance of the Securities and the fees of the Trustee; (ii) the preparation, printing or reproduction of the Pricing Disclosure Package and the Final Memorandum and each amendment or supplement thereto; (iii) the printing (or reproduction) and delivery (including postage, air freight charges and charges for counting and packaging) of such copies of the Pricing Disclosure Package and the Final Memorandum, and all amendments or supplements to either of them, as may, in each case, be reasonably requested for use in connection with the offering and sale of the Securities; (iv) the preparation, printing, authentication, issuance and delivery of certificates for the Securities, including any stamp or transfer taxes in connection with the original issuance and sale of the Securities; (v) the printing (or reproduction) and delivery of this Agreement, any blue sky memorandum and all other agreements or documents printed (or reproduced) and delivered in connection with the offering of the Securities; (vi) any registration or qualification of the Securities for offer and sale under the securities or blue sky laws of the several states (including filing fees and the reasonable fees and expenses of counsel for the Initial Purchasers relating to such registration and qualification); (vii) admitting the Notes for listing on the Official List of the Luxembourg Stock Exchange and for trading on the Euro MTF Market; (viii) the transportation and other expenses incurred by or on behalf of the Companies representatives in connection with presentations to prospective purchasers of the Securities; (ix) the fees and expenses of the Companies accountants and the fees and expenses of counsel (including local and special counsel) for the Companies; (x) any appraisal or valuation performed in connection with the offering and sale of the Securities; and (xi) all other costs and expenses incident to the performance by the Companies of their respective obligations hereunder. </w:t>
      </w:r>
    </w:p>
    <w:p>
      <w:pPr>
        <w:pStyle w:val="TextBody"/>
        <w:bidi w:val="0"/>
        <w:spacing w:before="120" w:after="0"/>
        <w:jc w:val="left"/>
        <w:rPr>
          <w:rFonts w:ascii="Times New Roman" w:hAnsi="Times New Roman"/>
          <w:sz w:val="20"/>
        </w:rPr>
      </w:pPr>
      <w:r>
        <w:rPr>
          <w:rFonts w:ascii="Times New Roman" w:hAnsi="Times New Roman"/>
          <w:sz w:val="20"/>
        </w:rPr>
        <w:t xml:space="preserve">(n) The Companies will apply the proceeds from the offering and sale of the Securities as provided under the caption Use of Proceeds in the Pricing Disclosure Package and the Final Memorandum.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Conditions to the Obligations of the Initial Purchasers</w:t>
      </w:r>
      <w:r>
        <w:rPr>
          <w:rFonts w:ascii="Times New Roman" w:hAnsi="Times New Roman"/>
          <w:sz w:val="20"/>
        </w:rPr>
        <w:t xml:space="preserve">. The obligations of the Initial Purchasers to purchase the Securities shall be subject to the accuracy of the representations and warranties on the part of the Companies contained herein at their respective times of execution of this Agreement, as of the Closing Date and as of any settlement date pursuant to Section 3 hereof, to the accuracy of the statements of the Companies made in any certificates pursuant to the provisions hereof, to the performance by the Companies of their respective obligations hereunder and to the following additional conditions: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The Companies shall have requested and caused (i) Dechert LLP, special United States counsel for the Companies, to furnish to the Initial Purchasers their opinion and negative assurance letter, each delivered on the Closing Date and dated the Closing Date and addressed to the Initial Purchasers, substantially in the form reasonably satisfactory to the Initial Purchasers and their counsel and (ii) Adam J. Dickstein, General Counsel of Holdings, to furnish to the Initial Purchasers his opinion, delivered on the Closing Date and dated the Closing Date and addressed to the Initial Purchasers, substantially in the form reasonably satisfactory to the Initial Purchasers and their counsel. In rendering such opinions and assurances, such counsel may rely (A) as to matters involving the application of laws of any jurisdiction other than the Commonwealth of Pennsylvania, the State of New York, the Federal laws of the United States and the Delaware General Corporation Law, to the extent they deem proper and specified in such opinion, upon the opinion of other counsel of good standing whom they believe to be reliable and who are satisfactory to counsel for the Initial Purchasers; and (B) as to matters of fact, to the extent they deem proper, on certificates of responsible officers of the Companies and public officials. </w:t>
      </w:r>
    </w:p>
    <w:p>
      <w:pPr>
        <w:pStyle w:val="TextBody"/>
        <w:bidi w:val="0"/>
        <w:spacing w:before="120" w:after="0"/>
        <w:jc w:val="left"/>
        <w:rPr>
          <w:rFonts w:ascii="Times New Roman" w:hAnsi="Times New Roman"/>
          <w:sz w:val="20"/>
        </w:rPr>
      </w:pPr>
      <w:r>
        <w:rPr>
          <w:rFonts w:ascii="Times New Roman" w:hAnsi="Times New Roman"/>
          <w:sz w:val="20"/>
        </w:rPr>
        <w:t xml:space="preserve">(b) The Companies shall have requested and caused Dechert (Paris) LLP, special French counsel to the Companies, to furnish to the Initial Purchasers their opinion, delivered on the Closing Date and dated the Closing Date and addressed to the Initial Purchasers, substantially in the form reasonably satisfactory to the Initial Purchasers and their counsel. In rendering such opinion, such counsel may rely (A) as to matters involving the application of laws of any jurisdiction other than the Republic of France, to the extent they deem proper and specified in such opinion, upon the opinion of other counsel of good standing whom they believe to be reliable and who are satisfactory to counsel for the Initial Purchasers; and (B) as to matters of fact, to the extent they deem proper, on certificates of responsible officers of the Companies and public officials. </w:t>
      </w:r>
    </w:p>
    <w:p>
      <w:pPr>
        <w:pStyle w:val="TextBody"/>
        <w:bidi w:val="0"/>
        <w:spacing w:before="120" w:after="0"/>
        <w:jc w:val="left"/>
        <w:rPr>
          <w:rFonts w:ascii="Times New Roman" w:hAnsi="Times New Roman"/>
          <w:sz w:val="20"/>
        </w:rPr>
      </w:pPr>
      <w:r>
        <w:rPr>
          <w:rFonts w:ascii="Times New Roman" w:hAnsi="Times New Roman"/>
          <w:sz w:val="20"/>
        </w:rPr>
        <w:t xml:space="preserve">(c) The Companies shall have requested and caused one or more local counsel for the Companies, reasonably satisfactory to the Initial Purchasers and counsel to the Initial Purchasers, in each of Canada, Germany, Luxembourg, Mexico, the Netherlands, Spain, Switzerland and the United Kingdom to furnish to the Initial Purchasers their opinion, delivered on the Closing Date and dated the Closing Date and addressed to the Initial Purchasers. In rendering such opinion, such counsel may rely as to matters of fact, to the extent they deem proper, on certificates of responsible officers of relevant Companies. </w:t>
      </w:r>
    </w:p>
    <w:p>
      <w:pPr>
        <w:pStyle w:val="TextBody"/>
        <w:bidi w:val="0"/>
        <w:spacing w:before="120" w:after="0"/>
        <w:jc w:val="left"/>
        <w:rPr>
          <w:rFonts w:ascii="Times New Roman" w:hAnsi="Times New Roman"/>
          <w:sz w:val="20"/>
        </w:rPr>
      </w:pPr>
      <w:r>
        <w:rPr>
          <w:rFonts w:ascii="Times New Roman" w:hAnsi="Times New Roman"/>
          <w:sz w:val="20"/>
        </w:rPr>
        <w:t xml:space="preserve">(d) The Initial Purchasers shall have received from each of (i) Cahill Gordon &amp; Reindel LLP, special United States counsel for the Initial Purchasers, and (ii) Gide Loyrette Nouel A.A.R.P.I., special French counsel for the Initial Purchasers, such opinion or opinions, delivered on the Closing Date and dated the Closing Date and addressed to the Initial Purchasers, with respect to such matters as the Initial Purchasers may reasonably require, and the Companies shall have furnished to such counsel such documents as they request for the purpose of enabling them to pass upon such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Holdings shall have furnished to the Initial Purchasers a certificate of Holdings and the Issuer, signed by the Chairman of the Board or the President and the principal financial or accounting officer of each of Holdings and the Issuer, delivered on the Closing Date and dated the Closing Date, to the effect that the signers of such certificate have carefully examined the Pricing Disclosure Package and the Final Memorandum, any amendment or supplement to the Pricing Disclosure Package and the Final Memorandum and this Agreement and that: </w:t>
      </w:r>
    </w:p>
    <w:p>
      <w:pPr>
        <w:pStyle w:val="TextBody"/>
        <w:bidi w:val="0"/>
        <w:spacing w:before="120" w:after="0"/>
        <w:jc w:val="left"/>
        <w:rPr>
          <w:rFonts w:ascii="Times New Roman" w:hAnsi="Times New Roman"/>
          <w:sz w:val="20"/>
        </w:rPr>
      </w:pPr>
      <w:r>
        <w:rPr>
          <w:rFonts w:ascii="Times New Roman" w:hAnsi="Times New Roman"/>
          <w:sz w:val="20"/>
        </w:rPr>
        <w:t xml:space="preserve">(i) the representations and warranties of the Companies in this Agreement are true and correct in all material respects (other than the representations and warranties set forth in Section 1(tt), (uu) and (vv) which shall be true and correct in all respects) on and as of the Closing Date with the same effect as if made on the Closing Date, and the Companies have complied with all the agreements and satisfied all the conditions on their part to be performed or satisfied hereunder at or prior to the Closing Date; and </w:t>
      </w:r>
    </w:p>
    <w:p>
      <w:pPr>
        <w:pStyle w:val="TextBody"/>
        <w:bidi w:val="0"/>
        <w:spacing w:before="120" w:after="0"/>
        <w:jc w:val="left"/>
        <w:rPr>
          <w:rFonts w:ascii="Times New Roman" w:hAnsi="Times New Roman"/>
          <w:sz w:val="20"/>
        </w:rPr>
      </w:pPr>
      <w:r>
        <w:rPr>
          <w:rFonts w:ascii="Times New Roman" w:hAnsi="Times New Roman"/>
          <w:sz w:val="20"/>
        </w:rPr>
        <w:t xml:space="preserve">(ii) since the date of the most recent financial statements included in the Pricing Disclosure Package and the Final Memorandum (exclusive of any amendment or supplement thereto), there has been no material adverse change in the condition (financial or otherwise), prospects, earnings, business or properties of the Issuer, individually, or of Holdings and its subsidiaries, taken as a whole, whether or not arising from transactions in the ordinary course of business, except as set forth in or contemplated by the Pricing Disclosure Package and the Final Memorandum (exclusive of any amendment or supplement thereto). </w:t>
      </w:r>
    </w:p>
    <w:p>
      <w:pPr>
        <w:pStyle w:val="TextBody"/>
        <w:bidi w:val="0"/>
        <w:spacing w:before="120" w:after="0"/>
        <w:jc w:val="left"/>
        <w:rPr>
          <w:rFonts w:ascii="Times New Roman" w:hAnsi="Times New Roman"/>
          <w:sz w:val="20"/>
        </w:rPr>
      </w:pPr>
      <w:r>
        <w:rPr>
          <w:rFonts w:ascii="Times New Roman" w:hAnsi="Times New Roman"/>
          <w:sz w:val="20"/>
        </w:rPr>
        <w:t xml:space="preserve">(f) At the Time of Execution, Holdings shall have caused PricewaterhouseCoopers LLP to furnish to the Initial Purchasers a comfort letter, dated the Time of Execution, in form and substance satisfactory to counsel for the Initial Purchasers with respect to the audited and any unaudited or pro forma financial information in the Pricing Disclosure Package. On the Closing Date, Holdings shall have caused PricewaterhouseCoopers LLP to furnish to the Initial Purchasers a comfort letter dated the Closing Date, in form and substance satisfactory to counsel for the Initial Purchasers and reaffirming or updating as of a more recent date, the information in the comfort letter dated the Time of Execution. </w:t>
      </w:r>
    </w:p>
    <w:p>
      <w:pPr>
        <w:pStyle w:val="TextBody"/>
        <w:bidi w:val="0"/>
        <w:spacing w:before="120" w:after="0"/>
        <w:jc w:val="left"/>
        <w:rPr>
          <w:rFonts w:ascii="Times New Roman" w:hAnsi="Times New Roman"/>
          <w:sz w:val="20"/>
        </w:rPr>
      </w:pPr>
      <w:r>
        <w:rPr>
          <w:rFonts w:ascii="Times New Roman" w:hAnsi="Times New Roman"/>
          <w:sz w:val="20"/>
        </w:rPr>
        <w:t xml:space="preserve">(g) [Reserved]. </w:t>
      </w:r>
    </w:p>
    <w:p>
      <w:pPr>
        <w:pStyle w:val="TextBody"/>
        <w:bidi w:val="0"/>
        <w:spacing w:before="120" w:after="0"/>
        <w:jc w:val="left"/>
        <w:rPr>
          <w:rFonts w:ascii="Times New Roman" w:hAnsi="Times New Roman"/>
          <w:sz w:val="20"/>
        </w:rPr>
      </w:pPr>
      <w:r>
        <w:rPr>
          <w:rFonts w:ascii="Times New Roman" w:hAnsi="Times New Roman"/>
          <w:sz w:val="20"/>
        </w:rPr>
        <w:t xml:space="preserve">(h) Subsequent to the Time of Execution or, if earlier, the dates as of which information is given in the Pricing Disclosure Package and the Final Memorandum (exclusive of any amendment or supplement thereto), there shall not have been (i) any change or decrease specified in the letter or letters referred to in paragraph (f) of this Section 6; or (ii) any change, or any development involving a prospective change, in or affecting the condition (financial or otherwise), prospects, earnings, business or properties of the Issuer or of Holdings and its subsidiaries, whether or not arising from transactions in the ordinary course of business, except as set forth in or contemplated in the Pricing Disclosure Package and the Final Memorandum (exclusive of any amendment or supplement thereto) the effect of which, in any case referred to in clause (i) or (ii) above, is, in the sole judgment of the Representative, so material and adverse as to make it impractical or inadvisable to proceed with the offering or delivery of the Securities as contemplated by the Pricing Disclosure Package and the Final Memorandum (exclusive of any amendment or supplement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The Companies and the Trustee shall have entered into the Indenture in form and substance reasonably satisfactory to the Representative, and the Representative shall have received counterparts, conformed as executed, thereof. </w:t>
      </w:r>
    </w:p>
    <w:p>
      <w:pPr>
        <w:pStyle w:val="TextBody"/>
        <w:bidi w:val="0"/>
        <w:spacing w:before="120" w:after="0"/>
        <w:jc w:val="left"/>
        <w:rPr>
          <w:rFonts w:ascii="Times New Roman" w:hAnsi="Times New Roman"/>
          <w:sz w:val="20"/>
        </w:rPr>
      </w:pPr>
      <w:r>
        <w:rPr>
          <w:rFonts w:ascii="Times New Roman" w:hAnsi="Times New Roman"/>
          <w:sz w:val="20"/>
        </w:rPr>
        <w:t xml:space="preserve">(j) Each of the Guarantors shall have executed a Guarantee in form and substance reasonably satisfactory to the Representative, and the Initial Purchasers shall have received counterparts, conformed as executed, thereof. </w:t>
      </w:r>
    </w:p>
    <w:p>
      <w:pPr>
        <w:pStyle w:val="TextBody"/>
        <w:bidi w:val="0"/>
        <w:spacing w:before="120" w:after="0"/>
        <w:jc w:val="left"/>
        <w:rPr>
          <w:rFonts w:ascii="Times New Roman" w:hAnsi="Times New Roman"/>
          <w:sz w:val="20"/>
        </w:rPr>
      </w:pPr>
      <w:r>
        <w:rPr>
          <w:rFonts w:ascii="Times New Roman" w:hAnsi="Times New Roman"/>
          <w:sz w:val="20"/>
        </w:rPr>
        <w:t xml:space="preserve">(k) The Companies shall have filed an application to list the Notes on the Official List of the Luxembourg Stock Exchange, and the Notes shall be eligible for clearance and settlement through Euroclear and Clearstream. </w:t>
      </w:r>
    </w:p>
    <w:p>
      <w:pPr>
        <w:pStyle w:val="TextBody"/>
        <w:bidi w:val="0"/>
        <w:spacing w:before="120" w:after="0"/>
        <w:jc w:val="left"/>
        <w:rPr>
          <w:rFonts w:ascii="Times New Roman" w:hAnsi="Times New Roman"/>
          <w:sz w:val="20"/>
        </w:rPr>
      </w:pPr>
      <w:r>
        <w:rPr>
          <w:rFonts w:ascii="Times New Roman" w:hAnsi="Times New Roman"/>
          <w:sz w:val="20"/>
        </w:rPr>
        <w:t xml:space="preserve">(l) The Companies shall have appointed CT Corporation System, located at 111 Eighth Avenue, New York, New York 10011, as its agent for service of process in the United States under this Agreement, the Indenture and the Securities in accordance with Section 21 hereof and the equivalent provision in the Indenture. </w:t>
      </w:r>
    </w:p>
    <w:p>
      <w:pPr>
        <w:pStyle w:val="TextBody"/>
        <w:bidi w:val="0"/>
        <w:spacing w:before="120" w:after="0"/>
        <w:jc w:val="left"/>
        <w:rPr>
          <w:rFonts w:ascii="Times New Roman" w:hAnsi="Times New Roman"/>
          <w:sz w:val="20"/>
        </w:rPr>
      </w:pPr>
      <w:r>
        <w:rPr>
          <w:rFonts w:ascii="Times New Roman" w:hAnsi="Times New Roman"/>
          <w:sz w:val="20"/>
        </w:rPr>
        <w:t xml:space="preserve">(m) The Issuer and each of the Guarantors shall have taken all necessary corporate action required to execute, deliver and perform the obligations under the Transaction Documents (including, without limitation, the application of the proceeds from the issuance of the Securities) and such documents shall be in full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(n) Subsequent to the Time of Execution, there shall not have been any decrease in the rating of any debt securities of any of the Companies by any nationally recognized statistical rating organization registered under Section 15E of the Exchange Act or any notice given of any intended or potential decrease in any such rating or of a possible change in any such rating that does not indicate the direction of the possible change. </w:t>
      </w:r>
    </w:p>
    <w:p>
      <w:pPr>
        <w:pStyle w:val="TextBody"/>
        <w:bidi w:val="0"/>
        <w:spacing w:before="120" w:after="0"/>
        <w:jc w:val="left"/>
        <w:rPr>
          <w:rFonts w:ascii="Times New Roman" w:hAnsi="Times New Roman"/>
          <w:sz w:val="20"/>
        </w:rPr>
      </w:pPr>
      <w:r>
        <w:rPr>
          <w:rFonts w:ascii="Times New Roman" w:hAnsi="Times New Roman"/>
          <w:sz w:val="20"/>
        </w:rPr>
        <w:t xml:space="preserve">(o) Prior to the Closing Date, each of the Companies shall have furnished to the Representative such further information, certificates and documents as the Representative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If any of the conditions specified in this Section 6 shall not have been fulfilled in all respects when and as provided in this Agreement, or if any of the opinions and certificates mentioned above or elsewhere in this Agreement shall not be in all material respects reasonably satisfactory in form and substance to the Representative and counsel for the Initial Purchasers, this Agreement and all obligations of the Initial Purchasers hereunder may be canceled at, or at any time prior to, the Closing Date by the Initial Purchasers. Notice of such cancellation shall be given to the Companies in writing or by telephone or facsimile confirmed in writing. </w:t>
      </w:r>
    </w:p>
    <w:p>
      <w:pPr>
        <w:pStyle w:val="TextBody"/>
        <w:bidi w:val="0"/>
        <w:spacing w:before="240" w:after="0"/>
        <w:jc w:val="left"/>
        <w:rPr>
          <w:rFonts w:ascii="Times New Roman" w:hAnsi="Times New Roman"/>
          <w:sz w:val="20"/>
        </w:rPr>
      </w:pPr>
      <w:r>
        <w:rPr>
          <w:rFonts w:ascii="Times New Roman" w:hAnsi="Times New Roman"/>
          <w:sz w:val="20"/>
        </w:rPr>
        <w:t xml:space="preserve">The documents required to be delivered by this Section 6 will be delivered at the office of Cahill Gordon &amp; Reindel LLP, counsel for the Initial Purchasers, at 32 Old Slip, New York, New York 10005.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Reimbursement of Expenses</w:t>
      </w:r>
      <w:r>
        <w:rPr>
          <w:rFonts w:ascii="Times New Roman" w:hAnsi="Times New Roman"/>
          <w:sz w:val="20"/>
        </w:rPr>
        <w:t xml:space="preserve">. If the sale of the Securities provided for herein is not consummated because any condition to the obligations of the Initial Purchasers set forth in Section 6 hereof is not satisfied, because of any termination pursuant to Section 10 hereof or because of any refusal, inability or failure on the part of any Company to perform any agreement herein or comply with any provision hereof other than by reason of a default by any of the Initial Purchasers, the Companies, jointly and severally, agree to reimburse the Initial Purchasers severally through the Representative promptly after demand for all reasonable out-of-pocket expenses (including reasonable fees and disbursements of counsel) that shall have been incurred by them in connection with the proposed purchase and sale of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Indemnification and Contribution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Companies, jointly and severally, agree, to indemnify and hold harmless each Initial Purchaser, the directors, officers, employees, affiliates and agents of each Initial Purchaser and each person who controls any Initial Purchaser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Pricing Disclosure Package, any Issuer Written Communication, the Final Memorandum (or in any supplement or amendment thereto) or any information provided by any Company to any holder or prospective purchaser of Securities pursuant to Section 5(h), or in any amendment thereof or supplement thereto, or arise out of or are based upon the omission or alleged omission to state therein a material fact required to be stated therein or necessary to make the statements therein, in the light of the circumstances under which they were made, not misleading, and agrees to reimburse each such indemnified party, as incurred, for any legal or other expenses reasonably incurred by them in connection with investigating or defending any such loss, claim, damage, liability or action;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Companies will not be liable in any such case to the extent that any such loss, claim, damage or liability arises out of or is based upon any such untrue statement or alleged untrue statement or omission or alleged omission made in the Pricing Disclosure Package or the Final Memorandum, or in any amendment thereof or supplement thereto, in reliance upon and in conformity with written information furnished to the Companies by or on behalf of any Initial Purchaser specifically for inclusion therein. This indemnity agreement will be in addition to any liability which the Companies may otherwise have. </w:t>
      </w:r>
    </w:p>
    <w:p>
      <w:pPr>
        <w:pStyle w:val="TextBody"/>
        <w:bidi w:val="0"/>
        <w:spacing w:before="120" w:after="0"/>
        <w:jc w:val="left"/>
        <w:rPr>
          <w:rFonts w:ascii="Times New Roman" w:hAnsi="Times New Roman"/>
          <w:sz w:val="20"/>
        </w:rPr>
      </w:pPr>
      <w:r>
        <w:rPr>
          <w:rFonts w:ascii="Times New Roman" w:hAnsi="Times New Roman"/>
          <w:sz w:val="20"/>
        </w:rPr>
        <w:t xml:space="preserve">(b) Each Initial Purchaser, severally and not jointly, agrees to indemnify and hold harmless, each Company, each of their directors, each of their officers, each of their employees, each of their agents and each person who controls a Company within the meaning of either the Act or the Exchange Act and to the same extent as the foregoing indemnity from the Companies to each Initial Purchaser, but only with reference to written information relating to such Initial Purchaser furnished to the Companies by or on behalf of such Initial Purchaser specifically for inclusion in the Pricing Disclosure Package, the Final Memorandum (or in any amendment or supplement thereto) or any Issuer Written Communication. This indemnity agreement will be in addition to any liability which any Initial Purchaser may otherwise have. The Companies acknowledge that the statements set forth in the paragraph related to stabilization, syndicate covering transactions and penalty bids and the fifth sentence in the fourteenth paragraph, each under the heading Plan of Distribution in the Preliminary Memorandum and Final Memorandum, constitute the only information furnished in writing by or on behalf of the Initial Purchasers for inclusion in the Pricing Disclosure Package and Final Memorandum (or in any amendment or supplement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Promptly after receipt by an indemnified party under this Section 8 of notice of the commencement of any action, such indemnified party will, if a claim in respect thereof is to be made against the indemnifying party under this Section 8,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counsel shall be reasonably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any statement as to or any findings of fault, culpability or failure to act by or on behalf of any indemnified party. An indemnifying party shall not be liable under this Section 8 to any indemnified party regarding any settlement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is consented to by such indemnifying party, which consent shall not be unreasonably withheld.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 In the event that the indemnity provided in paragraph (a) or (b) of this Section 8 is unavailable to or insufficient to hold harmless an indemnified party for any reason, the Companies and the Initial Purchasers, severally and not jointly, agree to contribute to the aggregate losses, claims, damages and liabilities (including legal or other expenses reasonably incurred in connection with investigating or defending same) (collectively </w:t>
      </w:r>
      <w:r>
        <w:rPr>
          <w:rFonts w:ascii="Times New Roman" w:hAnsi="Times New Roman"/>
          <w:sz w:val="20"/>
          <w:u w:val="single"/>
        </w:rPr>
        <w:t>Losses</w:t>
      </w:r>
      <w:r>
        <w:rPr>
          <w:rFonts w:ascii="Times New Roman" w:hAnsi="Times New Roman"/>
          <w:sz w:val="20"/>
        </w:rPr>
        <w:t xml:space="preserve">) to which one or more of the Companies and the Initial Purchasers may be subject in such proportion as is appropriate to reflect the relative benefits received by the Companies on the one hand and by the Initial Purchasers on the other hand from the offering of the Securities;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no case shall any Initial Purchaser (except as may be provided in any agreement among the Initial Purchasers relating to the offering of the Securities) be responsible for any amount in excess of the purchase discount or commission applicable to the Securities purchased by such Initial Purchaser hereunder. If the allocation provided by the immediately preceding sentence is unavailable for any reason, the Companies and the Initial Purchasers shall contribute in such proportion as is appropriate to reflect not only such relative benefits but also the relative fault of the Companies on the one hand and of the Initial Purchasers on the other hand in connection with the statements or omissions which resulted in such Losses, as well as any other relevant equitable considerations. Benefits received by the Companies shall be deemed to be equal to the total net proceeds from the offering (before deducting expenses) received by the Issuer, and benefits received by the Initial Purchasers shall be deemed to be equal to the total purchase discounts and commissions. Relative fault shall be determined by reference to, among other things, whether any untrue or any alleged untrue statement of a material fact or the omission or alleged omission to state a material fact relates to information provided by the Companies on the one hand or the Initial Purchasers on the other, the intent of the parties and their relative knowledge, information and opportunity to correct or prevent such untrue statement or omission. The Issuer, the Guarantors and the Initial Purchasers agree that it would not be just and equitable if contribution were determined by pro rata allocation or any other method of allocation which does not take account of the equitable considerations referred to above. Notwithstanding the provisions of this Section 8(d), no Initial Purchaser shall be required to contribute any amount in excess of the discount received by such Initial Purchaser in connection with the Securities distributed by it. Notwithstanding the provisions of this paragraph (d), no person guilty of fraudulent misrepresentation (within the meaning of Section 11(f) of the Act) shall be entitled to contribution from any person who was not guilty of such fraudulent misrepresentation. For purposes of this Section 8, each person who controls an Initial Purchaser within the meaning of either the Act or the Exchange Act and each director, officer, employee, affiliate and agent of an Initial Purchaser shall have the same rights to contribution as such Initial Purchaser, and each person who controls a Company within the meaning of either the Act or the Exchange Act and each officer, director, employee and agent of a Company shall have the same rights to contribution as such Company, subject in each case to the applicable terms and conditions of this paragraph (d). </w:t>
      </w:r>
    </w:p>
    <w:p>
      <w:pPr>
        <w:pStyle w:val="TextBody"/>
        <w:bidi w:val="0"/>
        <w:spacing w:before="12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Default by an Initial Purchaser</w:t>
      </w:r>
      <w:r>
        <w:rPr>
          <w:rFonts w:ascii="Times New Roman" w:hAnsi="Times New Roman"/>
          <w:sz w:val="20"/>
        </w:rPr>
        <w:t xml:space="preserve">. If any one or more Initial Purchasers shall fail to purchase and pay for any of the Securities agreed to be purchased by such Initial Purchaser hereunder and such failure to purchase shall constitute a default in the performance of its or their obligations under this Agreement, the remaining Initial Purchasers shall be obligated severally to take up and pay for (at the respective purchase prices set forth in Section 2 and in the respective proportions which the amount of Securities set forth opposite their names in </w:t>
      </w:r>
      <w:r>
        <w:rPr>
          <w:rFonts w:ascii="Times New Roman" w:hAnsi="Times New Roman"/>
          <w:sz w:val="20"/>
          <w:u w:val="single"/>
        </w:rPr>
        <w:t>Schedule I</w:t>
      </w:r>
      <w:r>
        <w:rPr>
          <w:rFonts w:ascii="Times New Roman" w:hAnsi="Times New Roman"/>
          <w:sz w:val="20"/>
        </w:rPr>
        <w:t xml:space="preserve"> hereto bears to the aggregate amount of Securities set forth opposite the names of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remaining Initial Purchasers) the Securities which the defaulting Initial Purchaser or Initial Purchasers agreed but failed to purchase;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that the aggregate amount of Securities which the defaulting Initial Purchaser or Initial Purchasers agreed but failed to purchase shall exceed 10% of the aggregate amount of Securities set forth in </w:t>
      </w:r>
      <w:r>
        <w:rPr>
          <w:rFonts w:ascii="Times New Roman" w:hAnsi="Times New Roman"/>
          <w:sz w:val="20"/>
          <w:u w:val="single"/>
        </w:rPr>
        <w:t>Schedule I</w:t>
      </w:r>
      <w:r>
        <w:rPr>
          <w:rFonts w:ascii="Times New Roman" w:hAnsi="Times New Roman"/>
          <w:sz w:val="20"/>
        </w:rPr>
        <w:t xml:space="preserve"> hereto, the remaining Initial Purchasers shall have the right to purchase all, but shall not be under any obligation to purchase any, of the Securities, and if such nondefaulting Initial Purchasers do not purchase all the Securities, this Agreement will terminate without liability to any nondefaulting Initial Purchaser or the Companies. In the event of a default by any Initial Purchaser as set forth in this Section 9, the Closing Date shall be postponed for such period, not exceeding five Business Days, as the Representative shall determine in order that the required changes in the Pricing Disclosure Package and the Final Memorandum or in any other documents or arrangements may be effected. Nothing contained in this Agreement and no action taken under this paragraph shall relieve any defaulting Initial Purchaser of its liability, if any, to the Companies or any nondefaulting Initial Purchaser for damages occasioned by its default hereunder. </w:t>
      </w:r>
    </w:p>
    <w:p>
      <w:pPr>
        <w:pStyle w:val="TextBody"/>
        <w:bidi w:val="0"/>
        <w:spacing w:before="12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Termination</w:t>
      </w:r>
      <w:r>
        <w:rPr>
          <w:rFonts w:ascii="Times New Roman" w:hAnsi="Times New Roman"/>
          <w:sz w:val="20"/>
        </w:rPr>
        <w:t xml:space="preserve">. This Agreement shall be subject to termination in the absolute discretion of the Representative, by notice given to the Issuer prior to delivery of and payment for the Securities, if at any time prior to such time (i) trading in any of Holdings securities shall have been suspended by the Commission or the New York Stock Exchange or trading in securities generally on the New York Stock Exchange, the Luxembourg Stock Exchange or the Nasdaq Global Market shall have been suspended or limited or minimum prices shall have been established on any such exchange or Nasdaq Global Market; (ii) a banking moratorium shall have been declared either by Federal or New York State authorities or by authorities in the European Union or any member state thereof; or (iii) there shall have occurred any outbreak or escalation of hostilities, declaration by the United States or the European Union or any member state thereof of a national emergency or war or other calamity or crisis the effect of which on financial markets is such as to make it, in the sole judgment of the Representative, impracticable or inadvisable to proceed with the offering or delivery of the Securities as contemplated by the Pricing Disclosure Package and the Final Memorandum (exclusive of any amendment or supplement thereto). </w:t>
      </w:r>
    </w:p>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Representations and Indemnities to Survive</w:t>
      </w:r>
      <w:r>
        <w:rPr>
          <w:rFonts w:ascii="Times New Roman" w:hAnsi="Times New Roman"/>
          <w:sz w:val="20"/>
        </w:rPr>
        <w:t xml:space="preserve">. The respective indemnities, rights of contribution, qualified financial contracts resolution stay and bail-in provisions, agreements, representations, warranties and other statements of the Companies or their respective officers and of the Initial Purchasers set forth in or made pursuant to this Agreement will remain in full force and effect, regardless of any investigation made by or on behalf of the Initial Purchasers or the Companies or any of the officers, directors, employees, agents or controlling persons referred to in Section 8 hereof, and will survive delivery of and payment for the Securities. The provisions of Sections 7, 8 and 11 hereof shall survive the termination or cancellation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Notices</w:t>
      </w:r>
      <w:r>
        <w:rPr>
          <w:rFonts w:ascii="Times New Roman" w:hAnsi="Times New Roman"/>
          <w:sz w:val="20"/>
        </w:rPr>
        <w:t xml:space="preserve">. All communications hereunder will be in writing and effective only on receipt, and, if sent to the Initial Purchasers, will be mailed, delivered or telefaxed to BNP Paribas, 10 Harewood Avenue, London NW1 6AA, United Kingdom, Attention: Fixed Income Syndicate; if sent to the Companies, will be mailed, delivered or telefaxed to Crown Holdings, Inc., 770 Township Line Road, Yardley, PA 19067, Attention: General Counsel (email: Adam.Dickstein@crowncork.com), with a copy to Dechert LLP, Cira Center, 2929 Arch Street, Philadelphia, PA 19104, Attention: Ian A. Hartman (fax no.: (215) 994-2222).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Agreement and Acknowledgment with Respect to the Exercise of Bail-in Powers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Exercise of EU Bail-in Powers</w:t>
      </w:r>
      <w:r>
        <w:rPr>
          <w:rFonts w:ascii="Times New Roman" w:hAnsi="Times New Roman"/>
          <w:sz w:val="20"/>
        </w:rPr>
        <w:t xml:space="preserve">. Notwithstanding and to the exclusion of any other term of this Agreement or any other agreements, arrangements or understandings between any applicable Initial Purchaser and any other party to this Agreement, each of the parties to this Agreement acknowledges and accepts that a BRRD Liability arising under this Agreement may be subject to the exercise of the relevant Bail-in Powers by the Relevant Resolution Authority, and acknowledges, accepts and agrees to be bound by: </w:t>
      </w:r>
    </w:p>
    <w:p>
      <w:pPr>
        <w:pStyle w:val="TextBody"/>
        <w:bidi w:val="0"/>
        <w:spacing w:before="120" w:after="0"/>
        <w:jc w:val="left"/>
        <w:rPr>
          <w:rFonts w:ascii="Times New Roman" w:hAnsi="Times New Roman"/>
          <w:sz w:val="20"/>
        </w:rPr>
      </w:pPr>
      <w:r>
        <w:rPr>
          <w:rFonts w:ascii="Times New Roman" w:hAnsi="Times New Roman"/>
          <w:sz w:val="20"/>
        </w:rPr>
        <w:t>(i) the effect of the exercise of Bail-in Powers by the Relevant Resolution Authority in relation to any BRRD Liability of an applicable Initial Purchaser (the </w:t>
      </w:r>
      <w:r>
        <w:rPr>
          <w:rFonts w:ascii="Times New Roman" w:hAnsi="Times New Roman"/>
          <w:sz w:val="20"/>
          <w:u w:val="single"/>
        </w:rPr>
        <w:t>Relevant BRRD Party</w:t>
      </w:r>
      <w:r>
        <w:rPr>
          <w:rFonts w:ascii="Times New Roman" w:hAnsi="Times New Roman"/>
          <w:sz w:val="20"/>
        </w:rPr>
        <w:t xml:space="preserve">) to such other party under this Agreement, that (without limitation) may include and result in any of the following, or some combination thereof: </w:t>
      </w:r>
    </w:p>
    <w:p>
      <w:pPr>
        <w:pStyle w:val="TextBody"/>
        <w:bidi w:val="0"/>
        <w:spacing w:before="120" w:after="0"/>
        <w:jc w:val="left"/>
        <w:rPr>
          <w:rFonts w:ascii="Times New Roman" w:hAnsi="Times New Roman"/>
          <w:sz w:val="20"/>
        </w:rPr>
      </w:pPr>
      <w:r>
        <w:rPr>
          <w:rFonts w:ascii="Times New Roman" w:hAnsi="Times New Roman"/>
          <w:sz w:val="20"/>
        </w:rPr>
        <w:t xml:space="preserve">(a) the reduction of all, or a portion, of the BRRD Liability or outstanding amounts due thereon; </w:t>
      </w:r>
    </w:p>
    <w:p>
      <w:pPr>
        <w:pStyle w:val="TextBody"/>
        <w:bidi w:val="0"/>
        <w:spacing w:before="120" w:after="0"/>
        <w:jc w:val="left"/>
        <w:rPr>
          <w:rFonts w:ascii="Times New Roman" w:hAnsi="Times New Roman"/>
          <w:sz w:val="20"/>
        </w:rPr>
      </w:pPr>
      <w:r>
        <w:rPr>
          <w:rFonts w:ascii="Times New Roman" w:hAnsi="Times New Roman"/>
          <w:sz w:val="20"/>
        </w:rPr>
        <w:t xml:space="preserve">(b) the conversion of all, or a portion, of the BRRD Liability into shares, other securities or other obligations of the Relevant BRRD Party or another person, and the issue to or conferral on such other party to this Agreement of such shares, securities or obligations; </w:t>
      </w:r>
    </w:p>
    <w:p>
      <w:pPr>
        <w:pStyle w:val="TextBody"/>
        <w:bidi w:val="0"/>
        <w:spacing w:before="120" w:after="0"/>
        <w:jc w:val="left"/>
        <w:rPr>
          <w:rFonts w:ascii="Times New Roman" w:hAnsi="Times New Roman"/>
          <w:sz w:val="20"/>
        </w:rPr>
      </w:pPr>
      <w:r>
        <w:rPr>
          <w:rFonts w:ascii="Times New Roman" w:hAnsi="Times New Roman"/>
          <w:sz w:val="20"/>
        </w:rPr>
        <w:t xml:space="preserve">(c) the cancellation of the BRRD Liability; or </w:t>
      </w:r>
    </w:p>
    <w:p>
      <w:pPr>
        <w:pStyle w:val="TextBody"/>
        <w:bidi w:val="0"/>
        <w:spacing w:before="120" w:after="0"/>
        <w:jc w:val="left"/>
        <w:rPr>
          <w:rFonts w:ascii="Times New Roman" w:hAnsi="Times New Roman"/>
          <w:sz w:val="20"/>
        </w:rPr>
      </w:pPr>
      <w:r>
        <w:rPr>
          <w:rFonts w:ascii="Times New Roman" w:hAnsi="Times New Roman"/>
          <w:sz w:val="20"/>
        </w:rPr>
        <w:t xml:space="preserve">(d) the amendment or alteration of any interest, if applicable, thereon, the maturity or the dates on which any payments are due, including by suspending payment for a temporary period; and </w:t>
      </w:r>
    </w:p>
    <w:p>
      <w:pPr>
        <w:pStyle w:val="TextBody"/>
        <w:bidi w:val="0"/>
        <w:spacing w:before="120" w:after="0"/>
        <w:jc w:val="left"/>
        <w:rPr>
          <w:rFonts w:ascii="Times New Roman" w:hAnsi="Times New Roman"/>
          <w:sz w:val="20"/>
        </w:rPr>
      </w:pPr>
      <w:r>
        <w:rPr>
          <w:rFonts w:ascii="Times New Roman" w:hAnsi="Times New Roman"/>
          <w:sz w:val="20"/>
        </w:rPr>
        <w:t xml:space="preserve">(ii) the variation of the terms of this Agreement, as deemed necessary by the Relevant Resolution Authority, to give effect to the exercise of Bail-in Powers by the Relevant Resolution Authority.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Section 13(a):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EU Bail-in Legislation</w:t>
      </w:r>
      <w:r>
        <w:rPr>
          <w:rFonts w:ascii="Times New Roman" w:hAnsi="Times New Roman"/>
          <w:sz w:val="20"/>
        </w:rPr>
        <w:t xml:space="preserve"> means in relation to a member state of the European Economic Area which has implemented, or which at any time implements, the BRRD, the relevant implementing law, regulation, rule or requirement as described in the EU Bail-in Legislation Schedule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Bail-in Powers</w:t>
      </w:r>
      <w:r>
        <w:rPr>
          <w:rFonts w:ascii="Times New Roman" w:hAnsi="Times New Roman"/>
          <w:sz w:val="20"/>
        </w:rPr>
        <w:t xml:space="preserve"> means any Write-down and Conversion Powers as defined in the EU Bail-in Legislation Schedule, in relation to the relevant Bail-in Legislation;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BRRD</w:t>
      </w:r>
      <w:r>
        <w:rPr>
          <w:rFonts w:ascii="Times New Roman" w:hAnsi="Times New Roman"/>
          <w:sz w:val="20"/>
        </w:rPr>
        <w:t xml:space="preserve"> means Directive 2014/59/EU establishing a framework for the recovery and resolution of credit institutions and investment firms;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BRRD Liability</w:t>
      </w:r>
      <w:r>
        <w:rPr>
          <w:rFonts w:ascii="Times New Roman" w:hAnsi="Times New Roman"/>
          <w:sz w:val="20"/>
        </w:rPr>
        <w:t xml:space="preserve"> means a liability in respect of which the relevant Write Down and Conversion Powers in the applicable Bail-in Legislation may be exercised;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EU Bail-in Legislation Schedule</w:t>
      </w:r>
      <w:r>
        <w:rPr>
          <w:rFonts w:ascii="Times New Roman" w:hAnsi="Times New Roman"/>
          <w:sz w:val="20"/>
        </w:rPr>
        <w:t xml:space="preserve"> means the document described as such, then in effect, and published by the Loan Market Association (or any successor person) from time to time at http://www.lma.eu.com/documents-guidelines/eu-bail-legislation-schedule; and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Relevant Resolution Authority</w:t>
      </w:r>
      <w:r>
        <w:rPr>
          <w:rFonts w:ascii="Times New Roman" w:hAnsi="Times New Roman"/>
          <w:sz w:val="20"/>
        </w:rPr>
        <w:t xml:space="preserve"> means the resolution authority with the ability to exercise any Bail-in Powers in relation to the Relevant BRRD Party.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Exercise of UK Bail-in Powers</w:t>
      </w:r>
      <w:r>
        <w:rPr>
          <w:rFonts w:ascii="Times New Roman" w:hAnsi="Times New Roman"/>
          <w:i/>
          <w:sz w:val="20"/>
        </w:rPr>
        <w:t>.</w:t>
      </w:r>
      <w:r>
        <w:rPr>
          <w:rFonts w:ascii="Times New Roman" w:hAnsi="Times New Roman"/>
          <w:sz w:val="20"/>
        </w:rPr>
        <w:t xml:space="preserve"> Notwithstanding and to the exclusion of any other term of this Agreement or any other agreements, arrangements or understandings between any applicable Initial Purchaser and any other party to this Agreement, each of the parties to this Agreement acknowledges and accepts that a UK Bail-in Liability arising under this Agreement may be subject to the exercise of UK Bail-in Powers by the relevant UK Resolution Authority, and acknowledges, accepts and agrees to be bound by: </w:t>
      </w:r>
    </w:p>
    <w:p>
      <w:pPr>
        <w:pStyle w:val="TextBody"/>
        <w:bidi w:val="0"/>
        <w:spacing w:before="120" w:after="0"/>
        <w:jc w:val="left"/>
        <w:rPr>
          <w:rFonts w:ascii="Times New Roman" w:hAnsi="Times New Roman"/>
          <w:sz w:val="20"/>
        </w:rPr>
      </w:pPr>
      <w:r>
        <w:rPr>
          <w:rFonts w:ascii="Times New Roman" w:hAnsi="Times New Roman"/>
          <w:sz w:val="20"/>
        </w:rPr>
        <w:t>(i) the effect of the exercise of UK Bail-in Powers by the relevant UK Resolution Authority in relation to any UK Bail-in Liability of an applicable Initial Purchaser (the </w:t>
      </w:r>
      <w:r>
        <w:rPr>
          <w:rFonts w:ascii="Times New Roman" w:hAnsi="Times New Roman"/>
          <w:sz w:val="20"/>
          <w:u w:val="single"/>
        </w:rPr>
        <w:t>Relevant UK Bail-in Party</w:t>
      </w:r>
      <w:r>
        <w:rPr>
          <w:rFonts w:ascii="Times New Roman" w:hAnsi="Times New Roman"/>
          <w:sz w:val="20"/>
        </w:rPr>
        <w:t xml:space="preserve">) to any other party under this Agreement, that (without limitation) may include and result in any of the following, or some combination thereof: </w:t>
      </w:r>
    </w:p>
    <w:p>
      <w:pPr>
        <w:pStyle w:val="TextBody"/>
        <w:bidi w:val="0"/>
        <w:spacing w:before="120" w:after="0"/>
        <w:jc w:val="left"/>
        <w:rPr>
          <w:rFonts w:ascii="Times New Roman" w:hAnsi="Times New Roman"/>
          <w:sz w:val="20"/>
        </w:rPr>
      </w:pPr>
      <w:r>
        <w:rPr>
          <w:rFonts w:ascii="Times New Roman" w:hAnsi="Times New Roman"/>
          <w:sz w:val="20"/>
        </w:rPr>
        <w:t xml:space="preserve">(a) the reduction of all, or a portion, of the UK Bail-in Liability or outstanding amounts due thereon; </w:t>
      </w:r>
    </w:p>
    <w:p>
      <w:pPr>
        <w:pStyle w:val="TextBody"/>
        <w:bidi w:val="0"/>
        <w:spacing w:before="120" w:after="0"/>
        <w:jc w:val="left"/>
        <w:rPr>
          <w:rFonts w:ascii="Times New Roman" w:hAnsi="Times New Roman"/>
          <w:sz w:val="20"/>
        </w:rPr>
      </w:pPr>
      <w:r>
        <w:rPr>
          <w:rFonts w:ascii="Times New Roman" w:hAnsi="Times New Roman"/>
          <w:sz w:val="20"/>
        </w:rPr>
        <w:t xml:space="preserve">(b) the conversion of all, or a portion, of the UK Bail-in Liability into shares or other securities or other obligations of the Relevant UK Bail-in Party or another person, and the issue to or conferral on such other party to this Agreement of such shares, securities or obligations; </w:t>
      </w:r>
    </w:p>
    <w:p>
      <w:pPr>
        <w:pStyle w:val="TextBody"/>
        <w:bidi w:val="0"/>
        <w:spacing w:before="120" w:after="0"/>
        <w:jc w:val="left"/>
        <w:rPr>
          <w:rFonts w:ascii="Times New Roman" w:hAnsi="Times New Roman"/>
          <w:sz w:val="20"/>
        </w:rPr>
      </w:pPr>
      <w:r>
        <w:rPr>
          <w:rFonts w:ascii="Times New Roman" w:hAnsi="Times New Roman"/>
          <w:sz w:val="20"/>
        </w:rPr>
        <w:t xml:space="preserve">(c) the cancellation of the UK Bail-in Liability; or </w:t>
      </w:r>
    </w:p>
    <w:p>
      <w:pPr>
        <w:pStyle w:val="TextBody"/>
        <w:bidi w:val="0"/>
        <w:spacing w:before="120" w:after="0"/>
        <w:jc w:val="left"/>
        <w:rPr>
          <w:rFonts w:ascii="Times New Roman" w:hAnsi="Times New Roman"/>
          <w:sz w:val="20"/>
        </w:rPr>
      </w:pPr>
      <w:r>
        <w:rPr>
          <w:rFonts w:ascii="Times New Roman" w:hAnsi="Times New Roman"/>
          <w:sz w:val="20"/>
        </w:rPr>
        <w:t xml:space="preserve">(d) the amendment or alteration of any interest, if applicable, thereon, the maturity or the dates on which any payments are due, including by suspending payment for a temporary period; and </w:t>
      </w:r>
    </w:p>
    <w:p>
      <w:pPr>
        <w:pStyle w:val="TextBody"/>
        <w:bidi w:val="0"/>
        <w:spacing w:before="120" w:after="0"/>
        <w:jc w:val="left"/>
        <w:rPr>
          <w:rFonts w:ascii="Times New Roman" w:hAnsi="Times New Roman"/>
          <w:sz w:val="20"/>
        </w:rPr>
      </w:pPr>
      <w:r>
        <w:rPr>
          <w:rFonts w:ascii="Times New Roman" w:hAnsi="Times New Roman"/>
          <w:sz w:val="20"/>
        </w:rPr>
        <w:t xml:space="preserve">(ii) the variation of the terms of this Agreement, as deemed necessary, to give effect to the exercise of UK Bail-in Powers by the relevant UK Resolution Authority.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Section 13(b):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UK Bail-in Legislation</w:t>
      </w:r>
      <w:r>
        <w:rPr>
          <w:rFonts w:ascii="Times New Roman" w:hAnsi="Times New Roman"/>
          <w:sz w:val="20"/>
        </w:rPr>
        <w:t xml:space="preserve"> means Part I of the UK Banking Act 2009, as amended, and any other law or regulation applicable in the UK relating to the resolution of unsound or failing banks, investment firms or other financial institutions or their affiliates (otherwise than through liquidation, administration or other insolvency proceedings);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UK Bail-in Liability</w:t>
      </w:r>
      <w:r>
        <w:rPr>
          <w:rFonts w:ascii="Times New Roman" w:hAnsi="Times New Roman"/>
          <w:sz w:val="20"/>
        </w:rPr>
        <w:t xml:space="preserve"> means a liability in respect of which the UK Bail-in Powers may be exercised; and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UK Bail-in Powers</w:t>
      </w:r>
      <w:r>
        <w:rPr>
          <w:rFonts w:ascii="Times New Roman" w:hAnsi="Times New Roman"/>
          <w:sz w:val="20"/>
        </w:rPr>
        <w:t xml:space="preserve"> means the powers under the UK Bail-In Legislation to cancel, transfer or dilute shares issued by a person that is a bank or investment firm or affiliate of a bank or investment firm,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UK Resolution Authority</w:t>
      </w:r>
      <w:r>
        <w:rPr>
          <w:rFonts w:ascii="Times New Roman" w:hAnsi="Times New Roman"/>
          <w:sz w:val="20"/>
        </w:rPr>
        <w:t xml:space="preserve"> means the resolution authority with the ability to exercise any UK Bail-in Powers in relation to a Relevant UK Bail-in Party. </w:t>
      </w:r>
    </w:p>
    <w:p>
      <w:pPr>
        <w:pStyle w:val="TextBody"/>
        <w:bidi w:val="0"/>
        <w:spacing w:before="12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Successors</w:t>
      </w:r>
      <w:r>
        <w:rPr>
          <w:rFonts w:ascii="Times New Roman" w:hAnsi="Times New Roman"/>
          <w:sz w:val="20"/>
        </w:rPr>
        <w:t xml:space="preserve">. This Agreement will inure to the benefit of and be binding upon the parties hereto and their respective successors and the officers and directors and controlling persons referred to in Section 8 hereof, and, except as expressly set forth in Section 5(h) hereof, no other person will have any right or obligation hereunder. </w:t>
      </w:r>
    </w:p>
    <w:p>
      <w:pPr>
        <w:pStyle w:val="TextBody"/>
        <w:bidi w:val="0"/>
        <w:spacing w:before="12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Applicable Law</w:t>
      </w:r>
      <w:r>
        <w:rPr>
          <w:rFonts w:ascii="Times New Roman" w:hAnsi="Times New Roman"/>
          <w:sz w:val="20"/>
        </w:rPr>
        <w:t xml:space="preserve">. This Agreement will be governed by and construed in accordance with the laws of the State of New York applicable to contracts made and to be performed within the State of New York. Any right to trial by jury with respect to any claim or proceeding related to or arising out of this Agreement or any transaction or conduct in connection herewith is waived. </w:t>
      </w:r>
    </w:p>
    <w:p>
      <w:pPr>
        <w:pStyle w:val="TextBody"/>
        <w:bidi w:val="0"/>
        <w:spacing w:before="12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Counterparts</w:t>
      </w:r>
      <w:r>
        <w:rPr>
          <w:rFonts w:ascii="Times New Roman" w:hAnsi="Times New Roman"/>
          <w:sz w:val="20"/>
        </w:rPr>
        <w:t xml:space="preserve">. Delivery of an executed counterpart of a signature page of this Agreement by facsimile or other electronic transmission (including in .pdf format) will be effective as delivery of a manually executed counterpart hereof. The words execution, signed, signature, and words of like import herein shall be deemed to include electronic signatures, the electronic matching of assignment terms and contract formations on the electronic platform DocuSign, digital copies of a signatorys manual signature, and deliveries or the keeping of records in electronic form, each of which shall be of the same legal effect, validity or enforceability as a manually executed signature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p>
    <w:p>
      <w:pPr>
        <w:pStyle w:val="TextBody"/>
        <w:bidi w:val="0"/>
        <w:spacing w:before="12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No Advisory or Fiduciary Responsibility</w:t>
      </w:r>
      <w:r>
        <w:rPr>
          <w:rFonts w:ascii="Times New Roman" w:hAnsi="Times New Roman"/>
          <w:sz w:val="20"/>
        </w:rPr>
        <w:t xml:space="preserve">. Each of the Companies acknowledges and agrees that (i) the purchase and sale of the Securities pursuant to this Agreement is an arms length commercial transaction between the Companies, on the one hand, and the Initial Purchasers, on the other, (ii) in connection therewith and with the process leading to such transaction each Initial Purchaser is acting solely as a principal and not the agent or fiduciary of the Companies, (iii) no Initial Purchaser has assumed an advisory or fiduciary responsibility in favor of the Companies with respect to the offering contemplated hereby 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process leading thereto (irrespective of whether such Initial Purchaser has advised or is currently advising the Companies on other matters) or any other obligation to the Companies except the obligations expressly set forth in this Agreement and (iv) the Companies have consulted their own legal and financial advisors to the extent they deemed appropriate. Each of the Companies agrees that it will not claim that any Initial Purchaser has rendered advisory services of any nature or respect, or owes a fiduciary or similar duty to it, in connection with such transaction or the process leading thereto. The Issuer confirms to act as principal for its own account and not as agent or trustee in any capacity on behalf of any party in relation to the Transaction Documents. </w:t>
      </w:r>
    </w:p>
    <w:p>
      <w:pPr>
        <w:pStyle w:val="TextBody"/>
        <w:bidi w:val="0"/>
        <w:spacing w:before="12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Headings</w:t>
      </w:r>
      <w:r>
        <w:rPr>
          <w:rFonts w:ascii="Times New Roman" w:hAnsi="Times New Roman"/>
          <w:sz w:val="20"/>
        </w:rPr>
        <w:t xml:space="preserve">. The section headings used herein are for convenience only and shall not affect the construction hereof. </w:t>
      </w:r>
    </w:p>
    <w:p>
      <w:pPr>
        <w:pStyle w:val="TextBody"/>
        <w:bidi w:val="0"/>
        <w:spacing w:before="12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Definitions</w:t>
      </w:r>
      <w:r>
        <w:rPr>
          <w:rFonts w:ascii="Times New Roman" w:hAnsi="Times New Roman"/>
          <w:sz w:val="20"/>
        </w:rPr>
        <w:t xml:space="preserve">. The terms which follow, when used in this Agreement, shall have the meanings indicated.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Act</w:t>
      </w:r>
      <w:r>
        <w:rPr>
          <w:rFonts w:ascii="Times New Roman" w:hAnsi="Times New Roman"/>
          <w:sz w:val="20"/>
        </w:rPr>
        <w:t xml:space="preserve"> shall mean the Securities Act of 1933, as amended, and the rules and regulations of the Commission promulgated thereunder.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Affiliate</w:t>
      </w:r>
      <w:r>
        <w:rPr>
          <w:rFonts w:ascii="Times New Roman" w:hAnsi="Times New Roman"/>
          <w:sz w:val="20"/>
        </w:rPr>
        <w:t xml:space="preserve"> shall have the meaning specified in Rule 501(b) of Regulation 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Business Day</w:t>
      </w:r>
      <w:r>
        <w:rPr>
          <w:rFonts w:ascii="Times New Roman" w:hAnsi="Times New Roman"/>
          <w:sz w:val="20"/>
        </w:rPr>
        <w:t xml:space="preserve"> shall mean any day other than a Saturday, a Sunday or a legal holiday or a day on which banking institutions or trust companies are authorized or obligated by law to close in The City of New York.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Commission</w:t>
      </w:r>
      <w:r>
        <w:rPr>
          <w:rFonts w:ascii="Times New Roman" w:hAnsi="Times New Roman"/>
          <w:sz w:val="20"/>
        </w:rPr>
        <w:t xml:space="preserve"> shall mean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Exchange Act</w:t>
      </w:r>
      <w:r>
        <w:rPr>
          <w:rFonts w:ascii="Times New Roman" w:hAnsi="Times New Roman"/>
          <w:sz w:val="20"/>
        </w:rPr>
        <w:t xml:space="preserve"> shall mean the Securities Exchange Act of 1934, as amended, and the rules and regulations of the Commission promulgated thereunder.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Investment Company Act</w:t>
      </w:r>
      <w:r>
        <w:rPr>
          <w:rFonts w:ascii="Times New Roman" w:hAnsi="Times New Roman"/>
          <w:sz w:val="20"/>
        </w:rPr>
        <w:t xml:space="preserve"> shall mean the Investment Company Act of 1940, as amended, and the rules and regulations of the Commission promulgated thereunder.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Regulation D</w:t>
      </w:r>
      <w:r>
        <w:rPr>
          <w:rFonts w:ascii="Times New Roman" w:hAnsi="Times New Roman"/>
          <w:sz w:val="20"/>
        </w:rPr>
        <w:t xml:space="preserve"> shall mean Regulation D under the 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Regulation S</w:t>
      </w:r>
      <w:r>
        <w:rPr>
          <w:rFonts w:ascii="Times New Roman" w:hAnsi="Times New Roman"/>
          <w:sz w:val="20"/>
        </w:rPr>
        <w:t xml:space="preserve"> shall mean Regulation S under the 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Trust Indenture Act</w:t>
      </w:r>
      <w:r>
        <w:rPr>
          <w:rFonts w:ascii="Times New Roman" w:hAnsi="Times New Roman"/>
          <w:sz w:val="20"/>
        </w:rPr>
        <w:t xml:space="preserve"> shall mean the Trust Indenture Act of 1939, as amended, and the rules and regulations of the Commission promulgated thereunder. </w:t>
      </w:r>
    </w:p>
    <w:p>
      <w:pPr>
        <w:pStyle w:val="TextBody"/>
        <w:bidi w:val="0"/>
        <w:spacing w:before="120" w:after="0"/>
        <w:jc w:val="left"/>
        <w:rPr>
          <w:rFonts w:ascii="Times New Roman" w:hAnsi="Times New Roman"/>
          <w:sz w:val="20"/>
        </w:rPr>
      </w:pPr>
      <w:r>
        <w:rPr>
          <w:rFonts w:ascii="Times New Roman" w:hAnsi="Times New Roman"/>
          <w:sz w:val="20"/>
        </w:rPr>
        <w:t xml:space="preserve">20. </w:t>
      </w:r>
      <w:r>
        <w:rPr>
          <w:rFonts w:ascii="Times New Roman" w:hAnsi="Times New Roman"/>
          <w:sz w:val="20"/>
          <w:u w:val="single"/>
        </w:rPr>
        <w:t>Limitations.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Limitations Applicable to the Issuer and Guarantors organized under the laws of France (each a </w:t>
      </w:r>
      <w:r>
        <w:rPr>
          <w:rFonts w:ascii="Times New Roman" w:hAnsi="Times New Roman"/>
          <w:sz w:val="20"/>
          <w:u w:val="single"/>
        </w:rPr>
        <w:t>French Company</w:t>
      </w:r>
      <w:r>
        <w:rPr>
          <w:rFonts w:ascii="Times New Roman" w:hAnsi="Times New Roman"/>
          <w:sz w:val="20"/>
        </w:rPr>
        <w:t>) and under the laws of England and Wales (each an </w:t>
      </w:r>
      <w:r>
        <w:rPr>
          <w:rFonts w:ascii="Times New Roman" w:hAnsi="Times New Roman"/>
          <w:sz w:val="20"/>
          <w:u w:val="single"/>
        </w:rPr>
        <w:t>English Company</w:t>
      </w:r>
      <w:r>
        <w:rPr>
          <w:rFonts w:ascii="Times New Roman" w:hAnsi="Times New Roman"/>
          <w:sz w:val="20"/>
        </w:rPr>
        <w:t xml:space="preserve">). Notwithstanding anything to the contrary in this Agreement, (i) the representations, warranties and covenants made by any French Company or English Company in this Agreement shall be made for its own account and be strictly limited to matters related to such French Company or such English Company and its subsidiaries in connection, to the extent applicable, with the Guarantees granted by such French Company or such English Company, (ii)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no French Company is acting jointly and severally with the other Guarantors or the Issuer and no French Company shall be considered as </w:t>
      </w:r>
      <w:r>
        <w:rPr>
          <w:rFonts w:ascii="Times New Roman" w:hAnsi="Times New Roman"/>
          <w:i/>
          <w:sz w:val="20"/>
        </w:rPr>
        <w:t>co-débiteurs solidaires</w:t>
      </w:r>
      <w:r>
        <w:rPr>
          <w:rFonts w:ascii="Times New Roman" w:hAnsi="Times New Roman"/>
          <w:sz w:val="20"/>
        </w:rPr>
        <w:t> as to any obligation under this Agreement, (iii) any expenses or indemnities to be paid by any French Company under this Agreement shall be limited to the expenses or indemnities incidental to the performance of its obligations under this Agreement, (iv) any certificate to be given by a French Company under Section 6(o) shall be strictly limited to matters related to it and its subsidiaries and (v) any obligations, representations or liabilities incurred or assumed under this Agreement by any French Company shall not include any obligations, representations or liabilities which if incurred would constitute a violation to its corporate benefit or interest (</w:t>
      </w:r>
      <w:r>
        <w:rPr>
          <w:rFonts w:ascii="Times New Roman" w:hAnsi="Times New Roman"/>
          <w:i/>
          <w:sz w:val="20"/>
        </w:rPr>
        <w:t>intérêt social</w:t>
      </w:r>
      <w:r>
        <w:rPr>
          <w:rFonts w:ascii="Times New Roman" w:hAnsi="Times New Roman"/>
          <w:sz w:val="20"/>
        </w:rPr>
        <w:t xml:space="preserve">) in particular within the meaning of Articles L.241-3, L. 242-6, L. 243-1 or L.244-1 of the French </w:t>
      </w:r>
      <w:r>
        <w:rPr>
          <w:rFonts w:ascii="Times New Roman" w:hAnsi="Times New Roman"/>
          <w:i/>
          <w:sz w:val="20"/>
        </w:rPr>
        <w:t>Code de commerce</w:t>
      </w:r>
      <w:r>
        <w:rPr>
          <w:rFonts w:ascii="Times New Roman" w:hAnsi="Times New Roman"/>
          <w:sz w:val="20"/>
        </w:rPr>
        <w:t xml:space="preserve">, and/or would constitute prohibited financial assistance within the meaning of Article L.225-216 of the French </w:t>
      </w:r>
      <w:r>
        <w:rPr>
          <w:rFonts w:ascii="Times New Roman" w:hAnsi="Times New Roman"/>
          <w:i/>
          <w:sz w:val="20"/>
        </w:rPr>
        <w:t>Code de commerce</w:t>
      </w:r>
      <w:r>
        <w:rPr>
          <w:rFonts w:ascii="Times New Roman" w:hAnsi="Times New Roman"/>
          <w:sz w:val="20"/>
        </w:rPr>
        <w:t xml:space="preserve"> and/or would constitute a misuse of corporate assets within the meaning of Articles L. 241-3, L.242-6, L.243-1 or L. 244-1 of the French </w:t>
      </w:r>
      <w:r>
        <w:rPr>
          <w:rFonts w:ascii="Times New Roman" w:hAnsi="Times New Roman"/>
          <w:i/>
          <w:sz w:val="20"/>
        </w:rPr>
        <w:t>Code de commerce</w:t>
      </w:r>
      <w:r>
        <w:rPr>
          <w:rFonts w:ascii="Times New Roman" w:hAnsi="Times New Roman"/>
          <w:sz w:val="20"/>
        </w:rPr>
        <w:t xml:space="preserve"> or any other law or regulations having the same effect, as interpreted by French courts. </w:t>
      </w:r>
    </w:p>
    <w:p>
      <w:pPr>
        <w:pStyle w:val="TextBody"/>
        <w:bidi w:val="0"/>
        <w:spacing w:before="120" w:after="0"/>
        <w:jc w:val="left"/>
        <w:rPr>
          <w:rFonts w:ascii="Times New Roman" w:hAnsi="Times New Roman"/>
          <w:sz w:val="20"/>
        </w:rPr>
      </w:pPr>
      <w:r>
        <w:rPr>
          <w:rFonts w:ascii="Times New Roman" w:hAnsi="Times New Roman"/>
          <w:sz w:val="20"/>
        </w:rPr>
        <w:t>(b) Limitations Applicable to the Guarantors organized under the laws of Spain (each a </w:t>
      </w:r>
      <w:r>
        <w:rPr>
          <w:rFonts w:ascii="Times New Roman" w:hAnsi="Times New Roman"/>
          <w:sz w:val="20"/>
          <w:u w:val="single"/>
        </w:rPr>
        <w:t>Spanish Company</w:t>
      </w:r>
      <w:r>
        <w:rPr>
          <w:rFonts w:ascii="Times New Roman" w:hAnsi="Times New Roman"/>
          <w:sz w:val="20"/>
        </w:rPr>
        <w:t xml:space="preserve">). Notwithstanding anything to the contrary in this Agreement, any obligations, representations or liabilities incurred or assumed under this Agreement by any Spanish Company shall be deemed to have been incurred or assumed only to the extent that such obligations, representations or liabilities would not, if incurred or assumed, contravene the Spanish law rules on financial assistance </w:t>
      </w:r>
      <w:r>
        <w:rPr>
          <w:rFonts w:ascii="Times New Roman" w:hAnsi="Times New Roman"/>
          <w:i/>
          <w:sz w:val="20"/>
        </w:rPr>
        <w:t xml:space="preserve">ex </w:t>
      </w:r>
      <w:r>
        <w:rPr>
          <w:rFonts w:ascii="Times New Roman" w:hAnsi="Times New Roman"/>
          <w:sz w:val="20"/>
        </w:rPr>
        <w:t>articles 143.2 or 150, as applicable, of the Spanish Capital Companies Act (</w:t>
      </w:r>
      <w:r>
        <w:rPr>
          <w:rFonts w:ascii="Times New Roman" w:hAnsi="Times New Roman"/>
          <w:i/>
          <w:sz w:val="20"/>
        </w:rPr>
        <w:t>Real Decreto Legislativo 1/2010, de 2 de julio, por el que se aprueba el texto refundido de la Ley de Sociedades de Capital</w:t>
      </w:r>
      <w:r>
        <w:rPr>
          <w:rFonts w:ascii="Times New Roman" w:hAnsi="Times New Roman"/>
          <w:sz w:val="20"/>
        </w:rPr>
        <w:t>) (</w:t>
      </w:r>
      <w:r>
        <w:rPr>
          <w:rFonts w:ascii="Times New Roman" w:hAnsi="Times New Roman"/>
          <w:sz w:val="20"/>
          <w:u w:val="single"/>
        </w:rPr>
        <w:t>LSC</w:t>
      </w:r>
      <w:r>
        <w:rPr>
          <w:rFonts w:ascii="Times New Roman" w:hAnsi="Times New Roman"/>
          <w:sz w:val="20"/>
        </w:rPr>
        <w:t>), and the Spanish law limitations on the issuance or guaranteeing of notes by limited liability companies (</w:t>
      </w:r>
      <w:r>
        <w:rPr>
          <w:rFonts w:ascii="Times New Roman" w:hAnsi="Times New Roman"/>
          <w:i/>
          <w:sz w:val="20"/>
        </w:rPr>
        <w:t>sociedades de responsabilidad limitada</w:t>
      </w:r>
      <w:r>
        <w:rPr>
          <w:rFonts w:ascii="Times New Roman" w:hAnsi="Times New Roman"/>
          <w:sz w:val="20"/>
        </w:rPr>
        <w:t xml:space="preserve">) </w:t>
      </w:r>
      <w:r>
        <w:rPr>
          <w:rFonts w:ascii="Times New Roman" w:hAnsi="Times New Roman"/>
          <w:i/>
          <w:sz w:val="20"/>
        </w:rPr>
        <w:t xml:space="preserve">ex </w:t>
      </w:r>
      <w:r>
        <w:rPr>
          <w:rFonts w:ascii="Times New Roman" w:hAnsi="Times New Roman"/>
          <w:sz w:val="20"/>
        </w:rPr>
        <w:t xml:space="preserve">article 401 LSC. </w:t>
      </w:r>
    </w:p>
    <w:p>
      <w:pPr>
        <w:pStyle w:val="TextBody"/>
        <w:bidi w:val="0"/>
        <w:spacing w:before="120" w:after="0"/>
        <w:jc w:val="left"/>
        <w:rPr>
          <w:rFonts w:ascii="Times New Roman" w:hAnsi="Times New Roman"/>
          <w:sz w:val="20"/>
        </w:rPr>
      </w:pPr>
      <w:r>
        <w:rPr>
          <w:rFonts w:ascii="Times New Roman" w:hAnsi="Times New Roman"/>
          <w:sz w:val="20"/>
        </w:rPr>
        <w:t xml:space="preserve">(c) Limitations Applicable to the Guarantors incorporated and organized under the laws of Switzerland. Section 10.06(a)(4) of the Indenture shall apply to this Agreement mutatis mutandis. </w:t>
      </w:r>
    </w:p>
    <w:p>
      <w:pPr>
        <w:pStyle w:val="TextBody"/>
        <w:bidi w:val="0"/>
        <w:spacing w:before="12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Consent to Jurisdiction</w:t>
      </w:r>
      <w:r>
        <w:rPr>
          <w:rFonts w:ascii="Times New Roman" w:hAnsi="Times New Roman"/>
          <w:sz w:val="20"/>
        </w:rPr>
        <w:t>. Any legal suit, action or proceeding arising out of or based upon this Agreement or the transactions contemplated hereby (</w:t>
      </w:r>
      <w:r>
        <w:rPr>
          <w:rFonts w:ascii="Times New Roman" w:hAnsi="Times New Roman"/>
          <w:sz w:val="20"/>
          <w:u w:val="single"/>
        </w:rPr>
        <w:t>Related Proceedings</w:t>
      </w:r>
      <w:r>
        <w:rPr>
          <w:rFonts w:ascii="Times New Roman" w:hAnsi="Times New Roman"/>
          <w:sz w:val="20"/>
        </w:rPr>
        <w:t>) may be instituted in the federal courts of the United States of America or the courts of the State of New York in each case sitting in the borough of Manhattan, the city of New York (collectively, the </w:t>
      </w:r>
      <w:r>
        <w:rPr>
          <w:rFonts w:ascii="Times New Roman" w:hAnsi="Times New Roman"/>
          <w:sz w:val="20"/>
          <w:u w:val="single"/>
        </w:rPr>
        <w:t>Specified Courts</w:t>
      </w:r>
      <w:r>
        <w:rPr>
          <w:rFonts w:ascii="Times New Roman" w:hAnsi="Times New Roman"/>
          <w:sz w:val="20"/>
        </w:rPr>
        <w:t>), and each party irrevocably submits to the exclusive jurisdiction (except for suits, actions or proceedings instituted in regard to the enforcement of a judgment of any Specified Court in a Related Proceeding (a </w:t>
      </w:r>
      <w:r>
        <w:rPr>
          <w:rFonts w:ascii="Times New Roman" w:hAnsi="Times New Roman"/>
          <w:sz w:val="20"/>
          <w:u w:val="single"/>
        </w:rPr>
        <w:t>Related Judgment</w:t>
      </w:r>
      <w:r>
        <w:rPr>
          <w:rFonts w:ascii="Times New Roman" w:hAnsi="Times New Roman"/>
          <w:sz w:val="20"/>
        </w:rPr>
        <w:t xml:space="preserve">), as to which such jurisdiction is non-exclusive) of the Specified Courts in any Related Proceeding. Service of any process, summons, notice or document by mail to such partys address set forth above shall be effective service of process for any Related Proceeding brought in any Specified Court. The parties irrevocably and unconditionally waive any objection to the laying of venue of any Related Proceeding in the Specified Courts and irrevocably and unconditionally waive and agree not to plead or claim in any Specified Court that any Related Proceeding brought in any Specified Court has been brought in an inconvenient forum. Each party not located in the United States shall, prior to the Closing Date, irrevocably appoint CT Corporation System as its agent to receive service of process or other legal summons for purposes of any Related Proceeding that may be instituted in any Specified Court.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Waiver of Immunity</w:t>
      </w:r>
      <w:r>
        <w:rPr>
          <w:rFonts w:ascii="Times New Roman" w:hAnsi="Times New Roman"/>
          <w:sz w:val="20"/>
        </w:rPr>
        <w:t xml:space="preserve">. With respect to any Related Proceeding, each party irrevocably waives, to the fullest extent permitted by applicable law, all immunity (whether on the basis of sovereignty or otherwise) from jurisdiction, service of process, attachment (both before and after judgment) and execution to which it might otherwise be entitled in the Specified Courts, and with respect to any Related Judgment, each party waives any such immunity in the Specified Courts or any other court of competent jurisdiction, and will not raise or claim or cause to be pleaded any such immunity at or in respect of any such Related Proceeding or Related Judgment, including, without limitation, any immunity pursuant to the United States Foreign Sovereign Immunities Act of 1976, as amended. </w:t>
      </w:r>
    </w:p>
    <w:p>
      <w:pPr>
        <w:pStyle w:val="TextBody"/>
        <w:bidi w:val="0"/>
        <w:spacing w:before="12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Judgment Currency</w:t>
      </w:r>
      <w:r>
        <w:rPr>
          <w:rFonts w:ascii="Times New Roman" w:hAnsi="Times New Roman"/>
          <w:sz w:val="20"/>
        </w:rPr>
        <w:t xml:space="preserve">. If for the purposes of obtaining judgment in any court it is necessary to convert a sum due hereunder into any currency other than Euros, the parties hereto agree, to the fullest extent that they may effectively do so, that the rate of exchange used shall be the rate at which in accordance with normal banking procedures the Initial Purchasers could purchase Euros with such other currency in the City of New York on the business day preceding that on which final judgment is given. The obligations of each Company in respect of any sum due from it to any Initial Purchaser shall, notwithstanding any judgment in any currency other than Euros, not be discharged until the first business day, following receipt by such Initial Purchaser of any sum adjudged to be so due in such other currency, on which (and only to the extent that) such Initial Purchaser may in accordance with normal banking procedures purchase Euros with such other currency. </w:t>
      </w:r>
    </w:p>
    <w:p>
      <w:pPr>
        <w:pStyle w:val="TextBody"/>
        <w:bidi w:val="0"/>
        <w:spacing w:before="12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Acknowledgment Related to Co-Manufacturer Responsibilities.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Solely for the purposes of the requirements of Article 9(8) of the MIFID Product Governance rules under EU Delegated Directive 2017/593 (the EU MiFID Product Governance Rules) regarding the mutual responsibilities of manufacturers under the EU MiFID Product Governance Rules, each of Deutsche Bank Aktiengesellschaft and UniCredit Bank AG (each an </w:t>
      </w:r>
      <w:r>
        <w:rPr>
          <w:rFonts w:ascii="Times New Roman" w:hAnsi="Times New Roman"/>
          <w:sz w:val="20"/>
          <w:u w:val="single"/>
        </w:rPr>
        <w:t>EU Manufacturer</w:t>
      </w:r>
      <w:r>
        <w:rPr>
          <w:rFonts w:ascii="Times New Roman" w:hAnsi="Times New Roman"/>
          <w:sz w:val="20"/>
        </w:rPr>
        <w:t> and together, the </w:t>
      </w:r>
      <w:r>
        <w:rPr>
          <w:rFonts w:ascii="Times New Roman" w:hAnsi="Times New Roman"/>
          <w:sz w:val="20"/>
          <w:u w:val="single"/>
        </w:rPr>
        <w:t>EU Manufacturers</w:t>
      </w:r>
      <w:r>
        <w:rPr>
          <w:rFonts w:ascii="Times New Roman" w:hAnsi="Times New Roman"/>
          <w:sz w:val="20"/>
        </w:rPr>
        <w:t xml:space="preserve">), acknowledges to each other EU Manufacturer that it understands the responsibilities conferred upon it under the EU MiFID Product Governance Rules relating to each of the product approval process and the target market as applying to the Notes and the related information set out in the Preliminary Memorandum, Pricing Disclosure Package and the Final Memorandum. The other Initial Purchasers, the Issuer and the Guarantors note the application of the Product Governance Rules and acknowledge the target market identified as applying to the Notes by the EU Manufacturers and the related information set out in the Preliminary Memorandum, Pricing Disclosure Package and the Final Memorandum. </w:t>
      </w:r>
    </w:p>
    <w:p>
      <w:pPr>
        <w:pStyle w:val="TextBody"/>
        <w:bidi w:val="0"/>
        <w:spacing w:before="120" w:after="0"/>
        <w:jc w:val="left"/>
        <w:rPr>
          <w:rFonts w:ascii="Times New Roman" w:hAnsi="Times New Roman"/>
          <w:sz w:val="20"/>
        </w:rPr>
      </w:pPr>
      <w:r>
        <w:rPr>
          <w:rFonts w:ascii="Times New Roman" w:hAnsi="Times New Roman"/>
          <w:sz w:val="20"/>
        </w:rPr>
        <w:t>(b) Solely for the purposes of the requirements of 3.2.7R of the FCA Handbook Product Intervention and Product Governance Sourcebook (the </w:t>
      </w:r>
      <w:r>
        <w:rPr>
          <w:rFonts w:ascii="Times New Roman" w:hAnsi="Times New Roman"/>
          <w:sz w:val="20"/>
          <w:u w:val="single"/>
        </w:rPr>
        <w:t>UK MiFIR Product Governance Rules</w:t>
      </w:r>
      <w:r>
        <w:rPr>
          <w:rFonts w:ascii="Times New Roman" w:hAnsi="Times New Roman"/>
          <w:sz w:val="20"/>
        </w:rPr>
        <w:t>) regarding the mutual responsibilities of manufacturers under the UK MiFIR Product Governance Rules, each of BNP Paribas, Deutsche Bank Aktiengesellschaft and UniCredit Bank AG (each a </w:t>
      </w:r>
      <w:r>
        <w:rPr>
          <w:rFonts w:ascii="Times New Roman" w:hAnsi="Times New Roman"/>
          <w:sz w:val="20"/>
          <w:u w:val="single"/>
        </w:rPr>
        <w:t>UK Manufacturer</w:t>
      </w:r>
      <w:r>
        <w:rPr>
          <w:rFonts w:ascii="Times New Roman" w:hAnsi="Times New Roman"/>
          <w:sz w:val="20"/>
        </w:rPr>
        <w:t> and together the </w:t>
      </w:r>
      <w:r>
        <w:rPr>
          <w:rFonts w:ascii="Times New Roman" w:hAnsi="Times New Roman"/>
          <w:sz w:val="20"/>
          <w:u w:val="single"/>
        </w:rPr>
        <w:t>UK Manufacturers</w:t>
      </w:r>
      <w:r>
        <w:rPr>
          <w:rFonts w:ascii="Times New Roman" w:hAnsi="Times New Roman"/>
          <w:sz w:val="20"/>
        </w:rPr>
        <w:t xml:space="preserve">) acknowledges to each other UK Manufacturer that it understands the responsibilities conferred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upon it under the UK MiFIR Product Governance Rules relating to each of the product approval process, the target market and the proposed distribution channels as applying to the Notes and the related information set out in the Preliminary Memorandum, Pricing Disclosure Package and the Final Memorandum. The other Initial Purchasers, the Issuer and the Guarantors note the application of the UK MiFIR Product Governance Rules and acknowledge the target market and distribution channels identified as applying to the Notes by the UK Manufacturers and the related information set out in the Preliminary Memorandum, Pricing Disclosure Package and the Final Memorandum. </w:t>
      </w:r>
    </w:p>
    <w:p>
      <w:pPr>
        <w:pStyle w:val="TextBody"/>
        <w:bidi w:val="0"/>
        <w:spacing w:before="12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QFC Stay Rules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the event that any Initial Purchaser that is a Covered Entity becomes subject to a proceeding under a U.S. Special Resolution Regime, the transfer from such Initial Purchaser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(b) In the event that any Initial Purchaser that is a Covered Entity or a BHC Act Affiliate of such Initial Purchaser becomes subject to a proceeding under a U.S. Special Resolution Regime, Default Rights under this Agreement that may be exercised against such Initial Purchaser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(c) For purposes of this Agreement: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sz w:val="20"/>
          <w:u w:val="single"/>
        </w:rPr>
        <w:t>BHC Act Affiliate</w:t>
      </w:r>
      <w:r>
        <w:rPr>
          <w:rFonts w:ascii="Times New Roman" w:hAnsi="Times New Roman"/>
          <w:sz w:val="20"/>
        </w:rPr>
        <w:t xml:space="preserve"> has the meaning assigned to the term affiliate in, and shall be interpreted in accordance with, 12 U.S.C. § 1841(k). </w:t>
      </w:r>
    </w:p>
    <w:p>
      <w:pPr>
        <w:pStyle w:val="TextBody"/>
        <w:bidi w:val="0"/>
        <w:spacing w:before="12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Covered Entity</w:t>
      </w:r>
      <w:r>
        <w:rPr>
          <w:rFonts w:ascii="Times New Roman" w:hAnsi="Times New Roman"/>
          <w:sz w:val="20"/>
        </w:rPr>
        <w:t xml:space="preserve"> means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a covered entity as that term is defined in, and interpreted in accordance with, 12 C.F.R. § 252.82(b); </w:t>
      </w:r>
    </w:p>
    <w:p>
      <w:pPr>
        <w:pStyle w:val="TextBody"/>
        <w:bidi w:val="0"/>
        <w:spacing w:before="120" w:after="0"/>
        <w:jc w:val="left"/>
        <w:rPr>
          <w:rFonts w:ascii="Times New Roman" w:hAnsi="Times New Roman"/>
          <w:sz w:val="20"/>
        </w:rPr>
      </w:pPr>
      <w:r>
        <w:rPr>
          <w:rFonts w:ascii="Times New Roman" w:hAnsi="Times New Roman"/>
          <w:sz w:val="20"/>
        </w:rPr>
        <w:t xml:space="preserve">(B) a covered bank as that term is defined in, and interpreted in accordance with, 12 C.F.R. § 47.3(b); or </w:t>
      </w:r>
    </w:p>
    <w:p>
      <w:pPr>
        <w:pStyle w:val="TextBody"/>
        <w:bidi w:val="0"/>
        <w:spacing w:before="120" w:after="0"/>
        <w:jc w:val="left"/>
        <w:rPr>
          <w:rFonts w:ascii="Times New Roman" w:hAnsi="Times New Roman"/>
          <w:sz w:val="20"/>
        </w:rPr>
      </w:pPr>
      <w:r>
        <w:rPr>
          <w:rFonts w:ascii="Times New Roman" w:hAnsi="Times New Roman"/>
          <w:sz w:val="20"/>
        </w:rPr>
        <w:t xml:space="preserve">(C) a covered FSI as that term is defined in, and interpreted in accordance with, 12 C.F.R. § 382.2(b). </w:t>
      </w:r>
    </w:p>
    <w:p>
      <w:pPr>
        <w:pStyle w:val="TextBody"/>
        <w:bidi w:val="0"/>
        <w:spacing w:before="120" w:after="0"/>
        <w:jc w:val="left"/>
        <w:rPr>
          <w:rFonts w:ascii="Times New Roman" w:hAnsi="Times New Roman"/>
          <w:sz w:val="20"/>
        </w:rPr>
      </w:pPr>
      <w:r>
        <w:rPr>
          <w:rFonts w:ascii="Times New Roman" w:hAnsi="Times New Roman"/>
          <w:sz w:val="20"/>
        </w:rPr>
        <w:t>(iii) </w:t>
      </w:r>
      <w:r>
        <w:rPr>
          <w:rFonts w:ascii="Times New Roman" w:hAnsi="Times New Roman"/>
          <w:sz w:val="20"/>
          <w:u w:val="single"/>
        </w:rPr>
        <w:t>Default Right</w:t>
      </w:r>
      <w:r>
        <w:rPr>
          <w:rFonts w:ascii="Times New Roman" w:hAnsi="Times New Roman"/>
          <w:sz w:val="20"/>
        </w:rPr>
        <w:t xml:space="preserve"> has the meaning assigned to that term in, and shall be interpreted in accordance with, 12 C.F.R. §§ 252.81, 47.2 or 382.1, as applicable. </w:t>
      </w:r>
    </w:p>
    <w:p>
      <w:pPr>
        <w:pStyle w:val="TextBody"/>
        <w:bidi w:val="0"/>
        <w:spacing w:before="120" w:after="0"/>
        <w:jc w:val="left"/>
        <w:rPr>
          <w:rFonts w:ascii="Times New Roman" w:hAnsi="Times New Roman"/>
          <w:sz w:val="20"/>
        </w:rPr>
      </w:pPr>
      <w:r>
        <w:rPr>
          <w:rFonts w:ascii="Times New Roman" w:hAnsi="Times New Roman"/>
          <w:sz w:val="20"/>
        </w:rPr>
        <w:t>(iv) </w:t>
      </w:r>
      <w:r>
        <w:rPr>
          <w:rFonts w:ascii="Times New Roman" w:hAnsi="Times New Roman"/>
          <w:sz w:val="20"/>
          <w:u w:val="single"/>
        </w:rPr>
        <w:t>U.S. Special Resolution Regime</w:t>
      </w:r>
      <w:r>
        <w:rPr>
          <w:rFonts w:ascii="Times New Roman" w:hAnsi="Times New Roman"/>
          <w:sz w:val="20"/>
        </w:rPr>
        <w:t xml:space="preserv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is in accordance with your understanding of our agreement, please sign and return to us the enclosed duplicate hereof, whereupon this Agreement and your acceptance shall represent a binding agreement among the Companies and the several Initial Purchasers.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58"/>
        <w:gridCol w:w="60"/>
        <w:gridCol w:w="3364"/>
      </w:tblGrid>
      <w:tr>
        <w:trPr/>
        <w:tc>
          <w:tcPr>
            <w:tcW w:w="65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CROWN EUROPEAN HOLDINGS S.A.</w:t>
            </w:r>
          </w:p>
        </w:tc>
      </w:tr>
      <w:tr>
        <w:trPr>
          <w:trHeight w:val="240" w:hRule="atLeast"/>
        </w:trPr>
        <w:tc>
          <w:tcPr>
            <w:tcW w:w="658" w:type="dxa"/>
            <w:tcBorders/>
            <w:vAlign w:val="center"/>
          </w:tcPr>
          <w:p>
            <w:pPr>
              <w:pStyle w:val="TableContents"/>
              <w:bidi w:val="0"/>
              <w:spacing w:before="0" w:after="283"/>
              <w:jc w:val="left"/>
              <w:rPr>
                <w:sz w:val="4"/>
                <w:szCs w:val="4"/>
              </w:rPr>
            </w:pPr>
            <w:r>
              <w:rPr>
                <w:sz w:val="4"/>
                <w:szCs w:val="4"/>
              </w:rPr>
            </w:r>
          </w:p>
        </w:tc>
        <w:tc>
          <w:tcPr>
            <w:tcW w:w="3424" w:type="dxa"/>
            <w:gridSpan w:val="2"/>
            <w:tcBorders/>
            <w:vAlign w:val="center"/>
          </w:tcPr>
          <w:p>
            <w:pPr>
              <w:pStyle w:val="TableContents"/>
              <w:bidi w:val="0"/>
              <w:spacing w:before="0" w:after="283"/>
              <w:jc w:val="left"/>
              <w:rPr>
                <w:sz w:val="4"/>
                <w:szCs w:val="4"/>
              </w:rPr>
            </w:pPr>
            <w:r>
              <w:rPr>
                <w:sz w:val="4"/>
                <w:szCs w:val="4"/>
              </w:rPr>
            </w:r>
          </w:p>
        </w:tc>
      </w:tr>
      <w:tr>
        <w:trPr/>
        <w:tc>
          <w:tcPr>
            <w:tcW w:w="65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6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Kevin C. Clothier</w:t>
            </w:r>
          </w:p>
        </w:tc>
      </w:tr>
      <w:tr>
        <w:trPr/>
        <w:tc>
          <w:tcPr>
            <w:tcW w:w="65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64" w:type="dxa"/>
            <w:tcBorders/>
          </w:tcPr>
          <w:p>
            <w:pPr>
              <w:pStyle w:val="TableContents"/>
              <w:bidi w:val="0"/>
              <w:spacing w:before="0" w:after="283"/>
              <w:jc w:val="left"/>
              <w:rPr/>
            </w:pPr>
            <w:r>
              <w:rPr/>
              <w:t>Kevin C. Clothier</w:t>
            </w:r>
          </w:p>
        </w:tc>
      </w:tr>
      <w:tr>
        <w:trPr/>
        <w:tc>
          <w:tcPr>
            <w:tcW w:w="65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64" w:type="dxa"/>
            <w:tcBorders/>
          </w:tcPr>
          <w:p>
            <w:pPr>
              <w:pStyle w:val="TableContents"/>
              <w:bidi w:val="0"/>
              <w:spacing w:before="0" w:after="283"/>
              <w:jc w:val="left"/>
              <w:rPr/>
            </w:pPr>
            <w:r>
              <w:rPr/>
              <w:t>Administrateur/DG Délégué</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CROWN HOLDINGS, INC.</w:t>
            </w:r>
          </w:p>
        </w:tc>
      </w:tr>
      <w:tr>
        <w:trPr>
          <w:trHeight w:val="240" w:hRule="atLeast"/>
        </w:trPr>
        <w:tc>
          <w:tcPr>
            <w:tcW w:w="658" w:type="dxa"/>
            <w:tcBorders/>
            <w:vAlign w:val="center"/>
          </w:tcPr>
          <w:p>
            <w:pPr>
              <w:pStyle w:val="TableContents"/>
              <w:bidi w:val="0"/>
              <w:spacing w:before="0" w:after="283"/>
              <w:jc w:val="left"/>
              <w:rPr>
                <w:sz w:val="4"/>
                <w:szCs w:val="4"/>
              </w:rPr>
            </w:pPr>
            <w:r>
              <w:rPr>
                <w:sz w:val="4"/>
                <w:szCs w:val="4"/>
              </w:rPr>
            </w:r>
          </w:p>
        </w:tc>
        <w:tc>
          <w:tcPr>
            <w:tcW w:w="3424" w:type="dxa"/>
            <w:gridSpan w:val="2"/>
            <w:tcBorders/>
            <w:vAlign w:val="center"/>
          </w:tcPr>
          <w:p>
            <w:pPr>
              <w:pStyle w:val="TableContents"/>
              <w:bidi w:val="0"/>
              <w:spacing w:before="0" w:after="283"/>
              <w:jc w:val="left"/>
              <w:rPr>
                <w:sz w:val="4"/>
                <w:szCs w:val="4"/>
              </w:rPr>
            </w:pPr>
            <w:r>
              <w:rPr>
                <w:sz w:val="4"/>
                <w:szCs w:val="4"/>
              </w:rPr>
            </w:r>
          </w:p>
        </w:tc>
      </w:tr>
      <w:tr>
        <w:trPr/>
        <w:tc>
          <w:tcPr>
            <w:tcW w:w="65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6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Kevin C. Clothier</w:t>
            </w:r>
          </w:p>
        </w:tc>
      </w:tr>
      <w:tr>
        <w:trPr/>
        <w:tc>
          <w:tcPr>
            <w:tcW w:w="65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64" w:type="dxa"/>
            <w:tcBorders/>
          </w:tcPr>
          <w:p>
            <w:pPr>
              <w:pStyle w:val="TableContents"/>
              <w:bidi w:val="0"/>
              <w:spacing w:before="0" w:after="283"/>
              <w:jc w:val="left"/>
              <w:rPr/>
            </w:pPr>
            <w:r>
              <w:rPr/>
              <w:t>Kevin C. Clothier</w:t>
            </w:r>
          </w:p>
        </w:tc>
      </w:tr>
      <w:tr>
        <w:trPr/>
        <w:tc>
          <w:tcPr>
            <w:tcW w:w="65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64" w:type="dxa"/>
            <w:tcBorders/>
          </w:tcPr>
          <w:p>
            <w:pPr>
              <w:pStyle w:val="TableContents"/>
              <w:bidi w:val="0"/>
              <w:spacing w:before="0" w:after="283"/>
              <w:jc w:val="left"/>
              <w:rPr/>
            </w:pPr>
            <w:r>
              <w:rPr/>
              <w:t>Senior Vice President and 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95"/>
        <w:gridCol w:w="60"/>
        <w:gridCol w:w="3327"/>
      </w:tblGrid>
      <w:tr>
        <w:trPr/>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CROWN CORK &amp; SEAL DEUTSCHLAND HOLDINGS GMBH</w:t>
            </w:r>
          </w:p>
        </w:tc>
      </w:tr>
      <w:tr>
        <w:trPr>
          <w:trHeight w:val="240" w:hRule="atLeast"/>
        </w:trPr>
        <w:tc>
          <w:tcPr>
            <w:tcW w:w="695" w:type="dxa"/>
            <w:tcBorders/>
            <w:vAlign w:val="center"/>
          </w:tcPr>
          <w:p>
            <w:pPr>
              <w:pStyle w:val="TableContents"/>
              <w:bidi w:val="0"/>
              <w:spacing w:before="0" w:after="283"/>
              <w:jc w:val="left"/>
              <w:rPr>
                <w:sz w:val="4"/>
                <w:szCs w:val="4"/>
              </w:rPr>
            </w:pPr>
            <w:r>
              <w:rPr>
                <w:sz w:val="4"/>
                <w:szCs w:val="4"/>
              </w:rPr>
            </w:r>
          </w:p>
        </w:tc>
        <w:tc>
          <w:tcPr>
            <w:tcW w:w="3387"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Jochen Linzenich</w:t>
            </w:r>
          </w:p>
        </w:tc>
      </w:tr>
      <w:tr>
        <w:trPr/>
        <w:tc>
          <w:tcPr>
            <w:tcW w:w="69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7" w:type="dxa"/>
            <w:tcBorders/>
          </w:tcPr>
          <w:p>
            <w:pPr>
              <w:pStyle w:val="TableContents"/>
              <w:bidi w:val="0"/>
              <w:spacing w:before="0" w:after="283"/>
              <w:jc w:val="left"/>
              <w:rPr/>
            </w:pPr>
            <w:r>
              <w:rPr/>
              <w:t>Jochen Linzenich</w:t>
            </w:r>
          </w:p>
        </w:tc>
      </w:tr>
      <w:tr>
        <w:trPr/>
        <w:tc>
          <w:tcPr>
            <w:tcW w:w="69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7" w:type="dxa"/>
            <w:tcBorders/>
          </w:tcPr>
          <w:p>
            <w:pPr>
              <w:pStyle w:val="TableContents"/>
              <w:bidi w:val="0"/>
              <w:spacing w:before="0" w:after="283"/>
              <w:jc w:val="left"/>
              <w:rPr/>
            </w:pPr>
            <w:r>
              <w:rPr/>
              <w:t>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06"/>
        <w:gridCol w:w="60"/>
        <w:gridCol w:w="667"/>
        <w:gridCol w:w="60"/>
        <w:gridCol w:w="2989"/>
      </w:tblGrid>
      <w:tr>
        <w:trPr/>
        <w:tc>
          <w:tcPr>
            <w:tcW w:w="30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89"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u w:val="single"/>
              </w:rPr>
              <w:t>GUARANTORS</w:t>
            </w:r>
            <w:r>
              <w:rPr/>
              <w:t>:</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 xml:space="preserve">CR USA, INC. </w:t>
            </w:r>
          </w:p>
        </w:tc>
      </w:tr>
      <w:tr>
        <w:trPr/>
        <w:tc>
          <w:tcPr>
            <w:tcW w:w="4082" w:type="dxa"/>
            <w:gridSpan w:val="5"/>
            <w:tcBorders/>
          </w:tcPr>
          <w:p>
            <w:pPr>
              <w:pStyle w:val="TableContents"/>
              <w:bidi w:val="0"/>
              <w:spacing w:before="0" w:after="283"/>
              <w:jc w:val="left"/>
              <w:rPr/>
            </w:pPr>
            <w:r>
              <w:rPr/>
              <w:t xml:space="preserve">CROWN BEVERAGE PACKAGING PUERTO RICO, INC. </w:t>
            </w:r>
          </w:p>
        </w:tc>
      </w:tr>
      <w:tr>
        <w:trPr>
          <w:trHeight w:val="240" w:hRule="atLeast"/>
        </w:trPr>
        <w:tc>
          <w:tcPr>
            <w:tcW w:w="306" w:type="dxa"/>
            <w:tcBorders/>
            <w:vAlign w:val="center"/>
          </w:tcPr>
          <w:p>
            <w:pPr>
              <w:pStyle w:val="TableContents"/>
              <w:bidi w:val="0"/>
              <w:spacing w:before="0" w:after="283"/>
              <w:jc w:val="left"/>
              <w:rPr>
                <w:sz w:val="4"/>
                <w:szCs w:val="4"/>
              </w:rPr>
            </w:pPr>
            <w:r>
              <w:rPr>
                <w:sz w:val="4"/>
                <w:szCs w:val="4"/>
              </w:rPr>
            </w:r>
          </w:p>
        </w:tc>
        <w:tc>
          <w:tcPr>
            <w:tcW w:w="3776" w:type="dxa"/>
            <w:gridSpan w:val="4"/>
            <w:tcBorders/>
            <w:vAlign w:val="center"/>
          </w:tcPr>
          <w:p>
            <w:pPr>
              <w:pStyle w:val="TableContents"/>
              <w:bidi w:val="0"/>
              <w:spacing w:before="0" w:after="283"/>
              <w:jc w:val="left"/>
              <w:rPr>
                <w:sz w:val="4"/>
                <w:szCs w:val="4"/>
              </w:rPr>
            </w:pPr>
            <w:r>
              <w:rPr>
                <w:sz w:val="4"/>
                <w:szCs w:val="4"/>
              </w:rPr>
            </w:r>
          </w:p>
        </w:tc>
      </w:tr>
      <w:tr>
        <w:trPr/>
        <w:tc>
          <w:tcPr>
            <w:tcW w:w="30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716"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Christy L. Kalaus</w:t>
            </w:r>
          </w:p>
        </w:tc>
      </w:tr>
      <w:tr>
        <w:trPr/>
        <w:tc>
          <w:tcPr>
            <w:tcW w:w="30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89" w:type="dxa"/>
            <w:tcBorders/>
          </w:tcPr>
          <w:p>
            <w:pPr>
              <w:pStyle w:val="TableContents"/>
              <w:bidi w:val="0"/>
              <w:spacing w:before="0" w:after="283"/>
              <w:jc w:val="left"/>
              <w:rPr/>
            </w:pPr>
            <w:r>
              <w:rPr/>
              <w:t>Christy L. Kalaus</w:t>
            </w:r>
          </w:p>
        </w:tc>
      </w:tr>
      <w:tr>
        <w:trPr/>
        <w:tc>
          <w:tcPr>
            <w:tcW w:w="30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89" w:type="dxa"/>
            <w:tcBorders/>
          </w:tcPr>
          <w:p>
            <w:pPr>
              <w:pStyle w:val="TableContents"/>
              <w:bidi w:val="0"/>
              <w:spacing w:before="0" w:after="283"/>
              <w:jc w:val="left"/>
              <w:rPr/>
            </w:pPr>
            <w:r>
              <w:rPr/>
              <w:t>Vice President and Controller</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 xml:space="preserve">CROWN CONSULTANTS, INC. </w:t>
            </w:r>
          </w:p>
        </w:tc>
      </w:tr>
      <w:tr>
        <w:trPr/>
        <w:tc>
          <w:tcPr>
            <w:tcW w:w="4082" w:type="dxa"/>
            <w:gridSpan w:val="5"/>
            <w:tcBorders/>
          </w:tcPr>
          <w:p>
            <w:pPr>
              <w:pStyle w:val="TableContents"/>
              <w:bidi w:val="0"/>
              <w:spacing w:before="0" w:after="283"/>
              <w:jc w:val="left"/>
              <w:rPr/>
            </w:pPr>
            <w:r>
              <w:rPr/>
              <w:t xml:space="preserve">CROWN FINANCIAL CORPORATION </w:t>
            </w:r>
          </w:p>
        </w:tc>
      </w:tr>
      <w:tr>
        <w:trPr>
          <w:trHeight w:val="240" w:hRule="atLeast"/>
        </w:trPr>
        <w:tc>
          <w:tcPr>
            <w:tcW w:w="306" w:type="dxa"/>
            <w:tcBorders/>
            <w:vAlign w:val="center"/>
          </w:tcPr>
          <w:p>
            <w:pPr>
              <w:pStyle w:val="TableContents"/>
              <w:bidi w:val="0"/>
              <w:spacing w:before="0" w:after="283"/>
              <w:jc w:val="left"/>
              <w:rPr>
                <w:sz w:val="4"/>
                <w:szCs w:val="4"/>
              </w:rPr>
            </w:pPr>
            <w:r>
              <w:rPr>
                <w:sz w:val="4"/>
                <w:szCs w:val="4"/>
              </w:rPr>
            </w:r>
          </w:p>
        </w:tc>
        <w:tc>
          <w:tcPr>
            <w:tcW w:w="3776" w:type="dxa"/>
            <w:gridSpan w:val="4"/>
            <w:tcBorders/>
            <w:vAlign w:val="center"/>
          </w:tcPr>
          <w:p>
            <w:pPr>
              <w:pStyle w:val="TableContents"/>
              <w:bidi w:val="0"/>
              <w:spacing w:before="0" w:after="283"/>
              <w:jc w:val="left"/>
              <w:rPr>
                <w:sz w:val="4"/>
                <w:szCs w:val="4"/>
              </w:rPr>
            </w:pPr>
            <w:r>
              <w:rPr>
                <w:sz w:val="4"/>
                <w:szCs w:val="4"/>
              </w:rPr>
            </w:r>
          </w:p>
        </w:tc>
      </w:tr>
      <w:tr>
        <w:trPr/>
        <w:tc>
          <w:tcPr>
            <w:tcW w:w="30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716"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 xml:space="preserve">/s/ Kevin C. Clothier </w:t>
            </w:r>
          </w:p>
        </w:tc>
      </w:tr>
      <w:tr>
        <w:trPr/>
        <w:tc>
          <w:tcPr>
            <w:tcW w:w="30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89" w:type="dxa"/>
            <w:tcBorders/>
          </w:tcPr>
          <w:p>
            <w:pPr>
              <w:pStyle w:val="TableContents"/>
              <w:bidi w:val="0"/>
              <w:spacing w:before="0" w:after="283"/>
              <w:jc w:val="left"/>
              <w:rPr/>
            </w:pPr>
            <w:r>
              <w:rPr/>
              <w:t>Kevin C. Clothier</w:t>
            </w:r>
          </w:p>
        </w:tc>
      </w:tr>
      <w:tr>
        <w:trPr/>
        <w:tc>
          <w:tcPr>
            <w:tcW w:w="30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89" w:type="dxa"/>
            <w:tcBorders/>
          </w:tcPr>
          <w:p>
            <w:pPr>
              <w:pStyle w:val="TableContents"/>
              <w:bidi w:val="0"/>
              <w:spacing w:before="0" w:after="283"/>
              <w:jc w:val="left"/>
              <w:rPr/>
            </w:pPr>
            <w:r>
              <w:rPr/>
              <w:t>President</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 xml:space="preserve">CROWN CORK &amp; SEAL COMPANY (DE), LLC </w:t>
            </w:r>
          </w:p>
        </w:tc>
      </w:tr>
      <w:tr>
        <w:trPr>
          <w:trHeight w:val="240" w:hRule="atLeast"/>
        </w:trPr>
        <w:tc>
          <w:tcPr>
            <w:tcW w:w="306" w:type="dxa"/>
            <w:tcBorders/>
            <w:vAlign w:val="center"/>
          </w:tcPr>
          <w:p>
            <w:pPr>
              <w:pStyle w:val="TableContents"/>
              <w:bidi w:val="0"/>
              <w:spacing w:before="0" w:after="283"/>
              <w:jc w:val="left"/>
              <w:rPr>
                <w:sz w:val="4"/>
                <w:szCs w:val="4"/>
              </w:rPr>
            </w:pPr>
            <w:r>
              <w:rPr>
                <w:sz w:val="4"/>
                <w:szCs w:val="4"/>
              </w:rPr>
            </w:r>
          </w:p>
        </w:tc>
        <w:tc>
          <w:tcPr>
            <w:tcW w:w="3776" w:type="dxa"/>
            <w:gridSpan w:val="4"/>
            <w:tcBorders/>
            <w:vAlign w:val="center"/>
          </w:tcPr>
          <w:p>
            <w:pPr>
              <w:pStyle w:val="TableContents"/>
              <w:bidi w:val="0"/>
              <w:spacing w:before="0" w:after="283"/>
              <w:jc w:val="left"/>
              <w:rPr>
                <w:sz w:val="4"/>
                <w:szCs w:val="4"/>
              </w:rPr>
            </w:pPr>
            <w:r>
              <w:rPr>
                <w:sz w:val="4"/>
                <w:szCs w:val="4"/>
              </w:rPr>
            </w:r>
          </w:p>
        </w:tc>
      </w:tr>
      <w:tr>
        <w:trPr/>
        <w:tc>
          <w:tcPr>
            <w:tcW w:w="30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716"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 xml:space="preserve">/s/ Kevin C. Clothier </w:t>
            </w:r>
          </w:p>
        </w:tc>
      </w:tr>
      <w:tr>
        <w:trPr/>
        <w:tc>
          <w:tcPr>
            <w:tcW w:w="30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89" w:type="dxa"/>
            <w:tcBorders/>
          </w:tcPr>
          <w:p>
            <w:pPr>
              <w:pStyle w:val="TableContents"/>
              <w:bidi w:val="0"/>
              <w:spacing w:before="0" w:after="283"/>
              <w:jc w:val="left"/>
              <w:rPr/>
            </w:pPr>
            <w:r>
              <w:rPr/>
              <w:t>Kevin C. Clothier</w:t>
            </w:r>
          </w:p>
        </w:tc>
      </w:tr>
      <w:tr>
        <w:trPr/>
        <w:tc>
          <w:tcPr>
            <w:tcW w:w="30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89"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05"/>
        <w:gridCol w:w="60"/>
        <w:gridCol w:w="638"/>
        <w:gridCol w:w="60"/>
        <w:gridCol w:w="3019"/>
      </w:tblGrid>
      <w:tr>
        <w:trPr/>
        <w:tc>
          <w:tcPr>
            <w:tcW w:w="3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19"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CROWN CORK &amp; SEAL USA, INC.</w:t>
            </w:r>
          </w:p>
        </w:tc>
      </w:tr>
      <w:tr>
        <w:trPr>
          <w:trHeight w:val="240" w:hRule="atLeast"/>
        </w:trPr>
        <w:tc>
          <w:tcPr>
            <w:tcW w:w="305" w:type="dxa"/>
            <w:tcBorders/>
            <w:vAlign w:val="center"/>
          </w:tcPr>
          <w:p>
            <w:pPr>
              <w:pStyle w:val="TableContents"/>
              <w:bidi w:val="0"/>
              <w:spacing w:before="0" w:after="283"/>
              <w:jc w:val="left"/>
              <w:rPr>
                <w:sz w:val="4"/>
                <w:szCs w:val="4"/>
              </w:rPr>
            </w:pPr>
            <w:r>
              <w:rPr>
                <w:sz w:val="4"/>
                <w:szCs w:val="4"/>
              </w:rPr>
            </w:r>
          </w:p>
        </w:tc>
        <w:tc>
          <w:tcPr>
            <w:tcW w:w="3777" w:type="dxa"/>
            <w:gridSpan w:val="4"/>
            <w:tcBorders/>
            <w:vAlign w:val="center"/>
          </w:tcPr>
          <w:p>
            <w:pPr>
              <w:pStyle w:val="TableContents"/>
              <w:bidi w:val="0"/>
              <w:spacing w:before="0" w:after="283"/>
              <w:jc w:val="left"/>
              <w:rPr>
                <w:sz w:val="4"/>
                <w:szCs w:val="4"/>
              </w:rPr>
            </w:pPr>
            <w:r>
              <w:rPr>
                <w:sz w:val="4"/>
                <w:szCs w:val="4"/>
              </w:rPr>
            </w:r>
          </w:p>
        </w:tc>
      </w:tr>
      <w:tr>
        <w:trPr/>
        <w:tc>
          <w:tcPr>
            <w:tcW w:w="30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717"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A. Beaver</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019" w:type="dxa"/>
            <w:tcBorders/>
          </w:tcPr>
          <w:p>
            <w:pPr>
              <w:pStyle w:val="TableContents"/>
              <w:bidi w:val="0"/>
              <w:spacing w:before="0" w:after="283"/>
              <w:jc w:val="left"/>
              <w:rPr/>
            </w:pPr>
            <w:r>
              <w:rPr/>
              <w:t>David A. Beaver</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019" w:type="dxa"/>
            <w:tcBorders/>
          </w:tcPr>
          <w:p>
            <w:pPr>
              <w:pStyle w:val="TableContents"/>
              <w:bidi w:val="0"/>
              <w:spacing w:before="0" w:after="283"/>
              <w:jc w:val="left"/>
              <w:rPr/>
            </w:pPr>
            <w:r>
              <w:rPr/>
              <w:t>Assistant Treasurer</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 xml:space="preserve">SIGNODE INDUSTRIAL GROUP US INC. </w:t>
            </w:r>
          </w:p>
        </w:tc>
      </w:tr>
      <w:tr>
        <w:trPr>
          <w:trHeight w:val="240" w:hRule="atLeast"/>
        </w:trPr>
        <w:tc>
          <w:tcPr>
            <w:tcW w:w="305" w:type="dxa"/>
            <w:tcBorders/>
            <w:vAlign w:val="center"/>
          </w:tcPr>
          <w:p>
            <w:pPr>
              <w:pStyle w:val="TableContents"/>
              <w:bidi w:val="0"/>
              <w:spacing w:before="0" w:after="283"/>
              <w:jc w:val="left"/>
              <w:rPr>
                <w:sz w:val="4"/>
                <w:szCs w:val="4"/>
              </w:rPr>
            </w:pPr>
            <w:r>
              <w:rPr>
                <w:sz w:val="4"/>
                <w:szCs w:val="4"/>
              </w:rPr>
            </w:r>
          </w:p>
        </w:tc>
        <w:tc>
          <w:tcPr>
            <w:tcW w:w="3777" w:type="dxa"/>
            <w:gridSpan w:val="4"/>
            <w:tcBorders/>
            <w:vAlign w:val="center"/>
          </w:tcPr>
          <w:p>
            <w:pPr>
              <w:pStyle w:val="TableContents"/>
              <w:bidi w:val="0"/>
              <w:spacing w:before="0" w:after="283"/>
              <w:jc w:val="left"/>
              <w:rPr>
                <w:sz w:val="4"/>
                <w:szCs w:val="4"/>
              </w:rPr>
            </w:pPr>
            <w:r>
              <w:rPr>
                <w:sz w:val="4"/>
                <w:szCs w:val="4"/>
              </w:rPr>
            </w:r>
          </w:p>
        </w:tc>
      </w:tr>
      <w:tr>
        <w:trPr/>
        <w:tc>
          <w:tcPr>
            <w:tcW w:w="30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717"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A. Beaver</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019" w:type="dxa"/>
            <w:tcBorders/>
          </w:tcPr>
          <w:p>
            <w:pPr>
              <w:pStyle w:val="TableContents"/>
              <w:bidi w:val="0"/>
              <w:spacing w:before="0" w:after="283"/>
              <w:jc w:val="left"/>
              <w:rPr/>
            </w:pPr>
            <w:r>
              <w:rPr/>
              <w:t>David A. Beaver</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019" w:type="dxa"/>
            <w:tcBorders/>
          </w:tcPr>
          <w:p>
            <w:pPr>
              <w:pStyle w:val="TableContents"/>
              <w:bidi w:val="0"/>
              <w:spacing w:before="0" w:after="283"/>
              <w:jc w:val="left"/>
              <w:rPr/>
            </w:pPr>
            <w:r>
              <w:rPr/>
              <w:t>Vice President</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 xml:space="preserve">FOREIGN MANUFACTURERS FINANCE CORPORATION </w:t>
            </w:r>
          </w:p>
        </w:tc>
      </w:tr>
      <w:tr>
        <w:trPr/>
        <w:tc>
          <w:tcPr>
            <w:tcW w:w="4082" w:type="dxa"/>
            <w:gridSpan w:val="5"/>
            <w:tcBorders/>
          </w:tcPr>
          <w:p>
            <w:pPr>
              <w:pStyle w:val="TableContents"/>
              <w:bidi w:val="0"/>
              <w:spacing w:before="0" w:after="283"/>
              <w:jc w:val="left"/>
              <w:rPr/>
            </w:pPr>
            <w:r>
              <w:rPr/>
              <w:t xml:space="preserve">CROWN CORK &amp; SEAL COMPANY, INC. </w:t>
            </w:r>
          </w:p>
        </w:tc>
      </w:tr>
      <w:tr>
        <w:trPr/>
        <w:tc>
          <w:tcPr>
            <w:tcW w:w="4082" w:type="dxa"/>
            <w:gridSpan w:val="5"/>
            <w:tcBorders/>
          </w:tcPr>
          <w:p>
            <w:pPr>
              <w:pStyle w:val="TableContents"/>
              <w:bidi w:val="0"/>
              <w:spacing w:before="0" w:after="283"/>
              <w:jc w:val="left"/>
              <w:rPr/>
            </w:pPr>
            <w:r>
              <w:rPr/>
              <w:t xml:space="preserve">CROWN INTERNATIONAL HOLDINGS, INC. </w:t>
            </w:r>
          </w:p>
        </w:tc>
      </w:tr>
      <w:tr>
        <w:trPr/>
        <w:tc>
          <w:tcPr>
            <w:tcW w:w="4082" w:type="dxa"/>
            <w:gridSpan w:val="5"/>
            <w:tcBorders/>
          </w:tcPr>
          <w:p>
            <w:pPr>
              <w:pStyle w:val="TableContents"/>
              <w:bidi w:val="0"/>
              <w:spacing w:before="0" w:after="283"/>
              <w:jc w:val="left"/>
              <w:rPr/>
            </w:pPr>
            <w:r>
              <w:rPr/>
              <w:t xml:space="preserve">CROWN PACKAGING TECHNOLOGY, INC. </w:t>
            </w:r>
          </w:p>
        </w:tc>
      </w:tr>
      <w:tr>
        <w:trPr>
          <w:trHeight w:val="240" w:hRule="atLeast"/>
        </w:trPr>
        <w:tc>
          <w:tcPr>
            <w:tcW w:w="305" w:type="dxa"/>
            <w:tcBorders/>
            <w:vAlign w:val="center"/>
          </w:tcPr>
          <w:p>
            <w:pPr>
              <w:pStyle w:val="TableContents"/>
              <w:bidi w:val="0"/>
              <w:spacing w:before="0" w:after="283"/>
              <w:jc w:val="left"/>
              <w:rPr>
                <w:sz w:val="4"/>
                <w:szCs w:val="4"/>
              </w:rPr>
            </w:pPr>
            <w:r>
              <w:rPr>
                <w:sz w:val="4"/>
                <w:szCs w:val="4"/>
              </w:rPr>
            </w:r>
          </w:p>
        </w:tc>
        <w:tc>
          <w:tcPr>
            <w:tcW w:w="3777" w:type="dxa"/>
            <w:gridSpan w:val="4"/>
            <w:tcBorders/>
            <w:vAlign w:val="center"/>
          </w:tcPr>
          <w:p>
            <w:pPr>
              <w:pStyle w:val="TableContents"/>
              <w:bidi w:val="0"/>
              <w:spacing w:before="0" w:after="283"/>
              <w:jc w:val="left"/>
              <w:rPr>
                <w:sz w:val="4"/>
                <w:szCs w:val="4"/>
              </w:rPr>
            </w:pPr>
            <w:r>
              <w:rPr>
                <w:sz w:val="4"/>
                <w:szCs w:val="4"/>
              </w:rPr>
            </w:r>
          </w:p>
        </w:tc>
      </w:tr>
      <w:tr>
        <w:trPr/>
        <w:tc>
          <w:tcPr>
            <w:tcW w:w="30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717"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A. Beaver</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019" w:type="dxa"/>
            <w:tcBorders/>
          </w:tcPr>
          <w:p>
            <w:pPr>
              <w:pStyle w:val="TableContents"/>
              <w:bidi w:val="0"/>
              <w:spacing w:before="0" w:after="283"/>
              <w:jc w:val="left"/>
              <w:rPr/>
            </w:pPr>
            <w:r>
              <w:rPr/>
              <w:t>David A. Beaver</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019" w:type="dxa"/>
            <w:tcBorders/>
          </w:tcPr>
          <w:p>
            <w:pPr>
              <w:pStyle w:val="TableContents"/>
              <w:bidi w:val="0"/>
              <w:spacing w:before="0" w:after="283"/>
              <w:jc w:val="left"/>
              <w:rPr/>
            </w:pPr>
            <w:r>
              <w:rPr/>
              <w:t>Vice President &amp; Treasurer</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 xml:space="preserve">CROWN BEVERAGE PACKAGING, LLC </w:t>
            </w:r>
          </w:p>
        </w:tc>
      </w:tr>
      <w:tr>
        <w:trPr>
          <w:trHeight w:val="240" w:hRule="atLeast"/>
        </w:trPr>
        <w:tc>
          <w:tcPr>
            <w:tcW w:w="305" w:type="dxa"/>
            <w:tcBorders/>
            <w:vAlign w:val="center"/>
          </w:tcPr>
          <w:p>
            <w:pPr>
              <w:pStyle w:val="TableContents"/>
              <w:bidi w:val="0"/>
              <w:spacing w:before="0" w:after="283"/>
              <w:jc w:val="left"/>
              <w:rPr>
                <w:sz w:val="4"/>
                <w:szCs w:val="4"/>
              </w:rPr>
            </w:pPr>
            <w:r>
              <w:rPr>
                <w:sz w:val="4"/>
                <w:szCs w:val="4"/>
              </w:rPr>
            </w:r>
          </w:p>
        </w:tc>
        <w:tc>
          <w:tcPr>
            <w:tcW w:w="3777" w:type="dxa"/>
            <w:gridSpan w:val="4"/>
            <w:tcBorders/>
            <w:vAlign w:val="center"/>
          </w:tcPr>
          <w:p>
            <w:pPr>
              <w:pStyle w:val="TableContents"/>
              <w:bidi w:val="0"/>
              <w:spacing w:before="0" w:after="283"/>
              <w:jc w:val="left"/>
              <w:rPr>
                <w:sz w:val="4"/>
                <w:szCs w:val="4"/>
              </w:rPr>
            </w:pPr>
            <w:r>
              <w:rPr>
                <w:sz w:val="4"/>
                <w:szCs w:val="4"/>
              </w:rPr>
            </w:r>
          </w:p>
        </w:tc>
      </w:tr>
      <w:tr>
        <w:trPr/>
        <w:tc>
          <w:tcPr>
            <w:tcW w:w="30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717"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A. Beaver</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019" w:type="dxa"/>
            <w:tcBorders/>
          </w:tcPr>
          <w:p>
            <w:pPr>
              <w:pStyle w:val="TableContents"/>
              <w:bidi w:val="0"/>
              <w:spacing w:before="0" w:after="283"/>
              <w:jc w:val="left"/>
              <w:rPr/>
            </w:pPr>
            <w:r>
              <w:rPr/>
              <w:t>David A. Beaver</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019" w:type="dxa"/>
            <w:tcBorders/>
          </w:tcPr>
          <w:p>
            <w:pPr>
              <w:pStyle w:val="TableContents"/>
              <w:bidi w:val="0"/>
              <w:spacing w:before="0" w:after="283"/>
              <w:jc w:val="left"/>
              <w:rPr/>
            </w:pPr>
            <w:r>
              <w:rPr/>
              <w:t>Assistant Treasurer</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 xml:space="preserve">CROWN BEVERAGE HOLDINGS, INC. </w:t>
            </w:r>
          </w:p>
        </w:tc>
      </w:tr>
      <w:tr>
        <w:trPr>
          <w:trHeight w:val="240" w:hRule="atLeast"/>
        </w:trPr>
        <w:tc>
          <w:tcPr>
            <w:tcW w:w="305" w:type="dxa"/>
            <w:tcBorders/>
            <w:vAlign w:val="center"/>
          </w:tcPr>
          <w:p>
            <w:pPr>
              <w:pStyle w:val="TableContents"/>
              <w:bidi w:val="0"/>
              <w:spacing w:before="0" w:after="283"/>
              <w:jc w:val="left"/>
              <w:rPr>
                <w:sz w:val="4"/>
                <w:szCs w:val="4"/>
              </w:rPr>
            </w:pPr>
            <w:r>
              <w:rPr>
                <w:sz w:val="4"/>
                <w:szCs w:val="4"/>
              </w:rPr>
            </w:r>
          </w:p>
        </w:tc>
        <w:tc>
          <w:tcPr>
            <w:tcW w:w="3777" w:type="dxa"/>
            <w:gridSpan w:val="4"/>
            <w:tcBorders/>
            <w:vAlign w:val="center"/>
          </w:tcPr>
          <w:p>
            <w:pPr>
              <w:pStyle w:val="TableContents"/>
              <w:bidi w:val="0"/>
              <w:spacing w:before="0" w:after="283"/>
              <w:jc w:val="left"/>
              <w:rPr>
                <w:sz w:val="4"/>
                <w:szCs w:val="4"/>
              </w:rPr>
            </w:pPr>
            <w:r>
              <w:rPr>
                <w:sz w:val="4"/>
                <w:szCs w:val="4"/>
              </w:rPr>
            </w:r>
          </w:p>
        </w:tc>
      </w:tr>
      <w:tr>
        <w:trPr/>
        <w:tc>
          <w:tcPr>
            <w:tcW w:w="30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717"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A. Beaver</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019" w:type="dxa"/>
            <w:tcBorders/>
          </w:tcPr>
          <w:p>
            <w:pPr>
              <w:pStyle w:val="TableContents"/>
              <w:bidi w:val="0"/>
              <w:spacing w:before="0" w:after="283"/>
              <w:jc w:val="left"/>
              <w:rPr/>
            </w:pPr>
            <w:r>
              <w:rPr/>
              <w:t>David A. Beaver</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019" w:type="dxa"/>
            <w:tcBorders/>
          </w:tcPr>
          <w:p>
            <w:pPr>
              <w:pStyle w:val="TableContents"/>
              <w:bidi w:val="0"/>
              <w:spacing w:before="0" w:after="283"/>
              <w:jc w:val="left"/>
              <w:rPr/>
            </w:pPr>
            <w:r>
              <w:rPr/>
              <w:t>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04"/>
        <w:gridCol w:w="60"/>
        <w:gridCol w:w="638"/>
        <w:gridCol w:w="60"/>
        <w:gridCol w:w="3020"/>
      </w:tblGrid>
      <w:tr>
        <w:trPr/>
        <w:tc>
          <w:tcPr>
            <w:tcW w:w="30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20"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 xml:space="preserve">SIGNODE INDUSTRIAL GROUP LLC </w:t>
            </w:r>
          </w:p>
        </w:tc>
      </w:tr>
      <w:tr>
        <w:trPr/>
        <w:tc>
          <w:tcPr>
            <w:tcW w:w="4082" w:type="dxa"/>
            <w:gridSpan w:val="5"/>
            <w:tcBorders/>
          </w:tcPr>
          <w:p>
            <w:pPr>
              <w:pStyle w:val="TableContents"/>
              <w:bidi w:val="0"/>
              <w:spacing w:before="0" w:after="283"/>
              <w:jc w:val="left"/>
              <w:rPr/>
            </w:pPr>
            <w:r>
              <w:rPr/>
              <w:t xml:space="preserve">SIGNODE PICKLING HOLDING LLC </w:t>
            </w:r>
          </w:p>
        </w:tc>
      </w:tr>
      <w:tr>
        <w:trPr/>
        <w:tc>
          <w:tcPr>
            <w:tcW w:w="4082" w:type="dxa"/>
            <w:gridSpan w:val="5"/>
            <w:tcBorders/>
          </w:tcPr>
          <w:p>
            <w:pPr>
              <w:pStyle w:val="TableContents"/>
              <w:bidi w:val="0"/>
              <w:spacing w:before="0" w:after="283"/>
              <w:jc w:val="left"/>
              <w:rPr/>
            </w:pPr>
            <w:r>
              <w:rPr/>
              <w:t xml:space="preserve">SIGNODE US IP HOLDINGS LLC </w:t>
            </w:r>
          </w:p>
        </w:tc>
      </w:tr>
      <w:tr>
        <w:trPr/>
        <w:tc>
          <w:tcPr>
            <w:tcW w:w="4082" w:type="dxa"/>
            <w:gridSpan w:val="5"/>
            <w:tcBorders/>
          </w:tcPr>
          <w:p>
            <w:pPr>
              <w:pStyle w:val="TableContents"/>
              <w:bidi w:val="0"/>
              <w:spacing w:before="0" w:after="283"/>
              <w:jc w:val="left"/>
              <w:rPr/>
            </w:pPr>
            <w:r>
              <w:rPr/>
              <w:t xml:space="preserve">SIGNODE INDUSTRIAL GROUP HOLDINGS US INC. </w:t>
            </w:r>
          </w:p>
        </w:tc>
      </w:tr>
      <w:tr>
        <w:trPr/>
        <w:tc>
          <w:tcPr>
            <w:tcW w:w="4082" w:type="dxa"/>
            <w:gridSpan w:val="5"/>
            <w:tcBorders/>
          </w:tcPr>
          <w:p>
            <w:pPr>
              <w:pStyle w:val="TableContents"/>
              <w:bidi w:val="0"/>
              <w:spacing w:before="0" w:after="283"/>
              <w:jc w:val="left"/>
              <w:rPr/>
            </w:pPr>
            <w:r>
              <w:rPr/>
              <w:t xml:space="preserve">SIGNODE INTERNATIONAL IP HOLDINGS LLC </w:t>
            </w:r>
          </w:p>
        </w:tc>
      </w:tr>
      <w:tr>
        <w:trPr/>
        <w:tc>
          <w:tcPr>
            <w:tcW w:w="4082" w:type="dxa"/>
            <w:gridSpan w:val="5"/>
            <w:tcBorders/>
          </w:tcPr>
          <w:p>
            <w:pPr>
              <w:pStyle w:val="TableContents"/>
              <w:bidi w:val="0"/>
              <w:spacing w:before="0" w:after="283"/>
              <w:jc w:val="left"/>
              <w:rPr/>
            </w:pPr>
            <w:r>
              <w:rPr/>
              <w:t xml:space="preserve">SIMPLIMATIC ENGINEERING HOLDINGS, LLC </w:t>
            </w:r>
          </w:p>
        </w:tc>
      </w:tr>
      <w:tr>
        <w:trPr/>
        <w:tc>
          <w:tcPr>
            <w:tcW w:w="4082" w:type="dxa"/>
            <w:gridSpan w:val="5"/>
            <w:tcBorders/>
          </w:tcPr>
          <w:p>
            <w:pPr>
              <w:pStyle w:val="TableContents"/>
              <w:bidi w:val="0"/>
              <w:spacing w:before="0" w:after="283"/>
              <w:jc w:val="left"/>
              <w:rPr/>
            </w:pPr>
            <w:r>
              <w:rPr/>
              <w:t xml:space="preserve">SIMPLIMTIC AUTOMATION LLC </w:t>
            </w:r>
          </w:p>
        </w:tc>
      </w:tr>
      <w:tr>
        <w:trPr/>
        <w:tc>
          <w:tcPr>
            <w:tcW w:w="4082" w:type="dxa"/>
            <w:gridSpan w:val="5"/>
            <w:tcBorders/>
          </w:tcPr>
          <w:p>
            <w:pPr>
              <w:pStyle w:val="TableContents"/>
              <w:bidi w:val="0"/>
              <w:spacing w:before="0" w:after="283"/>
              <w:jc w:val="left"/>
              <w:rPr/>
            </w:pPr>
            <w:r>
              <w:rPr/>
              <w:t xml:space="preserve">SEH REAL ESTATE HOLDINGS LLC </w:t>
            </w:r>
          </w:p>
        </w:tc>
      </w:tr>
      <w:tr>
        <w:trPr/>
        <w:tc>
          <w:tcPr>
            <w:tcW w:w="4082" w:type="dxa"/>
            <w:gridSpan w:val="5"/>
            <w:tcBorders/>
          </w:tcPr>
          <w:p>
            <w:pPr>
              <w:pStyle w:val="TableContents"/>
              <w:bidi w:val="0"/>
              <w:spacing w:before="0" w:after="283"/>
              <w:jc w:val="left"/>
              <w:rPr/>
            </w:pPr>
            <w:r>
              <w:rPr/>
              <w:t xml:space="preserve">SE INTERNATIONAL HOLDING LLC </w:t>
            </w:r>
          </w:p>
        </w:tc>
      </w:tr>
      <w:tr>
        <w:trPr/>
        <w:tc>
          <w:tcPr>
            <w:tcW w:w="4082" w:type="dxa"/>
            <w:gridSpan w:val="5"/>
            <w:tcBorders/>
          </w:tcPr>
          <w:p>
            <w:pPr>
              <w:pStyle w:val="TableContents"/>
              <w:bidi w:val="0"/>
              <w:spacing w:before="0" w:after="283"/>
              <w:jc w:val="left"/>
              <w:rPr/>
            </w:pPr>
            <w:r>
              <w:rPr/>
              <w:t xml:space="preserve">SE INTERNATIONAL HOLDINGS II LLC </w:t>
            </w:r>
          </w:p>
        </w:tc>
      </w:tr>
      <w:tr>
        <w:trPr>
          <w:trHeight w:val="240" w:hRule="atLeast"/>
        </w:trPr>
        <w:tc>
          <w:tcPr>
            <w:tcW w:w="304" w:type="dxa"/>
            <w:tcBorders/>
            <w:vAlign w:val="center"/>
          </w:tcPr>
          <w:p>
            <w:pPr>
              <w:pStyle w:val="TableContents"/>
              <w:bidi w:val="0"/>
              <w:spacing w:before="0" w:after="283"/>
              <w:jc w:val="left"/>
              <w:rPr>
                <w:sz w:val="4"/>
                <w:szCs w:val="4"/>
              </w:rPr>
            </w:pPr>
            <w:r>
              <w:rPr>
                <w:sz w:val="4"/>
                <w:szCs w:val="4"/>
              </w:rPr>
            </w:r>
          </w:p>
        </w:tc>
        <w:tc>
          <w:tcPr>
            <w:tcW w:w="3778" w:type="dxa"/>
            <w:gridSpan w:val="4"/>
            <w:tcBorders/>
            <w:vAlign w:val="center"/>
          </w:tcPr>
          <w:p>
            <w:pPr>
              <w:pStyle w:val="TableContents"/>
              <w:bidi w:val="0"/>
              <w:spacing w:before="0" w:after="283"/>
              <w:jc w:val="left"/>
              <w:rPr>
                <w:sz w:val="4"/>
                <w:szCs w:val="4"/>
              </w:rPr>
            </w:pPr>
            <w:r>
              <w:rPr>
                <w:sz w:val="4"/>
                <w:szCs w:val="4"/>
              </w:rPr>
            </w:r>
          </w:p>
        </w:tc>
      </w:tr>
      <w:tr>
        <w:trPr/>
        <w:tc>
          <w:tcPr>
            <w:tcW w:w="30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718"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A. Beaver</w:t>
            </w:r>
          </w:p>
        </w:tc>
      </w:tr>
      <w:tr>
        <w:trPr/>
        <w:tc>
          <w:tcPr>
            <w:tcW w:w="30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020" w:type="dxa"/>
            <w:tcBorders/>
          </w:tcPr>
          <w:p>
            <w:pPr>
              <w:pStyle w:val="TableContents"/>
              <w:bidi w:val="0"/>
              <w:spacing w:before="0" w:after="283"/>
              <w:jc w:val="left"/>
              <w:rPr/>
            </w:pPr>
            <w:r>
              <w:rPr/>
              <w:t>David A. Beaver</w:t>
            </w:r>
          </w:p>
        </w:tc>
      </w:tr>
      <w:tr>
        <w:trPr/>
        <w:tc>
          <w:tcPr>
            <w:tcW w:w="30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020" w:type="dxa"/>
            <w:tcBorders/>
          </w:tcPr>
          <w:p>
            <w:pPr>
              <w:pStyle w:val="TableContents"/>
              <w:bidi w:val="0"/>
              <w:spacing w:before="0" w:after="283"/>
              <w:jc w:val="left"/>
              <w:rPr/>
            </w:pPr>
            <w:r>
              <w:rPr/>
              <w:t>Vice President &amp; Assistant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43"/>
        <w:gridCol w:w="60"/>
        <w:gridCol w:w="635"/>
        <w:gridCol w:w="60"/>
        <w:gridCol w:w="2984"/>
      </w:tblGrid>
      <w:tr>
        <w:trPr/>
        <w:tc>
          <w:tcPr>
            <w:tcW w:w="34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84"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 xml:space="preserve">3079939 NOVA SCOTIA COMPANY/3079939 COMPAGNIE DE LA NOUVELLE ECOSSE </w:t>
            </w:r>
          </w:p>
        </w:tc>
      </w:tr>
      <w:tr>
        <w:trPr/>
        <w:tc>
          <w:tcPr>
            <w:tcW w:w="4082" w:type="dxa"/>
            <w:gridSpan w:val="5"/>
            <w:tcBorders/>
          </w:tcPr>
          <w:p>
            <w:pPr>
              <w:pStyle w:val="TableContents"/>
              <w:bidi w:val="0"/>
              <w:spacing w:before="0" w:after="283"/>
              <w:jc w:val="left"/>
              <w:rPr/>
            </w:pPr>
            <w:r>
              <w:rPr/>
              <w:t xml:space="preserve">889273 ONTARIO INC. </w:t>
            </w:r>
          </w:p>
        </w:tc>
      </w:tr>
      <w:tr>
        <w:trPr/>
        <w:tc>
          <w:tcPr>
            <w:tcW w:w="4082" w:type="dxa"/>
            <w:gridSpan w:val="5"/>
            <w:tcBorders/>
          </w:tcPr>
          <w:p>
            <w:pPr>
              <w:pStyle w:val="TableContents"/>
              <w:bidi w:val="0"/>
              <w:spacing w:before="0" w:after="283"/>
              <w:jc w:val="left"/>
              <w:rPr/>
            </w:pPr>
            <w:r>
              <w:rPr/>
              <w:t xml:space="preserve">CROWN CANADIAN HOLDINGS ULC </w:t>
            </w:r>
          </w:p>
        </w:tc>
      </w:tr>
      <w:tr>
        <w:trPr/>
        <w:tc>
          <w:tcPr>
            <w:tcW w:w="4082" w:type="dxa"/>
            <w:gridSpan w:val="5"/>
            <w:tcBorders/>
          </w:tcPr>
          <w:p>
            <w:pPr>
              <w:pStyle w:val="TableContents"/>
              <w:bidi w:val="0"/>
              <w:spacing w:before="0" w:after="283"/>
              <w:jc w:val="left"/>
              <w:rPr/>
            </w:pPr>
            <w:r>
              <w:rPr/>
              <w:t xml:space="preserve">CROWN METAL PACKAGING CANADA INC. </w:t>
            </w:r>
          </w:p>
        </w:tc>
      </w:tr>
      <w:tr>
        <w:trPr>
          <w:trHeight w:val="240" w:hRule="atLeast"/>
        </w:trPr>
        <w:tc>
          <w:tcPr>
            <w:tcW w:w="343" w:type="dxa"/>
            <w:tcBorders/>
            <w:vAlign w:val="center"/>
          </w:tcPr>
          <w:p>
            <w:pPr>
              <w:pStyle w:val="TableContents"/>
              <w:bidi w:val="0"/>
              <w:spacing w:before="0" w:after="283"/>
              <w:jc w:val="left"/>
              <w:rPr>
                <w:sz w:val="4"/>
                <w:szCs w:val="4"/>
              </w:rPr>
            </w:pPr>
            <w:r>
              <w:rPr>
                <w:sz w:val="4"/>
                <w:szCs w:val="4"/>
              </w:rPr>
            </w:r>
          </w:p>
        </w:tc>
        <w:tc>
          <w:tcPr>
            <w:tcW w:w="3739" w:type="dxa"/>
            <w:gridSpan w:val="4"/>
            <w:tcBorders/>
            <w:vAlign w:val="center"/>
          </w:tcPr>
          <w:p>
            <w:pPr>
              <w:pStyle w:val="TableContents"/>
              <w:bidi w:val="0"/>
              <w:spacing w:before="0" w:after="283"/>
              <w:jc w:val="left"/>
              <w:rPr>
                <w:sz w:val="4"/>
                <w:szCs w:val="4"/>
              </w:rPr>
            </w:pPr>
            <w:r>
              <w:rPr>
                <w:sz w:val="4"/>
                <w:szCs w:val="4"/>
              </w:rPr>
            </w:r>
          </w:p>
        </w:tc>
      </w:tr>
      <w:tr>
        <w:trPr/>
        <w:tc>
          <w:tcPr>
            <w:tcW w:w="34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79"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A. Beaver</w:t>
            </w:r>
          </w:p>
        </w:tc>
      </w:tr>
      <w:tr>
        <w:trPr/>
        <w:tc>
          <w:tcPr>
            <w:tcW w:w="34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84" w:type="dxa"/>
            <w:tcBorders/>
          </w:tcPr>
          <w:p>
            <w:pPr>
              <w:pStyle w:val="TableContents"/>
              <w:bidi w:val="0"/>
              <w:spacing w:before="0" w:after="283"/>
              <w:jc w:val="left"/>
              <w:rPr/>
            </w:pPr>
            <w:r>
              <w:rPr/>
              <w:t>David A. Beaver</w:t>
            </w:r>
          </w:p>
        </w:tc>
      </w:tr>
      <w:tr>
        <w:trPr/>
        <w:tc>
          <w:tcPr>
            <w:tcW w:w="34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84" w:type="dxa"/>
            <w:tcBorders/>
          </w:tcPr>
          <w:p>
            <w:pPr>
              <w:pStyle w:val="TableContents"/>
              <w:bidi w:val="0"/>
              <w:spacing w:before="0" w:after="283"/>
              <w:jc w:val="left"/>
              <w:rPr/>
            </w:pPr>
            <w:r>
              <w:rPr/>
              <w:t>Vice President &amp; Treasurer</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 xml:space="preserve">SIGNODE CANADA ULC </w:t>
            </w:r>
          </w:p>
        </w:tc>
      </w:tr>
      <w:tr>
        <w:trPr>
          <w:trHeight w:val="240" w:hRule="atLeast"/>
        </w:trPr>
        <w:tc>
          <w:tcPr>
            <w:tcW w:w="343" w:type="dxa"/>
            <w:tcBorders/>
            <w:vAlign w:val="center"/>
          </w:tcPr>
          <w:p>
            <w:pPr>
              <w:pStyle w:val="TableContents"/>
              <w:bidi w:val="0"/>
              <w:spacing w:before="0" w:after="283"/>
              <w:jc w:val="left"/>
              <w:rPr>
                <w:sz w:val="4"/>
                <w:szCs w:val="4"/>
              </w:rPr>
            </w:pPr>
            <w:r>
              <w:rPr>
                <w:sz w:val="4"/>
                <w:szCs w:val="4"/>
              </w:rPr>
            </w:r>
          </w:p>
        </w:tc>
        <w:tc>
          <w:tcPr>
            <w:tcW w:w="3739" w:type="dxa"/>
            <w:gridSpan w:val="4"/>
            <w:tcBorders/>
            <w:vAlign w:val="center"/>
          </w:tcPr>
          <w:p>
            <w:pPr>
              <w:pStyle w:val="TableContents"/>
              <w:bidi w:val="0"/>
              <w:spacing w:before="0" w:after="283"/>
              <w:jc w:val="left"/>
              <w:rPr>
                <w:sz w:val="4"/>
                <w:szCs w:val="4"/>
              </w:rPr>
            </w:pPr>
            <w:r>
              <w:rPr>
                <w:sz w:val="4"/>
                <w:szCs w:val="4"/>
              </w:rPr>
            </w:r>
          </w:p>
        </w:tc>
      </w:tr>
      <w:tr>
        <w:trPr/>
        <w:tc>
          <w:tcPr>
            <w:tcW w:w="34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79"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Peter Abraham</w:t>
            </w:r>
          </w:p>
        </w:tc>
      </w:tr>
      <w:tr>
        <w:trPr/>
        <w:tc>
          <w:tcPr>
            <w:tcW w:w="34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84" w:type="dxa"/>
            <w:tcBorders/>
          </w:tcPr>
          <w:p>
            <w:pPr>
              <w:pStyle w:val="TableContents"/>
              <w:bidi w:val="0"/>
              <w:spacing w:before="0" w:after="283"/>
              <w:jc w:val="left"/>
              <w:rPr/>
            </w:pPr>
            <w:r>
              <w:rPr/>
              <w:t>Peter Abraham</w:t>
            </w:r>
          </w:p>
        </w:tc>
      </w:tr>
      <w:tr>
        <w:trPr/>
        <w:tc>
          <w:tcPr>
            <w:tcW w:w="34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84" w:type="dxa"/>
            <w:tcBorders/>
          </w:tcPr>
          <w:p>
            <w:pPr>
              <w:pStyle w:val="TableContents"/>
              <w:bidi w:val="0"/>
              <w:spacing w:before="0" w:after="283"/>
              <w:jc w:val="left"/>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43"/>
        <w:gridCol w:w="60"/>
        <w:gridCol w:w="635"/>
        <w:gridCol w:w="60"/>
        <w:gridCol w:w="2984"/>
      </w:tblGrid>
      <w:tr>
        <w:trPr/>
        <w:tc>
          <w:tcPr>
            <w:tcW w:w="34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84"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 xml:space="preserve">CROWN METAL PACKAGING CANADA LP </w:t>
            </w:r>
          </w:p>
        </w:tc>
      </w:tr>
      <w:tr>
        <w:trPr>
          <w:trHeight w:val="240" w:hRule="atLeast"/>
        </w:trPr>
        <w:tc>
          <w:tcPr>
            <w:tcW w:w="343" w:type="dxa"/>
            <w:tcBorders/>
            <w:vAlign w:val="center"/>
          </w:tcPr>
          <w:p>
            <w:pPr>
              <w:pStyle w:val="TableContents"/>
              <w:bidi w:val="0"/>
              <w:spacing w:before="0" w:after="283"/>
              <w:jc w:val="left"/>
              <w:rPr>
                <w:sz w:val="4"/>
                <w:szCs w:val="4"/>
              </w:rPr>
            </w:pPr>
            <w:r>
              <w:rPr>
                <w:sz w:val="4"/>
                <w:szCs w:val="4"/>
              </w:rPr>
            </w:r>
          </w:p>
        </w:tc>
        <w:tc>
          <w:tcPr>
            <w:tcW w:w="3739" w:type="dxa"/>
            <w:gridSpan w:val="4"/>
            <w:tcBorders/>
            <w:vAlign w:val="center"/>
          </w:tcPr>
          <w:p>
            <w:pPr>
              <w:pStyle w:val="TableContents"/>
              <w:bidi w:val="0"/>
              <w:spacing w:before="0" w:after="283"/>
              <w:jc w:val="left"/>
              <w:rPr>
                <w:sz w:val="4"/>
                <w:szCs w:val="4"/>
              </w:rPr>
            </w:pPr>
            <w:r>
              <w:rPr>
                <w:sz w:val="4"/>
                <w:szCs w:val="4"/>
              </w:rPr>
            </w:r>
          </w:p>
        </w:tc>
      </w:tr>
      <w:tr>
        <w:trPr/>
        <w:tc>
          <w:tcPr>
            <w:tcW w:w="343" w:type="dxa"/>
            <w:tcBorders/>
          </w:tcPr>
          <w:p>
            <w:pPr>
              <w:pStyle w:val="TableContents"/>
              <w:bidi w:val="0"/>
              <w:spacing w:before="0" w:after="283"/>
              <w:jc w:val="left"/>
              <w:rPr/>
            </w:pPr>
            <w:r>
              <w:rPr/>
              <w:t xml:space="preserve">By: </w:t>
            </w:r>
          </w:p>
        </w:tc>
        <w:tc>
          <w:tcPr>
            <w:tcW w:w="60" w:type="dxa"/>
            <w:tcBorders/>
            <w:vAlign w:val="bottom"/>
          </w:tcPr>
          <w:p>
            <w:pPr>
              <w:pStyle w:val="TableContents"/>
              <w:bidi w:val="0"/>
              <w:spacing w:before="0" w:after="283"/>
              <w:jc w:val="left"/>
              <w:rPr/>
            </w:pPr>
            <w:r>
              <w:rPr/>
              <w:t> </w:t>
            </w:r>
          </w:p>
        </w:tc>
        <w:tc>
          <w:tcPr>
            <w:tcW w:w="3679" w:type="dxa"/>
            <w:gridSpan w:val="3"/>
            <w:tcBorders/>
          </w:tcPr>
          <w:p>
            <w:pPr>
              <w:pStyle w:val="TableContents"/>
              <w:bidi w:val="0"/>
              <w:spacing w:before="0" w:after="283"/>
              <w:jc w:val="left"/>
              <w:rPr/>
            </w:pPr>
            <w:r>
              <w:rPr/>
              <w:t>Crown Metal Packaging Canada Inc., its General Partner</w:t>
            </w:r>
          </w:p>
        </w:tc>
      </w:tr>
      <w:tr>
        <w:trPr>
          <w:trHeight w:val="240" w:hRule="atLeast"/>
        </w:trPr>
        <w:tc>
          <w:tcPr>
            <w:tcW w:w="343" w:type="dxa"/>
            <w:tcBorders/>
            <w:vAlign w:val="center"/>
          </w:tcPr>
          <w:p>
            <w:pPr>
              <w:pStyle w:val="TableContents"/>
              <w:bidi w:val="0"/>
              <w:spacing w:before="0" w:after="283"/>
              <w:jc w:val="left"/>
              <w:rPr>
                <w:sz w:val="4"/>
                <w:szCs w:val="4"/>
              </w:rPr>
            </w:pPr>
            <w:r>
              <w:rPr>
                <w:sz w:val="4"/>
                <w:szCs w:val="4"/>
              </w:rPr>
            </w:r>
          </w:p>
        </w:tc>
        <w:tc>
          <w:tcPr>
            <w:tcW w:w="3739" w:type="dxa"/>
            <w:gridSpan w:val="4"/>
            <w:tcBorders/>
            <w:vAlign w:val="center"/>
          </w:tcPr>
          <w:p>
            <w:pPr>
              <w:pStyle w:val="TableContents"/>
              <w:bidi w:val="0"/>
              <w:spacing w:before="0" w:after="283"/>
              <w:jc w:val="left"/>
              <w:rPr>
                <w:sz w:val="4"/>
                <w:szCs w:val="4"/>
              </w:rPr>
            </w:pPr>
            <w:r>
              <w:rPr>
                <w:sz w:val="4"/>
                <w:szCs w:val="4"/>
              </w:rPr>
            </w:r>
          </w:p>
        </w:tc>
      </w:tr>
      <w:tr>
        <w:trPr/>
        <w:tc>
          <w:tcPr>
            <w:tcW w:w="34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79"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A. Beaver</w:t>
            </w:r>
          </w:p>
        </w:tc>
      </w:tr>
      <w:tr>
        <w:trPr/>
        <w:tc>
          <w:tcPr>
            <w:tcW w:w="34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84" w:type="dxa"/>
            <w:tcBorders/>
          </w:tcPr>
          <w:p>
            <w:pPr>
              <w:pStyle w:val="TableContents"/>
              <w:bidi w:val="0"/>
              <w:spacing w:before="0" w:after="283"/>
              <w:jc w:val="left"/>
              <w:rPr/>
            </w:pPr>
            <w:r>
              <w:rPr/>
              <w:t>David A. Beaver</w:t>
            </w:r>
          </w:p>
        </w:tc>
      </w:tr>
      <w:tr>
        <w:trPr/>
        <w:tc>
          <w:tcPr>
            <w:tcW w:w="34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84" w:type="dxa"/>
            <w:tcBorders/>
          </w:tcPr>
          <w:p>
            <w:pPr>
              <w:pStyle w:val="TableContents"/>
              <w:bidi w:val="0"/>
              <w:spacing w:before="0" w:after="283"/>
              <w:jc w:val="left"/>
              <w:rPr/>
            </w:pPr>
            <w:r>
              <w:rPr/>
              <w:t>Vice President &amp;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58"/>
        <w:gridCol w:w="60"/>
        <w:gridCol w:w="651"/>
        <w:gridCol w:w="60"/>
        <w:gridCol w:w="2953"/>
      </w:tblGrid>
      <w:tr>
        <w:trPr/>
        <w:tc>
          <w:tcPr>
            <w:tcW w:w="35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53"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 xml:space="preserve">CROWN BEVCAN FRANCE SAS </w:t>
            </w:r>
          </w:p>
        </w:tc>
      </w:tr>
      <w:tr>
        <w:trPr>
          <w:trHeight w:val="240" w:hRule="atLeast"/>
        </w:trPr>
        <w:tc>
          <w:tcPr>
            <w:tcW w:w="358" w:type="dxa"/>
            <w:tcBorders/>
            <w:vAlign w:val="center"/>
          </w:tcPr>
          <w:p>
            <w:pPr>
              <w:pStyle w:val="TableContents"/>
              <w:bidi w:val="0"/>
              <w:spacing w:before="0" w:after="283"/>
              <w:jc w:val="left"/>
              <w:rPr>
                <w:sz w:val="4"/>
                <w:szCs w:val="4"/>
              </w:rPr>
            </w:pPr>
            <w:r>
              <w:rPr>
                <w:sz w:val="4"/>
                <w:szCs w:val="4"/>
              </w:rPr>
            </w:r>
          </w:p>
        </w:tc>
        <w:tc>
          <w:tcPr>
            <w:tcW w:w="3724" w:type="dxa"/>
            <w:gridSpan w:val="4"/>
            <w:tcBorders/>
            <w:vAlign w:val="center"/>
          </w:tcPr>
          <w:p>
            <w:pPr>
              <w:pStyle w:val="TableContents"/>
              <w:bidi w:val="0"/>
              <w:spacing w:before="0" w:after="283"/>
              <w:jc w:val="left"/>
              <w:rPr>
                <w:sz w:val="4"/>
                <w:szCs w:val="4"/>
              </w:rPr>
            </w:pPr>
            <w:r>
              <w:rPr>
                <w:sz w:val="4"/>
                <w:szCs w:val="4"/>
              </w:rPr>
            </w:r>
          </w:p>
        </w:tc>
      </w:tr>
      <w:tr>
        <w:trPr/>
        <w:tc>
          <w:tcPr>
            <w:tcW w:w="35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64"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Paul Browett</w:t>
            </w:r>
          </w:p>
        </w:tc>
      </w:tr>
      <w:tr>
        <w:trPr/>
        <w:tc>
          <w:tcPr>
            <w:tcW w:w="35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53" w:type="dxa"/>
            <w:tcBorders/>
          </w:tcPr>
          <w:p>
            <w:pPr>
              <w:pStyle w:val="TableContents"/>
              <w:bidi w:val="0"/>
              <w:spacing w:before="0" w:after="283"/>
              <w:jc w:val="left"/>
              <w:rPr/>
            </w:pPr>
            <w:r>
              <w:rPr/>
              <w:t>Paul Browett</w:t>
            </w:r>
          </w:p>
        </w:tc>
      </w:tr>
      <w:tr>
        <w:trPr/>
        <w:tc>
          <w:tcPr>
            <w:tcW w:w="35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53" w:type="dxa"/>
            <w:tcBorders/>
          </w:tcPr>
          <w:p>
            <w:pPr>
              <w:pStyle w:val="TableContents"/>
              <w:bidi w:val="0"/>
              <w:spacing w:before="0" w:after="283"/>
              <w:jc w:val="left"/>
              <w:rPr/>
            </w:pPr>
            <w:r>
              <w:rPr/>
              <w:t>Directeur Général</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 xml:space="preserve">CROWN DÉVELOPPEMENT </w:t>
            </w:r>
          </w:p>
        </w:tc>
      </w:tr>
      <w:tr>
        <w:trPr>
          <w:trHeight w:val="240" w:hRule="atLeast"/>
        </w:trPr>
        <w:tc>
          <w:tcPr>
            <w:tcW w:w="358" w:type="dxa"/>
            <w:tcBorders/>
            <w:vAlign w:val="center"/>
          </w:tcPr>
          <w:p>
            <w:pPr>
              <w:pStyle w:val="TableContents"/>
              <w:bidi w:val="0"/>
              <w:spacing w:before="0" w:after="283"/>
              <w:jc w:val="left"/>
              <w:rPr>
                <w:sz w:val="4"/>
                <w:szCs w:val="4"/>
              </w:rPr>
            </w:pPr>
            <w:r>
              <w:rPr>
                <w:sz w:val="4"/>
                <w:szCs w:val="4"/>
              </w:rPr>
            </w:r>
          </w:p>
        </w:tc>
        <w:tc>
          <w:tcPr>
            <w:tcW w:w="3724" w:type="dxa"/>
            <w:gridSpan w:val="4"/>
            <w:tcBorders/>
            <w:vAlign w:val="center"/>
          </w:tcPr>
          <w:p>
            <w:pPr>
              <w:pStyle w:val="TableContents"/>
              <w:bidi w:val="0"/>
              <w:spacing w:before="0" w:after="283"/>
              <w:jc w:val="left"/>
              <w:rPr>
                <w:sz w:val="4"/>
                <w:szCs w:val="4"/>
              </w:rPr>
            </w:pPr>
            <w:r>
              <w:rPr>
                <w:sz w:val="4"/>
                <w:szCs w:val="4"/>
              </w:rPr>
            </w:r>
          </w:p>
        </w:tc>
      </w:tr>
      <w:tr>
        <w:trPr/>
        <w:tc>
          <w:tcPr>
            <w:tcW w:w="35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64"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Kevin C. Clothier</w:t>
            </w:r>
          </w:p>
        </w:tc>
      </w:tr>
      <w:tr>
        <w:trPr/>
        <w:tc>
          <w:tcPr>
            <w:tcW w:w="35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53" w:type="dxa"/>
            <w:tcBorders/>
          </w:tcPr>
          <w:p>
            <w:pPr>
              <w:pStyle w:val="TableContents"/>
              <w:bidi w:val="0"/>
              <w:spacing w:before="0" w:after="283"/>
              <w:jc w:val="left"/>
              <w:rPr/>
            </w:pPr>
            <w:r>
              <w:rPr/>
              <w:t>Kevin C. Clothier</w:t>
            </w:r>
          </w:p>
        </w:tc>
      </w:tr>
      <w:tr>
        <w:trPr/>
        <w:tc>
          <w:tcPr>
            <w:tcW w:w="35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53" w:type="dxa"/>
            <w:tcBorders/>
          </w:tcPr>
          <w:p>
            <w:pPr>
              <w:pStyle w:val="TableContents"/>
              <w:bidi w:val="0"/>
              <w:spacing w:before="0" w:after="283"/>
              <w:jc w:val="left"/>
              <w:rPr/>
            </w:pPr>
            <w:r>
              <w:rPr/>
              <w:t>Directeur Général</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 xml:space="preserve">CROWN EUROPE SAS </w:t>
            </w:r>
          </w:p>
        </w:tc>
      </w:tr>
      <w:tr>
        <w:trPr>
          <w:trHeight w:val="240" w:hRule="atLeast"/>
        </w:trPr>
        <w:tc>
          <w:tcPr>
            <w:tcW w:w="358" w:type="dxa"/>
            <w:tcBorders/>
            <w:vAlign w:val="center"/>
          </w:tcPr>
          <w:p>
            <w:pPr>
              <w:pStyle w:val="TableContents"/>
              <w:bidi w:val="0"/>
              <w:spacing w:before="0" w:after="283"/>
              <w:jc w:val="left"/>
              <w:rPr>
                <w:sz w:val="4"/>
                <w:szCs w:val="4"/>
              </w:rPr>
            </w:pPr>
            <w:r>
              <w:rPr>
                <w:sz w:val="4"/>
                <w:szCs w:val="4"/>
              </w:rPr>
            </w:r>
          </w:p>
        </w:tc>
        <w:tc>
          <w:tcPr>
            <w:tcW w:w="3724" w:type="dxa"/>
            <w:gridSpan w:val="4"/>
            <w:tcBorders/>
            <w:vAlign w:val="center"/>
          </w:tcPr>
          <w:p>
            <w:pPr>
              <w:pStyle w:val="TableContents"/>
              <w:bidi w:val="0"/>
              <w:spacing w:before="0" w:after="283"/>
              <w:jc w:val="left"/>
              <w:rPr>
                <w:sz w:val="4"/>
                <w:szCs w:val="4"/>
              </w:rPr>
            </w:pPr>
            <w:r>
              <w:rPr>
                <w:sz w:val="4"/>
                <w:szCs w:val="4"/>
              </w:rPr>
            </w:r>
          </w:p>
        </w:tc>
      </w:tr>
      <w:tr>
        <w:trPr/>
        <w:tc>
          <w:tcPr>
            <w:tcW w:w="35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64"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Jean-Francois Lelouch</w:t>
            </w:r>
          </w:p>
        </w:tc>
      </w:tr>
      <w:tr>
        <w:trPr/>
        <w:tc>
          <w:tcPr>
            <w:tcW w:w="35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53" w:type="dxa"/>
            <w:tcBorders/>
          </w:tcPr>
          <w:p>
            <w:pPr>
              <w:pStyle w:val="TableContents"/>
              <w:bidi w:val="0"/>
              <w:spacing w:before="0" w:after="283"/>
              <w:jc w:val="left"/>
              <w:rPr/>
            </w:pPr>
            <w:r>
              <w:rPr/>
              <w:t>Jean-Francois Lelouch</w:t>
            </w:r>
          </w:p>
        </w:tc>
      </w:tr>
      <w:tr>
        <w:trPr/>
        <w:tc>
          <w:tcPr>
            <w:tcW w:w="35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53" w:type="dxa"/>
            <w:tcBorders/>
          </w:tcPr>
          <w:p>
            <w:pPr>
              <w:pStyle w:val="TableContents"/>
              <w:bidi w:val="0"/>
              <w:spacing w:before="0" w:after="283"/>
              <w:jc w:val="left"/>
              <w:rPr/>
            </w:pPr>
            <w:r>
              <w:rPr/>
              <w:t>Président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8"/>
        <w:gridCol w:w="60"/>
        <w:gridCol w:w="665"/>
        <w:gridCol w:w="60"/>
        <w:gridCol w:w="2929"/>
      </w:tblGrid>
      <w:tr>
        <w:trPr/>
        <w:tc>
          <w:tcPr>
            <w:tcW w:w="36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9"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 xml:space="preserve">SOCIÉTÉ CIVILE IMMOBILIÉRE DES BACQUETS </w:t>
            </w:r>
          </w:p>
        </w:tc>
      </w:tr>
      <w:tr>
        <w:trPr/>
        <w:tc>
          <w:tcPr>
            <w:tcW w:w="4082" w:type="dxa"/>
            <w:gridSpan w:val="5"/>
            <w:tcBorders/>
          </w:tcPr>
          <w:p>
            <w:pPr>
              <w:pStyle w:val="TableContents"/>
              <w:bidi w:val="0"/>
              <w:spacing w:before="0" w:after="283"/>
              <w:jc w:val="left"/>
              <w:rPr/>
            </w:pPr>
            <w:r>
              <w:rPr/>
              <w:t xml:space="preserve">SOCIÉTÉ CIVILE IMMOBILIÉRE ROUSSEAU IVRY </w:t>
            </w:r>
          </w:p>
        </w:tc>
      </w:tr>
      <w:tr>
        <w:trPr>
          <w:trHeight w:val="240" w:hRule="atLeast"/>
        </w:trPr>
        <w:tc>
          <w:tcPr>
            <w:tcW w:w="368" w:type="dxa"/>
            <w:tcBorders/>
            <w:vAlign w:val="center"/>
          </w:tcPr>
          <w:p>
            <w:pPr>
              <w:pStyle w:val="TableContents"/>
              <w:bidi w:val="0"/>
              <w:spacing w:before="0" w:after="283"/>
              <w:jc w:val="left"/>
              <w:rPr>
                <w:sz w:val="4"/>
                <w:szCs w:val="4"/>
              </w:rPr>
            </w:pPr>
            <w:r>
              <w:rPr>
                <w:sz w:val="4"/>
                <w:szCs w:val="4"/>
              </w:rPr>
            </w:r>
          </w:p>
        </w:tc>
        <w:tc>
          <w:tcPr>
            <w:tcW w:w="3714" w:type="dxa"/>
            <w:gridSpan w:val="4"/>
            <w:tcBorders/>
            <w:vAlign w:val="center"/>
          </w:tcPr>
          <w:p>
            <w:pPr>
              <w:pStyle w:val="TableContents"/>
              <w:bidi w:val="0"/>
              <w:spacing w:before="0" w:after="283"/>
              <w:jc w:val="left"/>
              <w:rPr>
                <w:sz w:val="4"/>
                <w:szCs w:val="4"/>
              </w:rPr>
            </w:pPr>
            <w:r>
              <w:rPr>
                <w:sz w:val="4"/>
                <w:szCs w:val="4"/>
              </w:rPr>
            </w:r>
          </w:p>
        </w:tc>
      </w:tr>
      <w:tr>
        <w:trPr/>
        <w:tc>
          <w:tcPr>
            <w:tcW w:w="36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4"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Olaf Roth</w:t>
            </w:r>
          </w:p>
        </w:tc>
      </w:tr>
      <w:tr>
        <w:trPr/>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29" w:type="dxa"/>
            <w:tcBorders/>
          </w:tcPr>
          <w:p>
            <w:pPr>
              <w:pStyle w:val="TableContents"/>
              <w:bidi w:val="0"/>
              <w:spacing w:before="0" w:after="283"/>
              <w:jc w:val="left"/>
              <w:rPr/>
            </w:pPr>
            <w:r>
              <w:rPr/>
              <w:t>Olaf Roth</w:t>
            </w:r>
          </w:p>
        </w:tc>
      </w:tr>
      <w:tr>
        <w:trPr/>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29" w:type="dxa"/>
            <w:tcBorders/>
          </w:tcPr>
          <w:p>
            <w:pPr>
              <w:pStyle w:val="TableContents"/>
              <w:bidi w:val="0"/>
              <w:spacing w:before="0" w:after="283"/>
              <w:jc w:val="left"/>
              <w:rPr/>
            </w:pPr>
            <w:r>
              <w:rPr/>
              <w:t>Director</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 xml:space="preserve">SPG FRANCE HOLDINGS SAS </w:t>
            </w:r>
          </w:p>
        </w:tc>
      </w:tr>
      <w:tr>
        <w:trPr/>
        <w:tc>
          <w:tcPr>
            <w:tcW w:w="4082" w:type="dxa"/>
            <w:gridSpan w:val="5"/>
            <w:tcBorders/>
          </w:tcPr>
          <w:p>
            <w:pPr>
              <w:pStyle w:val="TableContents"/>
              <w:bidi w:val="0"/>
              <w:spacing w:before="0" w:after="283"/>
              <w:jc w:val="left"/>
              <w:rPr/>
            </w:pPr>
            <w:r>
              <w:rPr/>
              <w:t xml:space="preserve">SIGNODE FRANCE SAS </w:t>
            </w:r>
          </w:p>
        </w:tc>
      </w:tr>
      <w:tr>
        <w:trPr>
          <w:trHeight w:val="240" w:hRule="atLeast"/>
        </w:trPr>
        <w:tc>
          <w:tcPr>
            <w:tcW w:w="368" w:type="dxa"/>
            <w:tcBorders/>
            <w:vAlign w:val="center"/>
          </w:tcPr>
          <w:p>
            <w:pPr>
              <w:pStyle w:val="TableContents"/>
              <w:bidi w:val="0"/>
              <w:spacing w:before="0" w:after="283"/>
              <w:jc w:val="left"/>
              <w:rPr>
                <w:sz w:val="4"/>
                <w:szCs w:val="4"/>
              </w:rPr>
            </w:pPr>
            <w:r>
              <w:rPr>
                <w:sz w:val="4"/>
                <w:szCs w:val="4"/>
              </w:rPr>
            </w:r>
          </w:p>
        </w:tc>
        <w:tc>
          <w:tcPr>
            <w:tcW w:w="3714" w:type="dxa"/>
            <w:gridSpan w:val="4"/>
            <w:tcBorders/>
            <w:vAlign w:val="center"/>
          </w:tcPr>
          <w:p>
            <w:pPr>
              <w:pStyle w:val="TableContents"/>
              <w:bidi w:val="0"/>
              <w:spacing w:before="0" w:after="283"/>
              <w:jc w:val="left"/>
              <w:rPr>
                <w:sz w:val="4"/>
                <w:szCs w:val="4"/>
              </w:rPr>
            </w:pPr>
            <w:r>
              <w:rPr>
                <w:sz w:val="4"/>
                <w:szCs w:val="4"/>
              </w:rPr>
            </w:r>
          </w:p>
        </w:tc>
      </w:tr>
      <w:tr>
        <w:trPr/>
        <w:tc>
          <w:tcPr>
            <w:tcW w:w="36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4"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Olaf Roth</w:t>
            </w:r>
          </w:p>
        </w:tc>
      </w:tr>
      <w:tr>
        <w:trPr/>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29" w:type="dxa"/>
            <w:tcBorders/>
          </w:tcPr>
          <w:p>
            <w:pPr>
              <w:pStyle w:val="TableContents"/>
              <w:bidi w:val="0"/>
              <w:spacing w:before="0" w:after="283"/>
              <w:jc w:val="left"/>
              <w:rPr/>
            </w:pPr>
            <w:r>
              <w:rPr/>
              <w:t>Olaf Roth</w:t>
            </w:r>
          </w:p>
        </w:tc>
      </w:tr>
      <w:tr>
        <w:trPr/>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29" w:type="dxa"/>
            <w:tcBorders/>
          </w:tcPr>
          <w:p>
            <w:pPr>
              <w:pStyle w:val="TableContents"/>
              <w:bidi w:val="0"/>
              <w:spacing w:before="0" w:after="283"/>
              <w:jc w:val="left"/>
              <w:rPr/>
            </w:pPr>
            <w:r>
              <w:rPr/>
              <w:t>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0"/>
        <w:gridCol w:w="60"/>
        <w:gridCol w:w="655"/>
        <w:gridCol w:w="60"/>
        <w:gridCol w:w="2947"/>
      </w:tblGrid>
      <w:tr>
        <w:trPr/>
        <w:tc>
          <w:tcPr>
            <w:tcW w:w="3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47"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 xml:space="preserve">SIGNODE PACKAGING SYSTEMS GMBH </w:t>
            </w:r>
          </w:p>
        </w:tc>
      </w:tr>
      <w:tr>
        <w:trPr>
          <w:trHeight w:val="240" w:hRule="atLeast"/>
        </w:trPr>
        <w:tc>
          <w:tcPr>
            <w:tcW w:w="360" w:type="dxa"/>
            <w:tcBorders/>
            <w:vAlign w:val="center"/>
          </w:tcPr>
          <w:p>
            <w:pPr>
              <w:pStyle w:val="TableContents"/>
              <w:bidi w:val="0"/>
              <w:spacing w:before="0" w:after="283"/>
              <w:jc w:val="left"/>
              <w:rPr>
                <w:sz w:val="4"/>
                <w:szCs w:val="4"/>
              </w:rPr>
            </w:pPr>
            <w:r>
              <w:rPr>
                <w:sz w:val="4"/>
                <w:szCs w:val="4"/>
              </w:rPr>
            </w:r>
          </w:p>
        </w:tc>
        <w:tc>
          <w:tcPr>
            <w:tcW w:w="3722" w:type="dxa"/>
            <w:gridSpan w:val="4"/>
            <w:tcBorders/>
            <w:vAlign w:val="center"/>
          </w:tcPr>
          <w:p>
            <w:pPr>
              <w:pStyle w:val="TableContents"/>
              <w:bidi w:val="0"/>
              <w:spacing w:before="0" w:after="283"/>
              <w:jc w:val="left"/>
              <w:rPr>
                <w:sz w:val="4"/>
                <w:szCs w:val="4"/>
              </w:rPr>
            </w:pPr>
            <w:r>
              <w:rPr>
                <w:sz w:val="4"/>
                <w:szCs w:val="4"/>
              </w:rPr>
            </w:r>
          </w:p>
        </w:tc>
      </w:tr>
      <w:tr>
        <w:trPr/>
        <w:tc>
          <w:tcPr>
            <w:tcW w:w="36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6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Ellen Fleischmann</w:t>
            </w:r>
          </w:p>
        </w:tc>
      </w:tr>
      <w:tr>
        <w:trPr/>
        <w:tc>
          <w:tcPr>
            <w:tcW w:w="3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47" w:type="dxa"/>
            <w:tcBorders/>
          </w:tcPr>
          <w:p>
            <w:pPr>
              <w:pStyle w:val="TableContents"/>
              <w:bidi w:val="0"/>
              <w:spacing w:before="0" w:after="283"/>
              <w:jc w:val="left"/>
              <w:rPr/>
            </w:pPr>
            <w:r>
              <w:rPr/>
              <w:t>Ellen Fleischmann</w:t>
            </w:r>
          </w:p>
        </w:tc>
      </w:tr>
      <w:tr>
        <w:trPr/>
        <w:tc>
          <w:tcPr>
            <w:tcW w:w="3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47" w:type="dxa"/>
            <w:tcBorders/>
          </w:tcPr>
          <w:p>
            <w:pPr>
              <w:pStyle w:val="TableContents"/>
              <w:bidi w:val="0"/>
              <w:spacing w:before="0" w:after="283"/>
              <w:jc w:val="left"/>
              <w:rPr/>
            </w:pPr>
            <w:r>
              <w:rPr/>
              <w:t>Director</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 xml:space="preserve">MEZGER HEFTSYSTEME GMBH </w:t>
            </w:r>
          </w:p>
        </w:tc>
      </w:tr>
      <w:tr>
        <w:trPr/>
        <w:tc>
          <w:tcPr>
            <w:tcW w:w="4082" w:type="dxa"/>
            <w:gridSpan w:val="5"/>
            <w:tcBorders/>
          </w:tcPr>
          <w:p>
            <w:pPr>
              <w:pStyle w:val="TableContents"/>
              <w:bidi w:val="0"/>
              <w:spacing w:before="0" w:after="283"/>
              <w:jc w:val="left"/>
              <w:rPr/>
            </w:pPr>
            <w:r>
              <w:rPr/>
              <w:t xml:space="preserve">SMP SCHWEDE MASCHINENBAU WEISCHLITZ GMBH </w:t>
            </w:r>
          </w:p>
        </w:tc>
      </w:tr>
      <w:tr>
        <w:trPr>
          <w:trHeight w:val="240" w:hRule="atLeast"/>
        </w:trPr>
        <w:tc>
          <w:tcPr>
            <w:tcW w:w="360" w:type="dxa"/>
            <w:tcBorders/>
            <w:vAlign w:val="center"/>
          </w:tcPr>
          <w:p>
            <w:pPr>
              <w:pStyle w:val="TableContents"/>
              <w:bidi w:val="0"/>
              <w:spacing w:before="0" w:after="283"/>
              <w:jc w:val="left"/>
              <w:rPr>
                <w:sz w:val="4"/>
                <w:szCs w:val="4"/>
              </w:rPr>
            </w:pPr>
            <w:r>
              <w:rPr>
                <w:sz w:val="4"/>
                <w:szCs w:val="4"/>
              </w:rPr>
            </w:r>
          </w:p>
        </w:tc>
        <w:tc>
          <w:tcPr>
            <w:tcW w:w="3722" w:type="dxa"/>
            <w:gridSpan w:val="4"/>
            <w:tcBorders/>
            <w:vAlign w:val="center"/>
          </w:tcPr>
          <w:p>
            <w:pPr>
              <w:pStyle w:val="TableContents"/>
              <w:bidi w:val="0"/>
              <w:spacing w:before="0" w:after="283"/>
              <w:jc w:val="left"/>
              <w:rPr>
                <w:sz w:val="4"/>
                <w:szCs w:val="4"/>
              </w:rPr>
            </w:pPr>
            <w:r>
              <w:rPr>
                <w:sz w:val="4"/>
                <w:szCs w:val="4"/>
              </w:rPr>
            </w:r>
          </w:p>
        </w:tc>
      </w:tr>
      <w:tr>
        <w:trPr/>
        <w:tc>
          <w:tcPr>
            <w:tcW w:w="36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6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Ellen Fleischmann</w:t>
            </w:r>
          </w:p>
        </w:tc>
      </w:tr>
      <w:tr>
        <w:trPr/>
        <w:tc>
          <w:tcPr>
            <w:tcW w:w="3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47" w:type="dxa"/>
            <w:tcBorders/>
          </w:tcPr>
          <w:p>
            <w:pPr>
              <w:pStyle w:val="TableContents"/>
              <w:bidi w:val="0"/>
              <w:spacing w:before="0" w:after="283"/>
              <w:jc w:val="left"/>
              <w:rPr/>
            </w:pPr>
            <w:r>
              <w:rPr/>
              <w:t>Ellen Fleischmann</w:t>
            </w:r>
          </w:p>
        </w:tc>
      </w:tr>
      <w:tr>
        <w:trPr/>
        <w:tc>
          <w:tcPr>
            <w:tcW w:w="3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47" w:type="dxa"/>
            <w:tcBorders/>
          </w:tcPr>
          <w:p>
            <w:pPr>
              <w:pStyle w:val="TableContents"/>
              <w:bidi w:val="0"/>
              <w:spacing w:before="0" w:after="283"/>
              <w:jc w:val="left"/>
              <w:rPr/>
            </w:pPr>
            <w:r>
              <w:rPr/>
              <w:t>Managing Director</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 xml:space="preserve">SIGNODE SYSTEM GMBH </w:t>
            </w:r>
          </w:p>
        </w:tc>
      </w:tr>
      <w:tr>
        <w:trPr/>
        <w:tc>
          <w:tcPr>
            <w:tcW w:w="4082" w:type="dxa"/>
            <w:gridSpan w:val="5"/>
            <w:tcBorders/>
          </w:tcPr>
          <w:p>
            <w:pPr>
              <w:pStyle w:val="TableContents"/>
              <w:bidi w:val="0"/>
              <w:spacing w:before="0" w:after="283"/>
              <w:jc w:val="left"/>
              <w:rPr/>
            </w:pPr>
            <w:r>
              <w:rPr/>
              <w:t xml:space="preserve">SIGNODE GERMANY GMBH </w:t>
            </w:r>
          </w:p>
        </w:tc>
      </w:tr>
      <w:tr>
        <w:trPr>
          <w:trHeight w:val="240" w:hRule="atLeast"/>
        </w:trPr>
        <w:tc>
          <w:tcPr>
            <w:tcW w:w="360" w:type="dxa"/>
            <w:tcBorders/>
            <w:vAlign w:val="center"/>
          </w:tcPr>
          <w:p>
            <w:pPr>
              <w:pStyle w:val="TableContents"/>
              <w:bidi w:val="0"/>
              <w:spacing w:before="0" w:after="283"/>
              <w:jc w:val="left"/>
              <w:rPr>
                <w:sz w:val="4"/>
                <w:szCs w:val="4"/>
              </w:rPr>
            </w:pPr>
            <w:r>
              <w:rPr>
                <w:sz w:val="4"/>
                <w:szCs w:val="4"/>
              </w:rPr>
            </w:r>
          </w:p>
        </w:tc>
        <w:tc>
          <w:tcPr>
            <w:tcW w:w="3722" w:type="dxa"/>
            <w:gridSpan w:val="4"/>
            <w:tcBorders/>
            <w:vAlign w:val="center"/>
          </w:tcPr>
          <w:p>
            <w:pPr>
              <w:pStyle w:val="TableContents"/>
              <w:bidi w:val="0"/>
              <w:spacing w:before="0" w:after="283"/>
              <w:jc w:val="left"/>
              <w:rPr>
                <w:sz w:val="4"/>
                <w:szCs w:val="4"/>
              </w:rPr>
            </w:pPr>
            <w:r>
              <w:rPr>
                <w:sz w:val="4"/>
                <w:szCs w:val="4"/>
              </w:rPr>
            </w:r>
          </w:p>
        </w:tc>
      </w:tr>
      <w:tr>
        <w:trPr/>
        <w:tc>
          <w:tcPr>
            <w:tcW w:w="36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6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Peter Aloys Buderath</w:t>
            </w:r>
          </w:p>
        </w:tc>
      </w:tr>
      <w:tr>
        <w:trPr/>
        <w:tc>
          <w:tcPr>
            <w:tcW w:w="3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47" w:type="dxa"/>
            <w:tcBorders/>
          </w:tcPr>
          <w:p>
            <w:pPr>
              <w:pStyle w:val="TableContents"/>
              <w:bidi w:val="0"/>
              <w:spacing w:before="0" w:after="283"/>
              <w:jc w:val="left"/>
              <w:rPr/>
            </w:pPr>
            <w:r>
              <w:rPr/>
              <w:t>Peter Aloys Buderath</w:t>
            </w:r>
          </w:p>
        </w:tc>
      </w:tr>
      <w:tr>
        <w:trPr/>
        <w:tc>
          <w:tcPr>
            <w:tcW w:w="3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47" w:type="dxa"/>
            <w:tcBorders/>
          </w:tcPr>
          <w:p>
            <w:pPr>
              <w:pStyle w:val="TableContents"/>
              <w:bidi w:val="0"/>
              <w:spacing w:before="0" w:after="283"/>
              <w:jc w:val="left"/>
              <w:rPr/>
            </w:pPr>
            <w:r>
              <w:rPr/>
              <w:t>Managing Director</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 xml:space="preserve">SPG GERMANY SERVICE MANAGEMENT GMBH </w:t>
            </w:r>
          </w:p>
        </w:tc>
      </w:tr>
      <w:tr>
        <w:trPr>
          <w:trHeight w:val="240" w:hRule="atLeast"/>
        </w:trPr>
        <w:tc>
          <w:tcPr>
            <w:tcW w:w="360" w:type="dxa"/>
            <w:tcBorders/>
            <w:vAlign w:val="center"/>
          </w:tcPr>
          <w:p>
            <w:pPr>
              <w:pStyle w:val="TableContents"/>
              <w:bidi w:val="0"/>
              <w:spacing w:before="0" w:after="283"/>
              <w:jc w:val="left"/>
              <w:rPr>
                <w:sz w:val="4"/>
                <w:szCs w:val="4"/>
              </w:rPr>
            </w:pPr>
            <w:r>
              <w:rPr>
                <w:sz w:val="4"/>
                <w:szCs w:val="4"/>
              </w:rPr>
            </w:r>
          </w:p>
        </w:tc>
        <w:tc>
          <w:tcPr>
            <w:tcW w:w="3722" w:type="dxa"/>
            <w:gridSpan w:val="4"/>
            <w:tcBorders/>
            <w:vAlign w:val="center"/>
          </w:tcPr>
          <w:p>
            <w:pPr>
              <w:pStyle w:val="TableContents"/>
              <w:bidi w:val="0"/>
              <w:spacing w:before="0" w:after="283"/>
              <w:jc w:val="left"/>
              <w:rPr>
                <w:sz w:val="4"/>
                <w:szCs w:val="4"/>
              </w:rPr>
            </w:pPr>
            <w:r>
              <w:rPr>
                <w:sz w:val="4"/>
                <w:szCs w:val="4"/>
              </w:rPr>
            </w:r>
          </w:p>
        </w:tc>
      </w:tr>
      <w:tr>
        <w:trPr/>
        <w:tc>
          <w:tcPr>
            <w:tcW w:w="36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6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Olaf Roth</w:t>
            </w:r>
          </w:p>
        </w:tc>
      </w:tr>
      <w:tr>
        <w:trPr/>
        <w:tc>
          <w:tcPr>
            <w:tcW w:w="3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47" w:type="dxa"/>
            <w:tcBorders/>
          </w:tcPr>
          <w:p>
            <w:pPr>
              <w:pStyle w:val="TableContents"/>
              <w:bidi w:val="0"/>
              <w:spacing w:before="0" w:after="283"/>
              <w:jc w:val="left"/>
              <w:rPr/>
            </w:pPr>
            <w:r>
              <w:rPr/>
              <w:t>Olaf Roth</w:t>
            </w:r>
          </w:p>
        </w:tc>
      </w:tr>
      <w:tr>
        <w:trPr/>
        <w:tc>
          <w:tcPr>
            <w:tcW w:w="3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47" w:type="dxa"/>
            <w:tcBorders/>
          </w:tcPr>
          <w:p>
            <w:pPr>
              <w:pStyle w:val="TableContents"/>
              <w:bidi w:val="0"/>
              <w:spacing w:before="0" w:after="283"/>
              <w:jc w:val="left"/>
              <w:rPr/>
            </w:pPr>
            <w:r>
              <w:rPr/>
              <w:t>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4"/>
        <w:gridCol w:w="60"/>
        <w:gridCol w:w="658"/>
        <w:gridCol w:w="60"/>
        <w:gridCol w:w="2940"/>
      </w:tblGrid>
      <w:tr>
        <w:trPr/>
        <w:tc>
          <w:tcPr>
            <w:tcW w:w="3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40"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 xml:space="preserve">CROWN PACKAGING LUX III, S.À.R.L. </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4"/>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8"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Paul Browett</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40" w:type="dxa"/>
            <w:tcBorders/>
          </w:tcPr>
          <w:p>
            <w:pPr>
              <w:pStyle w:val="TableContents"/>
              <w:bidi w:val="0"/>
              <w:spacing w:before="0" w:after="283"/>
              <w:jc w:val="left"/>
              <w:rPr/>
            </w:pPr>
            <w:r>
              <w:rPr/>
              <w:t>Paul Browett</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40" w:type="dxa"/>
            <w:tcBorders/>
          </w:tcPr>
          <w:p>
            <w:pPr>
              <w:pStyle w:val="TableContents"/>
              <w:bidi w:val="0"/>
              <w:spacing w:before="0" w:after="283"/>
              <w:jc w:val="left"/>
              <w:rPr/>
            </w:pPr>
            <w:r>
              <w:rPr/>
              <w:t>Manager A</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4"/>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8"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Jacques Lancelon</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40" w:type="dxa"/>
            <w:tcBorders/>
          </w:tcPr>
          <w:p>
            <w:pPr>
              <w:pStyle w:val="TableContents"/>
              <w:bidi w:val="0"/>
              <w:spacing w:before="0" w:after="283"/>
              <w:jc w:val="left"/>
              <w:rPr/>
            </w:pPr>
            <w:r>
              <w:rPr/>
              <w:t xml:space="preserve">Jacques Lancelon </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40" w:type="dxa"/>
            <w:tcBorders/>
          </w:tcPr>
          <w:p>
            <w:pPr>
              <w:pStyle w:val="TableContents"/>
              <w:bidi w:val="0"/>
              <w:spacing w:before="0" w:after="283"/>
              <w:jc w:val="left"/>
              <w:rPr/>
            </w:pPr>
            <w:r>
              <w:rPr/>
              <w:t>Manager B</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 xml:space="preserve">SPG INDUSTRIAL PACKAGING S.À.R.L. </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4"/>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8"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Olaf Roth</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40" w:type="dxa"/>
            <w:tcBorders/>
          </w:tcPr>
          <w:p>
            <w:pPr>
              <w:pStyle w:val="TableContents"/>
              <w:bidi w:val="0"/>
              <w:spacing w:before="0" w:after="283"/>
              <w:jc w:val="left"/>
              <w:rPr/>
            </w:pPr>
            <w:r>
              <w:rPr/>
              <w:t>Olaf Roth</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40" w:type="dxa"/>
            <w:tcBorders/>
          </w:tcPr>
          <w:p>
            <w:pPr>
              <w:pStyle w:val="TableContents"/>
              <w:bidi w:val="0"/>
              <w:spacing w:before="0" w:after="283"/>
              <w:jc w:val="left"/>
              <w:rPr/>
            </w:pPr>
            <w:r>
              <w:rPr/>
              <w:t>Manager A</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4"/>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8"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 xml:space="preserve">/s/ Jacques Lancelon </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40" w:type="dxa"/>
            <w:tcBorders/>
          </w:tcPr>
          <w:p>
            <w:pPr>
              <w:pStyle w:val="TableContents"/>
              <w:bidi w:val="0"/>
              <w:spacing w:before="0" w:after="283"/>
              <w:jc w:val="left"/>
              <w:rPr/>
            </w:pPr>
            <w:r>
              <w:rPr/>
              <w:t xml:space="preserve">Jacques Lancelon </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40" w:type="dxa"/>
            <w:tcBorders/>
          </w:tcPr>
          <w:p>
            <w:pPr>
              <w:pStyle w:val="TableContents"/>
              <w:bidi w:val="0"/>
              <w:spacing w:before="0" w:after="283"/>
              <w:jc w:val="left"/>
              <w:rPr/>
            </w:pPr>
            <w:r>
              <w:rPr/>
              <w:t>Manager B</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6"/>
        <w:gridCol w:w="68"/>
        <w:gridCol w:w="864"/>
        <w:gridCol w:w="86"/>
        <w:gridCol w:w="2698"/>
      </w:tblGrid>
      <w:tr>
        <w:trPr/>
        <w:tc>
          <w:tcPr>
            <w:tcW w:w="366" w:type="dxa"/>
            <w:tcBorders/>
            <w:vAlign w:val="center"/>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SIGNODE INDUSTRIAL GROUP LUX S.A. </w:t>
            </w:r>
          </w:p>
        </w:tc>
      </w:tr>
      <w:tr>
        <w:trPr>
          <w:trHeight w:val="240" w:hRule="atLeast"/>
        </w:trPr>
        <w:tc>
          <w:tcPr>
            <w:tcW w:w="366" w:type="dxa"/>
            <w:tcBorders/>
            <w:vAlign w:val="center"/>
          </w:tcPr>
          <w:p>
            <w:pPr>
              <w:pStyle w:val="TableContents"/>
              <w:bidi w:val="0"/>
              <w:spacing w:before="0" w:after="283"/>
              <w:jc w:val="left"/>
              <w:rPr>
                <w:sz w:val="4"/>
                <w:szCs w:val="4"/>
              </w:rPr>
            </w:pPr>
            <w:r>
              <w:rPr>
                <w:sz w:val="4"/>
                <w:szCs w:val="4"/>
              </w:rPr>
            </w:r>
          </w:p>
        </w:tc>
        <w:tc>
          <w:tcPr>
            <w:tcW w:w="3716" w:type="dxa"/>
            <w:gridSpan w:val="4"/>
            <w:tcBorders/>
            <w:vAlign w:val="center"/>
          </w:tcPr>
          <w:p>
            <w:pPr>
              <w:pStyle w:val="TableContents"/>
              <w:bidi w:val="0"/>
              <w:spacing w:before="0" w:after="283"/>
              <w:jc w:val="left"/>
              <w:rPr>
                <w:sz w:val="4"/>
                <w:szCs w:val="4"/>
              </w:rPr>
            </w:pPr>
            <w:r>
              <w:rPr>
                <w:sz w:val="4"/>
                <w:szCs w:val="4"/>
              </w:rPr>
            </w:r>
          </w:p>
        </w:tc>
      </w:tr>
      <w:tr>
        <w:trPr/>
        <w:tc>
          <w:tcPr>
            <w:tcW w:w="366"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8" w:type="dxa"/>
            <w:tcBorders/>
            <w:vAlign w:val="bottom"/>
          </w:tcPr>
          <w:p>
            <w:pPr>
              <w:pStyle w:val="TableContents"/>
              <w:bidi w:val="0"/>
              <w:spacing w:before="0" w:after="283"/>
              <w:jc w:val="left"/>
              <w:rPr/>
            </w:pPr>
            <w:r>
              <w:rPr/>
              <w:t> </w:t>
            </w:r>
          </w:p>
        </w:tc>
        <w:tc>
          <w:tcPr>
            <w:tcW w:w="3648"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Olaf Roth</w:t>
            </w:r>
          </w:p>
        </w:tc>
      </w:tr>
      <w:tr>
        <w:trPr/>
        <w:tc>
          <w:tcPr>
            <w:tcW w:w="366"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86" w:type="dxa"/>
            <w:tcBorders/>
            <w:vAlign w:val="bottom"/>
          </w:tcPr>
          <w:p>
            <w:pPr>
              <w:pStyle w:val="TableContents"/>
              <w:bidi w:val="0"/>
              <w:spacing w:before="0" w:after="283"/>
              <w:jc w:val="left"/>
              <w:rPr/>
            </w:pPr>
            <w:r>
              <w:rPr/>
              <w:t> </w:t>
            </w:r>
          </w:p>
        </w:tc>
        <w:tc>
          <w:tcPr>
            <w:tcW w:w="269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Olaf Roth</w:t>
            </w:r>
          </w:p>
        </w:tc>
      </w:tr>
      <w:tr>
        <w:trPr/>
        <w:tc>
          <w:tcPr>
            <w:tcW w:w="366"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86" w:type="dxa"/>
            <w:tcBorders/>
            <w:vAlign w:val="bottom"/>
          </w:tcPr>
          <w:p>
            <w:pPr>
              <w:pStyle w:val="TableContents"/>
              <w:bidi w:val="0"/>
              <w:spacing w:before="0" w:after="283"/>
              <w:jc w:val="left"/>
              <w:rPr/>
            </w:pPr>
            <w:r>
              <w:rPr/>
              <w:t> </w:t>
            </w:r>
          </w:p>
        </w:tc>
        <w:tc>
          <w:tcPr>
            <w:tcW w:w="269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Director A</w:t>
            </w:r>
          </w:p>
        </w:tc>
      </w:tr>
      <w:tr>
        <w:trPr>
          <w:trHeight w:val="240" w:hRule="atLeast"/>
        </w:trPr>
        <w:tc>
          <w:tcPr>
            <w:tcW w:w="366" w:type="dxa"/>
            <w:tcBorders/>
            <w:vAlign w:val="center"/>
          </w:tcPr>
          <w:p>
            <w:pPr>
              <w:pStyle w:val="TableContents"/>
              <w:bidi w:val="0"/>
              <w:spacing w:before="0" w:after="283"/>
              <w:jc w:val="left"/>
              <w:rPr>
                <w:sz w:val="4"/>
                <w:szCs w:val="4"/>
              </w:rPr>
            </w:pPr>
            <w:r>
              <w:rPr>
                <w:sz w:val="4"/>
                <w:szCs w:val="4"/>
              </w:rPr>
            </w:r>
          </w:p>
        </w:tc>
        <w:tc>
          <w:tcPr>
            <w:tcW w:w="3716" w:type="dxa"/>
            <w:gridSpan w:val="4"/>
            <w:tcBorders/>
            <w:vAlign w:val="center"/>
          </w:tcPr>
          <w:p>
            <w:pPr>
              <w:pStyle w:val="TableContents"/>
              <w:bidi w:val="0"/>
              <w:spacing w:before="0" w:after="283"/>
              <w:jc w:val="left"/>
              <w:rPr>
                <w:sz w:val="4"/>
                <w:szCs w:val="4"/>
              </w:rPr>
            </w:pPr>
            <w:r>
              <w:rPr>
                <w:sz w:val="4"/>
                <w:szCs w:val="4"/>
              </w:rPr>
            </w:r>
          </w:p>
        </w:tc>
      </w:tr>
      <w:tr>
        <w:trPr/>
        <w:tc>
          <w:tcPr>
            <w:tcW w:w="366"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8" w:type="dxa"/>
            <w:tcBorders/>
            <w:vAlign w:val="bottom"/>
          </w:tcPr>
          <w:p>
            <w:pPr>
              <w:pStyle w:val="TableContents"/>
              <w:bidi w:val="0"/>
              <w:spacing w:before="0" w:after="283"/>
              <w:jc w:val="left"/>
              <w:rPr/>
            </w:pPr>
            <w:r>
              <w:rPr/>
              <w:t> </w:t>
            </w:r>
          </w:p>
        </w:tc>
        <w:tc>
          <w:tcPr>
            <w:tcW w:w="3648"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Jacques Lancelon</w:t>
            </w:r>
          </w:p>
        </w:tc>
      </w:tr>
      <w:tr>
        <w:trPr/>
        <w:tc>
          <w:tcPr>
            <w:tcW w:w="366"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86" w:type="dxa"/>
            <w:tcBorders/>
            <w:vAlign w:val="bottom"/>
          </w:tcPr>
          <w:p>
            <w:pPr>
              <w:pStyle w:val="TableContents"/>
              <w:bidi w:val="0"/>
              <w:spacing w:before="0" w:after="283"/>
              <w:jc w:val="left"/>
              <w:rPr/>
            </w:pPr>
            <w:r>
              <w:rPr/>
              <w:t> </w:t>
            </w:r>
          </w:p>
        </w:tc>
        <w:tc>
          <w:tcPr>
            <w:tcW w:w="269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 xml:space="preserve">Jacques Lancelon </w:t>
            </w:r>
          </w:p>
        </w:tc>
      </w:tr>
      <w:tr>
        <w:trPr/>
        <w:tc>
          <w:tcPr>
            <w:tcW w:w="366"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86" w:type="dxa"/>
            <w:tcBorders/>
            <w:vAlign w:val="bottom"/>
          </w:tcPr>
          <w:p>
            <w:pPr>
              <w:pStyle w:val="TableContents"/>
              <w:bidi w:val="0"/>
              <w:spacing w:before="0" w:after="283"/>
              <w:jc w:val="left"/>
              <w:rPr/>
            </w:pPr>
            <w:r>
              <w:rPr/>
              <w:t> </w:t>
            </w:r>
          </w:p>
        </w:tc>
        <w:tc>
          <w:tcPr>
            <w:tcW w:w="269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Director B</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SIGNODE LUXEMBOURG S.À.R.L. </w:t>
            </w:r>
          </w:p>
        </w:tc>
      </w:tr>
      <w:tr>
        <w:trPr>
          <w:trHeight w:val="240" w:hRule="atLeast"/>
        </w:trPr>
        <w:tc>
          <w:tcPr>
            <w:tcW w:w="366" w:type="dxa"/>
            <w:tcBorders/>
            <w:vAlign w:val="center"/>
          </w:tcPr>
          <w:p>
            <w:pPr>
              <w:pStyle w:val="TableContents"/>
              <w:bidi w:val="0"/>
              <w:spacing w:before="0" w:after="283"/>
              <w:jc w:val="left"/>
              <w:rPr>
                <w:sz w:val="4"/>
                <w:szCs w:val="4"/>
              </w:rPr>
            </w:pPr>
            <w:r>
              <w:rPr>
                <w:sz w:val="4"/>
                <w:szCs w:val="4"/>
              </w:rPr>
            </w:r>
          </w:p>
        </w:tc>
        <w:tc>
          <w:tcPr>
            <w:tcW w:w="3716" w:type="dxa"/>
            <w:gridSpan w:val="4"/>
            <w:tcBorders/>
            <w:vAlign w:val="center"/>
          </w:tcPr>
          <w:p>
            <w:pPr>
              <w:pStyle w:val="TableContents"/>
              <w:bidi w:val="0"/>
              <w:spacing w:before="0" w:after="283"/>
              <w:jc w:val="left"/>
              <w:rPr>
                <w:sz w:val="4"/>
                <w:szCs w:val="4"/>
              </w:rPr>
            </w:pPr>
            <w:r>
              <w:rPr>
                <w:sz w:val="4"/>
                <w:szCs w:val="4"/>
              </w:rPr>
            </w:r>
          </w:p>
        </w:tc>
      </w:tr>
      <w:tr>
        <w:trPr/>
        <w:tc>
          <w:tcPr>
            <w:tcW w:w="366"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8" w:type="dxa"/>
            <w:tcBorders/>
            <w:vAlign w:val="bottom"/>
          </w:tcPr>
          <w:p>
            <w:pPr>
              <w:pStyle w:val="TableContents"/>
              <w:bidi w:val="0"/>
              <w:spacing w:before="0" w:after="283"/>
              <w:jc w:val="left"/>
              <w:rPr/>
            </w:pPr>
            <w:r>
              <w:rPr/>
              <w:t> </w:t>
            </w:r>
          </w:p>
        </w:tc>
        <w:tc>
          <w:tcPr>
            <w:tcW w:w="3648"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Olaf Roth</w:t>
            </w:r>
          </w:p>
        </w:tc>
      </w:tr>
      <w:tr>
        <w:trPr/>
        <w:tc>
          <w:tcPr>
            <w:tcW w:w="366"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86" w:type="dxa"/>
            <w:tcBorders/>
            <w:vAlign w:val="bottom"/>
          </w:tcPr>
          <w:p>
            <w:pPr>
              <w:pStyle w:val="TableContents"/>
              <w:bidi w:val="0"/>
              <w:spacing w:before="0" w:after="283"/>
              <w:jc w:val="left"/>
              <w:rPr/>
            </w:pPr>
            <w:r>
              <w:rPr/>
              <w:t> </w:t>
            </w:r>
          </w:p>
        </w:tc>
        <w:tc>
          <w:tcPr>
            <w:tcW w:w="269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Olaf Roth</w:t>
            </w:r>
          </w:p>
        </w:tc>
      </w:tr>
      <w:tr>
        <w:trPr/>
        <w:tc>
          <w:tcPr>
            <w:tcW w:w="366"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86" w:type="dxa"/>
            <w:tcBorders/>
            <w:vAlign w:val="bottom"/>
          </w:tcPr>
          <w:p>
            <w:pPr>
              <w:pStyle w:val="TableContents"/>
              <w:bidi w:val="0"/>
              <w:spacing w:before="0" w:after="283"/>
              <w:jc w:val="left"/>
              <w:rPr/>
            </w:pPr>
            <w:r>
              <w:rPr/>
              <w:t> </w:t>
            </w:r>
          </w:p>
        </w:tc>
        <w:tc>
          <w:tcPr>
            <w:tcW w:w="269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43"/>
        <w:gridCol w:w="60"/>
        <w:gridCol w:w="635"/>
        <w:gridCol w:w="60"/>
        <w:gridCol w:w="2984"/>
      </w:tblGrid>
      <w:tr>
        <w:trPr/>
        <w:tc>
          <w:tcPr>
            <w:tcW w:w="34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84"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 xml:space="preserve">CROWN ENVASES MEXICO, S.A. DE C.V. </w:t>
            </w:r>
          </w:p>
        </w:tc>
      </w:tr>
      <w:tr>
        <w:trPr/>
        <w:tc>
          <w:tcPr>
            <w:tcW w:w="4082" w:type="dxa"/>
            <w:gridSpan w:val="5"/>
            <w:tcBorders/>
          </w:tcPr>
          <w:p>
            <w:pPr>
              <w:pStyle w:val="TableContents"/>
              <w:bidi w:val="0"/>
              <w:spacing w:before="0" w:after="283"/>
              <w:jc w:val="left"/>
              <w:rPr/>
            </w:pPr>
            <w:r>
              <w:rPr/>
              <w:t xml:space="preserve">FÁBRICAS MONTERREY, S.A. DE C.V. </w:t>
            </w:r>
          </w:p>
        </w:tc>
      </w:tr>
      <w:tr>
        <w:trPr/>
        <w:tc>
          <w:tcPr>
            <w:tcW w:w="4082" w:type="dxa"/>
            <w:gridSpan w:val="5"/>
            <w:tcBorders/>
          </w:tcPr>
          <w:p>
            <w:pPr>
              <w:pStyle w:val="TableContents"/>
              <w:bidi w:val="0"/>
              <w:spacing w:before="0" w:after="283"/>
              <w:jc w:val="left"/>
              <w:rPr/>
            </w:pPr>
            <w:r>
              <w:rPr/>
              <w:t xml:space="preserve">CROWN FAMOSA, S.A. DE C.V. </w:t>
            </w:r>
          </w:p>
        </w:tc>
      </w:tr>
      <w:tr>
        <w:trPr/>
        <w:tc>
          <w:tcPr>
            <w:tcW w:w="4082" w:type="dxa"/>
            <w:gridSpan w:val="5"/>
            <w:tcBorders/>
          </w:tcPr>
          <w:p>
            <w:pPr>
              <w:pStyle w:val="TableContents"/>
              <w:bidi w:val="0"/>
              <w:spacing w:before="0" w:after="283"/>
              <w:jc w:val="left"/>
              <w:rPr/>
            </w:pPr>
            <w:r>
              <w:rPr/>
              <w:t xml:space="preserve">SILICES DE VERACRUZ, S.A. DE C.V. </w:t>
            </w:r>
          </w:p>
        </w:tc>
      </w:tr>
      <w:tr>
        <w:trPr/>
        <w:tc>
          <w:tcPr>
            <w:tcW w:w="4082" w:type="dxa"/>
            <w:gridSpan w:val="5"/>
            <w:tcBorders/>
          </w:tcPr>
          <w:p>
            <w:pPr>
              <w:pStyle w:val="TableContents"/>
              <w:bidi w:val="0"/>
              <w:spacing w:before="0" w:after="283"/>
              <w:jc w:val="left"/>
              <w:rPr/>
            </w:pPr>
            <w:r>
              <w:rPr/>
              <w:t xml:space="preserve">SILICE DEL ISTMO, S.A. DE C.V </w:t>
            </w:r>
          </w:p>
        </w:tc>
      </w:tr>
      <w:tr>
        <w:trPr/>
        <w:tc>
          <w:tcPr>
            <w:tcW w:w="4082" w:type="dxa"/>
            <w:gridSpan w:val="5"/>
            <w:tcBorders/>
          </w:tcPr>
          <w:p>
            <w:pPr>
              <w:pStyle w:val="TableContents"/>
              <w:bidi w:val="0"/>
              <w:spacing w:before="0" w:after="283"/>
              <w:jc w:val="left"/>
              <w:rPr/>
            </w:pPr>
            <w:r>
              <w:rPr/>
              <w:t xml:space="preserve">VICHISA, S.A. DE C.V. </w:t>
            </w:r>
          </w:p>
        </w:tc>
      </w:tr>
      <w:tr>
        <w:trPr>
          <w:trHeight w:val="240" w:hRule="atLeast"/>
        </w:trPr>
        <w:tc>
          <w:tcPr>
            <w:tcW w:w="343" w:type="dxa"/>
            <w:tcBorders/>
            <w:vAlign w:val="center"/>
          </w:tcPr>
          <w:p>
            <w:pPr>
              <w:pStyle w:val="TableContents"/>
              <w:bidi w:val="0"/>
              <w:spacing w:before="0" w:after="283"/>
              <w:jc w:val="left"/>
              <w:rPr>
                <w:sz w:val="4"/>
                <w:szCs w:val="4"/>
              </w:rPr>
            </w:pPr>
            <w:r>
              <w:rPr>
                <w:sz w:val="4"/>
                <w:szCs w:val="4"/>
              </w:rPr>
            </w:r>
          </w:p>
        </w:tc>
        <w:tc>
          <w:tcPr>
            <w:tcW w:w="3739" w:type="dxa"/>
            <w:gridSpan w:val="4"/>
            <w:tcBorders/>
            <w:vAlign w:val="center"/>
          </w:tcPr>
          <w:p>
            <w:pPr>
              <w:pStyle w:val="TableContents"/>
              <w:bidi w:val="0"/>
              <w:spacing w:before="0" w:after="283"/>
              <w:jc w:val="left"/>
              <w:rPr>
                <w:sz w:val="4"/>
                <w:szCs w:val="4"/>
              </w:rPr>
            </w:pPr>
            <w:r>
              <w:rPr>
                <w:sz w:val="4"/>
                <w:szCs w:val="4"/>
              </w:rPr>
            </w:r>
          </w:p>
        </w:tc>
      </w:tr>
      <w:tr>
        <w:trPr/>
        <w:tc>
          <w:tcPr>
            <w:tcW w:w="34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79"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A. Beaver</w:t>
            </w:r>
          </w:p>
        </w:tc>
      </w:tr>
      <w:tr>
        <w:trPr/>
        <w:tc>
          <w:tcPr>
            <w:tcW w:w="34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84" w:type="dxa"/>
            <w:tcBorders/>
          </w:tcPr>
          <w:p>
            <w:pPr>
              <w:pStyle w:val="TableContents"/>
              <w:bidi w:val="0"/>
              <w:spacing w:before="0" w:after="283"/>
              <w:jc w:val="left"/>
              <w:rPr/>
            </w:pPr>
            <w:r>
              <w:rPr/>
              <w:t>David A. Beaver</w:t>
            </w:r>
          </w:p>
        </w:tc>
      </w:tr>
      <w:tr>
        <w:trPr/>
        <w:tc>
          <w:tcPr>
            <w:tcW w:w="34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84" w:type="dxa"/>
            <w:tcBorders/>
          </w:tcPr>
          <w:p>
            <w:pPr>
              <w:pStyle w:val="TableContents"/>
              <w:bidi w:val="0"/>
              <w:spacing w:before="0" w:after="283"/>
              <w:jc w:val="left"/>
              <w:rPr/>
            </w:pPr>
            <w:r>
              <w:rPr/>
              <w:t>Vice President &amp; Treasurer</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 xml:space="preserve">SIGNODE MEXICO S. DE R.L. DE C.V. </w:t>
            </w:r>
          </w:p>
        </w:tc>
      </w:tr>
      <w:tr>
        <w:trPr/>
        <w:tc>
          <w:tcPr>
            <w:tcW w:w="4082" w:type="dxa"/>
            <w:gridSpan w:val="5"/>
            <w:tcBorders/>
          </w:tcPr>
          <w:p>
            <w:pPr>
              <w:pStyle w:val="TableContents"/>
              <w:bidi w:val="0"/>
              <w:spacing w:before="0" w:after="283"/>
              <w:jc w:val="left"/>
              <w:rPr/>
            </w:pPr>
            <w:r>
              <w:rPr/>
              <w:t xml:space="preserve">SIMPLIMATIC AUTOMATION S. DE R.L. DE C.V. </w:t>
            </w:r>
          </w:p>
        </w:tc>
      </w:tr>
      <w:tr>
        <w:trPr>
          <w:trHeight w:val="240" w:hRule="atLeast"/>
        </w:trPr>
        <w:tc>
          <w:tcPr>
            <w:tcW w:w="343" w:type="dxa"/>
            <w:tcBorders/>
            <w:vAlign w:val="center"/>
          </w:tcPr>
          <w:p>
            <w:pPr>
              <w:pStyle w:val="TableContents"/>
              <w:bidi w:val="0"/>
              <w:spacing w:before="0" w:after="283"/>
              <w:jc w:val="left"/>
              <w:rPr>
                <w:sz w:val="4"/>
                <w:szCs w:val="4"/>
              </w:rPr>
            </w:pPr>
            <w:r>
              <w:rPr>
                <w:sz w:val="4"/>
                <w:szCs w:val="4"/>
              </w:rPr>
            </w:r>
          </w:p>
        </w:tc>
        <w:tc>
          <w:tcPr>
            <w:tcW w:w="3739" w:type="dxa"/>
            <w:gridSpan w:val="4"/>
            <w:tcBorders/>
            <w:vAlign w:val="center"/>
          </w:tcPr>
          <w:p>
            <w:pPr>
              <w:pStyle w:val="TableContents"/>
              <w:bidi w:val="0"/>
              <w:spacing w:before="0" w:after="283"/>
              <w:jc w:val="left"/>
              <w:rPr>
                <w:sz w:val="4"/>
                <w:szCs w:val="4"/>
              </w:rPr>
            </w:pPr>
            <w:r>
              <w:rPr>
                <w:sz w:val="4"/>
                <w:szCs w:val="4"/>
              </w:rPr>
            </w:r>
          </w:p>
        </w:tc>
      </w:tr>
      <w:tr>
        <w:trPr/>
        <w:tc>
          <w:tcPr>
            <w:tcW w:w="34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79"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Maria Evelia Hernandez Rodriguez</w:t>
            </w:r>
          </w:p>
        </w:tc>
      </w:tr>
      <w:tr>
        <w:trPr/>
        <w:tc>
          <w:tcPr>
            <w:tcW w:w="34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84" w:type="dxa"/>
            <w:tcBorders/>
          </w:tcPr>
          <w:p>
            <w:pPr>
              <w:pStyle w:val="TableContents"/>
              <w:bidi w:val="0"/>
              <w:spacing w:before="0" w:after="283"/>
              <w:jc w:val="left"/>
              <w:rPr/>
            </w:pPr>
            <w:r>
              <w:rPr/>
              <w:t>Maria Evelia Hernandez Rodriguez</w:t>
            </w:r>
          </w:p>
        </w:tc>
      </w:tr>
      <w:tr>
        <w:trPr/>
        <w:tc>
          <w:tcPr>
            <w:tcW w:w="34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84" w:type="dxa"/>
            <w:tcBorders/>
          </w:tcPr>
          <w:p>
            <w:pPr>
              <w:pStyle w:val="TableContents"/>
              <w:bidi w:val="0"/>
              <w:spacing w:before="0" w:after="283"/>
              <w:jc w:val="left"/>
              <w:rPr/>
            </w:pPr>
            <w:r>
              <w:rPr/>
              <w:t>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4"/>
        <w:gridCol w:w="60"/>
        <w:gridCol w:w="657"/>
        <w:gridCol w:w="60"/>
        <w:gridCol w:w="2941"/>
      </w:tblGrid>
      <w:tr>
        <w:trPr/>
        <w:tc>
          <w:tcPr>
            <w:tcW w:w="3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 xml:space="preserve">FAMOSA B.V. </w:t>
            </w:r>
          </w:p>
        </w:tc>
      </w:tr>
      <w:tr>
        <w:trPr/>
        <w:tc>
          <w:tcPr>
            <w:tcW w:w="4082" w:type="dxa"/>
            <w:gridSpan w:val="5"/>
            <w:tcBorders/>
          </w:tcPr>
          <w:p>
            <w:pPr>
              <w:pStyle w:val="TableContents"/>
              <w:bidi w:val="0"/>
              <w:spacing w:before="0" w:after="283"/>
              <w:jc w:val="left"/>
              <w:rPr/>
            </w:pPr>
            <w:r>
              <w:rPr/>
              <w:t xml:space="preserve">SIVESA B.V. </w:t>
            </w:r>
          </w:p>
        </w:tc>
      </w:tr>
      <w:tr>
        <w:trPr/>
        <w:tc>
          <w:tcPr>
            <w:tcW w:w="4082" w:type="dxa"/>
            <w:gridSpan w:val="5"/>
            <w:tcBorders/>
          </w:tcPr>
          <w:p>
            <w:pPr>
              <w:pStyle w:val="TableContents"/>
              <w:bidi w:val="0"/>
              <w:spacing w:before="0" w:after="283"/>
              <w:jc w:val="left"/>
              <w:rPr/>
            </w:pPr>
            <w:r>
              <w:rPr/>
              <w:t xml:space="preserve">SISA MEXICO B.V. </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4"/>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8"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Paul Browett</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283"/>
              <w:jc w:val="left"/>
              <w:rPr/>
            </w:pPr>
            <w:r>
              <w:rPr/>
              <w:t>Paul Browett</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283"/>
              <w:jc w:val="left"/>
              <w:rPr/>
            </w:pPr>
            <w:r>
              <w:rPr/>
              <w:t>President</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 xml:space="preserve">SIGNODE NETHERLANDS B.V. </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4"/>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8"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Jochen Linzenich</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283"/>
              <w:jc w:val="left"/>
              <w:rPr/>
            </w:pPr>
            <w:r>
              <w:rPr/>
              <w:t>Jochen Linzenich</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283"/>
              <w:jc w:val="left"/>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4460" w:type="dxa"/>
        <w:jc w:val="right"/>
        <w:tblInd w:w="0" w:type="dxa"/>
        <w:tblLayout w:type="fixed"/>
        <w:tblCellMar>
          <w:top w:w="0" w:type="dxa"/>
          <w:left w:w="0" w:type="dxa"/>
          <w:bottom w:w="0" w:type="dxa"/>
          <w:right w:w="0" w:type="dxa"/>
        </w:tblCellMar>
      </w:tblPr>
      <w:tblGrid>
        <w:gridCol w:w="599"/>
        <w:gridCol w:w="112"/>
        <w:gridCol w:w="1021"/>
        <w:gridCol w:w="112"/>
        <w:gridCol w:w="2616"/>
      </w:tblGrid>
      <w:tr>
        <w:trPr/>
        <w:tc>
          <w:tcPr>
            <w:tcW w:w="599"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r>
      <w:tr>
        <w:trPr/>
        <w:tc>
          <w:tcPr>
            <w:tcW w:w="4460"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 xml:space="preserve">CROWN PACKAGING EUROPEAN HOLDINGS GMBH </w:t>
            </w:r>
          </w:p>
        </w:tc>
      </w:tr>
      <w:tr>
        <w:trPr/>
        <w:tc>
          <w:tcPr>
            <w:tcW w:w="4460"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 xml:space="preserve">CROWN PACKAGING EUROPEAN DIVISION GMBH </w:t>
            </w:r>
          </w:p>
        </w:tc>
      </w:tr>
      <w:tr>
        <w:trPr>
          <w:trHeight w:val="240" w:hRule="atLeast"/>
        </w:trPr>
        <w:tc>
          <w:tcPr>
            <w:tcW w:w="599" w:type="dxa"/>
            <w:tcBorders/>
            <w:vAlign w:val="center"/>
          </w:tcPr>
          <w:p>
            <w:pPr>
              <w:pStyle w:val="TableContents"/>
              <w:bidi w:val="0"/>
              <w:spacing w:before="0" w:after="283"/>
              <w:jc w:val="left"/>
              <w:rPr>
                <w:sz w:val="4"/>
                <w:szCs w:val="4"/>
              </w:rPr>
            </w:pPr>
            <w:r>
              <w:rPr>
                <w:sz w:val="4"/>
                <w:szCs w:val="4"/>
              </w:rPr>
            </w:r>
          </w:p>
        </w:tc>
        <w:tc>
          <w:tcPr>
            <w:tcW w:w="3861" w:type="dxa"/>
            <w:gridSpan w:val="4"/>
            <w:tcBorders/>
            <w:vAlign w:val="center"/>
          </w:tcPr>
          <w:p>
            <w:pPr>
              <w:pStyle w:val="TableContents"/>
              <w:bidi w:val="0"/>
              <w:spacing w:before="0" w:after="283"/>
              <w:jc w:val="left"/>
              <w:rPr>
                <w:sz w:val="4"/>
                <w:szCs w:val="4"/>
              </w:rPr>
            </w:pPr>
            <w:r>
              <w:rPr>
                <w:sz w:val="4"/>
                <w:szCs w:val="4"/>
              </w:rPr>
            </w:r>
          </w:p>
        </w:tc>
      </w:tr>
      <w:tr>
        <w:trPr/>
        <w:tc>
          <w:tcPr>
            <w:tcW w:w="599"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12" w:type="dxa"/>
            <w:tcBorders/>
            <w:vAlign w:val="bottom"/>
          </w:tcPr>
          <w:p>
            <w:pPr>
              <w:pStyle w:val="TableContents"/>
              <w:bidi w:val="0"/>
              <w:spacing w:before="0" w:after="283"/>
              <w:jc w:val="left"/>
              <w:rPr/>
            </w:pPr>
            <w:r>
              <w:rPr/>
              <w:t> </w:t>
            </w:r>
          </w:p>
        </w:tc>
        <w:tc>
          <w:tcPr>
            <w:tcW w:w="3749"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Andrea Vavassori</w:t>
            </w:r>
          </w:p>
        </w:tc>
      </w:tr>
      <w:tr>
        <w:trPr/>
        <w:tc>
          <w:tcPr>
            <w:tcW w:w="599" w:type="dxa"/>
            <w:tcBorders/>
            <w:vAlign w:val="bottom"/>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112"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 xml:space="preserve">Andrea Vavassori </w:t>
            </w:r>
          </w:p>
        </w:tc>
      </w:tr>
      <w:tr>
        <w:trPr/>
        <w:tc>
          <w:tcPr>
            <w:tcW w:w="599" w:type="dxa"/>
            <w:tcBorders/>
            <w:vAlign w:val="bottom"/>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112"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Manager</w:t>
            </w:r>
          </w:p>
        </w:tc>
      </w:tr>
      <w:tr>
        <w:trPr>
          <w:trHeight w:val="240" w:hRule="atLeast"/>
        </w:trPr>
        <w:tc>
          <w:tcPr>
            <w:tcW w:w="4460" w:type="dxa"/>
            <w:gridSpan w:val="5"/>
            <w:tcBorders/>
            <w:vAlign w:val="center"/>
          </w:tcPr>
          <w:p>
            <w:pPr>
              <w:pStyle w:val="TableContents"/>
              <w:bidi w:val="0"/>
              <w:spacing w:before="0" w:after="283"/>
              <w:jc w:val="left"/>
              <w:rPr>
                <w:sz w:val="4"/>
                <w:szCs w:val="4"/>
              </w:rPr>
            </w:pPr>
            <w:r>
              <w:rPr>
                <w:sz w:val="4"/>
                <w:szCs w:val="4"/>
              </w:rPr>
            </w:r>
          </w:p>
        </w:tc>
      </w:tr>
      <w:tr>
        <w:trPr/>
        <w:tc>
          <w:tcPr>
            <w:tcW w:w="4460"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SIGNODE SWITZERLAND GMBH </w:t>
            </w:r>
          </w:p>
        </w:tc>
      </w:tr>
      <w:tr>
        <w:trPr>
          <w:trHeight w:val="240" w:hRule="atLeast"/>
        </w:trPr>
        <w:tc>
          <w:tcPr>
            <w:tcW w:w="599" w:type="dxa"/>
            <w:tcBorders/>
            <w:vAlign w:val="center"/>
          </w:tcPr>
          <w:p>
            <w:pPr>
              <w:pStyle w:val="TableContents"/>
              <w:bidi w:val="0"/>
              <w:spacing w:before="0" w:after="283"/>
              <w:jc w:val="left"/>
              <w:rPr>
                <w:sz w:val="4"/>
                <w:szCs w:val="4"/>
              </w:rPr>
            </w:pPr>
            <w:r>
              <w:rPr>
                <w:sz w:val="4"/>
                <w:szCs w:val="4"/>
              </w:rPr>
            </w:r>
          </w:p>
        </w:tc>
        <w:tc>
          <w:tcPr>
            <w:tcW w:w="3861" w:type="dxa"/>
            <w:gridSpan w:val="4"/>
            <w:tcBorders/>
            <w:vAlign w:val="center"/>
          </w:tcPr>
          <w:p>
            <w:pPr>
              <w:pStyle w:val="TableContents"/>
              <w:bidi w:val="0"/>
              <w:spacing w:before="0" w:after="283"/>
              <w:jc w:val="left"/>
              <w:rPr>
                <w:sz w:val="4"/>
                <w:szCs w:val="4"/>
              </w:rPr>
            </w:pPr>
            <w:r>
              <w:rPr>
                <w:sz w:val="4"/>
                <w:szCs w:val="4"/>
              </w:rPr>
            </w:r>
          </w:p>
        </w:tc>
      </w:tr>
      <w:tr>
        <w:trPr/>
        <w:tc>
          <w:tcPr>
            <w:tcW w:w="599"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12" w:type="dxa"/>
            <w:tcBorders/>
            <w:vAlign w:val="bottom"/>
          </w:tcPr>
          <w:p>
            <w:pPr>
              <w:pStyle w:val="TableContents"/>
              <w:bidi w:val="0"/>
              <w:spacing w:before="0" w:after="283"/>
              <w:jc w:val="left"/>
              <w:rPr/>
            </w:pPr>
            <w:r>
              <w:rPr/>
              <w:t> </w:t>
            </w:r>
          </w:p>
        </w:tc>
        <w:tc>
          <w:tcPr>
            <w:tcW w:w="3749"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Olaf Roth</w:t>
            </w:r>
          </w:p>
        </w:tc>
      </w:tr>
      <w:tr>
        <w:trPr/>
        <w:tc>
          <w:tcPr>
            <w:tcW w:w="599" w:type="dxa"/>
            <w:tcBorders/>
            <w:vAlign w:val="bottom"/>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112"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Olaf Roth</w:t>
            </w:r>
          </w:p>
        </w:tc>
      </w:tr>
      <w:tr>
        <w:trPr/>
        <w:tc>
          <w:tcPr>
            <w:tcW w:w="599" w:type="dxa"/>
            <w:tcBorders/>
            <w:vAlign w:val="bottom"/>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112"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0"/>
        <w:gridCol w:w="60"/>
        <w:gridCol w:w="635"/>
        <w:gridCol w:w="60"/>
        <w:gridCol w:w="2957"/>
      </w:tblGrid>
      <w:tr>
        <w:trPr/>
        <w:tc>
          <w:tcPr>
            <w:tcW w:w="3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57"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 xml:space="preserve">CARNAUDMETALBOX ENGINEERING LIMITED </w:t>
            </w:r>
          </w:p>
        </w:tc>
      </w:tr>
      <w:tr>
        <w:trPr/>
        <w:tc>
          <w:tcPr>
            <w:tcW w:w="4082"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 xml:space="preserve">CARNAUDMETALBOX GROUP UK LIMITED </w:t>
            </w:r>
          </w:p>
        </w:tc>
      </w:tr>
      <w:tr>
        <w:trPr/>
        <w:tc>
          <w:tcPr>
            <w:tcW w:w="4082"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 xml:space="preserve">CARNAUDMETALBOX OVERSEAS LIMITED </w:t>
            </w:r>
          </w:p>
        </w:tc>
      </w:tr>
      <w:tr>
        <w:trPr>
          <w:trHeight w:val="240" w:hRule="atLeast"/>
        </w:trPr>
        <w:tc>
          <w:tcPr>
            <w:tcW w:w="370" w:type="dxa"/>
            <w:tcBorders/>
            <w:vAlign w:val="center"/>
          </w:tcPr>
          <w:p>
            <w:pPr>
              <w:pStyle w:val="TableContents"/>
              <w:bidi w:val="0"/>
              <w:spacing w:before="0" w:after="283"/>
              <w:jc w:val="left"/>
              <w:rPr>
                <w:sz w:val="4"/>
                <w:szCs w:val="4"/>
              </w:rPr>
            </w:pPr>
            <w:r>
              <w:rPr>
                <w:sz w:val="4"/>
                <w:szCs w:val="4"/>
              </w:rPr>
            </w:r>
          </w:p>
        </w:tc>
        <w:tc>
          <w:tcPr>
            <w:tcW w:w="3712" w:type="dxa"/>
            <w:gridSpan w:val="4"/>
            <w:tcBorders/>
            <w:vAlign w:val="center"/>
          </w:tcPr>
          <w:p>
            <w:pPr>
              <w:pStyle w:val="TableContents"/>
              <w:bidi w:val="0"/>
              <w:spacing w:before="0" w:after="283"/>
              <w:jc w:val="left"/>
              <w:rPr>
                <w:sz w:val="4"/>
                <w:szCs w:val="4"/>
              </w:rPr>
            </w:pPr>
            <w:r>
              <w:rPr>
                <w:sz w:val="4"/>
                <w:szCs w:val="4"/>
              </w:rPr>
            </w:r>
          </w:p>
        </w:tc>
      </w:tr>
      <w:tr>
        <w:trPr/>
        <w:tc>
          <w:tcPr>
            <w:tcW w:w="370"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52"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Paul Browett</w:t>
            </w:r>
          </w:p>
        </w:tc>
      </w:tr>
      <w:tr>
        <w:trPr/>
        <w:tc>
          <w:tcPr>
            <w:tcW w:w="3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295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 xml:space="preserve">Paul Browett </w:t>
            </w:r>
          </w:p>
        </w:tc>
      </w:tr>
      <w:tr>
        <w:trPr/>
        <w:tc>
          <w:tcPr>
            <w:tcW w:w="3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295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 xml:space="preserve">CROWN PACKAGING MANUFACTURING UK LIMITED </w:t>
            </w:r>
          </w:p>
        </w:tc>
      </w:tr>
      <w:tr>
        <w:trPr>
          <w:trHeight w:val="240" w:hRule="atLeast"/>
        </w:trPr>
        <w:tc>
          <w:tcPr>
            <w:tcW w:w="370" w:type="dxa"/>
            <w:tcBorders/>
            <w:vAlign w:val="center"/>
          </w:tcPr>
          <w:p>
            <w:pPr>
              <w:pStyle w:val="TableContents"/>
              <w:bidi w:val="0"/>
              <w:spacing w:before="0" w:after="283"/>
              <w:jc w:val="left"/>
              <w:rPr>
                <w:sz w:val="4"/>
                <w:szCs w:val="4"/>
              </w:rPr>
            </w:pPr>
            <w:r>
              <w:rPr>
                <w:sz w:val="4"/>
                <w:szCs w:val="4"/>
              </w:rPr>
            </w:r>
          </w:p>
        </w:tc>
        <w:tc>
          <w:tcPr>
            <w:tcW w:w="3712" w:type="dxa"/>
            <w:gridSpan w:val="4"/>
            <w:tcBorders/>
            <w:vAlign w:val="center"/>
          </w:tcPr>
          <w:p>
            <w:pPr>
              <w:pStyle w:val="TableContents"/>
              <w:bidi w:val="0"/>
              <w:spacing w:before="0" w:after="283"/>
              <w:jc w:val="left"/>
              <w:rPr>
                <w:sz w:val="4"/>
                <w:szCs w:val="4"/>
              </w:rPr>
            </w:pPr>
            <w:r>
              <w:rPr>
                <w:sz w:val="4"/>
                <w:szCs w:val="4"/>
              </w:rPr>
            </w:r>
          </w:p>
        </w:tc>
      </w:tr>
      <w:tr>
        <w:trPr/>
        <w:tc>
          <w:tcPr>
            <w:tcW w:w="370"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52"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Paul Browett</w:t>
            </w:r>
          </w:p>
        </w:tc>
      </w:tr>
      <w:tr>
        <w:trPr/>
        <w:tc>
          <w:tcPr>
            <w:tcW w:w="3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295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Paul Browett</w:t>
            </w:r>
          </w:p>
        </w:tc>
      </w:tr>
      <w:tr>
        <w:trPr/>
        <w:tc>
          <w:tcPr>
            <w:tcW w:w="3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295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 xml:space="preserve">CROWN PACKAGING DISTRIBUTION UK LIMITED </w:t>
            </w:r>
          </w:p>
        </w:tc>
      </w:tr>
      <w:tr>
        <w:trPr>
          <w:trHeight w:val="240" w:hRule="atLeast"/>
        </w:trPr>
        <w:tc>
          <w:tcPr>
            <w:tcW w:w="370" w:type="dxa"/>
            <w:tcBorders/>
            <w:vAlign w:val="center"/>
          </w:tcPr>
          <w:p>
            <w:pPr>
              <w:pStyle w:val="TableContents"/>
              <w:bidi w:val="0"/>
              <w:spacing w:before="0" w:after="283"/>
              <w:jc w:val="left"/>
              <w:rPr>
                <w:sz w:val="4"/>
                <w:szCs w:val="4"/>
              </w:rPr>
            </w:pPr>
            <w:r>
              <w:rPr>
                <w:sz w:val="4"/>
                <w:szCs w:val="4"/>
              </w:rPr>
            </w:r>
          </w:p>
        </w:tc>
        <w:tc>
          <w:tcPr>
            <w:tcW w:w="3712" w:type="dxa"/>
            <w:gridSpan w:val="4"/>
            <w:tcBorders/>
            <w:vAlign w:val="center"/>
          </w:tcPr>
          <w:p>
            <w:pPr>
              <w:pStyle w:val="TableContents"/>
              <w:bidi w:val="0"/>
              <w:spacing w:before="0" w:after="283"/>
              <w:jc w:val="left"/>
              <w:rPr>
                <w:sz w:val="4"/>
                <w:szCs w:val="4"/>
              </w:rPr>
            </w:pPr>
            <w:r>
              <w:rPr>
                <w:sz w:val="4"/>
                <w:szCs w:val="4"/>
              </w:rPr>
            </w:r>
          </w:p>
        </w:tc>
      </w:tr>
      <w:tr>
        <w:trPr/>
        <w:tc>
          <w:tcPr>
            <w:tcW w:w="370"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52"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Tim Conybeare</w:t>
            </w:r>
          </w:p>
        </w:tc>
      </w:tr>
      <w:tr>
        <w:trPr/>
        <w:tc>
          <w:tcPr>
            <w:tcW w:w="3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295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Tim Conybeare</w:t>
            </w:r>
          </w:p>
        </w:tc>
      </w:tr>
      <w:tr>
        <w:trPr/>
        <w:tc>
          <w:tcPr>
            <w:tcW w:w="3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295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7"/>
        <w:gridCol w:w="60"/>
        <w:gridCol w:w="662"/>
        <w:gridCol w:w="60"/>
        <w:gridCol w:w="2933"/>
      </w:tblGrid>
      <w:tr>
        <w:trPr/>
        <w:tc>
          <w:tcPr>
            <w:tcW w:w="3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33"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 xml:space="preserve">SIGNODE UK LTD. </w:t>
            </w:r>
          </w:p>
        </w:tc>
      </w:tr>
      <w:tr>
        <w:trPr>
          <w:trHeight w:val="240" w:hRule="atLeast"/>
        </w:trPr>
        <w:tc>
          <w:tcPr>
            <w:tcW w:w="367" w:type="dxa"/>
            <w:tcBorders/>
            <w:vAlign w:val="center"/>
          </w:tcPr>
          <w:p>
            <w:pPr>
              <w:pStyle w:val="TableContents"/>
              <w:bidi w:val="0"/>
              <w:spacing w:before="0" w:after="283"/>
              <w:jc w:val="left"/>
              <w:rPr>
                <w:sz w:val="4"/>
                <w:szCs w:val="4"/>
              </w:rPr>
            </w:pPr>
            <w:r>
              <w:rPr>
                <w:sz w:val="4"/>
                <w:szCs w:val="4"/>
              </w:rPr>
            </w:r>
          </w:p>
        </w:tc>
        <w:tc>
          <w:tcPr>
            <w:tcW w:w="3715" w:type="dxa"/>
            <w:gridSpan w:val="4"/>
            <w:tcBorders/>
            <w:vAlign w:val="center"/>
          </w:tcPr>
          <w:p>
            <w:pPr>
              <w:pStyle w:val="TableContents"/>
              <w:bidi w:val="0"/>
              <w:spacing w:before="0" w:after="283"/>
              <w:jc w:val="left"/>
              <w:rPr>
                <w:sz w:val="4"/>
                <w:szCs w:val="4"/>
              </w:rPr>
            </w:pPr>
            <w:r>
              <w:rPr>
                <w:sz w:val="4"/>
                <w:szCs w:val="4"/>
              </w:rPr>
            </w:r>
          </w:p>
        </w:tc>
      </w:tr>
      <w:tr>
        <w:trPr/>
        <w:tc>
          <w:tcPr>
            <w:tcW w:w="36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5"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Olaf Roth</w:t>
            </w:r>
          </w:p>
        </w:tc>
      </w:tr>
      <w:tr>
        <w:trPr/>
        <w:tc>
          <w:tcPr>
            <w:tcW w:w="3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33" w:type="dxa"/>
            <w:tcBorders/>
          </w:tcPr>
          <w:p>
            <w:pPr>
              <w:pStyle w:val="TableContents"/>
              <w:bidi w:val="0"/>
              <w:spacing w:before="0" w:after="283"/>
              <w:jc w:val="left"/>
              <w:rPr/>
            </w:pPr>
            <w:r>
              <w:rPr/>
              <w:t>Olaf Roth</w:t>
            </w:r>
          </w:p>
        </w:tc>
      </w:tr>
      <w:tr>
        <w:trPr/>
        <w:tc>
          <w:tcPr>
            <w:tcW w:w="3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33" w:type="dxa"/>
            <w:tcBorders/>
          </w:tcPr>
          <w:p>
            <w:pPr>
              <w:pStyle w:val="TableContents"/>
              <w:bidi w:val="0"/>
              <w:spacing w:before="0" w:after="283"/>
              <w:jc w:val="left"/>
              <w:rPr/>
            </w:pPr>
            <w:r>
              <w:rPr/>
              <w:t>Director</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 xml:space="preserve">MEC-A-TEC SERVICES LIMITED </w:t>
            </w:r>
          </w:p>
        </w:tc>
      </w:tr>
      <w:tr>
        <w:trPr>
          <w:trHeight w:val="240" w:hRule="atLeast"/>
        </w:trPr>
        <w:tc>
          <w:tcPr>
            <w:tcW w:w="367" w:type="dxa"/>
            <w:tcBorders/>
            <w:vAlign w:val="center"/>
          </w:tcPr>
          <w:p>
            <w:pPr>
              <w:pStyle w:val="TableContents"/>
              <w:bidi w:val="0"/>
              <w:spacing w:before="0" w:after="283"/>
              <w:jc w:val="left"/>
              <w:rPr>
                <w:sz w:val="4"/>
                <w:szCs w:val="4"/>
              </w:rPr>
            </w:pPr>
            <w:r>
              <w:rPr>
                <w:sz w:val="4"/>
                <w:szCs w:val="4"/>
              </w:rPr>
            </w:r>
          </w:p>
        </w:tc>
        <w:tc>
          <w:tcPr>
            <w:tcW w:w="3715" w:type="dxa"/>
            <w:gridSpan w:val="4"/>
            <w:tcBorders/>
            <w:vAlign w:val="center"/>
          </w:tcPr>
          <w:p>
            <w:pPr>
              <w:pStyle w:val="TableContents"/>
              <w:bidi w:val="0"/>
              <w:spacing w:before="0" w:after="283"/>
              <w:jc w:val="left"/>
              <w:rPr>
                <w:sz w:val="4"/>
                <w:szCs w:val="4"/>
              </w:rPr>
            </w:pPr>
            <w:r>
              <w:rPr>
                <w:sz w:val="4"/>
                <w:szCs w:val="4"/>
              </w:rPr>
            </w:r>
          </w:p>
        </w:tc>
      </w:tr>
      <w:tr>
        <w:trPr/>
        <w:tc>
          <w:tcPr>
            <w:tcW w:w="36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5"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A. Beaver</w:t>
            </w:r>
          </w:p>
        </w:tc>
      </w:tr>
      <w:tr>
        <w:trPr/>
        <w:tc>
          <w:tcPr>
            <w:tcW w:w="3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33" w:type="dxa"/>
            <w:tcBorders/>
          </w:tcPr>
          <w:p>
            <w:pPr>
              <w:pStyle w:val="TableContents"/>
              <w:bidi w:val="0"/>
              <w:spacing w:before="0" w:after="283"/>
              <w:jc w:val="left"/>
              <w:rPr/>
            </w:pPr>
            <w:r>
              <w:rPr/>
              <w:t>David A. Beaver</w:t>
            </w:r>
          </w:p>
        </w:tc>
      </w:tr>
      <w:tr>
        <w:trPr/>
        <w:tc>
          <w:tcPr>
            <w:tcW w:w="3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33" w:type="dxa"/>
            <w:tcBorders/>
          </w:tcPr>
          <w:p>
            <w:pPr>
              <w:pStyle w:val="TableContents"/>
              <w:bidi w:val="0"/>
              <w:spacing w:before="0" w:after="283"/>
              <w:jc w:val="left"/>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7"/>
        <w:gridCol w:w="60"/>
        <w:gridCol w:w="662"/>
        <w:gridCol w:w="60"/>
        <w:gridCol w:w="2933"/>
      </w:tblGrid>
      <w:tr>
        <w:trPr/>
        <w:tc>
          <w:tcPr>
            <w:tcW w:w="3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33"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 xml:space="preserve">CROWN UK HOLDINGS LIMITED </w:t>
            </w:r>
          </w:p>
        </w:tc>
      </w:tr>
      <w:tr>
        <w:trPr>
          <w:trHeight w:val="240" w:hRule="atLeast"/>
        </w:trPr>
        <w:tc>
          <w:tcPr>
            <w:tcW w:w="367" w:type="dxa"/>
            <w:tcBorders/>
            <w:vAlign w:val="center"/>
          </w:tcPr>
          <w:p>
            <w:pPr>
              <w:pStyle w:val="TableContents"/>
              <w:bidi w:val="0"/>
              <w:spacing w:before="0" w:after="283"/>
              <w:jc w:val="left"/>
              <w:rPr>
                <w:sz w:val="4"/>
                <w:szCs w:val="4"/>
              </w:rPr>
            </w:pPr>
            <w:r>
              <w:rPr>
                <w:sz w:val="4"/>
                <w:szCs w:val="4"/>
              </w:rPr>
            </w:r>
          </w:p>
        </w:tc>
        <w:tc>
          <w:tcPr>
            <w:tcW w:w="3715" w:type="dxa"/>
            <w:gridSpan w:val="4"/>
            <w:tcBorders/>
            <w:vAlign w:val="center"/>
          </w:tcPr>
          <w:p>
            <w:pPr>
              <w:pStyle w:val="TableContents"/>
              <w:bidi w:val="0"/>
              <w:spacing w:before="0" w:after="283"/>
              <w:jc w:val="left"/>
              <w:rPr>
                <w:sz w:val="4"/>
                <w:szCs w:val="4"/>
              </w:rPr>
            </w:pPr>
            <w:r>
              <w:rPr>
                <w:sz w:val="4"/>
                <w:szCs w:val="4"/>
              </w:rPr>
            </w:r>
          </w:p>
        </w:tc>
      </w:tr>
      <w:tr>
        <w:trPr/>
        <w:tc>
          <w:tcPr>
            <w:tcW w:w="36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5"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Kevin C. Clothier</w:t>
            </w:r>
          </w:p>
        </w:tc>
      </w:tr>
      <w:tr>
        <w:trPr/>
        <w:tc>
          <w:tcPr>
            <w:tcW w:w="3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33" w:type="dxa"/>
            <w:tcBorders/>
          </w:tcPr>
          <w:p>
            <w:pPr>
              <w:pStyle w:val="TableContents"/>
              <w:bidi w:val="0"/>
              <w:spacing w:before="0" w:after="283"/>
              <w:jc w:val="left"/>
              <w:rPr/>
            </w:pPr>
            <w:r>
              <w:rPr/>
              <w:t>Kevin C. Clothier</w:t>
            </w:r>
          </w:p>
        </w:tc>
      </w:tr>
      <w:tr>
        <w:trPr/>
        <w:tc>
          <w:tcPr>
            <w:tcW w:w="3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33" w:type="dxa"/>
            <w:tcBorders/>
          </w:tcPr>
          <w:p>
            <w:pPr>
              <w:pStyle w:val="TableContents"/>
              <w:bidi w:val="0"/>
              <w:spacing w:before="0" w:after="283"/>
              <w:jc w:val="left"/>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foregoing Agreement is hereby confirmed</w:t>
            </w:r>
          </w:p>
        </w:tc>
      </w:tr>
      <w:tr>
        <w:trPr/>
        <w:tc>
          <w:tcPr>
            <w:tcW w:w="4082" w:type="dxa"/>
            <w:gridSpan w:val="3"/>
            <w:tcBorders/>
          </w:tcPr>
          <w:p>
            <w:pPr>
              <w:pStyle w:val="TableContents"/>
              <w:bidi w:val="0"/>
              <w:spacing w:before="0" w:after="283"/>
              <w:jc w:val="left"/>
              <w:rPr/>
            </w:pPr>
            <w:r>
              <w:rPr/>
              <w:t>and accepted as of the date first above written.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xml:space="preserve">BNP PARIBAS </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Vikas Katyal</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Name: Vikas Katyal</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Title: Authorised Signatory</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Luke Thorne</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Name: Luke Thorne</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Title: Authorised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835"/>
        <w:gridCol w:w="158"/>
        <w:gridCol w:w="3089"/>
      </w:tblGrid>
      <w:tr>
        <w:trPr/>
        <w:tc>
          <w:tcPr>
            <w:tcW w:w="835"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xml:space="preserve">DEUTSCHE BANK AKTIENGESELLSCHAFT </w:t>
            </w:r>
          </w:p>
        </w:tc>
      </w:tr>
      <w:tr>
        <w:trPr>
          <w:trHeight w:val="240" w:hRule="atLeast"/>
        </w:trPr>
        <w:tc>
          <w:tcPr>
            <w:tcW w:w="835" w:type="dxa"/>
            <w:tcBorders/>
            <w:vAlign w:val="center"/>
          </w:tcPr>
          <w:p>
            <w:pPr>
              <w:pStyle w:val="TableContents"/>
              <w:bidi w:val="0"/>
              <w:spacing w:before="0" w:after="283"/>
              <w:jc w:val="left"/>
              <w:rPr>
                <w:sz w:val="4"/>
                <w:szCs w:val="4"/>
              </w:rPr>
            </w:pPr>
            <w:r>
              <w:rPr>
                <w:sz w:val="4"/>
                <w:szCs w:val="4"/>
              </w:rPr>
            </w:r>
          </w:p>
        </w:tc>
        <w:tc>
          <w:tcPr>
            <w:tcW w:w="3247" w:type="dxa"/>
            <w:gridSpan w:val="2"/>
            <w:tcBorders/>
            <w:vAlign w:val="center"/>
          </w:tcPr>
          <w:p>
            <w:pPr>
              <w:pStyle w:val="TableContents"/>
              <w:bidi w:val="0"/>
              <w:spacing w:before="0" w:after="283"/>
              <w:jc w:val="left"/>
              <w:rPr>
                <w:sz w:val="4"/>
                <w:szCs w:val="4"/>
              </w:rPr>
            </w:pPr>
            <w:r>
              <w:rPr>
                <w:sz w:val="4"/>
                <w:szCs w:val="4"/>
              </w:rPr>
            </w:r>
          </w:p>
        </w:tc>
      </w:tr>
      <w:tr>
        <w:trPr/>
        <w:tc>
          <w:tcPr>
            <w:tcW w:w="835" w:type="dxa"/>
            <w:tcBorders/>
          </w:tcPr>
          <w:p>
            <w:pPr>
              <w:pStyle w:val="TableContents"/>
              <w:bidi w:val="0"/>
              <w:spacing w:before="0" w:after="283"/>
              <w:jc w:val="left"/>
              <w:rPr/>
            </w:pPr>
            <w:r>
              <w:rPr/>
              <w:t>By:</w:t>
            </w:r>
          </w:p>
        </w:tc>
        <w:tc>
          <w:tcPr>
            <w:tcW w:w="158" w:type="dxa"/>
            <w:tcBorders/>
            <w:vAlign w:val="bottom"/>
          </w:tcPr>
          <w:p>
            <w:pPr>
              <w:pStyle w:val="TableContents"/>
              <w:bidi w:val="0"/>
              <w:spacing w:before="0" w:after="283"/>
              <w:jc w:val="left"/>
              <w:rPr/>
            </w:pPr>
            <w:r>
              <w:rPr/>
              <w:t> </w:t>
            </w:r>
          </w:p>
        </w:tc>
        <w:tc>
          <w:tcPr>
            <w:tcW w:w="308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Diarmuid Toomey</w:t>
            </w:r>
          </w:p>
        </w:tc>
      </w:tr>
      <w:tr>
        <w:trPr/>
        <w:tc>
          <w:tcPr>
            <w:tcW w:w="4082" w:type="dxa"/>
            <w:gridSpan w:val="3"/>
            <w:tcBorders/>
          </w:tcPr>
          <w:p>
            <w:pPr>
              <w:pStyle w:val="TableContents"/>
              <w:bidi w:val="0"/>
              <w:spacing w:before="0" w:after="283"/>
              <w:jc w:val="left"/>
              <w:rPr/>
            </w:pPr>
            <w:r>
              <w:rPr/>
              <w:t>Name: Diarmuid Toomey</w:t>
            </w:r>
          </w:p>
        </w:tc>
      </w:tr>
      <w:tr>
        <w:trPr/>
        <w:tc>
          <w:tcPr>
            <w:tcW w:w="4082" w:type="dxa"/>
            <w:gridSpan w:val="3"/>
            <w:tcBorders/>
          </w:tcPr>
          <w:p>
            <w:pPr>
              <w:pStyle w:val="TableContents"/>
              <w:bidi w:val="0"/>
              <w:spacing w:before="0" w:after="283"/>
              <w:jc w:val="left"/>
              <w:rPr/>
            </w:pPr>
            <w:r>
              <w:rPr/>
              <w:t>Title: Managing Director</w:t>
            </w:r>
          </w:p>
        </w:tc>
      </w:tr>
      <w:tr>
        <w:trPr>
          <w:trHeight w:val="240" w:hRule="atLeast"/>
        </w:trPr>
        <w:tc>
          <w:tcPr>
            <w:tcW w:w="835" w:type="dxa"/>
            <w:tcBorders/>
            <w:vAlign w:val="center"/>
          </w:tcPr>
          <w:p>
            <w:pPr>
              <w:pStyle w:val="TableContents"/>
              <w:bidi w:val="0"/>
              <w:spacing w:before="0" w:after="283"/>
              <w:jc w:val="left"/>
              <w:rPr>
                <w:sz w:val="4"/>
                <w:szCs w:val="4"/>
              </w:rPr>
            </w:pPr>
            <w:r>
              <w:rPr>
                <w:sz w:val="4"/>
                <w:szCs w:val="4"/>
              </w:rPr>
            </w:r>
          </w:p>
        </w:tc>
        <w:tc>
          <w:tcPr>
            <w:tcW w:w="3247" w:type="dxa"/>
            <w:gridSpan w:val="2"/>
            <w:tcBorders/>
            <w:vAlign w:val="center"/>
          </w:tcPr>
          <w:p>
            <w:pPr>
              <w:pStyle w:val="TableContents"/>
              <w:bidi w:val="0"/>
              <w:spacing w:before="0" w:after="283"/>
              <w:jc w:val="left"/>
              <w:rPr>
                <w:sz w:val="4"/>
                <w:szCs w:val="4"/>
              </w:rPr>
            </w:pPr>
            <w:r>
              <w:rPr>
                <w:sz w:val="4"/>
                <w:szCs w:val="4"/>
              </w:rPr>
            </w:r>
          </w:p>
        </w:tc>
      </w:tr>
      <w:tr>
        <w:trPr/>
        <w:tc>
          <w:tcPr>
            <w:tcW w:w="835" w:type="dxa"/>
            <w:tcBorders/>
          </w:tcPr>
          <w:p>
            <w:pPr>
              <w:pStyle w:val="TableContents"/>
              <w:bidi w:val="0"/>
              <w:spacing w:before="0" w:after="283"/>
              <w:jc w:val="left"/>
              <w:rPr/>
            </w:pPr>
            <w:r>
              <w:rPr/>
              <w:t>By:</w:t>
            </w:r>
          </w:p>
        </w:tc>
        <w:tc>
          <w:tcPr>
            <w:tcW w:w="158" w:type="dxa"/>
            <w:tcBorders/>
            <w:vAlign w:val="bottom"/>
          </w:tcPr>
          <w:p>
            <w:pPr>
              <w:pStyle w:val="TableContents"/>
              <w:bidi w:val="0"/>
              <w:spacing w:before="0" w:after="283"/>
              <w:jc w:val="left"/>
              <w:rPr/>
            </w:pPr>
            <w:r>
              <w:rPr/>
              <w:t> </w:t>
            </w:r>
          </w:p>
        </w:tc>
        <w:tc>
          <w:tcPr>
            <w:tcW w:w="308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Nicholas Burns</w:t>
            </w:r>
          </w:p>
        </w:tc>
      </w:tr>
      <w:tr>
        <w:trPr/>
        <w:tc>
          <w:tcPr>
            <w:tcW w:w="4082" w:type="dxa"/>
            <w:gridSpan w:val="3"/>
            <w:tcBorders/>
          </w:tcPr>
          <w:p>
            <w:pPr>
              <w:pStyle w:val="TableContents"/>
              <w:bidi w:val="0"/>
              <w:spacing w:before="0" w:after="283"/>
              <w:jc w:val="left"/>
              <w:rPr/>
            </w:pPr>
            <w:r>
              <w:rPr/>
              <w:t>Name: Nicholas Burns</w:t>
            </w:r>
          </w:p>
        </w:tc>
      </w:tr>
      <w:tr>
        <w:trPr/>
        <w:tc>
          <w:tcPr>
            <w:tcW w:w="4082" w:type="dxa"/>
            <w:gridSpan w:val="3"/>
            <w:tcBorders/>
          </w:tcPr>
          <w:p>
            <w:pPr>
              <w:pStyle w:val="TableContents"/>
              <w:bidi w:val="0"/>
              <w:spacing w:before="0" w:after="283"/>
              <w:jc w:val="left"/>
              <w:rPr/>
            </w:pPr>
            <w:r>
              <w:rPr/>
              <w:t>Title: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99"/>
        <w:gridCol w:w="60"/>
        <w:gridCol w:w="3623"/>
      </w:tblGrid>
      <w:tr>
        <w:trPr/>
        <w:tc>
          <w:tcPr>
            <w:tcW w:w="39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UNICREDIT BANK AG</w:t>
            </w:r>
          </w:p>
        </w:tc>
      </w:tr>
      <w:tr>
        <w:trPr>
          <w:trHeight w:val="240" w:hRule="atLeast"/>
        </w:trPr>
        <w:tc>
          <w:tcPr>
            <w:tcW w:w="399" w:type="dxa"/>
            <w:tcBorders/>
            <w:vAlign w:val="center"/>
          </w:tcPr>
          <w:p>
            <w:pPr>
              <w:pStyle w:val="TableContents"/>
              <w:bidi w:val="0"/>
              <w:spacing w:before="0" w:after="283"/>
              <w:jc w:val="left"/>
              <w:rPr>
                <w:sz w:val="4"/>
                <w:szCs w:val="4"/>
              </w:rPr>
            </w:pPr>
            <w:r>
              <w:rPr>
                <w:sz w:val="4"/>
                <w:szCs w:val="4"/>
              </w:rPr>
            </w:r>
          </w:p>
        </w:tc>
        <w:tc>
          <w:tcPr>
            <w:tcW w:w="3683" w:type="dxa"/>
            <w:gridSpan w:val="2"/>
            <w:tcBorders/>
            <w:vAlign w:val="center"/>
          </w:tcPr>
          <w:p>
            <w:pPr>
              <w:pStyle w:val="TableContents"/>
              <w:bidi w:val="0"/>
              <w:spacing w:before="0" w:after="283"/>
              <w:jc w:val="left"/>
              <w:rPr>
                <w:sz w:val="4"/>
                <w:szCs w:val="4"/>
              </w:rPr>
            </w:pPr>
            <w:r>
              <w:rPr>
                <w:sz w:val="4"/>
                <w:szCs w:val="4"/>
              </w:rPr>
            </w:r>
          </w:p>
        </w:tc>
      </w:tr>
      <w:tr>
        <w:trPr/>
        <w:tc>
          <w:tcPr>
            <w:tcW w:w="39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Paolo Frugis</w:t>
            </w:r>
          </w:p>
        </w:tc>
      </w:tr>
      <w:tr>
        <w:trPr/>
        <w:tc>
          <w:tcPr>
            <w:tcW w:w="4082" w:type="dxa"/>
            <w:gridSpan w:val="3"/>
            <w:tcBorders/>
          </w:tcPr>
          <w:p>
            <w:pPr>
              <w:pStyle w:val="TableContents"/>
              <w:bidi w:val="0"/>
              <w:spacing w:before="0" w:after="283"/>
              <w:jc w:val="left"/>
              <w:rPr/>
            </w:pPr>
            <w:r>
              <w:rPr/>
              <w:t>Name: Paolo Frugis</w:t>
            </w:r>
          </w:p>
        </w:tc>
      </w:tr>
      <w:tr>
        <w:trPr/>
        <w:tc>
          <w:tcPr>
            <w:tcW w:w="4082" w:type="dxa"/>
            <w:gridSpan w:val="3"/>
            <w:tcBorders/>
          </w:tcPr>
          <w:p>
            <w:pPr>
              <w:pStyle w:val="TableContents"/>
              <w:bidi w:val="0"/>
              <w:spacing w:before="0" w:after="283"/>
              <w:jc w:val="left"/>
              <w:rPr/>
            </w:pPr>
            <w:r>
              <w:rPr/>
              <w:t>Title: Managing Director</w:t>
            </w:r>
          </w:p>
        </w:tc>
      </w:tr>
      <w:tr>
        <w:trPr>
          <w:trHeight w:val="240" w:hRule="atLeast"/>
        </w:trPr>
        <w:tc>
          <w:tcPr>
            <w:tcW w:w="399" w:type="dxa"/>
            <w:tcBorders/>
            <w:vAlign w:val="center"/>
          </w:tcPr>
          <w:p>
            <w:pPr>
              <w:pStyle w:val="TableContents"/>
              <w:bidi w:val="0"/>
              <w:spacing w:before="0" w:after="283"/>
              <w:jc w:val="left"/>
              <w:rPr>
                <w:sz w:val="4"/>
                <w:szCs w:val="4"/>
              </w:rPr>
            </w:pPr>
            <w:r>
              <w:rPr>
                <w:sz w:val="4"/>
                <w:szCs w:val="4"/>
              </w:rPr>
            </w:r>
          </w:p>
        </w:tc>
        <w:tc>
          <w:tcPr>
            <w:tcW w:w="3683" w:type="dxa"/>
            <w:gridSpan w:val="2"/>
            <w:tcBorders/>
            <w:vAlign w:val="center"/>
          </w:tcPr>
          <w:p>
            <w:pPr>
              <w:pStyle w:val="TableContents"/>
              <w:bidi w:val="0"/>
              <w:spacing w:before="0" w:after="283"/>
              <w:jc w:val="left"/>
              <w:rPr>
                <w:sz w:val="4"/>
                <w:szCs w:val="4"/>
              </w:rPr>
            </w:pPr>
            <w:r>
              <w:rPr>
                <w:sz w:val="4"/>
                <w:szCs w:val="4"/>
              </w:rPr>
            </w:r>
          </w:p>
        </w:tc>
      </w:tr>
      <w:tr>
        <w:trPr/>
        <w:tc>
          <w:tcPr>
            <w:tcW w:w="39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Matthew Hyotte</w:t>
            </w:r>
          </w:p>
        </w:tc>
      </w:tr>
      <w:tr>
        <w:trPr/>
        <w:tc>
          <w:tcPr>
            <w:tcW w:w="4082" w:type="dxa"/>
            <w:gridSpan w:val="3"/>
            <w:tcBorders/>
          </w:tcPr>
          <w:p>
            <w:pPr>
              <w:pStyle w:val="TableContents"/>
              <w:bidi w:val="0"/>
              <w:spacing w:before="0" w:after="283"/>
              <w:jc w:val="left"/>
              <w:rPr/>
            </w:pPr>
            <w:r>
              <w:rPr/>
              <w:t>Name: Matthew Hyotte</w:t>
            </w:r>
          </w:p>
        </w:tc>
      </w:tr>
      <w:tr>
        <w:trPr/>
        <w:tc>
          <w:tcPr>
            <w:tcW w:w="4082" w:type="dxa"/>
            <w:gridSpan w:val="3"/>
            <w:tcBorders/>
          </w:tcPr>
          <w:p>
            <w:pPr>
              <w:pStyle w:val="TableContents"/>
              <w:bidi w:val="0"/>
              <w:spacing w:before="0" w:after="283"/>
              <w:jc w:val="left"/>
              <w:rPr/>
            </w:pPr>
            <w:r>
              <w:rPr/>
              <w:t>Title: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xml:space="preserve">BOFA SECURITIES EUROPE SA </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Astghik Khachatryan</w:t>
            </w:r>
          </w:p>
        </w:tc>
      </w:tr>
      <w:tr>
        <w:trPr/>
        <w:tc>
          <w:tcPr>
            <w:tcW w:w="4082" w:type="dxa"/>
            <w:gridSpan w:val="3"/>
            <w:tcBorders/>
          </w:tcPr>
          <w:p>
            <w:pPr>
              <w:pStyle w:val="TableContents"/>
              <w:bidi w:val="0"/>
              <w:spacing w:before="0" w:after="283"/>
              <w:jc w:val="left"/>
              <w:rPr/>
            </w:pPr>
            <w:r>
              <w:rPr/>
              <w:t>Name: Astghik Khachatryan</w:t>
            </w:r>
          </w:p>
        </w:tc>
      </w:tr>
      <w:tr>
        <w:trPr/>
        <w:tc>
          <w:tcPr>
            <w:tcW w:w="4082" w:type="dxa"/>
            <w:gridSpan w:val="3"/>
            <w:tcBorders/>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96"/>
        <w:gridCol w:w="60"/>
        <w:gridCol w:w="3626"/>
      </w:tblGrid>
      <w:tr>
        <w:trPr/>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CITIGROUP GLOBAL MARKETS INC</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Justin S. Tichauer</w:t>
            </w:r>
          </w:p>
        </w:tc>
      </w:tr>
      <w:tr>
        <w:trPr/>
        <w:tc>
          <w:tcPr>
            <w:tcW w:w="4082" w:type="dxa"/>
            <w:gridSpan w:val="3"/>
            <w:tcBorders/>
          </w:tcPr>
          <w:p>
            <w:pPr>
              <w:pStyle w:val="TableContents"/>
              <w:bidi w:val="0"/>
              <w:spacing w:before="0" w:after="283"/>
              <w:jc w:val="left"/>
              <w:rPr/>
            </w:pPr>
            <w:r>
              <w:rPr/>
              <w:t>Name: Justin S. Tichauer</w:t>
            </w:r>
          </w:p>
        </w:tc>
      </w:tr>
      <w:tr>
        <w:trPr/>
        <w:tc>
          <w:tcPr>
            <w:tcW w:w="4082" w:type="dxa"/>
            <w:gridSpan w:val="3"/>
            <w:tcBorders/>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CRÉDIT AGRICOLE CORPORATE AND INVESTMENT BANK</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Youssef Khlat</w:t>
            </w:r>
          </w:p>
        </w:tc>
      </w:tr>
      <w:tr>
        <w:trPr/>
        <w:tc>
          <w:tcPr>
            <w:tcW w:w="4082" w:type="dxa"/>
            <w:gridSpan w:val="3"/>
            <w:tcBorders/>
          </w:tcPr>
          <w:p>
            <w:pPr>
              <w:pStyle w:val="TableContents"/>
              <w:bidi w:val="0"/>
              <w:spacing w:before="0" w:after="283"/>
              <w:jc w:val="left"/>
              <w:rPr/>
            </w:pPr>
            <w:r>
              <w:rPr/>
              <w:t>Name: Youssef Khlat</w:t>
            </w:r>
          </w:p>
        </w:tc>
      </w:tr>
      <w:tr>
        <w:trPr/>
        <w:tc>
          <w:tcPr>
            <w:tcW w:w="4082" w:type="dxa"/>
            <w:gridSpan w:val="3"/>
            <w:tcBorders/>
          </w:tcPr>
          <w:p>
            <w:pPr>
              <w:pStyle w:val="TableContents"/>
              <w:bidi w:val="0"/>
              <w:spacing w:before="0" w:after="283"/>
              <w:jc w:val="left"/>
              <w:rPr/>
            </w:pPr>
            <w:r>
              <w:rPr/>
              <w:t>Title: Managing Director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Pierre-François Martineau</w:t>
            </w:r>
          </w:p>
        </w:tc>
      </w:tr>
      <w:tr>
        <w:trPr/>
        <w:tc>
          <w:tcPr>
            <w:tcW w:w="4082" w:type="dxa"/>
            <w:gridSpan w:val="3"/>
            <w:tcBorders/>
          </w:tcPr>
          <w:p>
            <w:pPr>
              <w:pStyle w:val="TableContents"/>
              <w:bidi w:val="0"/>
              <w:spacing w:before="0" w:after="283"/>
              <w:jc w:val="left"/>
              <w:rPr/>
            </w:pPr>
            <w:r>
              <w:rPr/>
              <w:t>Name: Pierre-François Martineau</w:t>
            </w:r>
          </w:p>
        </w:tc>
      </w:tr>
      <w:tr>
        <w:trPr/>
        <w:tc>
          <w:tcPr>
            <w:tcW w:w="4082" w:type="dxa"/>
            <w:gridSpan w:val="3"/>
            <w:tcBorders/>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98"/>
        <w:gridCol w:w="60"/>
        <w:gridCol w:w="3624"/>
      </w:tblGrid>
      <w:tr>
        <w:trPr/>
        <w:tc>
          <w:tcPr>
            <w:tcW w:w="3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MIZUHO SECURITIES EUROPE GMBH</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Peter Krafft</w:t>
            </w:r>
          </w:p>
        </w:tc>
      </w:tr>
      <w:tr>
        <w:trPr/>
        <w:tc>
          <w:tcPr>
            <w:tcW w:w="4082" w:type="dxa"/>
            <w:gridSpan w:val="3"/>
            <w:tcBorders/>
          </w:tcPr>
          <w:p>
            <w:pPr>
              <w:pStyle w:val="TableContents"/>
              <w:bidi w:val="0"/>
              <w:spacing w:before="0" w:after="283"/>
              <w:jc w:val="left"/>
              <w:rPr/>
            </w:pPr>
            <w:r>
              <w:rPr/>
              <w:t>Name: Peter Krafft</w:t>
            </w:r>
          </w:p>
        </w:tc>
      </w:tr>
      <w:tr>
        <w:trPr/>
        <w:tc>
          <w:tcPr>
            <w:tcW w:w="4082" w:type="dxa"/>
            <w:gridSpan w:val="3"/>
            <w:tcBorders/>
          </w:tcPr>
          <w:p>
            <w:pPr>
              <w:pStyle w:val="TableContents"/>
              <w:bidi w:val="0"/>
              <w:spacing w:before="0" w:after="283"/>
              <w:jc w:val="left"/>
              <w:rPr/>
            </w:pPr>
            <w:r>
              <w:rPr/>
              <w:t>Title: Chief Financial Officer</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Wolfgang Krauss</w:t>
            </w:r>
          </w:p>
        </w:tc>
      </w:tr>
      <w:tr>
        <w:trPr/>
        <w:tc>
          <w:tcPr>
            <w:tcW w:w="4082" w:type="dxa"/>
            <w:gridSpan w:val="3"/>
            <w:tcBorders/>
          </w:tcPr>
          <w:p>
            <w:pPr>
              <w:pStyle w:val="TableContents"/>
              <w:bidi w:val="0"/>
              <w:spacing w:before="0" w:after="283"/>
              <w:jc w:val="left"/>
              <w:rPr/>
            </w:pPr>
            <w:r>
              <w:rPr/>
              <w:t>Name: Wolfgang Krauss</w:t>
            </w:r>
          </w:p>
        </w:tc>
      </w:tr>
      <w:tr>
        <w:trPr/>
        <w:tc>
          <w:tcPr>
            <w:tcW w:w="4082" w:type="dxa"/>
            <w:gridSpan w:val="3"/>
            <w:tcBorders/>
          </w:tcPr>
          <w:p>
            <w:pPr>
              <w:pStyle w:val="TableContents"/>
              <w:bidi w:val="0"/>
              <w:spacing w:before="0" w:after="283"/>
              <w:jc w:val="left"/>
              <w:rPr/>
            </w:pPr>
            <w:r>
              <w:rPr/>
              <w:t>Title: Executive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xml:space="preserve">BANCO SANTANDER, S.A. </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Eric Bellanger</w:t>
            </w:r>
          </w:p>
        </w:tc>
      </w:tr>
      <w:tr>
        <w:trPr/>
        <w:tc>
          <w:tcPr>
            <w:tcW w:w="4082" w:type="dxa"/>
            <w:gridSpan w:val="3"/>
            <w:tcBorders/>
          </w:tcPr>
          <w:p>
            <w:pPr>
              <w:pStyle w:val="TableContents"/>
              <w:bidi w:val="0"/>
              <w:spacing w:before="0" w:after="283"/>
              <w:jc w:val="left"/>
              <w:rPr/>
            </w:pPr>
            <w:r>
              <w:rPr/>
              <w:t>Name: Eric Bellanger</w:t>
            </w:r>
          </w:p>
        </w:tc>
      </w:tr>
      <w:tr>
        <w:trPr/>
        <w:tc>
          <w:tcPr>
            <w:tcW w:w="4082" w:type="dxa"/>
            <w:gridSpan w:val="3"/>
            <w:tcBorders/>
          </w:tcPr>
          <w:p>
            <w:pPr>
              <w:pStyle w:val="TableContents"/>
              <w:bidi w:val="0"/>
              <w:spacing w:before="0" w:after="283"/>
              <w:jc w:val="left"/>
              <w:rPr/>
            </w:pPr>
            <w:r>
              <w:rPr/>
              <w:t>Title: DCM Managing Director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Alexis Rohr</w:t>
            </w:r>
          </w:p>
        </w:tc>
      </w:tr>
      <w:tr>
        <w:trPr/>
        <w:tc>
          <w:tcPr>
            <w:tcW w:w="4082" w:type="dxa"/>
            <w:gridSpan w:val="3"/>
            <w:tcBorders/>
          </w:tcPr>
          <w:p>
            <w:pPr>
              <w:pStyle w:val="TableContents"/>
              <w:bidi w:val="0"/>
              <w:spacing w:before="0" w:after="283"/>
              <w:jc w:val="left"/>
              <w:rPr/>
            </w:pPr>
            <w:r>
              <w:rPr/>
              <w:t>Name: Alexis Rohr</w:t>
            </w:r>
          </w:p>
        </w:tc>
      </w:tr>
      <w:tr>
        <w:trPr/>
        <w:tc>
          <w:tcPr>
            <w:tcW w:w="4082" w:type="dxa"/>
            <w:gridSpan w:val="3"/>
            <w:tcBorders/>
          </w:tcPr>
          <w:p>
            <w:pPr>
              <w:pStyle w:val="TableContents"/>
              <w:bidi w:val="0"/>
              <w:spacing w:before="0" w:after="283"/>
              <w:jc w:val="left"/>
              <w:rPr/>
            </w:pPr>
            <w:r>
              <w:rPr/>
              <w:t>Title: DCM Analyst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400"/>
        <w:gridCol w:w="60"/>
        <w:gridCol w:w="3622"/>
      </w:tblGrid>
      <w:tr>
        <w:trPr/>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xml:space="preserve">SCOTIABANK (IRELAND) DESIGNATED ACTIVITY COMPANY </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Pauline Donohoe</w:t>
            </w:r>
          </w:p>
        </w:tc>
      </w:tr>
      <w:tr>
        <w:trPr/>
        <w:tc>
          <w:tcPr>
            <w:tcW w:w="4082" w:type="dxa"/>
            <w:gridSpan w:val="3"/>
            <w:tcBorders/>
          </w:tcPr>
          <w:p>
            <w:pPr>
              <w:pStyle w:val="TableContents"/>
              <w:bidi w:val="0"/>
              <w:spacing w:before="0" w:after="283"/>
              <w:jc w:val="left"/>
              <w:rPr/>
            </w:pPr>
            <w:r>
              <w:rPr/>
              <w:t>Name: Pauline Donohoe</w:t>
            </w:r>
          </w:p>
        </w:tc>
      </w:tr>
      <w:tr>
        <w:trPr/>
        <w:tc>
          <w:tcPr>
            <w:tcW w:w="4082" w:type="dxa"/>
            <w:gridSpan w:val="3"/>
            <w:tcBorders/>
          </w:tcPr>
          <w:p>
            <w:pPr>
              <w:pStyle w:val="TableContents"/>
              <w:bidi w:val="0"/>
              <w:spacing w:before="0" w:after="283"/>
              <w:jc w:val="left"/>
              <w:rPr/>
            </w:pPr>
            <w:r>
              <w:rPr/>
              <w:t>Title: Managing Director, Head of CM, SIDAC</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Nicole Vavasour</w:t>
            </w:r>
          </w:p>
        </w:tc>
      </w:tr>
      <w:tr>
        <w:trPr/>
        <w:tc>
          <w:tcPr>
            <w:tcW w:w="4082" w:type="dxa"/>
            <w:gridSpan w:val="3"/>
            <w:tcBorders/>
          </w:tcPr>
          <w:p>
            <w:pPr>
              <w:pStyle w:val="TableContents"/>
              <w:bidi w:val="0"/>
              <w:spacing w:before="0" w:after="283"/>
              <w:jc w:val="left"/>
              <w:rPr/>
            </w:pPr>
            <w:r>
              <w:rPr/>
              <w:t>Name: Nicole Vavasour</w:t>
            </w:r>
          </w:p>
        </w:tc>
      </w:tr>
      <w:tr>
        <w:trPr/>
        <w:tc>
          <w:tcPr>
            <w:tcW w:w="4082" w:type="dxa"/>
            <w:gridSpan w:val="3"/>
            <w:tcBorders/>
          </w:tcPr>
          <w:p>
            <w:pPr>
              <w:pStyle w:val="TableContents"/>
              <w:bidi w:val="0"/>
              <w:spacing w:before="0" w:after="283"/>
              <w:jc w:val="left"/>
              <w:rPr/>
            </w:pPr>
            <w:r>
              <w:rPr/>
              <w:t>Title: Chief Executive Officer, SIDAC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88"/>
        <w:gridCol w:w="61"/>
        <w:gridCol w:w="3633"/>
      </w:tblGrid>
      <w:tr>
        <w:trPr/>
        <w:tc>
          <w:tcPr>
            <w:tcW w:w="38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SMBC BANK EU AG</w:t>
            </w:r>
          </w:p>
        </w:tc>
      </w:tr>
      <w:tr>
        <w:trPr>
          <w:trHeight w:val="240" w:hRule="atLeast"/>
        </w:trPr>
        <w:tc>
          <w:tcPr>
            <w:tcW w:w="388" w:type="dxa"/>
            <w:tcBorders/>
            <w:vAlign w:val="center"/>
          </w:tcPr>
          <w:p>
            <w:pPr>
              <w:pStyle w:val="TableContents"/>
              <w:bidi w:val="0"/>
              <w:spacing w:before="0" w:after="283"/>
              <w:jc w:val="left"/>
              <w:rPr>
                <w:sz w:val="4"/>
                <w:szCs w:val="4"/>
              </w:rPr>
            </w:pPr>
            <w:r>
              <w:rPr>
                <w:sz w:val="4"/>
                <w:szCs w:val="4"/>
              </w:rPr>
            </w:r>
          </w:p>
        </w:tc>
        <w:tc>
          <w:tcPr>
            <w:tcW w:w="3694" w:type="dxa"/>
            <w:gridSpan w:val="2"/>
            <w:tcBorders/>
            <w:vAlign w:val="center"/>
          </w:tcPr>
          <w:p>
            <w:pPr>
              <w:pStyle w:val="TableContents"/>
              <w:bidi w:val="0"/>
              <w:spacing w:before="0" w:after="283"/>
              <w:jc w:val="left"/>
              <w:rPr>
                <w:sz w:val="4"/>
                <w:szCs w:val="4"/>
              </w:rPr>
            </w:pPr>
            <w:r>
              <w:rPr>
                <w:sz w:val="4"/>
                <w:szCs w:val="4"/>
              </w:rPr>
            </w:r>
          </w:p>
        </w:tc>
      </w:tr>
      <w:tr>
        <w:trPr/>
        <w:tc>
          <w:tcPr>
            <w:tcW w:w="388"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3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Naoki Okubo</w:t>
            </w:r>
          </w:p>
        </w:tc>
      </w:tr>
      <w:tr>
        <w:trPr/>
        <w:tc>
          <w:tcPr>
            <w:tcW w:w="4082" w:type="dxa"/>
            <w:gridSpan w:val="3"/>
            <w:tcBorders/>
          </w:tcPr>
          <w:p>
            <w:pPr>
              <w:pStyle w:val="TableContents"/>
              <w:bidi w:val="0"/>
              <w:spacing w:before="0" w:after="283"/>
              <w:jc w:val="left"/>
              <w:rPr/>
            </w:pPr>
            <w:r>
              <w:rPr/>
              <w:t>Name: Naoki Okubo</w:t>
            </w:r>
          </w:p>
        </w:tc>
      </w:tr>
      <w:tr>
        <w:trPr/>
        <w:tc>
          <w:tcPr>
            <w:tcW w:w="4082" w:type="dxa"/>
            <w:gridSpan w:val="3"/>
            <w:tcBorders/>
          </w:tcPr>
          <w:p>
            <w:pPr>
              <w:pStyle w:val="TableContents"/>
              <w:bidi w:val="0"/>
              <w:spacing w:before="0" w:after="283"/>
              <w:jc w:val="left"/>
              <w:rPr/>
            </w:pPr>
            <w:r>
              <w:rPr/>
              <w:t>Title: Vorstand/Chairman</w:t>
            </w:r>
          </w:p>
        </w:tc>
      </w:tr>
      <w:tr>
        <w:trPr>
          <w:trHeight w:val="240" w:hRule="atLeast"/>
        </w:trPr>
        <w:tc>
          <w:tcPr>
            <w:tcW w:w="388" w:type="dxa"/>
            <w:tcBorders/>
            <w:vAlign w:val="center"/>
          </w:tcPr>
          <w:p>
            <w:pPr>
              <w:pStyle w:val="TableContents"/>
              <w:bidi w:val="0"/>
              <w:spacing w:before="0" w:after="283"/>
              <w:jc w:val="left"/>
              <w:rPr>
                <w:sz w:val="4"/>
                <w:szCs w:val="4"/>
              </w:rPr>
            </w:pPr>
            <w:r>
              <w:rPr>
                <w:sz w:val="4"/>
                <w:szCs w:val="4"/>
              </w:rPr>
            </w:r>
          </w:p>
        </w:tc>
        <w:tc>
          <w:tcPr>
            <w:tcW w:w="3694" w:type="dxa"/>
            <w:gridSpan w:val="2"/>
            <w:tcBorders/>
            <w:vAlign w:val="center"/>
          </w:tcPr>
          <w:p>
            <w:pPr>
              <w:pStyle w:val="TableContents"/>
              <w:bidi w:val="0"/>
              <w:spacing w:before="0" w:after="283"/>
              <w:jc w:val="left"/>
              <w:rPr>
                <w:sz w:val="4"/>
                <w:szCs w:val="4"/>
              </w:rPr>
            </w:pPr>
            <w:r>
              <w:rPr>
                <w:sz w:val="4"/>
                <w:szCs w:val="4"/>
              </w:rPr>
            </w:r>
          </w:p>
        </w:tc>
      </w:tr>
      <w:tr>
        <w:trPr/>
        <w:tc>
          <w:tcPr>
            <w:tcW w:w="388"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3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Tetsuji Ueno</w:t>
            </w:r>
          </w:p>
        </w:tc>
      </w:tr>
      <w:tr>
        <w:trPr/>
        <w:tc>
          <w:tcPr>
            <w:tcW w:w="4082" w:type="dxa"/>
            <w:gridSpan w:val="3"/>
            <w:tcBorders/>
          </w:tcPr>
          <w:p>
            <w:pPr>
              <w:pStyle w:val="TableContents"/>
              <w:bidi w:val="0"/>
              <w:spacing w:before="0" w:after="283"/>
              <w:jc w:val="left"/>
              <w:rPr/>
            </w:pPr>
            <w:r>
              <w:rPr/>
              <w:t>Name: Tetsuji Ueno</w:t>
            </w:r>
          </w:p>
        </w:tc>
      </w:tr>
      <w:tr>
        <w:trPr/>
        <w:tc>
          <w:tcPr>
            <w:tcW w:w="4082" w:type="dxa"/>
            <w:gridSpan w:val="3"/>
            <w:tcBorders/>
          </w:tcPr>
          <w:p>
            <w:pPr>
              <w:pStyle w:val="TableContents"/>
              <w:bidi w:val="0"/>
              <w:spacing w:before="0" w:after="283"/>
              <w:jc w:val="left"/>
              <w:rPr/>
            </w:pPr>
            <w:r>
              <w:rPr/>
              <w:t>Title: Vorstand/Head of Planning</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98"/>
        <w:gridCol w:w="60"/>
        <w:gridCol w:w="3624"/>
      </w:tblGrid>
      <w:tr>
        <w:trPr/>
        <w:tc>
          <w:tcPr>
            <w:tcW w:w="3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TD SECURITIES (USA) LLC</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Luiz Lanfredi</w:t>
            </w:r>
          </w:p>
        </w:tc>
      </w:tr>
      <w:tr>
        <w:trPr/>
        <w:tc>
          <w:tcPr>
            <w:tcW w:w="4082" w:type="dxa"/>
            <w:gridSpan w:val="3"/>
            <w:tcBorders/>
          </w:tcPr>
          <w:p>
            <w:pPr>
              <w:pStyle w:val="TableContents"/>
              <w:bidi w:val="0"/>
              <w:spacing w:before="0" w:after="283"/>
              <w:jc w:val="left"/>
              <w:rPr/>
            </w:pPr>
            <w:r>
              <w:rPr/>
              <w:t>Name: Luiz Lanfredi</w:t>
            </w:r>
          </w:p>
        </w:tc>
      </w:tr>
      <w:tr>
        <w:trPr/>
        <w:tc>
          <w:tcPr>
            <w:tcW w:w="4082" w:type="dxa"/>
            <w:gridSpan w:val="3"/>
            <w:tcBorders/>
          </w:tcPr>
          <w:p>
            <w:pPr>
              <w:pStyle w:val="TableContents"/>
              <w:bidi w:val="0"/>
              <w:spacing w:before="0" w:after="283"/>
              <w:jc w:val="left"/>
              <w:rPr/>
            </w:pPr>
            <w:r>
              <w:rPr/>
              <w:t>Title: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98"/>
        <w:gridCol w:w="60"/>
        <w:gridCol w:w="3624"/>
      </w:tblGrid>
      <w:tr>
        <w:trPr/>
        <w:tc>
          <w:tcPr>
            <w:tcW w:w="3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xml:space="preserve">WELLS FARGO SECURITIES EUROPE S.A. </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Sarah Gibson</w:t>
            </w:r>
          </w:p>
        </w:tc>
      </w:tr>
      <w:tr>
        <w:trPr/>
        <w:tc>
          <w:tcPr>
            <w:tcW w:w="4082" w:type="dxa"/>
            <w:gridSpan w:val="3"/>
            <w:tcBorders/>
          </w:tcPr>
          <w:p>
            <w:pPr>
              <w:pStyle w:val="TableContents"/>
              <w:bidi w:val="0"/>
              <w:spacing w:before="0" w:after="283"/>
              <w:jc w:val="left"/>
              <w:rPr/>
            </w:pPr>
            <w:r>
              <w:rPr/>
              <w:t>Name: Sarah Gibson</w:t>
            </w:r>
          </w:p>
        </w:tc>
      </w:tr>
      <w:tr>
        <w:trPr/>
        <w:tc>
          <w:tcPr>
            <w:tcW w:w="4082" w:type="dxa"/>
            <w:gridSpan w:val="3"/>
            <w:tcBorders/>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98"/>
        <w:gridCol w:w="60"/>
        <w:gridCol w:w="3624"/>
      </w:tblGrid>
      <w:tr>
        <w:trPr/>
        <w:tc>
          <w:tcPr>
            <w:tcW w:w="3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HUNTINGTON SECURITIES, INC.</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Nicholas Muzychak</w:t>
            </w:r>
          </w:p>
        </w:tc>
      </w:tr>
      <w:tr>
        <w:trPr/>
        <w:tc>
          <w:tcPr>
            <w:tcW w:w="4082" w:type="dxa"/>
            <w:gridSpan w:val="3"/>
            <w:tcBorders/>
          </w:tcPr>
          <w:p>
            <w:pPr>
              <w:pStyle w:val="TableContents"/>
              <w:bidi w:val="0"/>
              <w:spacing w:before="0" w:after="283"/>
              <w:jc w:val="left"/>
              <w:rPr/>
            </w:pPr>
            <w:r>
              <w:rPr/>
              <w:t>Name: Nicholas Muzychak</w:t>
            </w:r>
          </w:p>
        </w:tc>
      </w:tr>
      <w:tr>
        <w:trPr/>
        <w:tc>
          <w:tcPr>
            <w:tcW w:w="4082" w:type="dxa"/>
            <w:gridSpan w:val="3"/>
            <w:tcBorders/>
          </w:tcPr>
          <w:p>
            <w:pPr>
              <w:pStyle w:val="TableContents"/>
              <w:bidi w:val="0"/>
              <w:spacing w:before="0" w:after="283"/>
              <w:jc w:val="left"/>
              <w:rPr/>
            </w:pPr>
            <w:r>
              <w:rPr/>
              <w:t>Title: Sr. Managing Director, DCM</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xml:space="preserve">ING BANK N.V. </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William de Vreede</w:t>
            </w:r>
          </w:p>
        </w:tc>
      </w:tr>
      <w:tr>
        <w:trPr/>
        <w:tc>
          <w:tcPr>
            <w:tcW w:w="4082" w:type="dxa"/>
            <w:gridSpan w:val="3"/>
            <w:tcBorders/>
          </w:tcPr>
          <w:p>
            <w:pPr>
              <w:pStyle w:val="TableContents"/>
              <w:bidi w:val="0"/>
              <w:spacing w:before="0" w:after="283"/>
              <w:jc w:val="left"/>
              <w:rPr/>
            </w:pPr>
            <w:r>
              <w:rPr/>
              <w:t>Name: William de Vreede</w:t>
            </w:r>
          </w:p>
        </w:tc>
      </w:tr>
      <w:tr>
        <w:trPr/>
        <w:tc>
          <w:tcPr>
            <w:tcW w:w="4082" w:type="dxa"/>
            <w:gridSpan w:val="3"/>
            <w:tcBorders/>
          </w:tcPr>
          <w:p>
            <w:pPr>
              <w:pStyle w:val="TableContents"/>
              <w:bidi w:val="0"/>
              <w:spacing w:before="0" w:after="283"/>
              <w:jc w:val="left"/>
              <w:rPr/>
            </w:pPr>
            <w:r>
              <w:rPr/>
              <w:t>Title: Head Legal Capital Markets</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Romke van der Weerdt</w:t>
            </w:r>
          </w:p>
        </w:tc>
      </w:tr>
      <w:tr>
        <w:trPr/>
        <w:tc>
          <w:tcPr>
            <w:tcW w:w="4082" w:type="dxa"/>
            <w:gridSpan w:val="3"/>
            <w:tcBorders/>
          </w:tcPr>
          <w:p>
            <w:pPr>
              <w:pStyle w:val="TableContents"/>
              <w:bidi w:val="0"/>
              <w:spacing w:before="0" w:after="283"/>
              <w:jc w:val="left"/>
              <w:rPr/>
            </w:pPr>
            <w:r>
              <w:rPr/>
              <w:t>Name: Romke van der Weerdt</w:t>
            </w:r>
          </w:p>
        </w:tc>
      </w:tr>
      <w:tr>
        <w:trPr/>
        <w:tc>
          <w:tcPr>
            <w:tcW w:w="4082" w:type="dxa"/>
            <w:gridSpan w:val="3"/>
            <w:tcBorders/>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81"/>
        <w:gridCol w:w="61"/>
        <w:gridCol w:w="3640"/>
      </w:tblGrid>
      <w:tr>
        <w:trPr/>
        <w:tc>
          <w:tcPr>
            <w:tcW w:w="38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MUFG Securities (Europe) N.V.</w:t>
            </w:r>
          </w:p>
        </w:tc>
      </w:tr>
      <w:tr>
        <w:trPr>
          <w:trHeight w:val="240" w:hRule="atLeast"/>
        </w:trPr>
        <w:tc>
          <w:tcPr>
            <w:tcW w:w="381" w:type="dxa"/>
            <w:tcBorders/>
            <w:vAlign w:val="center"/>
          </w:tcPr>
          <w:p>
            <w:pPr>
              <w:pStyle w:val="TableContents"/>
              <w:bidi w:val="0"/>
              <w:spacing w:before="0" w:after="283"/>
              <w:jc w:val="left"/>
              <w:rPr>
                <w:sz w:val="4"/>
                <w:szCs w:val="4"/>
              </w:rPr>
            </w:pPr>
            <w:r>
              <w:rPr>
                <w:sz w:val="4"/>
                <w:szCs w:val="4"/>
              </w:rPr>
            </w:r>
          </w:p>
        </w:tc>
        <w:tc>
          <w:tcPr>
            <w:tcW w:w="3701" w:type="dxa"/>
            <w:gridSpan w:val="2"/>
            <w:tcBorders/>
            <w:vAlign w:val="center"/>
          </w:tcPr>
          <w:p>
            <w:pPr>
              <w:pStyle w:val="TableContents"/>
              <w:bidi w:val="0"/>
              <w:spacing w:before="0" w:after="283"/>
              <w:jc w:val="left"/>
              <w:rPr>
                <w:sz w:val="4"/>
                <w:szCs w:val="4"/>
              </w:rPr>
            </w:pPr>
            <w:r>
              <w:rPr>
                <w:sz w:val="4"/>
                <w:szCs w:val="4"/>
              </w:rPr>
            </w:r>
          </w:p>
        </w:tc>
      </w:tr>
      <w:tr>
        <w:trPr/>
        <w:tc>
          <w:tcPr>
            <w:tcW w:w="381"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Jeffrey Simmons</w:t>
            </w:r>
          </w:p>
        </w:tc>
      </w:tr>
      <w:tr>
        <w:trPr/>
        <w:tc>
          <w:tcPr>
            <w:tcW w:w="4082" w:type="dxa"/>
            <w:gridSpan w:val="3"/>
            <w:tcBorders/>
          </w:tcPr>
          <w:p>
            <w:pPr>
              <w:pStyle w:val="TableContents"/>
              <w:bidi w:val="0"/>
              <w:spacing w:before="0" w:after="283"/>
              <w:jc w:val="left"/>
              <w:rPr/>
            </w:pPr>
            <w:r>
              <w:rPr/>
              <w:t>Name: Jeffrey Simmons</w:t>
            </w:r>
          </w:p>
        </w:tc>
      </w:tr>
      <w:tr>
        <w:trPr/>
        <w:tc>
          <w:tcPr>
            <w:tcW w:w="4082" w:type="dxa"/>
            <w:gridSpan w:val="3"/>
            <w:tcBorders/>
          </w:tcPr>
          <w:p>
            <w:pPr>
              <w:pStyle w:val="TableContents"/>
              <w:bidi w:val="0"/>
              <w:spacing w:before="0" w:after="283"/>
              <w:jc w:val="left"/>
              <w:rPr/>
            </w:pPr>
            <w:r>
              <w:rPr/>
              <w:t>Title: Authorised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405"/>
        <w:gridCol w:w="61"/>
        <w:gridCol w:w="3616"/>
      </w:tblGrid>
      <w:tr>
        <w:trPr/>
        <w:tc>
          <w:tcPr>
            <w:tcW w:w="405"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1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PNC CAPITAL MARKETS LLC</w:t>
            </w:r>
          </w:p>
        </w:tc>
      </w:tr>
      <w:tr>
        <w:trPr>
          <w:trHeight w:val="240" w:hRule="atLeast"/>
        </w:trPr>
        <w:tc>
          <w:tcPr>
            <w:tcW w:w="405" w:type="dxa"/>
            <w:tcBorders/>
            <w:vAlign w:val="center"/>
          </w:tcPr>
          <w:p>
            <w:pPr>
              <w:pStyle w:val="TableContents"/>
              <w:bidi w:val="0"/>
              <w:spacing w:before="0" w:after="283"/>
              <w:jc w:val="left"/>
              <w:rPr>
                <w:sz w:val="4"/>
                <w:szCs w:val="4"/>
              </w:rPr>
            </w:pPr>
            <w:r>
              <w:rPr>
                <w:sz w:val="4"/>
                <w:szCs w:val="4"/>
              </w:rPr>
            </w:r>
          </w:p>
        </w:tc>
        <w:tc>
          <w:tcPr>
            <w:tcW w:w="3677" w:type="dxa"/>
            <w:gridSpan w:val="2"/>
            <w:tcBorders/>
            <w:vAlign w:val="center"/>
          </w:tcPr>
          <w:p>
            <w:pPr>
              <w:pStyle w:val="TableContents"/>
              <w:bidi w:val="0"/>
              <w:spacing w:before="0" w:after="283"/>
              <w:jc w:val="left"/>
              <w:rPr>
                <w:sz w:val="4"/>
                <w:szCs w:val="4"/>
              </w:rPr>
            </w:pPr>
            <w:r>
              <w:rPr>
                <w:sz w:val="4"/>
                <w:szCs w:val="4"/>
              </w:rPr>
            </w:r>
          </w:p>
        </w:tc>
      </w:tr>
      <w:tr>
        <w:trPr/>
        <w:tc>
          <w:tcPr>
            <w:tcW w:w="405"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1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Alaina McGuire</w:t>
            </w:r>
          </w:p>
        </w:tc>
      </w:tr>
      <w:tr>
        <w:trPr/>
        <w:tc>
          <w:tcPr>
            <w:tcW w:w="4082" w:type="dxa"/>
            <w:gridSpan w:val="3"/>
            <w:tcBorders/>
          </w:tcPr>
          <w:p>
            <w:pPr>
              <w:pStyle w:val="TableContents"/>
              <w:bidi w:val="0"/>
              <w:spacing w:before="0" w:after="283"/>
              <w:jc w:val="left"/>
              <w:rPr/>
            </w:pPr>
            <w:r>
              <w:rPr/>
              <w:t>Name: Alaina McGuire</w:t>
            </w:r>
          </w:p>
        </w:tc>
      </w:tr>
      <w:tr>
        <w:trPr/>
        <w:tc>
          <w:tcPr>
            <w:tcW w:w="4082" w:type="dxa"/>
            <w:gridSpan w:val="3"/>
            <w:tcBorders/>
          </w:tcPr>
          <w:p>
            <w:pPr>
              <w:pStyle w:val="TableContents"/>
              <w:bidi w:val="0"/>
              <w:spacing w:before="0" w:after="283"/>
              <w:jc w:val="left"/>
              <w:rPr/>
            </w:pPr>
            <w:r>
              <w:rPr/>
              <w:t>Title: Senior Associate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COÖPERATIEVE RABOBANK U.A.</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 Franken</w:t>
            </w:r>
          </w:p>
        </w:tc>
      </w:tr>
      <w:tr>
        <w:trPr/>
        <w:tc>
          <w:tcPr>
            <w:tcW w:w="4082" w:type="dxa"/>
            <w:gridSpan w:val="3"/>
            <w:tcBorders/>
          </w:tcPr>
          <w:p>
            <w:pPr>
              <w:pStyle w:val="TableContents"/>
              <w:bidi w:val="0"/>
              <w:spacing w:before="0" w:after="283"/>
              <w:jc w:val="left"/>
              <w:rPr/>
            </w:pPr>
            <w:r>
              <w:rPr/>
              <w:t>Name: M. Franken</w:t>
            </w:r>
          </w:p>
        </w:tc>
      </w:tr>
      <w:tr>
        <w:trPr/>
        <w:tc>
          <w:tcPr>
            <w:tcW w:w="4082" w:type="dxa"/>
            <w:gridSpan w:val="3"/>
            <w:tcBorders/>
          </w:tcPr>
          <w:p>
            <w:pPr>
              <w:pStyle w:val="TableContents"/>
              <w:bidi w:val="0"/>
              <w:spacing w:before="0" w:after="283"/>
              <w:jc w:val="left"/>
              <w:rPr/>
            </w:pPr>
            <w:r>
              <w:rPr/>
              <w:t>Title: ED</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C.V.C. Kooijmans</w:t>
            </w:r>
          </w:p>
        </w:tc>
      </w:tr>
      <w:tr>
        <w:trPr/>
        <w:tc>
          <w:tcPr>
            <w:tcW w:w="4082" w:type="dxa"/>
            <w:gridSpan w:val="3"/>
            <w:tcBorders/>
          </w:tcPr>
          <w:p>
            <w:pPr>
              <w:pStyle w:val="TableContents"/>
              <w:bidi w:val="0"/>
              <w:spacing w:before="0" w:after="283"/>
              <w:jc w:val="left"/>
              <w:rPr/>
            </w:pPr>
            <w:r>
              <w:rPr/>
              <w:t>Name: C.V.C. Kooijmans</w:t>
            </w:r>
          </w:p>
        </w:tc>
      </w:tr>
      <w:tr>
        <w:trPr/>
        <w:tc>
          <w:tcPr>
            <w:tcW w:w="4082" w:type="dxa"/>
            <w:gridSpan w:val="3"/>
            <w:tcBorders/>
          </w:tcPr>
          <w:p>
            <w:pPr>
              <w:pStyle w:val="TableContents"/>
              <w:bidi w:val="0"/>
              <w:spacing w:before="0" w:after="283"/>
              <w:jc w:val="left"/>
              <w:rPr/>
            </w:pPr>
            <w:r>
              <w:rPr/>
              <w:t>Title: Head of FI&amp;SSA Bond Origination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174"/>
        <w:gridCol w:w="236"/>
        <w:gridCol w:w="79"/>
        <w:gridCol w:w="1653"/>
        <w:gridCol w:w="63"/>
      </w:tblGrid>
      <w:tr>
        <w:trPr/>
        <w:tc>
          <w:tcPr>
            <w:tcW w:w="8174"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174"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Initial Purchasers</w:t>
            </w:r>
          </w:p>
        </w:tc>
        <w:tc>
          <w:tcPr>
            <w:tcW w:w="236" w:type="dxa"/>
            <w:tcBorders/>
            <w:vAlign w:val="bottom"/>
          </w:tcPr>
          <w:p>
            <w:pPr>
              <w:pStyle w:val="TableContents"/>
              <w:bidi w:val="0"/>
              <w:spacing w:before="0" w:after="283"/>
              <w:jc w:val="left"/>
              <w:rPr/>
            </w:pPr>
            <w:r>
              <w:rPr/>
              <w:t>  </w:t>
            </w:r>
          </w:p>
        </w:tc>
        <w:tc>
          <w:tcPr>
            <w:tcW w:w="1732" w:type="dxa"/>
            <w:gridSpan w:val="2"/>
            <w:tcBorders>
              <w:bottom w:val="single" w:sz="8" w:space="0" w:color="000000"/>
            </w:tcBorders>
            <w:tcMar>
              <w:bottom w:w="28" w:type="dxa"/>
            </w:tcMar>
            <w:vAlign w:val="bottom"/>
          </w:tcPr>
          <w:p>
            <w:pPr>
              <w:pStyle w:val="TableContents"/>
              <w:bidi w:val="0"/>
              <w:spacing w:before="0" w:after="283"/>
              <w:jc w:val="center"/>
              <w:rPr/>
            </w:pPr>
            <w:r>
              <w:rPr/>
              <w:t>Principal Amount</w:t>
              <w:br/>
              <w:t>of Notes</w:t>
              <w:br/>
              <w:t>to be Purchased</w:t>
            </w:r>
          </w:p>
        </w:tc>
        <w:tc>
          <w:tcPr>
            <w:tcW w:w="63" w:type="dxa"/>
            <w:tcBorders/>
            <w:vAlign w:val="bottom"/>
          </w:tcPr>
          <w:p>
            <w:pPr>
              <w:pStyle w:val="TableContents"/>
              <w:bidi w:val="0"/>
              <w:spacing w:before="0" w:after="283"/>
              <w:jc w:val="left"/>
              <w:rPr/>
            </w:pPr>
            <w:r>
              <w:rPr/>
              <w:t> </w:t>
            </w:r>
          </w:p>
        </w:tc>
      </w:tr>
      <w:tr>
        <w:trPr>
          <w:trHeight w:val="120" w:hRule="atLeast"/>
        </w:trPr>
        <w:tc>
          <w:tcPr>
            <w:tcW w:w="8174" w:type="dxa"/>
            <w:tcBorders/>
            <w:vAlign w:val="center"/>
          </w:tcPr>
          <w:p>
            <w:pPr>
              <w:pStyle w:val="TableContents"/>
              <w:bidi w:val="0"/>
              <w:spacing w:before="0" w:after="283"/>
              <w:jc w:val="left"/>
              <w:rPr>
                <w:sz w:val="4"/>
                <w:szCs w:val="4"/>
              </w:rPr>
            </w:pPr>
            <w:r>
              <w:rPr>
                <w:sz w:val="4"/>
                <w:szCs w:val="4"/>
              </w:rPr>
            </w:r>
          </w:p>
        </w:tc>
        <w:tc>
          <w:tcPr>
            <w:tcW w:w="2031" w:type="dxa"/>
            <w:gridSpan w:val="4"/>
            <w:tcBorders/>
            <w:vAlign w:val="center"/>
          </w:tcPr>
          <w:p>
            <w:pPr>
              <w:pStyle w:val="TableContents"/>
              <w:bidi w:val="0"/>
              <w:spacing w:before="0" w:after="283"/>
              <w:jc w:val="left"/>
              <w:rPr>
                <w:sz w:val="4"/>
                <w:szCs w:val="4"/>
              </w:rPr>
            </w:pPr>
            <w:r>
              <w:rPr>
                <w:sz w:val="4"/>
                <w:szCs w:val="4"/>
              </w:rPr>
            </w:r>
          </w:p>
        </w:tc>
      </w:tr>
      <w:tr>
        <w:trPr/>
        <w:tc>
          <w:tcPr>
            <w:tcW w:w="81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BNP Paribas</w:t>
            </w:r>
          </w:p>
        </w:tc>
        <w:tc>
          <w:tcPr>
            <w:tcW w:w="23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w:t>
            </w:r>
          </w:p>
        </w:tc>
        <w:tc>
          <w:tcPr>
            <w:tcW w:w="1653" w:type="dxa"/>
            <w:tcBorders/>
            <w:shd w:fill="CCEEFF" w:val="clear"/>
            <w:vAlign w:val="bottom"/>
          </w:tcPr>
          <w:p>
            <w:pPr>
              <w:pStyle w:val="TableContents"/>
              <w:bidi w:val="0"/>
              <w:spacing w:before="0" w:after="283"/>
              <w:jc w:val="right"/>
              <w:rPr/>
            </w:pPr>
            <w:r>
              <w:rPr/>
              <w:t>75,000,000</w:t>
            </w:r>
          </w:p>
        </w:tc>
        <w:tc>
          <w:tcPr>
            <w:tcW w:w="63" w:type="dxa"/>
            <w:tcBorders/>
            <w:shd w:fill="CCEEFF" w:val="clear"/>
            <w:vAlign w:val="bottom"/>
          </w:tcPr>
          <w:p>
            <w:pPr>
              <w:pStyle w:val="TableContents"/>
              <w:bidi w:val="0"/>
              <w:spacing w:before="0" w:after="283"/>
              <w:jc w:val="left"/>
              <w:rPr/>
            </w:pPr>
            <w:r>
              <w:rPr/>
              <w:t> </w:t>
            </w:r>
          </w:p>
        </w:tc>
      </w:tr>
      <w:tr>
        <w:trPr/>
        <w:tc>
          <w:tcPr>
            <w:tcW w:w="8174" w:type="dxa"/>
            <w:tcBorders/>
          </w:tcPr>
          <w:p>
            <w:pPr>
              <w:pStyle w:val="TableContents"/>
              <w:bidi w:val="0"/>
              <w:spacing w:before="0" w:after="0"/>
              <w:jc w:val="left"/>
              <w:rPr>
                <w:rFonts w:ascii="Times New Roman" w:hAnsi="Times New Roman"/>
                <w:sz w:val="20"/>
              </w:rPr>
            </w:pPr>
            <w:r>
              <w:rPr>
                <w:rFonts w:ascii="Times New Roman" w:hAnsi="Times New Roman"/>
                <w:sz w:val="20"/>
              </w:rPr>
              <w:t>Deutsche Bank Aktiengesellschaft</w:t>
            </w:r>
          </w:p>
        </w:tc>
        <w:tc>
          <w:tcPr>
            <w:tcW w:w="23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w:t>
            </w:r>
          </w:p>
        </w:tc>
        <w:tc>
          <w:tcPr>
            <w:tcW w:w="1653" w:type="dxa"/>
            <w:tcBorders/>
            <w:vAlign w:val="bottom"/>
          </w:tcPr>
          <w:p>
            <w:pPr>
              <w:pStyle w:val="TableContents"/>
              <w:bidi w:val="0"/>
              <w:spacing w:before="0" w:after="283"/>
              <w:jc w:val="right"/>
              <w:rPr/>
            </w:pPr>
            <w:r>
              <w:rPr/>
              <w:t>68,750,000</w:t>
            </w:r>
          </w:p>
        </w:tc>
        <w:tc>
          <w:tcPr>
            <w:tcW w:w="63" w:type="dxa"/>
            <w:tcBorders/>
            <w:vAlign w:val="bottom"/>
          </w:tcPr>
          <w:p>
            <w:pPr>
              <w:pStyle w:val="TableContents"/>
              <w:bidi w:val="0"/>
              <w:spacing w:before="0" w:after="283"/>
              <w:jc w:val="left"/>
              <w:rPr/>
            </w:pPr>
            <w:r>
              <w:rPr/>
              <w:t> </w:t>
            </w:r>
          </w:p>
        </w:tc>
      </w:tr>
      <w:tr>
        <w:trPr/>
        <w:tc>
          <w:tcPr>
            <w:tcW w:w="81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UniCredit Bank AG</w:t>
            </w:r>
          </w:p>
        </w:tc>
        <w:tc>
          <w:tcPr>
            <w:tcW w:w="23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w:t>
            </w:r>
          </w:p>
        </w:tc>
        <w:tc>
          <w:tcPr>
            <w:tcW w:w="1653" w:type="dxa"/>
            <w:tcBorders/>
            <w:shd w:fill="CCEEFF" w:val="clear"/>
            <w:vAlign w:val="bottom"/>
          </w:tcPr>
          <w:p>
            <w:pPr>
              <w:pStyle w:val="TableContents"/>
              <w:bidi w:val="0"/>
              <w:spacing w:before="0" w:after="283"/>
              <w:jc w:val="right"/>
              <w:rPr/>
            </w:pPr>
            <w:r>
              <w:rPr/>
              <w:t>68,750,000</w:t>
            </w:r>
          </w:p>
        </w:tc>
        <w:tc>
          <w:tcPr>
            <w:tcW w:w="63" w:type="dxa"/>
            <w:tcBorders/>
            <w:shd w:fill="CCEEFF" w:val="clear"/>
            <w:vAlign w:val="bottom"/>
          </w:tcPr>
          <w:p>
            <w:pPr>
              <w:pStyle w:val="TableContents"/>
              <w:bidi w:val="0"/>
              <w:spacing w:before="0" w:after="283"/>
              <w:jc w:val="left"/>
              <w:rPr/>
            </w:pPr>
            <w:r>
              <w:rPr/>
              <w:t> </w:t>
            </w:r>
          </w:p>
        </w:tc>
      </w:tr>
      <w:tr>
        <w:trPr/>
        <w:tc>
          <w:tcPr>
            <w:tcW w:w="8174" w:type="dxa"/>
            <w:tcBorders/>
          </w:tcPr>
          <w:p>
            <w:pPr>
              <w:pStyle w:val="TableContents"/>
              <w:bidi w:val="0"/>
              <w:spacing w:before="0" w:after="0"/>
              <w:jc w:val="left"/>
              <w:rPr>
                <w:rFonts w:ascii="Times New Roman" w:hAnsi="Times New Roman"/>
                <w:sz w:val="20"/>
              </w:rPr>
            </w:pPr>
            <w:r>
              <w:rPr>
                <w:rFonts w:ascii="Times New Roman" w:hAnsi="Times New Roman"/>
                <w:sz w:val="20"/>
              </w:rPr>
              <w:t>BofA Securities Europe SA</w:t>
            </w:r>
          </w:p>
        </w:tc>
        <w:tc>
          <w:tcPr>
            <w:tcW w:w="23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w:t>
            </w:r>
          </w:p>
        </w:tc>
        <w:tc>
          <w:tcPr>
            <w:tcW w:w="1653" w:type="dxa"/>
            <w:tcBorders/>
            <w:vAlign w:val="bottom"/>
          </w:tcPr>
          <w:p>
            <w:pPr>
              <w:pStyle w:val="TableContents"/>
              <w:bidi w:val="0"/>
              <w:spacing w:before="0" w:after="283"/>
              <w:jc w:val="right"/>
              <w:rPr/>
            </w:pPr>
            <w:r>
              <w:rPr/>
              <w:t>25,000,000</w:t>
            </w:r>
          </w:p>
        </w:tc>
        <w:tc>
          <w:tcPr>
            <w:tcW w:w="63" w:type="dxa"/>
            <w:tcBorders/>
            <w:vAlign w:val="bottom"/>
          </w:tcPr>
          <w:p>
            <w:pPr>
              <w:pStyle w:val="TableContents"/>
              <w:bidi w:val="0"/>
              <w:spacing w:before="0" w:after="283"/>
              <w:jc w:val="left"/>
              <w:rPr/>
            </w:pPr>
            <w:r>
              <w:rPr/>
              <w:t> </w:t>
            </w:r>
          </w:p>
        </w:tc>
      </w:tr>
      <w:tr>
        <w:trPr/>
        <w:tc>
          <w:tcPr>
            <w:tcW w:w="81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tc>
        <w:tc>
          <w:tcPr>
            <w:tcW w:w="23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w:t>
            </w:r>
          </w:p>
        </w:tc>
        <w:tc>
          <w:tcPr>
            <w:tcW w:w="1653" w:type="dxa"/>
            <w:tcBorders/>
            <w:shd w:fill="CCEEFF" w:val="clear"/>
            <w:vAlign w:val="bottom"/>
          </w:tcPr>
          <w:p>
            <w:pPr>
              <w:pStyle w:val="TableContents"/>
              <w:bidi w:val="0"/>
              <w:spacing w:before="0" w:after="283"/>
              <w:jc w:val="right"/>
              <w:rPr/>
            </w:pPr>
            <w:r>
              <w:rPr/>
              <w:t>25,000,000</w:t>
            </w:r>
          </w:p>
        </w:tc>
        <w:tc>
          <w:tcPr>
            <w:tcW w:w="63" w:type="dxa"/>
            <w:tcBorders/>
            <w:shd w:fill="CCEEFF" w:val="clear"/>
            <w:vAlign w:val="bottom"/>
          </w:tcPr>
          <w:p>
            <w:pPr>
              <w:pStyle w:val="TableContents"/>
              <w:bidi w:val="0"/>
              <w:spacing w:before="0" w:after="283"/>
              <w:jc w:val="left"/>
              <w:rPr/>
            </w:pPr>
            <w:r>
              <w:rPr/>
              <w:t> </w:t>
            </w:r>
          </w:p>
        </w:tc>
      </w:tr>
      <w:tr>
        <w:trPr/>
        <w:tc>
          <w:tcPr>
            <w:tcW w:w="8174" w:type="dxa"/>
            <w:tcBorders/>
          </w:tcPr>
          <w:p>
            <w:pPr>
              <w:pStyle w:val="TableContents"/>
              <w:bidi w:val="0"/>
              <w:spacing w:before="0" w:after="0"/>
              <w:jc w:val="left"/>
              <w:rPr>
                <w:rFonts w:ascii="Times New Roman" w:hAnsi="Times New Roman"/>
                <w:sz w:val="20"/>
              </w:rPr>
            </w:pPr>
            <w:r>
              <w:rPr>
                <w:rFonts w:ascii="Times New Roman" w:hAnsi="Times New Roman"/>
                <w:sz w:val="20"/>
              </w:rPr>
              <w:t>Crédit Agricole Corporate and Investment Bank</w:t>
            </w:r>
          </w:p>
        </w:tc>
        <w:tc>
          <w:tcPr>
            <w:tcW w:w="23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w:t>
            </w:r>
          </w:p>
        </w:tc>
        <w:tc>
          <w:tcPr>
            <w:tcW w:w="1653" w:type="dxa"/>
            <w:tcBorders/>
            <w:vAlign w:val="bottom"/>
          </w:tcPr>
          <w:p>
            <w:pPr>
              <w:pStyle w:val="TableContents"/>
              <w:bidi w:val="0"/>
              <w:spacing w:before="0" w:after="283"/>
              <w:jc w:val="right"/>
              <w:rPr/>
            </w:pPr>
            <w:r>
              <w:rPr/>
              <w:t>25,000,000</w:t>
            </w:r>
          </w:p>
        </w:tc>
        <w:tc>
          <w:tcPr>
            <w:tcW w:w="63" w:type="dxa"/>
            <w:tcBorders/>
            <w:vAlign w:val="bottom"/>
          </w:tcPr>
          <w:p>
            <w:pPr>
              <w:pStyle w:val="TableContents"/>
              <w:bidi w:val="0"/>
              <w:spacing w:before="0" w:after="283"/>
              <w:jc w:val="left"/>
              <w:rPr/>
            </w:pPr>
            <w:r>
              <w:rPr/>
              <w:t> </w:t>
            </w:r>
          </w:p>
        </w:tc>
      </w:tr>
      <w:tr>
        <w:trPr/>
        <w:tc>
          <w:tcPr>
            <w:tcW w:w="81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Mizuho Securities Europe GmbH</w:t>
            </w:r>
          </w:p>
        </w:tc>
        <w:tc>
          <w:tcPr>
            <w:tcW w:w="23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w:t>
            </w:r>
          </w:p>
        </w:tc>
        <w:tc>
          <w:tcPr>
            <w:tcW w:w="1653" w:type="dxa"/>
            <w:tcBorders/>
            <w:shd w:fill="CCEEFF" w:val="clear"/>
            <w:vAlign w:val="bottom"/>
          </w:tcPr>
          <w:p>
            <w:pPr>
              <w:pStyle w:val="TableContents"/>
              <w:bidi w:val="0"/>
              <w:spacing w:before="0" w:after="283"/>
              <w:jc w:val="right"/>
              <w:rPr/>
            </w:pPr>
            <w:r>
              <w:rPr/>
              <w:t>25,000,000</w:t>
            </w:r>
          </w:p>
        </w:tc>
        <w:tc>
          <w:tcPr>
            <w:tcW w:w="63" w:type="dxa"/>
            <w:tcBorders/>
            <w:shd w:fill="CCEEFF" w:val="clear"/>
            <w:vAlign w:val="bottom"/>
          </w:tcPr>
          <w:p>
            <w:pPr>
              <w:pStyle w:val="TableContents"/>
              <w:bidi w:val="0"/>
              <w:spacing w:before="0" w:after="283"/>
              <w:jc w:val="left"/>
              <w:rPr/>
            </w:pPr>
            <w:r>
              <w:rPr/>
              <w:t> </w:t>
            </w:r>
          </w:p>
        </w:tc>
      </w:tr>
      <w:tr>
        <w:trPr/>
        <w:tc>
          <w:tcPr>
            <w:tcW w:w="8174" w:type="dxa"/>
            <w:tcBorders/>
          </w:tcPr>
          <w:p>
            <w:pPr>
              <w:pStyle w:val="TableContents"/>
              <w:bidi w:val="0"/>
              <w:spacing w:before="0" w:after="0"/>
              <w:jc w:val="left"/>
              <w:rPr>
                <w:rFonts w:ascii="Times New Roman" w:hAnsi="Times New Roman"/>
                <w:sz w:val="20"/>
              </w:rPr>
            </w:pPr>
            <w:r>
              <w:rPr>
                <w:rFonts w:ascii="Times New Roman" w:hAnsi="Times New Roman"/>
                <w:sz w:val="20"/>
              </w:rPr>
              <w:t>Banco Santander, S.A.</w:t>
            </w:r>
          </w:p>
        </w:tc>
        <w:tc>
          <w:tcPr>
            <w:tcW w:w="23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w:t>
            </w:r>
          </w:p>
        </w:tc>
        <w:tc>
          <w:tcPr>
            <w:tcW w:w="1653" w:type="dxa"/>
            <w:tcBorders/>
            <w:vAlign w:val="bottom"/>
          </w:tcPr>
          <w:p>
            <w:pPr>
              <w:pStyle w:val="TableContents"/>
              <w:bidi w:val="0"/>
              <w:spacing w:before="0" w:after="283"/>
              <w:jc w:val="right"/>
              <w:rPr/>
            </w:pPr>
            <w:r>
              <w:rPr/>
              <w:t>25,000,000</w:t>
            </w:r>
          </w:p>
        </w:tc>
        <w:tc>
          <w:tcPr>
            <w:tcW w:w="63" w:type="dxa"/>
            <w:tcBorders/>
            <w:vAlign w:val="bottom"/>
          </w:tcPr>
          <w:p>
            <w:pPr>
              <w:pStyle w:val="TableContents"/>
              <w:bidi w:val="0"/>
              <w:spacing w:before="0" w:after="283"/>
              <w:jc w:val="left"/>
              <w:rPr/>
            </w:pPr>
            <w:r>
              <w:rPr/>
              <w:t> </w:t>
            </w:r>
          </w:p>
        </w:tc>
      </w:tr>
      <w:tr>
        <w:trPr/>
        <w:tc>
          <w:tcPr>
            <w:tcW w:w="81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Scotiabank (Ireland) Designated Activity Company</w:t>
            </w:r>
          </w:p>
        </w:tc>
        <w:tc>
          <w:tcPr>
            <w:tcW w:w="23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w:t>
            </w:r>
          </w:p>
        </w:tc>
        <w:tc>
          <w:tcPr>
            <w:tcW w:w="1653" w:type="dxa"/>
            <w:tcBorders/>
            <w:shd w:fill="CCEEFF" w:val="clear"/>
            <w:vAlign w:val="bottom"/>
          </w:tcPr>
          <w:p>
            <w:pPr>
              <w:pStyle w:val="TableContents"/>
              <w:bidi w:val="0"/>
              <w:spacing w:before="0" w:after="283"/>
              <w:jc w:val="right"/>
              <w:rPr/>
            </w:pPr>
            <w:r>
              <w:rPr/>
              <w:t>25,000,000</w:t>
            </w:r>
          </w:p>
        </w:tc>
        <w:tc>
          <w:tcPr>
            <w:tcW w:w="63" w:type="dxa"/>
            <w:tcBorders/>
            <w:shd w:fill="CCEEFF" w:val="clear"/>
            <w:vAlign w:val="bottom"/>
          </w:tcPr>
          <w:p>
            <w:pPr>
              <w:pStyle w:val="TableContents"/>
              <w:bidi w:val="0"/>
              <w:spacing w:before="0" w:after="283"/>
              <w:jc w:val="left"/>
              <w:rPr/>
            </w:pPr>
            <w:r>
              <w:rPr/>
              <w:t> </w:t>
            </w:r>
          </w:p>
        </w:tc>
      </w:tr>
      <w:tr>
        <w:trPr/>
        <w:tc>
          <w:tcPr>
            <w:tcW w:w="8174" w:type="dxa"/>
            <w:tcBorders/>
          </w:tcPr>
          <w:p>
            <w:pPr>
              <w:pStyle w:val="TableContents"/>
              <w:bidi w:val="0"/>
              <w:spacing w:before="0" w:after="0"/>
              <w:jc w:val="left"/>
              <w:rPr>
                <w:rFonts w:ascii="Times New Roman" w:hAnsi="Times New Roman"/>
                <w:sz w:val="20"/>
              </w:rPr>
            </w:pPr>
            <w:r>
              <w:rPr>
                <w:rFonts w:ascii="Times New Roman" w:hAnsi="Times New Roman"/>
                <w:sz w:val="20"/>
              </w:rPr>
              <w:t>SMBC Bank EU AG</w:t>
            </w:r>
          </w:p>
        </w:tc>
        <w:tc>
          <w:tcPr>
            <w:tcW w:w="23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w:t>
            </w:r>
          </w:p>
        </w:tc>
        <w:tc>
          <w:tcPr>
            <w:tcW w:w="1653" w:type="dxa"/>
            <w:tcBorders/>
            <w:vAlign w:val="bottom"/>
          </w:tcPr>
          <w:p>
            <w:pPr>
              <w:pStyle w:val="TableContents"/>
              <w:bidi w:val="0"/>
              <w:spacing w:before="0" w:after="283"/>
              <w:jc w:val="right"/>
              <w:rPr/>
            </w:pPr>
            <w:r>
              <w:rPr/>
              <w:t>25,000,000</w:t>
            </w:r>
          </w:p>
        </w:tc>
        <w:tc>
          <w:tcPr>
            <w:tcW w:w="63" w:type="dxa"/>
            <w:tcBorders/>
            <w:vAlign w:val="bottom"/>
          </w:tcPr>
          <w:p>
            <w:pPr>
              <w:pStyle w:val="TableContents"/>
              <w:bidi w:val="0"/>
              <w:spacing w:before="0" w:after="283"/>
              <w:jc w:val="left"/>
              <w:rPr/>
            </w:pPr>
            <w:r>
              <w:rPr/>
              <w:t> </w:t>
            </w:r>
          </w:p>
        </w:tc>
      </w:tr>
      <w:tr>
        <w:trPr/>
        <w:tc>
          <w:tcPr>
            <w:tcW w:w="81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TD Securities (USA) LLC</w:t>
            </w:r>
          </w:p>
        </w:tc>
        <w:tc>
          <w:tcPr>
            <w:tcW w:w="23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w:t>
            </w:r>
          </w:p>
        </w:tc>
        <w:tc>
          <w:tcPr>
            <w:tcW w:w="1653" w:type="dxa"/>
            <w:tcBorders/>
            <w:shd w:fill="CCEEFF" w:val="clear"/>
            <w:vAlign w:val="bottom"/>
          </w:tcPr>
          <w:p>
            <w:pPr>
              <w:pStyle w:val="TableContents"/>
              <w:bidi w:val="0"/>
              <w:spacing w:before="0" w:after="283"/>
              <w:jc w:val="right"/>
              <w:rPr/>
            </w:pPr>
            <w:r>
              <w:rPr/>
              <w:t>25,000,000</w:t>
            </w:r>
          </w:p>
        </w:tc>
        <w:tc>
          <w:tcPr>
            <w:tcW w:w="63" w:type="dxa"/>
            <w:tcBorders/>
            <w:shd w:fill="CCEEFF" w:val="clear"/>
            <w:vAlign w:val="bottom"/>
          </w:tcPr>
          <w:p>
            <w:pPr>
              <w:pStyle w:val="TableContents"/>
              <w:bidi w:val="0"/>
              <w:spacing w:before="0" w:after="283"/>
              <w:jc w:val="left"/>
              <w:rPr/>
            </w:pPr>
            <w:r>
              <w:rPr/>
              <w:t> </w:t>
            </w:r>
          </w:p>
        </w:tc>
      </w:tr>
      <w:tr>
        <w:trPr/>
        <w:tc>
          <w:tcPr>
            <w:tcW w:w="8174" w:type="dxa"/>
            <w:tcBorders/>
          </w:tcPr>
          <w:p>
            <w:pPr>
              <w:pStyle w:val="TableContents"/>
              <w:bidi w:val="0"/>
              <w:spacing w:before="0" w:after="0"/>
              <w:jc w:val="left"/>
              <w:rPr>
                <w:rFonts w:ascii="Times New Roman" w:hAnsi="Times New Roman"/>
                <w:sz w:val="20"/>
              </w:rPr>
            </w:pPr>
            <w:r>
              <w:rPr>
                <w:rFonts w:ascii="Times New Roman" w:hAnsi="Times New Roman"/>
                <w:sz w:val="20"/>
              </w:rPr>
              <w:t>Wells Fargo Securities Europe S.A.</w:t>
            </w:r>
          </w:p>
        </w:tc>
        <w:tc>
          <w:tcPr>
            <w:tcW w:w="23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w:t>
            </w:r>
          </w:p>
        </w:tc>
        <w:tc>
          <w:tcPr>
            <w:tcW w:w="1653" w:type="dxa"/>
            <w:tcBorders/>
            <w:vAlign w:val="bottom"/>
          </w:tcPr>
          <w:p>
            <w:pPr>
              <w:pStyle w:val="TableContents"/>
              <w:bidi w:val="0"/>
              <w:spacing w:before="0" w:after="283"/>
              <w:jc w:val="right"/>
              <w:rPr/>
            </w:pPr>
            <w:r>
              <w:rPr/>
              <w:t>25,000,000</w:t>
            </w:r>
          </w:p>
        </w:tc>
        <w:tc>
          <w:tcPr>
            <w:tcW w:w="63" w:type="dxa"/>
            <w:tcBorders/>
            <w:vAlign w:val="bottom"/>
          </w:tcPr>
          <w:p>
            <w:pPr>
              <w:pStyle w:val="TableContents"/>
              <w:bidi w:val="0"/>
              <w:spacing w:before="0" w:after="283"/>
              <w:jc w:val="left"/>
              <w:rPr/>
            </w:pPr>
            <w:r>
              <w:rPr/>
              <w:t> </w:t>
            </w:r>
          </w:p>
        </w:tc>
      </w:tr>
      <w:tr>
        <w:trPr/>
        <w:tc>
          <w:tcPr>
            <w:tcW w:w="81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Huntington Securities, Inc.</w:t>
            </w:r>
          </w:p>
        </w:tc>
        <w:tc>
          <w:tcPr>
            <w:tcW w:w="23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w:t>
            </w:r>
          </w:p>
        </w:tc>
        <w:tc>
          <w:tcPr>
            <w:tcW w:w="1653" w:type="dxa"/>
            <w:tcBorders/>
            <w:shd w:fill="CCEEFF" w:val="clear"/>
            <w:vAlign w:val="bottom"/>
          </w:tcPr>
          <w:p>
            <w:pPr>
              <w:pStyle w:val="TableContents"/>
              <w:bidi w:val="0"/>
              <w:spacing w:before="0" w:after="283"/>
              <w:jc w:val="right"/>
              <w:rPr/>
            </w:pPr>
            <w:r>
              <w:rPr/>
              <w:t>12,500,000</w:t>
            </w:r>
          </w:p>
        </w:tc>
        <w:tc>
          <w:tcPr>
            <w:tcW w:w="63" w:type="dxa"/>
            <w:tcBorders/>
            <w:shd w:fill="CCEEFF" w:val="clear"/>
            <w:vAlign w:val="bottom"/>
          </w:tcPr>
          <w:p>
            <w:pPr>
              <w:pStyle w:val="TableContents"/>
              <w:bidi w:val="0"/>
              <w:spacing w:before="0" w:after="283"/>
              <w:jc w:val="left"/>
              <w:rPr/>
            </w:pPr>
            <w:r>
              <w:rPr/>
              <w:t> </w:t>
            </w:r>
          </w:p>
        </w:tc>
      </w:tr>
      <w:tr>
        <w:trPr/>
        <w:tc>
          <w:tcPr>
            <w:tcW w:w="8174" w:type="dxa"/>
            <w:tcBorders/>
          </w:tcPr>
          <w:p>
            <w:pPr>
              <w:pStyle w:val="TableContents"/>
              <w:bidi w:val="0"/>
              <w:spacing w:before="0" w:after="0"/>
              <w:jc w:val="left"/>
              <w:rPr>
                <w:rFonts w:ascii="Times New Roman" w:hAnsi="Times New Roman"/>
                <w:sz w:val="20"/>
              </w:rPr>
            </w:pPr>
            <w:r>
              <w:rPr>
                <w:rFonts w:ascii="Times New Roman" w:hAnsi="Times New Roman"/>
                <w:sz w:val="20"/>
              </w:rPr>
              <w:t>ING Bank N.V.</w:t>
            </w:r>
          </w:p>
        </w:tc>
        <w:tc>
          <w:tcPr>
            <w:tcW w:w="23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w:t>
            </w:r>
          </w:p>
        </w:tc>
        <w:tc>
          <w:tcPr>
            <w:tcW w:w="1653" w:type="dxa"/>
            <w:tcBorders/>
            <w:vAlign w:val="bottom"/>
          </w:tcPr>
          <w:p>
            <w:pPr>
              <w:pStyle w:val="TableContents"/>
              <w:bidi w:val="0"/>
              <w:spacing w:before="0" w:after="283"/>
              <w:jc w:val="right"/>
              <w:rPr/>
            </w:pPr>
            <w:r>
              <w:rPr/>
              <w:t>12,500,000</w:t>
            </w:r>
          </w:p>
        </w:tc>
        <w:tc>
          <w:tcPr>
            <w:tcW w:w="63" w:type="dxa"/>
            <w:tcBorders/>
            <w:vAlign w:val="bottom"/>
          </w:tcPr>
          <w:p>
            <w:pPr>
              <w:pStyle w:val="TableContents"/>
              <w:bidi w:val="0"/>
              <w:spacing w:before="0" w:after="283"/>
              <w:jc w:val="left"/>
              <w:rPr/>
            </w:pPr>
            <w:r>
              <w:rPr/>
              <w:t> </w:t>
            </w:r>
          </w:p>
        </w:tc>
      </w:tr>
      <w:tr>
        <w:trPr/>
        <w:tc>
          <w:tcPr>
            <w:tcW w:w="81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MUFG Securities (Europe) N.V.</w:t>
            </w:r>
          </w:p>
        </w:tc>
        <w:tc>
          <w:tcPr>
            <w:tcW w:w="23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w:t>
            </w:r>
          </w:p>
        </w:tc>
        <w:tc>
          <w:tcPr>
            <w:tcW w:w="1653" w:type="dxa"/>
            <w:tcBorders/>
            <w:shd w:fill="CCEEFF" w:val="clear"/>
            <w:vAlign w:val="bottom"/>
          </w:tcPr>
          <w:p>
            <w:pPr>
              <w:pStyle w:val="TableContents"/>
              <w:bidi w:val="0"/>
              <w:spacing w:before="0" w:after="283"/>
              <w:jc w:val="right"/>
              <w:rPr/>
            </w:pPr>
            <w:r>
              <w:rPr/>
              <w:t>12,500,000</w:t>
            </w:r>
          </w:p>
        </w:tc>
        <w:tc>
          <w:tcPr>
            <w:tcW w:w="63" w:type="dxa"/>
            <w:tcBorders/>
            <w:shd w:fill="CCEEFF" w:val="clear"/>
            <w:vAlign w:val="bottom"/>
          </w:tcPr>
          <w:p>
            <w:pPr>
              <w:pStyle w:val="TableContents"/>
              <w:bidi w:val="0"/>
              <w:spacing w:before="0" w:after="283"/>
              <w:jc w:val="left"/>
              <w:rPr/>
            </w:pPr>
            <w:r>
              <w:rPr/>
              <w:t> </w:t>
            </w:r>
          </w:p>
        </w:tc>
      </w:tr>
      <w:tr>
        <w:trPr/>
        <w:tc>
          <w:tcPr>
            <w:tcW w:w="8174" w:type="dxa"/>
            <w:tcBorders/>
          </w:tcPr>
          <w:p>
            <w:pPr>
              <w:pStyle w:val="TableContents"/>
              <w:bidi w:val="0"/>
              <w:spacing w:before="0" w:after="0"/>
              <w:jc w:val="left"/>
              <w:rPr>
                <w:rFonts w:ascii="Times New Roman" w:hAnsi="Times New Roman"/>
                <w:sz w:val="20"/>
              </w:rPr>
            </w:pPr>
            <w:r>
              <w:rPr>
                <w:rFonts w:ascii="Times New Roman" w:hAnsi="Times New Roman"/>
                <w:sz w:val="20"/>
              </w:rPr>
              <w:t>PNC Capital Markets LLC</w:t>
            </w:r>
          </w:p>
        </w:tc>
        <w:tc>
          <w:tcPr>
            <w:tcW w:w="23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w:t>
            </w:r>
          </w:p>
        </w:tc>
        <w:tc>
          <w:tcPr>
            <w:tcW w:w="1653" w:type="dxa"/>
            <w:tcBorders/>
            <w:vAlign w:val="bottom"/>
          </w:tcPr>
          <w:p>
            <w:pPr>
              <w:pStyle w:val="TableContents"/>
              <w:bidi w:val="0"/>
              <w:spacing w:before="0" w:after="283"/>
              <w:jc w:val="right"/>
              <w:rPr/>
            </w:pPr>
            <w:r>
              <w:rPr/>
              <w:t>12,500,000</w:t>
            </w:r>
          </w:p>
        </w:tc>
        <w:tc>
          <w:tcPr>
            <w:tcW w:w="63" w:type="dxa"/>
            <w:tcBorders/>
            <w:vAlign w:val="bottom"/>
          </w:tcPr>
          <w:p>
            <w:pPr>
              <w:pStyle w:val="TableContents"/>
              <w:bidi w:val="0"/>
              <w:spacing w:before="0" w:after="283"/>
              <w:jc w:val="left"/>
              <w:rPr/>
            </w:pPr>
            <w:r>
              <w:rPr/>
              <w:t> </w:t>
            </w:r>
          </w:p>
        </w:tc>
      </w:tr>
      <w:tr>
        <w:trPr/>
        <w:tc>
          <w:tcPr>
            <w:tcW w:w="81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Coöperatieve Rabobank U.A.</w:t>
            </w:r>
          </w:p>
        </w:tc>
        <w:tc>
          <w:tcPr>
            <w:tcW w:w="23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w:t>
            </w:r>
          </w:p>
        </w:tc>
        <w:tc>
          <w:tcPr>
            <w:tcW w:w="1653" w:type="dxa"/>
            <w:tcBorders/>
            <w:shd w:fill="CCEEFF" w:val="clear"/>
            <w:vAlign w:val="bottom"/>
          </w:tcPr>
          <w:p>
            <w:pPr>
              <w:pStyle w:val="TableContents"/>
              <w:bidi w:val="0"/>
              <w:spacing w:before="0" w:after="283"/>
              <w:jc w:val="right"/>
              <w:rPr/>
            </w:pPr>
            <w:r>
              <w:rPr/>
              <w:t>12,500,000</w:t>
            </w:r>
          </w:p>
        </w:tc>
        <w:tc>
          <w:tcPr>
            <w:tcW w:w="63" w:type="dxa"/>
            <w:tcBorders/>
            <w:shd w:fill="CCEEFF" w:val="clear"/>
            <w:vAlign w:val="bottom"/>
          </w:tcPr>
          <w:p>
            <w:pPr>
              <w:pStyle w:val="TableContents"/>
              <w:bidi w:val="0"/>
              <w:spacing w:before="0" w:after="283"/>
              <w:jc w:val="left"/>
              <w:rPr/>
            </w:pPr>
            <w:r>
              <w:rPr/>
              <w:t> </w:t>
            </w:r>
          </w:p>
        </w:tc>
      </w:tr>
      <w:tr>
        <w:trPr/>
        <w:tc>
          <w:tcPr>
            <w:tcW w:w="817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3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w:t>
            </w:r>
          </w:p>
        </w:tc>
        <w:tc>
          <w:tcPr>
            <w:tcW w:w="1653" w:type="dxa"/>
            <w:tcBorders/>
            <w:vAlign w:val="bottom"/>
          </w:tcPr>
          <w:p>
            <w:pPr>
              <w:pStyle w:val="TableContents"/>
              <w:bidi w:val="0"/>
              <w:spacing w:before="0" w:after="283"/>
              <w:jc w:val="right"/>
              <w:rPr/>
            </w:pPr>
            <w:r>
              <w:rPr/>
              <w:t>500,000,000</w:t>
            </w:r>
          </w:p>
        </w:tc>
        <w:tc>
          <w:tcPr>
            <w:tcW w:w="63" w:type="dxa"/>
            <w:tcBorders/>
            <w:vAlign w:val="bottom"/>
          </w:tcPr>
          <w:p>
            <w:pPr>
              <w:pStyle w:val="TableContents"/>
              <w:bidi w:val="0"/>
              <w:spacing w:before="0" w:after="283"/>
              <w:jc w:val="left"/>
              <w:rPr/>
            </w:pPr>
            <w:r>
              <w:rPr/>
              <w:t> </w:t>
            </w:r>
          </w:p>
        </w:tc>
      </w:tr>
      <w:tr>
        <w:trPr/>
        <w:tc>
          <w:tcPr>
            <w:tcW w:w="8174"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double" w:sz="6" w:space="1" w:color="000000"/>
              </w:pBdr>
              <w:bidi w:val="0"/>
              <w:spacing w:before="0" w:after="0"/>
              <w:jc w:val="left"/>
              <w:rPr/>
            </w:pPr>
            <w:r>
              <w:rPr/>
              <w:t> </w:t>
            </w:r>
          </w:p>
        </w:tc>
        <w:tc>
          <w:tcPr>
            <w:tcW w:w="165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41"/>
        <w:gridCol w:w="141"/>
        <w:gridCol w:w="2623"/>
      </w:tblGrid>
      <w:tr>
        <w:trPr/>
        <w:tc>
          <w:tcPr>
            <w:tcW w:w="7441"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2623" w:type="dxa"/>
            <w:tcBorders/>
            <w:vAlign w:val="center"/>
          </w:tcPr>
          <w:p>
            <w:pPr>
              <w:pStyle w:val="TableContents"/>
              <w:bidi w:val="0"/>
              <w:spacing w:before="0" w:after="283"/>
              <w:jc w:val="left"/>
              <w:rPr>
                <w:sz w:val="4"/>
                <w:szCs w:val="4"/>
              </w:rPr>
            </w:pPr>
            <w:r>
              <w:rPr>
                <w:sz w:val="4"/>
                <w:szCs w:val="4"/>
              </w:rPr>
            </w:r>
          </w:p>
        </w:tc>
      </w:tr>
      <w:tr>
        <w:trPr/>
        <w:tc>
          <w:tcPr>
            <w:tcW w:w="744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Guarantors</w:t>
            </w:r>
          </w:p>
        </w:tc>
        <w:tc>
          <w:tcPr>
            <w:tcW w:w="141" w:type="dxa"/>
            <w:tcBorders/>
            <w:vAlign w:val="bottom"/>
          </w:tcPr>
          <w:p>
            <w:pPr>
              <w:pStyle w:val="TableContents"/>
              <w:bidi w:val="0"/>
              <w:spacing w:before="0" w:after="283"/>
              <w:jc w:val="left"/>
              <w:rPr/>
            </w:pPr>
            <w:r>
              <w:rPr/>
              <w:t>  </w:t>
            </w:r>
          </w:p>
        </w:tc>
        <w:tc>
          <w:tcPr>
            <w:tcW w:w="2623" w:type="dxa"/>
            <w:tcBorders>
              <w:bottom w:val="single" w:sz="8" w:space="0" w:color="000000"/>
            </w:tcBorders>
            <w:tcMar>
              <w:bottom w:w="28" w:type="dxa"/>
            </w:tcMar>
            <w:vAlign w:val="bottom"/>
          </w:tcPr>
          <w:p>
            <w:pPr>
              <w:pStyle w:val="TableContents"/>
              <w:bidi w:val="0"/>
              <w:spacing w:before="0" w:after="283"/>
              <w:jc w:val="left"/>
              <w:rPr>
                <w:b/>
              </w:rPr>
            </w:pPr>
            <w:r>
              <w:rPr>
                <w:b/>
              </w:rPr>
              <w:t>Jurisdiction of Formation</w:t>
            </w:r>
          </w:p>
        </w:tc>
      </w:tr>
      <w:tr>
        <w:trPr/>
        <w:tc>
          <w:tcPr>
            <w:tcW w:w="10205" w:type="dxa"/>
            <w:gridSpan w:val="3"/>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United States:</w:t>
            </w:r>
          </w:p>
        </w:tc>
      </w:tr>
      <w:tr>
        <w:trPr/>
        <w:tc>
          <w:tcPr>
            <w:tcW w:w="7441" w:type="dxa"/>
            <w:tcBorders/>
          </w:tcPr>
          <w:p>
            <w:pPr>
              <w:pStyle w:val="TableContents"/>
              <w:bidi w:val="0"/>
              <w:spacing w:before="0" w:after="0"/>
              <w:jc w:val="left"/>
              <w:rPr>
                <w:rFonts w:ascii="Times New Roman" w:hAnsi="Times New Roman"/>
                <w:sz w:val="20"/>
              </w:rPr>
            </w:pPr>
            <w:r>
              <w:rPr>
                <w:rFonts w:ascii="Times New Roman" w:hAnsi="Times New Roman"/>
                <w:sz w:val="20"/>
              </w:rPr>
              <w:t>CROWN Americas LLC</w:t>
            </w:r>
          </w:p>
        </w:tc>
        <w:tc>
          <w:tcPr>
            <w:tcW w:w="141" w:type="dxa"/>
            <w:tcBorders/>
            <w:vAlign w:val="bottom"/>
          </w:tcPr>
          <w:p>
            <w:pPr>
              <w:pStyle w:val="TableContents"/>
              <w:bidi w:val="0"/>
              <w:spacing w:before="0" w:after="283"/>
              <w:jc w:val="left"/>
              <w:rPr/>
            </w:pPr>
            <w:r>
              <w:rPr/>
              <w:t>  </w:t>
            </w:r>
          </w:p>
        </w:tc>
        <w:tc>
          <w:tcPr>
            <w:tcW w:w="2623" w:type="dxa"/>
            <w:tcBorders/>
            <w:vAlign w:val="bottom"/>
          </w:tcPr>
          <w:p>
            <w:pPr>
              <w:pStyle w:val="TableContents"/>
              <w:bidi w:val="0"/>
              <w:spacing w:before="0" w:after="283"/>
              <w:jc w:val="left"/>
              <w:rPr/>
            </w:pPr>
            <w:r>
              <w:rPr/>
              <w:t>PA</w:t>
            </w:r>
          </w:p>
        </w:tc>
      </w:tr>
      <w:tr>
        <w:trPr/>
        <w:tc>
          <w:tcPr>
            <w:tcW w:w="74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 USA, Inc.</w:t>
            </w:r>
          </w:p>
        </w:tc>
        <w:tc>
          <w:tcPr>
            <w:tcW w:w="141" w:type="dxa"/>
            <w:tcBorders/>
            <w:shd w:fill="CCEEFF" w:val="clear"/>
            <w:vAlign w:val="bottom"/>
          </w:tcPr>
          <w:p>
            <w:pPr>
              <w:pStyle w:val="TableContents"/>
              <w:bidi w:val="0"/>
              <w:spacing w:before="0" w:after="283"/>
              <w:jc w:val="left"/>
              <w:rPr/>
            </w:pPr>
            <w:r>
              <w:rPr/>
              <w:t>  </w:t>
            </w:r>
          </w:p>
        </w:tc>
        <w:tc>
          <w:tcPr>
            <w:tcW w:w="2623" w:type="dxa"/>
            <w:tcBorders/>
            <w:shd w:fill="CCEEFF" w:val="clear"/>
            <w:vAlign w:val="bottom"/>
          </w:tcPr>
          <w:p>
            <w:pPr>
              <w:pStyle w:val="TableContents"/>
              <w:bidi w:val="0"/>
              <w:spacing w:before="0" w:after="283"/>
              <w:jc w:val="left"/>
              <w:rPr/>
            </w:pPr>
            <w:r>
              <w:rPr/>
              <w:t>DE</w:t>
            </w:r>
          </w:p>
        </w:tc>
      </w:tr>
      <w:tr>
        <w:trPr/>
        <w:tc>
          <w:tcPr>
            <w:tcW w:w="7441" w:type="dxa"/>
            <w:tcBorders/>
          </w:tcPr>
          <w:p>
            <w:pPr>
              <w:pStyle w:val="TableContents"/>
              <w:bidi w:val="0"/>
              <w:spacing w:before="0" w:after="0"/>
              <w:jc w:val="left"/>
              <w:rPr>
                <w:rFonts w:ascii="Times New Roman" w:hAnsi="Times New Roman"/>
                <w:sz w:val="20"/>
              </w:rPr>
            </w:pPr>
            <w:r>
              <w:rPr>
                <w:rFonts w:ascii="Times New Roman" w:hAnsi="Times New Roman"/>
                <w:sz w:val="20"/>
              </w:rPr>
              <w:t>Crown Beverage Holdings, Inc.</w:t>
            </w:r>
          </w:p>
        </w:tc>
        <w:tc>
          <w:tcPr>
            <w:tcW w:w="141" w:type="dxa"/>
            <w:tcBorders/>
            <w:vAlign w:val="bottom"/>
          </w:tcPr>
          <w:p>
            <w:pPr>
              <w:pStyle w:val="TableContents"/>
              <w:bidi w:val="0"/>
              <w:spacing w:before="0" w:after="283"/>
              <w:jc w:val="left"/>
              <w:rPr/>
            </w:pPr>
            <w:r>
              <w:rPr/>
              <w:t>  </w:t>
            </w:r>
          </w:p>
        </w:tc>
        <w:tc>
          <w:tcPr>
            <w:tcW w:w="2623" w:type="dxa"/>
            <w:tcBorders/>
            <w:vAlign w:val="bottom"/>
          </w:tcPr>
          <w:p>
            <w:pPr>
              <w:pStyle w:val="TableContents"/>
              <w:bidi w:val="0"/>
              <w:spacing w:before="0" w:after="283"/>
              <w:jc w:val="left"/>
              <w:rPr/>
            </w:pPr>
            <w:r>
              <w:rPr/>
              <w:t>DE</w:t>
            </w:r>
          </w:p>
        </w:tc>
      </w:tr>
      <w:tr>
        <w:trPr/>
        <w:tc>
          <w:tcPr>
            <w:tcW w:w="74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CROWN Beverage Packaging Puerto Rico, Inc.</w:t>
            </w:r>
          </w:p>
        </w:tc>
        <w:tc>
          <w:tcPr>
            <w:tcW w:w="141" w:type="dxa"/>
            <w:tcBorders/>
            <w:shd w:fill="CCEEFF" w:val="clear"/>
            <w:vAlign w:val="bottom"/>
          </w:tcPr>
          <w:p>
            <w:pPr>
              <w:pStyle w:val="TableContents"/>
              <w:bidi w:val="0"/>
              <w:spacing w:before="0" w:after="283"/>
              <w:jc w:val="left"/>
              <w:rPr/>
            </w:pPr>
            <w:r>
              <w:rPr/>
              <w:t>  </w:t>
            </w:r>
          </w:p>
        </w:tc>
        <w:tc>
          <w:tcPr>
            <w:tcW w:w="2623" w:type="dxa"/>
            <w:tcBorders/>
            <w:shd w:fill="CCEEFF" w:val="clear"/>
            <w:vAlign w:val="bottom"/>
          </w:tcPr>
          <w:p>
            <w:pPr>
              <w:pStyle w:val="TableContents"/>
              <w:bidi w:val="0"/>
              <w:spacing w:before="0" w:after="283"/>
              <w:jc w:val="left"/>
              <w:rPr/>
            </w:pPr>
            <w:r>
              <w:rPr/>
              <w:t>DE</w:t>
            </w:r>
          </w:p>
        </w:tc>
      </w:tr>
      <w:tr>
        <w:trPr/>
        <w:tc>
          <w:tcPr>
            <w:tcW w:w="7441" w:type="dxa"/>
            <w:tcBorders/>
          </w:tcPr>
          <w:p>
            <w:pPr>
              <w:pStyle w:val="TableContents"/>
              <w:bidi w:val="0"/>
              <w:spacing w:before="0" w:after="0"/>
              <w:jc w:val="left"/>
              <w:rPr>
                <w:rFonts w:ascii="Times New Roman" w:hAnsi="Times New Roman"/>
                <w:sz w:val="20"/>
              </w:rPr>
            </w:pPr>
            <w:r>
              <w:rPr>
                <w:rFonts w:ascii="Times New Roman" w:hAnsi="Times New Roman"/>
                <w:sz w:val="20"/>
              </w:rPr>
              <w:t>CROWN Beverage Packaging, LLC</w:t>
            </w:r>
          </w:p>
        </w:tc>
        <w:tc>
          <w:tcPr>
            <w:tcW w:w="141" w:type="dxa"/>
            <w:tcBorders/>
            <w:vAlign w:val="bottom"/>
          </w:tcPr>
          <w:p>
            <w:pPr>
              <w:pStyle w:val="TableContents"/>
              <w:bidi w:val="0"/>
              <w:spacing w:before="0" w:after="283"/>
              <w:jc w:val="left"/>
              <w:rPr/>
            </w:pPr>
            <w:r>
              <w:rPr/>
              <w:t>  </w:t>
            </w:r>
          </w:p>
        </w:tc>
        <w:tc>
          <w:tcPr>
            <w:tcW w:w="2623" w:type="dxa"/>
            <w:tcBorders/>
            <w:vAlign w:val="bottom"/>
          </w:tcPr>
          <w:p>
            <w:pPr>
              <w:pStyle w:val="TableContents"/>
              <w:bidi w:val="0"/>
              <w:spacing w:before="0" w:after="283"/>
              <w:jc w:val="left"/>
              <w:rPr/>
            </w:pPr>
            <w:r>
              <w:rPr/>
              <w:t>DE</w:t>
            </w:r>
          </w:p>
        </w:tc>
      </w:tr>
      <w:tr>
        <w:trPr/>
        <w:tc>
          <w:tcPr>
            <w:tcW w:w="74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Crown Consultants, Inc.</w:t>
            </w:r>
          </w:p>
        </w:tc>
        <w:tc>
          <w:tcPr>
            <w:tcW w:w="141" w:type="dxa"/>
            <w:tcBorders/>
            <w:shd w:fill="CCEEFF" w:val="clear"/>
            <w:vAlign w:val="bottom"/>
          </w:tcPr>
          <w:p>
            <w:pPr>
              <w:pStyle w:val="TableContents"/>
              <w:bidi w:val="0"/>
              <w:spacing w:before="0" w:after="283"/>
              <w:jc w:val="left"/>
              <w:rPr/>
            </w:pPr>
            <w:r>
              <w:rPr/>
              <w:t>  </w:t>
            </w:r>
          </w:p>
        </w:tc>
        <w:tc>
          <w:tcPr>
            <w:tcW w:w="2623" w:type="dxa"/>
            <w:tcBorders/>
            <w:shd w:fill="CCEEFF" w:val="clear"/>
            <w:vAlign w:val="bottom"/>
          </w:tcPr>
          <w:p>
            <w:pPr>
              <w:pStyle w:val="TableContents"/>
              <w:bidi w:val="0"/>
              <w:spacing w:before="0" w:after="283"/>
              <w:jc w:val="left"/>
              <w:rPr/>
            </w:pPr>
            <w:r>
              <w:rPr/>
              <w:t>PA</w:t>
            </w:r>
          </w:p>
        </w:tc>
      </w:tr>
      <w:tr>
        <w:trPr/>
        <w:tc>
          <w:tcPr>
            <w:tcW w:w="7441" w:type="dxa"/>
            <w:tcBorders/>
          </w:tcPr>
          <w:p>
            <w:pPr>
              <w:pStyle w:val="TableContents"/>
              <w:bidi w:val="0"/>
              <w:spacing w:before="0" w:after="0"/>
              <w:jc w:val="left"/>
              <w:rPr>
                <w:rFonts w:ascii="Times New Roman" w:hAnsi="Times New Roman"/>
                <w:sz w:val="20"/>
              </w:rPr>
            </w:pPr>
            <w:r>
              <w:rPr>
                <w:rFonts w:ascii="Times New Roman" w:hAnsi="Times New Roman"/>
                <w:sz w:val="20"/>
              </w:rPr>
              <w:t>Crown Cork &amp; Seal Company (DE), LLC</w:t>
            </w:r>
          </w:p>
        </w:tc>
        <w:tc>
          <w:tcPr>
            <w:tcW w:w="141" w:type="dxa"/>
            <w:tcBorders/>
            <w:vAlign w:val="bottom"/>
          </w:tcPr>
          <w:p>
            <w:pPr>
              <w:pStyle w:val="TableContents"/>
              <w:bidi w:val="0"/>
              <w:spacing w:before="0" w:after="283"/>
              <w:jc w:val="left"/>
              <w:rPr/>
            </w:pPr>
            <w:r>
              <w:rPr/>
              <w:t>  </w:t>
            </w:r>
          </w:p>
        </w:tc>
        <w:tc>
          <w:tcPr>
            <w:tcW w:w="2623" w:type="dxa"/>
            <w:tcBorders/>
            <w:vAlign w:val="bottom"/>
          </w:tcPr>
          <w:p>
            <w:pPr>
              <w:pStyle w:val="TableContents"/>
              <w:bidi w:val="0"/>
              <w:spacing w:before="0" w:after="283"/>
              <w:jc w:val="left"/>
              <w:rPr/>
            </w:pPr>
            <w:r>
              <w:rPr/>
              <w:t>DE</w:t>
            </w:r>
          </w:p>
        </w:tc>
      </w:tr>
      <w:tr>
        <w:trPr/>
        <w:tc>
          <w:tcPr>
            <w:tcW w:w="74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Crown Cork &amp; Seal Company, Inc.</w:t>
            </w:r>
          </w:p>
        </w:tc>
        <w:tc>
          <w:tcPr>
            <w:tcW w:w="141" w:type="dxa"/>
            <w:tcBorders/>
            <w:shd w:fill="CCEEFF" w:val="clear"/>
            <w:vAlign w:val="bottom"/>
          </w:tcPr>
          <w:p>
            <w:pPr>
              <w:pStyle w:val="TableContents"/>
              <w:bidi w:val="0"/>
              <w:spacing w:before="0" w:after="283"/>
              <w:jc w:val="left"/>
              <w:rPr/>
            </w:pPr>
            <w:r>
              <w:rPr/>
              <w:t>  </w:t>
            </w:r>
          </w:p>
        </w:tc>
        <w:tc>
          <w:tcPr>
            <w:tcW w:w="2623" w:type="dxa"/>
            <w:tcBorders/>
            <w:shd w:fill="CCEEFF" w:val="clear"/>
            <w:vAlign w:val="bottom"/>
          </w:tcPr>
          <w:p>
            <w:pPr>
              <w:pStyle w:val="TableContents"/>
              <w:bidi w:val="0"/>
              <w:spacing w:before="0" w:after="283"/>
              <w:jc w:val="left"/>
              <w:rPr/>
            </w:pPr>
            <w:r>
              <w:rPr/>
              <w:t>PA</w:t>
            </w:r>
          </w:p>
        </w:tc>
      </w:tr>
      <w:tr>
        <w:trPr/>
        <w:tc>
          <w:tcPr>
            <w:tcW w:w="7441" w:type="dxa"/>
            <w:tcBorders/>
          </w:tcPr>
          <w:p>
            <w:pPr>
              <w:pStyle w:val="TableContents"/>
              <w:bidi w:val="0"/>
              <w:spacing w:before="0" w:after="0"/>
              <w:jc w:val="left"/>
              <w:rPr>
                <w:rFonts w:ascii="Times New Roman" w:hAnsi="Times New Roman"/>
                <w:sz w:val="20"/>
              </w:rPr>
            </w:pPr>
            <w:r>
              <w:rPr>
                <w:rFonts w:ascii="Times New Roman" w:hAnsi="Times New Roman"/>
                <w:sz w:val="20"/>
              </w:rPr>
              <w:t>CROWN Cork &amp; Seal USA, Inc.</w:t>
            </w:r>
          </w:p>
        </w:tc>
        <w:tc>
          <w:tcPr>
            <w:tcW w:w="141" w:type="dxa"/>
            <w:tcBorders/>
            <w:vAlign w:val="bottom"/>
          </w:tcPr>
          <w:p>
            <w:pPr>
              <w:pStyle w:val="TableContents"/>
              <w:bidi w:val="0"/>
              <w:spacing w:before="0" w:after="283"/>
              <w:jc w:val="left"/>
              <w:rPr/>
            </w:pPr>
            <w:r>
              <w:rPr/>
              <w:t>  </w:t>
            </w:r>
          </w:p>
        </w:tc>
        <w:tc>
          <w:tcPr>
            <w:tcW w:w="2623" w:type="dxa"/>
            <w:tcBorders/>
            <w:vAlign w:val="bottom"/>
          </w:tcPr>
          <w:p>
            <w:pPr>
              <w:pStyle w:val="TableContents"/>
              <w:bidi w:val="0"/>
              <w:spacing w:before="0" w:after="283"/>
              <w:jc w:val="left"/>
              <w:rPr/>
            </w:pPr>
            <w:r>
              <w:rPr/>
              <w:t>DE</w:t>
            </w:r>
          </w:p>
        </w:tc>
      </w:tr>
      <w:tr>
        <w:trPr/>
        <w:tc>
          <w:tcPr>
            <w:tcW w:w="74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Crown Financial Corporation</w:t>
            </w:r>
          </w:p>
        </w:tc>
        <w:tc>
          <w:tcPr>
            <w:tcW w:w="141" w:type="dxa"/>
            <w:tcBorders/>
            <w:shd w:fill="CCEEFF" w:val="clear"/>
            <w:vAlign w:val="bottom"/>
          </w:tcPr>
          <w:p>
            <w:pPr>
              <w:pStyle w:val="TableContents"/>
              <w:bidi w:val="0"/>
              <w:spacing w:before="0" w:after="283"/>
              <w:jc w:val="left"/>
              <w:rPr/>
            </w:pPr>
            <w:r>
              <w:rPr/>
              <w:t>  </w:t>
            </w:r>
          </w:p>
        </w:tc>
        <w:tc>
          <w:tcPr>
            <w:tcW w:w="2623" w:type="dxa"/>
            <w:tcBorders/>
            <w:shd w:fill="CCEEFF" w:val="clear"/>
            <w:vAlign w:val="bottom"/>
          </w:tcPr>
          <w:p>
            <w:pPr>
              <w:pStyle w:val="TableContents"/>
              <w:bidi w:val="0"/>
              <w:spacing w:before="0" w:after="283"/>
              <w:jc w:val="left"/>
              <w:rPr/>
            </w:pPr>
            <w:r>
              <w:rPr/>
              <w:t>PA</w:t>
            </w:r>
          </w:p>
        </w:tc>
      </w:tr>
      <w:tr>
        <w:trPr/>
        <w:tc>
          <w:tcPr>
            <w:tcW w:w="7441" w:type="dxa"/>
            <w:tcBorders/>
          </w:tcPr>
          <w:p>
            <w:pPr>
              <w:pStyle w:val="TableContents"/>
              <w:bidi w:val="0"/>
              <w:spacing w:before="0" w:after="0"/>
              <w:jc w:val="left"/>
              <w:rPr>
                <w:rFonts w:ascii="Times New Roman" w:hAnsi="Times New Roman"/>
                <w:sz w:val="20"/>
              </w:rPr>
            </w:pPr>
            <w:r>
              <w:rPr>
                <w:rFonts w:ascii="Times New Roman" w:hAnsi="Times New Roman"/>
                <w:sz w:val="20"/>
              </w:rPr>
              <w:t>Crown Holdings, Inc.</w:t>
            </w:r>
          </w:p>
        </w:tc>
        <w:tc>
          <w:tcPr>
            <w:tcW w:w="141" w:type="dxa"/>
            <w:tcBorders/>
            <w:vAlign w:val="bottom"/>
          </w:tcPr>
          <w:p>
            <w:pPr>
              <w:pStyle w:val="TableContents"/>
              <w:bidi w:val="0"/>
              <w:spacing w:before="0" w:after="283"/>
              <w:jc w:val="left"/>
              <w:rPr/>
            </w:pPr>
            <w:r>
              <w:rPr/>
              <w:t>  </w:t>
            </w:r>
          </w:p>
        </w:tc>
        <w:tc>
          <w:tcPr>
            <w:tcW w:w="2623" w:type="dxa"/>
            <w:tcBorders/>
            <w:vAlign w:val="bottom"/>
          </w:tcPr>
          <w:p>
            <w:pPr>
              <w:pStyle w:val="TableContents"/>
              <w:bidi w:val="0"/>
              <w:spacing w:before="0" w:after="283"/>
              <w:jc w:val="left"/>
              <w:rPr/>
            </w:pPr>
            <w:r>
              <w:rPr/>
              <w:t>PA</w:t>
            </w:r>
          </w:p>
        </w:tc>
      </w:tr>
      <w:tr>
        <w:trPr/>
        <w:tc>
          <w:tcPr>
            <w:tcW w:w="74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Crown International Holdings, Inc.</w:t>
            </w:r>
          </w:p>
        </w:tc>
        <w:tc>
          <w:tcPr>
            <w:tcW w:w="141" w:type="dxa"/>
            <w:tcBorders/>
            <w:shd w:fill="CCEEFF" w:val="clear"/>
            <w:vAlign w:val="bottom"/>
          </w:tcPr>
          <w:p>
            <w:pPr>
              <w:pStyle w:val="TableContents"/>
              <w:bidi w:val="0"/>
              <w:spacing w:before="0" w:after="283"/>
              <w:jc w:val="left"/>
              <w:rPr/>
            </w:pPr>
            <w:r>
              <w:rPr/>
              <w:t>  </w:t>
            </w:r>
          </w:p>
        </w:tc>
        <w:tc>
          <w:tcPr>
            <w:tcW w:w="2623" w:type="dxa"/>
            <w:tcBorders/>
            <w:shd w:fill="CCEEFF" w:val="clear"/>
            <w:vAlign w:val="bottom"/>
          </w:tcPr>
          <w:p>
            <w:pPr>
              <w:pStyle w:val="TableContents"/>
              <w:bidi w:val="0"/>
              <w:spacing w:before="0" w:after="283"/>
              <w:jc w:val="left"/>
              <w:rPr/>
            </w:pPr>
            <w:r>
              <w:rPr/>
              <w:t>DE</w:t>
            </w:r>
          </w:p>
        </w:tc>
      </w:tr>
      <w:tr>
        <w:trPr/>
        <w:tc>
          <w:tcPr>
            <w:tcW w:w="7441" w:type="dxa"/>
            <w:tcBorders/>
          </w:tcPr>
          <w:p>
            <w:pPr>
              <w:pStyle w:val="TableContents"/>
              <w:bidi w:val="0"/>
              <w:spacing w:before="0" w:after="0"/>
              <w:jc w:val="left"/>
              <w:rPr>
                <w:rFonts w:ascii="Times New Roman" w:hAnsi="Times New Roman"/>
                <w:sz w:val="20"/>
              </w:rPr>
            </w:pPr>
            <w:r>
              <w:rPr>
                <w:rFonts w:ascii="Times New Roman" w:hAnsi="Times New Roman"/>
                <w:sz w:val="20"/>
              </w:rPr>
              <w:t>CROWN Packaging Technology, Inc.</w:t>
            </w:r>
          </w:p>
        </w:tc>
        <w:tc>
          <w:tcPr>
            <w:tcW w:w="141" w:type="dxa"/>
            <w:tcBorders/>
            <w:vAlign w:val="bottom"/>
          </w:tcPr>
          <w:p>
            <w:pPr>
              <w:pStyle w:val="TableContents"/>
              <w:bidi w:val="0"/>
              <w:spacing w:before="0" w:after="283"/>
              <w:jc w:val="left"/>
              <w:rPr/>
            </w:pPr>
            <w:r>
              <w:rPr/>
              <w:t>  </w:t>
            </w:r>
          </w:p>
        </w:tc>
        <w:tc>
          <w:tcPr>
            <w:tcW w:w="2623" w:type="dxa"/>
            <w:tcBorders/>
            <w:vAlign w:val="bottom"/>
          </w:tcPr>
          <w:p>
            <w:pPr>
              <w:pStyle w:val="TableContents"/>
              <w:bidi w:val="0"/>
              <w:spacing w:before="0" w:after="283"/>
              <w:jc w:val="left"/>
              <w:rPr/>
            </w:pPr>
            <w:r>
              <w:rPr/>
              <w:t>DE</w:t>
            </w:r>
          </w:p>
        </w:tc>
      </w:tr>
      <w:tr>
        <w:trPr/>
        <w:tc>
          <w:tcPr>
            <w:tcW w:w="74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Manufacturers Finance Corporation</w:t>
            </w:r>
          </w:p>
        </w:tc>
        <w:tc>
          <w:tcPr>
            <w:tcW w:w="141" w:type="dxa"/>
            <w:tcBorders/>
            <w:shd w:fill="CCEEFF" w:val="clear"/>
            <w:vAlign w:val="bottom"/>
          </w:tcPr>
          <w:p>
            <w:pPr>
              <w:pStyle w:val="TableContents"/>
              <w:bidi w:val="0"/>
              <w:spacing w:before="0" w:after="283"/>
              <w:jc w:val="left"/>
              <w:rPr/>
            </w:pPr>
            <w:r>
              <w:rPr/>
              <w:t>  </w:t>
            </w:r>
          </w:p>
        </w:tc>
        <w:tc>
          <w:tcPr>
            <w:tcW w:w="2623" w:type="dxa"/>
            <w:tcBorders/>
            <w:shd w:fill="CCEEFF" w:val="clear"/>
            <w:vAlign w:val="bottom"/>
          </w:tcPr>
          <w:p>
            <w:pPr>
              <w:pStyle w:val="TableContents"/>
              <w:bidi w:val="0"/>
              <w:spacing w:before="0" w:after="283"/>
              <w:jc w:val="left"/>
              <w:rPr/>
            </w:pPr>
            <w:r>
              <w:rPr/>
              <w:t>DE</w:t>
            </w:r>
          </w:p>
        </w:tc>
      </w:tr>
      <w:tr>
        <w:trPr/>
        <w:tc>
          <w:tcPr>
            <w:tcW w:w="7441" w:type="dxa"/>
            <w:tcBorders/>
          </w:tcPr>
          <w:p>
            <w:pPr>
              <w:pStyle w:val="TableContents"/>
              <w:bidi w:val="0"/>
              <w:spacing w:before="0" w:after="0"/>
              <w:jc w:val="left"/>
              <w:rPr>
                <w:rFonts w:ascii="Times New Roman" w:hAnsi="Times New Roman"/>
                <w:sz w:val="20"/>
              </w:rPr>
            </w:pPr>
            <w:r>
              <w:rPr>
                <w:rFonts w:ascii="Times New Roman" w:hAnsi="Times New Roman"/>
                <w:sz w:val="20"/>
              </w:rPr>
              <w:t>Signode Industrial Group US Inc.</w:t>
            </w:r>
          </w:p>
        </w:tc>
        <w:tc>
          <w:tcPr>
            <w:tcW w:w="141" w:type="dxa"/>
            <w:tcBorders/>
            <w:vAlign w:val="bottom"/>
          </w:tcPr>
          <w:p>
            <w:pPr>
              <w:pStyle w:val="TableContents"/>
              <w:bidi w:val="0"/>
              <w:spacing w:before="0" w:after="283"/>
              <w:jc w:val="left"/>
              <w:rPr/>
            </w:pPr>
            <w:r>
              <w:rPr/>
              <w:t>  </w:t>
            </w:r>
          </w:p>
        </w:tc>
        <w:tc>
          <w:tcPr>
            <w:tcW w:w="2623" w:type="dxa"/>
            <w:tcBorders/>
            <w:vAlign w:val="bottom"/>
          </w:tcPr>
          <w:p>
            <w:pPr>
              <w:pStyle w:val="TableContents"/>
              <w:bidi w:val="0"/>
              <w:spacing w:before="0" w:after="283"/>
              <w:jc w:val="left"/>
              <w:rPr/>
            </w:pPr>
            <w:r>
              <w:rPr/>
              <w:t>DE</w:t>
            </w:r>
          </w:p>
        </w:tc>
      </w:tr>
      <w:tr>
        <w:trPr/>
        <w:tc>
          <w:tcPr>
            <w:tcW w:w="74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Signode Industrial Group LLC</w:t>
            </w:r>
          </w:p>
        </w:tc>
        <w:tc>
          <w:tcPr>
            <w:tcW w:w="141" w:type="dxa"/>
            <w:tcBorders/>
            <w:shd w:fill="CCEEFF" w:val="clear"/>
            <w:vAlign w:val="bottom"/>
          </w:tcPr>
          <w:p>
            <w:pPr>
              <w:pStyle w:val="TableContents"/>
              <w:bidi w:val="0"/>
              <w:spacing w:before="0" w:after="283"/>
              <w:jc w:val="left"/>
              <w:rPr/>
            </w:pPr>
            <w:r>
              <w:rPr/>
              <w:t>  </w:t>
            </w:r>
          </w:p>
        </w:tc>
        <w:tc>
          <w:tcPr>
            <w:tcW w:w="2623" w:type="dxa"/>
            <w:tcBorders/>
            <w:shd w:fill="CCEEFF" w:val="clear"/>
            <w:vAlign w:val="bottom"/>
          </w:tcPr>
          <w:p>
            <w:pPr>
              <w:pStyle w:val="TableContents"/>
              <w:bidi w:val="0"/>
              <w:spacing w:before="0" w:after="283"/>
              <w:jc w:val="left"/>
              <w:rPr/>
            </w:pPr>
            <w:r>
              <w:rPr/>
              <w:t>DE</w:t>
            </w:r>
          </w:p>
        </w:tc>
      </w:tr>
      <w:tr>
        <w:trPr/>
        <w:tc>
          <w:tcPr>
            <w:tcW w:w="7441" w:type="dxa"/>
            <w:tcBorders/>
          </w:tcPr>
          <w:p>
            <w:pPr>
              <w:pStyle w:val="TableContents"/>
              <w:bidi w:val="0"/>
              <w:spacing w:before="0" w:after="0"/>
              <w:jc w:val="left"/>
              <w:rPr>
                <w:rFonts w:ascii="Times New Roman" w:hAnsi="Times New Roman"/>
                <w:sz w:val="20"/>
              </w:rPr>
            </w:pPr>
            <w:r>
              <w:rPr>
                <w:rFonts w:ascii="Times New Roman" w:hAnsi="Times New Roman"/>
                <w:sz w:val="20"/>
              </w:rPr>
              <w:t>Signode Pickling Holding LLC</w:t>
            </w:r>
          </w:p>
        </w:tc>
        <w:tc>
          <w:tcPr>
            <w:tcW w:w="141" w:type="dxa"/>
            <w:tcBorders/>
            <w:vAlign w:val="bottom"/>
          </w:tcPr>
          <w:p>
            <w:pPr>
              <w:pStyle w:val="TableContents"/>
              <w:bidi w:val="0"/>
              <w:spacing w:before="0" w:after="283"/>
              <w:jc w:val="left"/>
              <w:rPr/>
            </w:pPr>
            <w:r>
              <w:rPr/>
              <w:t>  </w:t>
            </w:r>
          </w:p>
        </w:tc>
        <w:tc>
          <w:tcPr>
            <w:tcW w:w="2623" w:type="dxa"/>
            <w:tcBorders/>
            <w:vAlign w:val="bottom"/>
          </w:tcPr>
          <w:p>
            <w:pPr>
              <w:pStyle w:val="TableContents"/>
              <w:bidi w:val="0"/>
              <w:spacing w:before="0" w:after="283"/>
              <w:jc w:val="left"/>
              <w:rPr/>
            </w:pPr>
            <w:r>
              <w:rPr/>
              <w:t>DE</w:t>
            </w:r>
          </w:p>
        </w:tc>
      </w:tr>
      <w:tr>
        <w:trPr/>
        <w:tc>
          <w:tcPr>
            <w:tcW w:w="74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Signode US IP Holdings LLC</w:t>
            </w:r>
          </w:p>
        </w:tc>
        <w:tc>
          <w:tcPr>
            <w:tcW w:w="141" w:type="dxa"/>
            <w:tcBorders/>
            <w:shd w:fill="CCEEFF" w:val="clear"/>
            <w:vAlign w:val="bottom"/>
          </w:tcPr>
          <w:p>
            <w:pPr>
              <w:pStyle w:val="TableContents"/>
              <w:bidi w:val="0"/>
              <w:spacing w:before="0" w:after="283"/>
              <w:jc w:val="left"/>
              <w:rPr/>
            </w:pPr>
            <w:r>
              <w:rPr/>
              <w:t>  </w:t>
            </w:r>
          </w:p>
        </w:tc>
        <w:tc>
          <w:tcPr>
            <w:tcW w:w="2623" w:type="dxa"/>
            <w:tcBorders/>
            <w:shd w:fill="CCEEFF" w:val="clear"/>
            <w:vAlign w:val="bottom"/>
          </w:tcPr>
          <w:p>
            <w:pPr>
              <w:pStyle w:val="TableContents"/>
              <w:bidi w:val="0"/>
              <w:spacing w:before="0" w:after="283"/>
              <w:jc w:val="left"/>
              <w:rPr/>
            </w:pPr>
            <w:r>
              <w:rPr/>
              <w:t>DE</w:t>
            </w:r>
          </w:p>
        </w:tc>
      </w:tr>
      <w:tr>
        <w:trPr/>
        <w:tc>
          <w:tcPr>
            <w:tcW w:w="7441" w:type="dxa"/>
            <w:tcBorders/>
          </w:tcPr>
          <w:p>
            <w:pPr>
              <w:pStyle w:val="TableContents"/>
              <w:bidi w:val="0"/>
              <w:spacing w:before="0" w:after="0"/>
              <w:jc w:val="left"/>
              <w:rPr>
                <w:rFonts w:ascii="Times New Roman" w:hAnsi="Times New Roman"/>
                <w:sz w:val="20"/>
              </w:rPr>
            </w:pPr>
            <w:r>
              <w:rPr>
                <w:rFonts w:ascii="Times New Roman" w:hAnsi="Times New Roman"/>
                <w:sz w:val="20"/>
              </w:rPr>
              <w:t>Signode Industrial Group Holdings US Inc.</w:t>
            </w:r>
          </w:p>
        </w:tc>
        <w:tc>
          <w:tcPr>
            <w:tcW w:w="141" w:type="dxa"/>
            <w:tcBorders/>
            <w:vAlign w:val="bottom"/>
          </w:tcPr>
          <w:p>
            <w:pPr>
              <w:pStyle w:val="TableContents"/>
              <w:bidi w:val="0"/>
              <w:spacing w:before="0" w:after="283"/>
              <w:jc w:val="left"/>
              <w:rPr/>
            </w:pPr>
            <w:r>
              <w:rPr/>
              <w:t>  </w:t>
            </w:r>
          </w:p>
        </w:tc>
        <w:tc>
          <w:tcPr>
            <w:tcW w:w="2623" w:type="dxa"/>
            <w:tcBorders/>
            <w:vAlign w:val="bottom"/>
          </w:tcPr>
          <w:p>
            <w:pPr>
              <w:pStyle w:val="TableContents"/>
              <w:bidi w:val="0"/>
              <w:spacing w:before="0" w:after="283"/>
              <w:jc w:val="left"/>
              <w:rPr/>
            </w:pPr>
            <w:r>
              <w:rPr/>
              <w:t>DE</w:t>
            </w:r>
          </w:p>
        </w:tc>
      </w:tr>
      <w:tr>
        <w:trPr/>
        <w:tc>
          <w:tcPr>
            <w:tcW w:w="74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Signode International IP Holdings LLC</w:t>
            </w:r>
          </w:p>
        </w:tc>
        <w:tc>
          <w:tcPr>
            <w:tcW w:w="141" w:type="dxa"/>
            <w:tcBorders/>
            <w:shd w:fill="CCEEFF" w:val="clear"/>
            <w:vAlign w:val="bottom"/>
          </w:tcPr>
          <w:p>
            <w:pPr>
              <w:pStyle w:val="TableContents"/>
              <w:bidi w:val="0"/>
              <w:spacing w:before="0" w:after="283"/>
              <w:jc w:val="left"/>
              <w:rPr/>
            </w:pPr>
            <w:r>
              <w:rPr/>
              <w:t>  </w:t>
            </w:r>
          </w:p>
        </w:tc>
        <w:tc>
          <w:tcPr>
            <w:tcW w:w="2623" w:type="dxa"/>
            <w:tcBorders/>
            <w:shd w:fill="CCEEFF" w:val="clear"/>
            <w:vAlign w:val="bottom"/>
          </w:tcPr>
          <w:p>
            <w:pPr>
              <w:pStyle w:val="TableContents"/>
              <w:bidi w:val="0"/>
              <w:spacing w:before="0" w:after="283"/>
              <w:jc w:val="left"/>
              <w:rPr/>
            </w:pPr>
            <w:r>
              <w:rPr/>
              <w:t>DE</w:t>
            </w:r>
          </w:p>
        </w:tc>
      </w:tr>
      <w:tr>
        <w:trPr/>
        <w:tc>
          <w:tcPr>
            <w:tcW w:w="7441" w:type="dxa"/>
            <w:tcBorders/>
          </w:tcPr>
          <w:p>
            <w:pPr>
              <w:pStyle w:val="TableContents"/>
              <w:bidi w:val="0"/>
              <w:spacing w:before="0" w:after="0"/>
              <w:jc w:val="left"/>
              <w:rPr>
                <w:rFonts w:ascii="Times New Roman" w:hAnsi="Times New Roman"/>
                <w:sz w:val="20"/>
              </w:rPr>
            </w:pPr>
            <w:r>
              <w:rPr>
                <w:rFonts w:ascii="Times New Roman" w:hAnsi="Times New Roman"/>
                <w:sz w:val="20"/>
              </w:rPr>
              <w:t>Simplimatic Engineering Holdings, LLC</w:t>
            </w:r>
          </w:p>
        </w:tc>
        <w:tc>
          <w:tcPr>
            <w:tcW w:w="141" w:type="dxa"/>
            <w:tcBorders/>
            <w:vAlign w:val="bottom"/>
          </w:tcPr>
          <w:p>
            <w:pPr>
              <w:pStyle w:val="TableContents"/>
              <w:bidi w:val="0"/>
              <w:spacing w:before="0" w:after="283"/>
              <w:jc w:val="left"/>
              <w:rPr/>
            </w:pPr>
            <w:r>
              <w:rPr/>
              <w:t>  </w:t>
            </w:r>
          </w:p>
        </w:tc>
        <w:tc>
          <w:tcPr>
            <w:tcW w:w="2623" w:type="dxa"/>
            <w:tcBorders/>
            <w:vAlign w:val="bottom"/>
          </w:tcPr>
          <w:p>
            <w:pPr>
              <w:pStyle w:val="TableContents"/>
              <w:bidi w:val="0"/>
              <w:spacing w:before="0" w:after="283"/>
              <w:jc w:val="left"/>
              <w:rPr/>
            </w:pPr>
            <w:r>
              <w:rPr/>
              <w:t>OH</w:t>
            </w:r>
          </w:p>
        </w:tc>
      </w:tr>
      <w:tr>
        <w:trPr/>
        <w:tc>
          <w:tcPr>
            <w:tcW w:w="74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Simplimatic Automation LLC</w:t>
            </w:r>
          </w:p>
        </w:tc>
        <w:tc>
          <w:tcPr>
            <w:tcW w:w="141" w:type="dxa"/>
            <w:tcBorders/>
            <w:shd w:fill="CCEEFF" w:val="clear"/>
            <w:vAlign w:val="bottom"/>
          </w:tcPr>
          <w:p>
            <w:pPr>
              <w:pStyle w:val="TableContents"/>
              <w:bidi w:val="0"/>
              <w:spacing w:before="0" w:after="283"/>
              <w:jc w:val="left"/>
              <w:rPr/>
            </w:pPr>
            <w:r>
              <w:rPr/>
              <w:t>  </w:t>
            </w:r>
          </w:p>
        </w:tc>
        <w:tc>
          <w:tcPr>
            <w:tcW w:w="2623" w:type="dxa"/>
            <w:tcBorders/>
            <w:shd w:fill="CCEEFF" w:val="clear"/>
            <w:vAlign w:val="bottom"/>
          </w:tcPr>
          <w:p>
            <w:pPr>
              <w:pStyle w:val="TableContents"/>
              <w:bidi w:val="0"/>
              <w:spacing w:before="0" w:after="283"/>
              <w:jc w:val="left"/>
              <w:rPr/>
            </w:pPr>
            <w:r>
              <w:rPr/>
              <w:t>OH</w:t>
            </w:r>
          </w:p>
        </w:tc>
      </w:tr>
      <w:tr>
        <w:trPr/>
        <w:tc>
          <w:tcPr>
            <w:tcW w:w="7441" w:type="dxa"/>
            <w:tcBorders/>
          </w:tcPr>
          <w:p>
            <w:pPr>
              <w:pStyle w:val="TableContents"/>
              <w:bidi w:val="0"/>
              <w:spacing w:before="0" w:after="0"/>
              <w:jc w:val="left"/>
              <w:rPr>
                <w:rFonts w:ascii="Times New Roman" w:hAnsi="Times New Roman"/>
                <w:sz w:val="20"/>
              </w:rPr>
            </w:pPr>
            <w:r>
              <w:rPr>
                <w:rFonts w:ascii="Times New Roman" w:hAnsi="Times New Roman"/>
                <w:sz w:val="20"/>
              </w:rPr>
              <w:t>SEH Real Estate Holdings LLC</w:t>
            </w:r>
          </w:p>
        </w:tc>
        <w:tc>
          <w:tcPr>
            <w:tcW w:w="141" w:type="dxa"/>
            <w:tcBorders/>
            <w:vAlign w:val="bottom"/>
          </w:tcPr>
          <w:p>
            <w:pPr>
              <w:pStyle w:val="TableContents"/>
              <w:bidi w:val="0"/>
              <w:spacing w:before="0" w:after="283"/>
              <w:jc w:val="left"/>
              <w:rPr/>
            </w:pPr>
            <w:r>
              <w:rPr/>
              <w:t>  </w:t>
            </w:r>
          </w:p>
        </w:tc>
        <w:tc>
          <w:tcPr>
            <w:tcW w:w="2623" w:type="dxa"/>
            <w:tcBorders/>
            <w:vAlign w:val="bottom"/>
          </w:tcPr>
          <w:p>
            <w:pPr>
              <w:pStyle w:val="TableContents"/>
              <w:bidi w:val="0"/>
              <w:spacing w:before="0" w:after="283"/>
              <w:jc w:val="left"/>
              <w:rPr/>
            </w:pPr>
            <w:r>
              <w:rPr/>
              <w:t>VA</w:t>
            </w:r>
          </w:p>
        </w:tc>
      </w:tr>
      <w:tr>
        <w:trPr/>
        <w:tc>
          <w:tcPr>
            <w:tcW w:w="74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 International Holdings</w:t>
            </w:r>
          </w:p>
        </w:tc>
        <w:tc>
          <w:tcPr>
            <w:tcW w:w="141" w:type="dxa"/>
            <w:tcBorders/>
            <w:shd w:fill="CCEEFF" w:val="clear"/>
            <w:vAlign w:val="bottom"/>
          </w:tcPr>
          <w:p>
            <w:pPr>
              <w:pStyle w:val="TableContents"/>
              <w:bidi w:val="0"/>
              <w:spacing w:before="0" w:after="283"/>
              <w:jc w:val="left"/>
              <w:rPr/>
            </w:pPr>
            <w:r>
              <w:rPr/>
              <w:t>  </w:t>
            </w:r>
          </w:p>
        </w:tc>
        <w:tc>
          <w:tcPr>
            <w:tcW w:w="2623" w:type="dxa"/>
            <w:tcBorders/>
            <w:shd w:fill="CCEEFF" w:val="clear"/>
            <w:vAlign w:val="bottom"/>
          </w:tcPr>
          <w:p>
            <w:pPr>
              <w:pStyle w:val="TableContents"/>
              <w:bidi w:val="0"/>
              <w:spacing w:before="0" w:after="283"/>
              <w:jc w:val="left"/>
              <w:rPr/>
            </w:pPr>
            <w:r>
              <w:rPr/>
              <w:t>OH</w:t>
            </w:r>
          </w:p>
        </w:tc>
      </w:tr>
      <w:tr>
        <w:trPr/>
        <w:tc>
          <w:tcPr>
            <w:tcW w:w="7441" w:type="dxa"/>
            <w:tcBorders/>
          </w:tcPr>
          <w:p>
            <w:pPr>
              <w:pStyle w:val="TableContents"/>
              <w:bidi w:val="0"/>
              <w:spacing w:before="0" w:after="0"/>
              <w:jc w:val="left"/>
              <w:rPr>
                <w:rFonts w:ascii="Times New Roman" w:hAnsi="Times New Roman"/>
                <w:sz w:val="20"/>
              </w:rPr>
            </w:pPr>
            <w:r>
              <w:rPr>
                <w:rFonts w:ascii="Times New Roman" w:hAnsi="Times New Roman"/>
                <w:sz w:val="20"/>
              </w:rPr>
              <w:t>SE International Holdings II</w:t>
            </w:r>
          </w:p>
        </w:tc>
        <w:tc>
          <w:tcPr>
            <w:tcW w:w="141" w:type="dxa"/>
            <w:tcBorders/>
            <w:vAlign w:val="bottom"/>
          </w:tcPr>
          <w:p>
            <w:pPr>
              <w:pStyle w:val="TableContents"/>
              <w:bidi w:val="0"/>
              <w:spacing w:before="0" w:after="283"/>
              <w:jc w:val="left"/>
              <w:rPr/>
            </w:pPr>
            <w:r>
              <w:rPr/>
              <w:t>  </w:t>
            </w:r>
          </w:p>
        </w:tc>
        <w:tc>
          <w:tcPr>
            <w:tcW w:w="2623" w:type="dxa"/>
            <w:tcBorders/>
            <w:vAlign w:val="bottom"/>
          </w:tcPr>
          <w:p>
            <w:pPr>
              <w:pStyle w:val="TableContents"/>
              <w:bidi w:val="0"/>
              <w:spacing w:before="0" w:after="283"/>
              <w:jc w:val="left"/>
              <w:rPr/>
            </w:pPr>
            <w:r>
              <w:rPr/>
              <w:t>OH</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Canada:</w:t>
            </w:r>
          </w:p>
        </w:tc>
      </w:tr>
      <w:tr>
        <w:trPr/>
        <w:tc>
          <w:tcPr>
            <w:tcW w:w="7441" w:type="dxa"/>
            <w:tcBorders/>
          </w:tcPr>
          <w:p>
            <w:pPr>
              <w:pStyle w:val="TableContents"/>
              <w:bidi w:val="0"/>
              <w:spacing w:before="0" w:after="0"/>
              <w:jc w:val="left"/>
              <w:rPr>
                <w:rFonts w:ascii="Times New Roman" w:hAnsi="Times New Roman"/>
                <w:sz w:val="20"/>
              </w:rPr>
            </w:pPr>
            <w:r>
              <w:rPr>
                <w:rFonts w:ascii="Times New Roman" w:hAnsi="Times New Roman"/>
                <w:sz w:val="20"/>
              </w:rPr>
              <w:t>CROWN Metal Packaging Canada LP</w:t>
            </w:r>
          </w:p>
        </w:tc>
        <w:tc>
          <w:tcPr>
            <w:tcW w:w="141" w:type="dxa"/>
            <w:tcBorders/>
            <w:vAlign w:val="bottom"/>
          </w:tcPr>
          <w:p>
            <w:pPr>
              <w:pStyle w:val="TableContents"/>
              <w:bidi w:val="0"/>
              <w:spacing w:before="0" w:after="283"/>
              <w:jc w:val="left"/>
              <w:rPr/>
            </w:pPr>
            <w:r>
              <w:rPr/>
              <w:t>  </w:t>
            </w:r>
          </w:p>
        </w:tc>
        <w:tc>
          <w:tcPr>
            <w:tcW w:w="2623" w:type="dxa"/>
            <w:tcBorders/>
            <w:vAlign w:val="bottom"/>
          </w:tcPr>
          <w:p>
            <w:pPr>
              <w:pStyle w:val="TableContents"/>
              <w:bidi w:val="0"/>
              <w:spacing w:before="0" w:after="283"/>
              <w:jc w:val="left"/>
              <w:rPr/>
            </w:pPr>
            <w:r>
              <w:rPr/>
              <w:t>Ontario, Canada</w:t>
            </w:r>
          </w:p>
        </w:tc>
      </w:tr>
      <w:tr>
        <w:trPr/>
        <w:tc>
          <w:tcPr>
            <w:tcW w:w="74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3079939 Nova Scotia Company/3079939 Compagnie de la Nouvelle Ecosse</w:t>
            </w:r>
          </w:p>
        </w:tc>
        <w:tc>
          <w:tcPr>
            <w:tcW w:w="141" w:type="dxa"/>
            <w:tcBorders/>
            <w:shd w:fill="CCEEFF" w:val="clear"/>
            <w:vAlign w:val="bottom"/>
          </w:tcPr>
          <w:p>
            <w:pPr>
              <w:pStyle w:val="TableContents"/>
              <w:bidi w:val="0"/>
              <w:spacing w:before="0" w:after="283"/>
              <w:jc w:val="left"/>
              <w:rPr/>
            </w:pPr>
            <w:r>
              <w:rPr/>
              <w:t>  </w:t>
            </w:r>
          </w:p>
        </w:tc>
        <w:tc>
          <w:tcPr>
            <w:tcW w:w="2623" w:type="dxa"/>
            <w:tcBorders/>
            <w:shd w:fill="CCEEFF" w:val="clear"/>
            <w:vAlign w:val="bottom"/>
          </w:tcPr>
          <w:p>
            <w:pPr>
              <w:pStyle w:val="TableContents"/>
              <w:bidi w:val="0"/>
              <w:spacing w:before="0" w:after="283"/>
              <w:jc w:val="left"/>
              <w:rPr/>
            </w:pPr>
            <w:r>
              <w:rPr/>
              <w:t>Nova Scotia, Canada</w:t>
            </w:r>
          </w:p>
        </w:tc>
      </w:tr>
      <w:tr>
        <w:trPr/>
        <w:tc>
          <w:tcPr>
            <w:tcW w:w="7441" w:type="dxa"/>
            <w:tcBorders/>
          </w:tcPr>
          <w:p>
            <w:pPr>
              <w:pStyle w:val="TableContents"/>
              <w:bidi w:val="0"/>
              <w:spacing w:before="0" w:after="0"/>
              <w:jc w:val="left"/>
              <w:rPr>
                <w:rFonts w:ascii="Times New Roman" w:hAnsi="Times New Roman"/>
                <w:sz w:val="20"/>
              </w:rPr>
            </w:pPr>
            <w:r>
              <w:rPr>
                <w:rFonts w:ascii="Times New Roman" w:hAnsi="Times New Roman"/>
                <w:sz w:val="20"/>
              </w:rPr>
              <w:t>889273 Ontario Inc.</w:t>
            </w:r>
          </w:p>
        </w:tc>
        <w:tc>
          <w:tcPr>
            <w:tcW w:w="141" w:type="dxa"/>
            <w:tcBorders/>
            <w:vAlign w:val="bottom"/>
          </w:tcPr>
          <w:p>
            <w:pPr>
              <w:pStyle w:val="TableContents"/>
              <w:bidi w:val="0"/>
              <w:spacing w:before="0" w:after="283"/>
              <w:jc w:val="left"/>
              <w:rPr/>
            </w:pPr>
            <w:r>
              <w:rPr/>
              <w:t>  </w:t>
            </w:r>
          </w:p>
        </w:tc>
        <w:tc>
          <w:tcPr>
            <w:tcW w:w="2623" w:type="dxa"/>
            <w:tcBorders/>
            <w:vAlign w:val="bottom"/>
          </w:tcPr>
          <w:p>
            <w:pPr>
              <w:pStyle w:val="TableContents"/>
              <w:bidi w:val="0"/>
              <w:spacing w:before="0" w:after="283"/>
              <w:jc w:val="left"/>
              <w:rPr/>
            </w:pPr>
            <w:r>
              <w:rPr/>
              <w:t>Ontario, Canada</w:t>
            </w:r>
          </w:p>
        </w:tc>
      </w:tr>
      <w:tr>
        <w:trPr/>
        <w:tc>
          <w:tcPr>
            <w:tcW w:w="74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Crown Canadian Holdings ULC</w:t>
            </w:r>
          </w:p>
        </w:tc>
        <w:tc>
          <w:tcPr>
            <w:tcW w:w="141" w:type="dxa"/>
            <w:tcBorders/>
            <w:shd w:fill="CCEEFF" w:val="clear"/>
            <w:vAlign w:val="bottom"/>
          </w:tcPr>
          <w:p>
            <w:pPr>
              <w:pStyle w:val="TableContents"/>
              <w:bidi w:val="0"/>
              <w:spacing w:before="0" w:after="283"/>
              <w:jc w:val="left"/>
              <w:rPr/>
            </w:pPr>
            <w:r>
              <w:rPr/>
              <w:t>  </w:t>
            </w:r>
          </w:p>
        </w:tc>
        <w:tc>
          <w:tcPr>
            <w:tcW w:w="2623" w:type="dxa"/>
            <w:tcBorders/>
            <w:shd w:fill="CCEEFF" w:val="clear"/>
            <w:vAlign w:val="bottom"/>
          </w:tcPr>
          <w:p>
            <w:pPr>
              <w:pStyle w:val="TableContents"/>
              <w:bidi w:val="0"/>
              <w:spacing w:before="0" w:after="283"/>
              <w:jc w:val="left"/>
              <w:rPr/>
            </w:pPr>
            <w:r>
              <w:rPr/>
              <w:t>Nova Scotia, Canada</w:t>
            </w:r>
          </w:p>
        </w:tc>
      </w:tr>
      <w:tr>
        <w:trPr/>
        <w:tc>
          <w:tcPr>
            <w:tcW w:w="7441" w:type="dxa"/>
            <w:tcBorders/>
          </w:tcPr>
          <w:p>
            <w:pPr>
              <w:pStyle w:val="TableContents"/>
              <w:bidi w:val="0"/>
              <w:spacing w:before="0" w:after="0"/>
              <w:jc w:val="left"/>
              <w:rPr>
                <w:rFonts w:ascii="Times New Roman" w:hAnsi="Times New Roman"/>
                <w:sz w:val="20"/>
              </w:rPr>
            </w:pPr>
            <w:r>
              <w:rPr>
                <w:rFonts w:ascii="Times New Roman" w:hAnsi="Times New Roman"/>
                <w:sz w:val="20"/>
              </w:rPr>
              <w:t>CROWN Metal Packaging Canada Inc.</w:t>
            </w:r>
          </w:p>
        </w:tc>
        <w:tc>
          <w:tcPr>
            <w:tcW w:w="141" w:type="dxa"/>
            <w:tcBorders/>
            <w:vAlign w:val="bottom"/>
          </w:tcPr>
          <w:p>
            <w:pPr>
              <w:pStyle w:val="TableContents"/>
              <w:bidi w:val="0"/>
              <w:spacing w:before="0" w:after="283"/>
              <w:jc w:val="left"/>
              <w:rPr/>
            </w:pPr>
            <w:r>
              <w:rPr/>
              <w:t>  </w:t>
            </w:r>
          </w:p>
        </w:tc>
        <w:tc>
          <w:tcPr>
            <w:tcW w:w="2623" w:type="dxa"/>
            <w:tcBorders/>
            <w:vAlign w:val="bottom"/>
          </w:tcPr>
          <w:p>
            <w:pPr>
              <w:pStyle w:val="TableContents"/>
              <w:bidi w:val="0"/>
              <w:spacing w:before="0" w:after="283"/>
              <w:jc w:val="left"/>
              <w:rPr/>
            </w:pPr>
            <w:r>
              <w:rPr/>
              <w:t>Ontario, Canada</w:t>
            </w:r>
          </w:p>
        </w:tc>
      </w:tr>
      <w:tr>
        <w:trPr/>
        <w:tc>
          <w:tcPr>
            <w:tcW w:w="74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Signode Canada ULC</w:t>
            </w:r>
          </w:p>
        </w:tc>
        <w:tc>
          <w:tcPr>
            <w:tcW w:w="141" w:type="dxa"/>
            <w:tcBorders/>
            <w:shd w:fill="CCEEFF" w:val="clear"/>
            <w:vAlign w:val="bottom"/>
          </w:tcPr>
          <w:p>
            <w:pPr>
              <w:pStyle w:val="TableContents"/>
              <w:bidi w:val="0"/>
              <w:spacing w:before="0" w:after="283"/>
              <w:jc w:val="left"/>
              <w:rPr/>
            </w:pPr>
            <w:r>
              <w:rPr/>
              <w:t>  </w:t>
            </w:r>
          </w:p>
        </w:tc>
        <w:tc>
          <w:tcPr>
            <w:tcW w:w="2623" w:type="dxa"/>
            <w:tcBorders/>
            <w:shd w:fill="CCEEFF" w:val="clear"/>
            <w:vAlign w:val="bottom"/>
          </w:tcPr>
          <w:p>
            <w:pPr>
              <w:pStyle w:val="TableContents"/>
              <w:bidi w:val="0"/>
              <w:spacing w:before="0" w:after="283"/>
              <w:jc w:val="left"/>
              <w:rPr/>
            </w:pPr>
            <w:r>
              <w:rPr/>
              <w:t>Nova Scotia, Canada</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6972"/>
        <w:gridCol w:w="594"/>
        <w:gridCol w:w="2639"/>
      </w:tblGrid>
      <w:tr>
        <w:trPr/>
        <w:tc>
          <w:tcPr>
            <w:tcW w:w="6972" w:type="dxa"/>
            <w:tcBorders/>
            <w:vAlign w:val="center"/>
          </w:tcPr>
          <w:p>
            <w:pPr>
              <w:pStyle w:val="TableContents"/>
              <w:bidi w:val="0"/>
              <w:spacing w:before="0" w:after="283"/>
              <w:jc w:val="left"/>
              <w:rPr>
                <w:sz w:val="4"/>
                <w:szCs w:val="4"/>
              </w:rPr>
            </w:pPr>
            <w:r>
              <w:rPr>
                <w:sz w:val="4"/>
                <w:szCs w:val="4"/>
              </w:rPr>
            </w:r>
          </w:p>
        </w:tc>
        <w:tc>
          <w:tcPr>
            <w:tcW w:w="594" w:type="dxa"/>
            <w:tcBorders/>
            <w:vAlign w:val="bottom"/>
          </w:tcPr>
          <w:p>
            <w:pPr>
              <w:pStyle w:val="TableContents"/>
              <w:bidi w:val="0"/>
              <w:spacing w:before="0" w:after="283"/>
              <w:jc w:val="left"/>
              <w:rPr>
                <w:sz w:val="4"/>
                <w:szCs w:val="4"/>
              </w:rPr>
            </w:pPr>
            <w:r>
              <w:rPr>
                <w:sz w:val="4"/>
                <w:szCs w:val="4"/>
              </w:rPr>
            </w:r>
          </w:p>
        </w:tc>
        <w:tc>
          <w:tcPr>
            <w:tcW w:w="2639" w:type="dxa"/>
            <w:tcBorders/>
            <w:vAlign w:val="center"/>
          </w:tcPr>
          <w:p>
            <w:pPr>
              <w:pStyle w:val="TableContents"/>
              <w:bidi w:val="0"/>
              <w:spacing w:before="0" w:after="283"/>
              <w:jc w:val="left"/>
              <w:rPr>
                <w:sz w:val="4"/>
                <w:szCs w:val="4"/>
              </w:rPr>
            </w:pPr>
            <w:r>
              <w:rPr>
                <w:sz w:val="4"/>
                <w:szCs w:val="4"/>
              </w:rPr>
            </w:r>
          </w:p>
        </w:tc>
      </w:tr>
      <w:tr>
        <w:trPr/>
        <w:tc>
          <w:tcPr>
            <w:tcW w:w="697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Guarantors</w:t>
            </w:r>
          </w:p>
        </w:tc>
        <w:tc>
          <w:tcPr>
            <w:tcW w:w="594" w:type="dxa"/>
            <w:tcBorders/>
            <w:vAlign w:val="bottom"/>
          </w:tcPr>
          <w:p>
            <w:pPr>
              <w:pStyle w:val="TableContents"/>
              <w:bidi w:val="0"/>
              <w:spacing w:before="0" w:after="283"/>
              <w:jc w:val="left"/>
              <w:rPr/>
            </w:pPr>
            <w:r>
              <w:rPr/>
              <w:t>  </w:t>
            </w:r>
          </w:p>
        </w:tc>
        <w:tc>
          <w:tcPr>
            <w:tcW w:w="2639" w:type="dxa"/>
            <w:tcBorders>
              <w:bottom w:val="single" w:sz="8" w:space="0" w:color="000000"/>
            </w:tcBorders>
            <w:tcMar>
              <w:bottom w:w="28" w:type="dxa"/>
            </w:tcMar>
            <w:vAlign w:val="bottom"/>
          </w:tcPr>
          <w:p>
            <w:pPr>
              <w:pStyle w:val="TableContents"/>
              <w:bidi w:val="0"/>
              <w:spacing w:before="0" w:after="283"/>
              <w:jc w:val="left"/>
              <w:rPr>
                <w:b/>
              </w:rPr>
            </w:pPr>
            <w:r>
              <w:rPr>
                <w:b/>
              </w:rPr>
              <w:t>Jurisdiction of Formation</w:t>
            </w:r>
          </w:p>
        </w:tc>
      </w:tr>
      <w:tr>
        <w:trPr/>
        <w:tc>
          <w:tcPr>
            <w:tcW w:w="10205" w:type="dxa"/>
            <w:gridSpan w:val="3"/>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France:</w:t>
            </w:r>
          </w:p>
        </w:tc>
      </w:tr>
      <w:tr>
        <w:trPr/>
        <w:tc>
          <w:tcPr>
            <w:tcW w:w="6972" w:type="dxa"/>
            <w:tcBorders/>
          </w:tcPr>
          <w:p>
            <w:pPr>
              <w:pStyle w:val="TableContents"/>
              <w:bidi w:val="0"/>
              <w:spacing w:before="0" w:after="0"/>
              <w:jc w:val="left"/>
              <w:rPr>
                <w:rFonts w:ascii="Times New Roman" w:hAnsi="Times New Roman"/>
                <w:sz w:val="20"/>
              </w:rPr>
            </w:pPr>
            <w:r>
              <w:rPr>
                <w:rFonts w:ascii="Times New Roman" w:hAnsi="Times New Roman"/>
                <w:sz w:val="20"/>
              </w:rPr>
              <w:t>Crown Bevcan France SAS</w:t>
            </w:r>
          </w:p>
        </w:tc>
        <w:tc>
          <w:tcPr>
            <w:tcW w:w="594" w:type="dxa"/>
            <w:tcBorders/>
            <w:vAlign w:val="bottom"/>
          </w:tcPr>
          <w:p>
            <w:pPr>
              <w:pStyle w:val="TableContents"/>
              <w:bidi w:val="0"/>
              <w:spacing w:before="0" w:after="283"/>
              <w:jc w:val="left"/>
              <w:rPr/>
            </w:pPr>
            <w:r>
              <w:rPr/>
              <w:t>  </w:t>
            </w:r>
          </w:p>
        </w:tc>
        <w:tc>
          <w:tcPr>
            <w:tcW w:w="2639" w:type="dxa"/>
            <w:tcBorders/>
            <w:vAlign w:val="bottom"/>
          </w:tcPr>
          <w:p>
            <w:pPr>
              <w:pStyle w:val="TableContents"/>
              <w:bidi w:val="0"/>
              <w:spacing w:before="0" w:after="283"/>
              <w:jc w:val="left"/>
              <w:rPr/>
            </w:pPr>
            <w:r>
              <w:rPr/>
              <w:t>France</w:t>
            </w:r>
          </w:p>
        </w:tc>
      </w:tr>
      <w:tr>
        <w:trPr/>
        <w:tc>
          <w:tcPr>
            <w:tcW w:w="6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Crown Développement</w:t>
            </w:r>
          </w:p>
        </w:tc>
        <w:tc>
          <w:tcPr>
            <w:tcW w:w="594" w:type="dxa"/>
            <w:tcBorders/>
            <w:shd w:fill="CCEEFF" w:val="clear"/>
            <w:vAlign w:val="bottom"/>
          </w:tcPr>
          <w:p>
            <w:pPr>
              <w:pStyle w:val="TableContents"/>
              <w:bidi w:val="0"/>
              <w:spacing w:before="0" w:after="283"/>
              <w:jc w:val="left"/>
              <w:rPr/>
            </w:pPr>
            <w:r>
              <w:rPr/>
              <w:t>  </w:t>
            </w:r>
          </w:p>
        </w:tc>
        <w:tc>
          <w:tcPr>
            <w:tcW w:w="2639" w:type="dxa"/>
            <w:tcBorders/>
            <w:shd w:fill="CCEEFF" w:val="clear"/>
            <w:vAlign w:val="bottom"/>
          </w:tcPr>
          <w:p>
            <w:pPr>
              <w:pStyle w:val="TableContents"/>
              <w:bidi w:val="0"/>
              <w:spacing w:before="0" w:after="283"/>
              <w:jc w:val="left"/>
              <w:rPr/>
            </w:pPr>
            <w:r>
              <w:rPr/>
              <w:t>France</w:t>
            </w:r>
          </w:p>
        </w:tc>
      </w:tr>
      <w:tr>
        <w:trPr/>
        <w:tc>
          <w:tcPr>
            <w:tcW w:w="6972" w:type="dxa"/>
            <w:tcBorders/>
          </w:tcPr>
          <w:p>
            <w:pPr>
              <w:pStyle w:val="TableContents"/>
              <w:bidi w:val="0"/>
              <w:spacing w:before="0" w:after="0"/>
              <w:jc w:val="left"/>
              <w:rPr>
                <w:rFonts w:ascii="Times New Roman" w:hAnsi="Times New Roman"/>
                <w:sz w:val="20"/>
              </w:rPr>
            </w:pPr>
            <w:r>
              <w:rPr>
                <w:rFonts w:ascii="Times New Roman" w:hAnsi="Times New Roman"/>
                <w:sz w:val="20"/>
              </w:rPr>
              <w:t>Crown Europe SAS</w:t>
            </w:r>
          </w:p>
        </w:tc>
        <w:tc>
          <w:tcPr>
            <w:tcW w:w="594" w:type="dxa"/>
            <w:tcBorders/>
            <w:vAlign w:val="bottom"/>
          </w:tcPr>
          <w:p>
            <w:pPr>
              <w:pStyle w:val="TableContents"/>
              <w:bidi w:val="0"/>
              <w:spacing w:before="0" w:after="283"/>
              <w:jc w:val="left"/>
              <w:rPr/>
            </w:pPr>
            <w:r>
              <w:rPr/>
              <w:t>  </w:t>
            </w:r>
          </w:p>
        </w:tc>
        <w:tc>
          <w:tcPr>
            <w:tcW w:w="2639" w:type="dxa"/>
            <w:tcBorders/>
            <w:vAlign w:val="bottom"/>
          </w:tcPr>
          <w:p>
            <w:pPr>
              <w:pStyle w:val="TableContents"/>
              <w:bidi w:val="0"/>
              <w:spacing w:before="0" w:after="283"/>
              <w:jc w:val="left"/>
              <w:rPr/>
            </w:pPr>
            <w:r>
              <w:rPr/>
              <w:t>France</w:t>
            </w:r>
          </w:p>
        </w:tc>
      </w:tr>
      <w:tr>
        <w:trPr/>
        <w:tc>
          <w:tcPr>
            <w:tcW w:w="6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Société Civile Immobiliére des Bacquets</w:t>
            </w:r>
          </w:p>
        </w:tc>
        <w:tc>
          <w:tcPr>
            <w:tcW w:w="594" w:type="dxa"/>
            <w:tcBorders/>
            <w:shd w:fill="CCEEFF" w:val="clear"/>
            <w:vAlign w:val="bottom"/>
          </w:tcPr>
          <w:p>
            <w:pPr>
              <w:pStyle w:val="TableContents"/>
              <w:bidi w:val="0"/>
              <w:spacing w:before="0" w:after="283"/>
              <w:jc w:val="left"/>
              <w:rPr/>
            </w:pPr>
            <w:r>
              <w:rPr/>
              <w:t>  </w:t>
            </w:r>
          </w:p>
        </w:tc>
        <w:tc>
          <w:tcPr>
            <w:tcW w:w="2639" w:type="dxa"/>
            <w:tcBorders/>
            <w:shd w:fill="CCEEFF" w:val="clear"/>
            <w:vAlign w:val="bottom"/>
          </w:tcPr>
          <w:p>
            <w:pPr>
              <w:pStyle w:val="TableContents"/>
              <w:bidi w:val="0"/>
              <w:spacing w:before="0" w:after="283"/>
              <w:jc w:val="left"/>
              <w:rPr/>
            </w:pPr>
            <w:r>
              <w:rPr/>
              <w:t>France</w:t>
            </w:r>
          </w:p>
        </w:tc>
      </w:tr>
      <w:tr>
        <w:trPr/>
        <w:tc>
          <w:tcPr>
            <w:tcW w:w="6972" w:type="dxa"/>
            <w:tcBorders/>
          </w:tcPr>
          <w:p>
            <w:pPr>
              <w:pStyle w:val="TableContents"/>
              <w:bidi w:val="0"/>
              <w:spacing w:before="0" w:after="0"/>
              <w:jc w:val="left"/>
              <w:rPr>
                <w:rFonts w:ascii="Times New Roman" w:hAnsi="Times New Roman"/>
                <w:sz w:val="20"/>
              </w:rPr>
            </w:pPr>
            <w:r>
              <w:rPr>
                <w:rFonts w:ascii="Times New Roman" w:hAnsi="Times New Roman"/>
                <w:sz w:val="20"/>
              </w:rPr>
              <w:t>Société Civile Immobiliére Rousseau-Ivry</w:t>
            </w:r>
          </w:p>
        </w:tc>
        <w:tc>
          <w:tcPr>
            <w:tcW w:w="594" w:type="dxa"/>
            <w:tcBorders/>
            <w:vAlign w:val="bottom"/>
          </w:tcPr>
          <w:p>
            <w:pPr>
              <w:pStyle w:val="TableContents"/>
              <w:bidi w:val="0"/>
              <w:spacing w:before="0" w:after="283"/>
              <w:jc w:val="left"/>
              <w:rPr/>
            </w:pPr>
            <w:r>
              <w:rPr/>
              <w:t>  </w:t>
            </w:r>
          </w:p>
        </w:tc>
        <w:tc>
          <w:tcPr>
            <w:tcW w:w="2639" w:type="dxa"/>
            <w:tcBorders/>
            <w:vAlign w:val="bottom"/>
          </w:tcPr>
          <w:p>
            <w:pPr>
              <w:pStyle w:val="TableContents"/>
              <w:bidi w:val="0"/>
              <w:spacing w:before="0" w:after="283"/>
              <w:jc w:val="left"/>
              <w:rPr/>
            </w:pPr>
            <w:r>
              <w:rPr/>
              <w:t>France</w:t>
            </w:r>
          </w:p>
        </w:tc>
      </w:tr>
      <w:tr>
        <w:trPr/>
        <w:tc>
          <w:tcPr>
            <w:tcW w:w="6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SPG France Holdings SAS</w:t>
            </w:r>
          </w:p>
        </w:tc>
        <w:tc>
          <w:tcPr>
            <w:tcW w:w="594" w:type="dxa"/>
            <w:tcBorders/>
            <w:shd w:fill="CCEEFF" w:val="clear"/>
            <w:vAlign w:val="bottom"/>
          </w:tcPr>
          <w:p>
            <w:pPr>
              <w:pStyle w:val="TableContents"/>
              <w:bidi w:val="0"/>
              <w:spacing w:before="0" w:after="283"/>
              <w:jc w:val="left"/>
              <w:rPr/>
            </w:pPr>
            <w:r>
              <w:rPr/>
              <w:t>  </w:t>
            </w:r>
          </w:p>
        </w:tc>
        <w:tc>
          <w:tcPr>
            <w:tcW w:w="2639" w:type="dxa"/>
            <w:tcBorders/>
            <w:shd w:fill="CCEEFF" w:val="clear"/>
            <w:vAlign w:val="bottom"/>
          </w:tcPr>
          <w:p>
            <w:pPr>
              <w:pStyle w:val="TableContents"/>
              <w:bidi w:val="0"/>
              <w:spacing w:before="0" w:after="283"/>
              <w:jc w:val="left"/>
              <w:rPr/>
            </w:pPr>
            <w:r>
              <w:rPr/>
              <w:t>France</w:t>
            </w:r>
          </w:p>
        </w:tc>
      </w:tr>
      <w:tr>
        <w:trPr/>
        <w:tc>
          <w:tcPr>
            <w:tcW w:w="6972" w:type="dxa"/>
            <w:tcBorders/>
          </w:tcPr>
          <w:p>
            <w:pPr>
              <w:pStyle w:val="TableContents"/>
              <w:bidi w:val="0"/>
              <w:spacing w:before="0" w:after="0"/>
              <w:jc w:val="left"/>
              <w:rPr>
                <w:rFonts w:ascii="Times New Roman" w:hAnsi="Times New Roman"/>
                <w:sz w:val="20"/>
              </w:rPr>
            </w:pPr>
            <w:r>
              <w:rPr>
                <w:rFonts w:ascii="Times New Roman" w:hAnsi="Times New Roman"/>
                <w:sz w:val="20"/>
              </w:rPr>
              <w:t>Signode France SAS</w:t>
            </w:r>
          </w:p>
        </w:tc>
        <w:tc>
          <w:tcPr>
            <w:tcW w:w="594" w:type="dxa"/>
            <w:tcBorders/>
            <w:vAlign w:val="bottom"/>
          </w:tcPr>
          <w:p>
            <w:pPr>
              <w:pStyle w:val="TableContents"/>
              <w:bidi w:val="0"/>
              <w:spacing w:before="0" w:after="283"/>
              <w:jc w:val="left"/>
              <w:rPr/>
            </w:pPr>
            <w:r>
              <w:rPr/>
              <w:t>  </w:t>
            </w:r>
          </w:p>
        </w:tc>
        <w:tc>
          <w:tcPr>
            <w:tcW w:w="2639" w:type="dxa"/>
            <w:tcBorders/>
            <w:vAlign w:val="bottom"/>
          </w:tcPr>
          <w:p>
            <w:pPr>
              <w:pStyle w:val="TableContents"/>
              <w:bidi w:val="0"/>
              <w:spacing w:before="0" w:after="283"/>
              <w:jc w:val="left"/>
              <w:rPr/>
            </w:pPr>
            <w:r>
              <w:rPr/>
              <w:t>France</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Germany:</w:t>
            </w:r>
          </w:p>
        </w:tc>
      </w:tr>
      <w:tr>
        <w:trPr/>
        <w:tc>
          <w:tcPr>
            <w:tcW w:w="6972" w:type="dxa"/>
            <w:tcBorders/>
          </w:tcPr>
          <w:p>
            <w:pPr>
              <w:pStyle w:val="TableContents"/>
              <w:bidi w:val="0"/>
              <w:spacing w:before="0" w:after="0"/>
              <w:jc w:val="left"/>
              <w:rPr>
                <w:rFonts w:ascii="Times New Roman" w:hAnsi="Times New Roman"/>
                <w:sz w:val="20"/>
              </w:rPr>
            </w:pPr>
            <w:r>
              <w:rPr>
                <w:rFonts w:ascii="Times New Roman" w:hAnsi="Times New Roman"/>
                <w:sz w:val="20"/>
              </w:rPr>
              <w:t>Crown Cork &amp; Seal Deutschland Holdings GmbH</w:t>
            </w:r>
          </w:p>
        </w:tc>
        <w:tc>
          <w:tcPr>
            <w:tcW w:w="594" w:type="dxa"/>
            <w:tcBorders/>
            <w:vAlign w:val="bottom"/>
          </w:tcPr>
          <w:p>
            <w:pPr>
              <w:pStyle w:val="TableContents"/>
              <w:bidi w:val="0"/>
              <w:spacing w:before="0" w:after="283"/>
              <w:jc w:val="left"/>
              <w:rPr/>
            </w:pPr>
            <w:r>
              <w:rPr/>
              <w:t>  </w:t>
            </w:r>
          </w:p>
        </w:tc>
        <w:tc>
          <w:tcPr>
            <w:tcW w:w="2639" w:type="dxa"/>
            <w:tcBorders/>
            <w:vAlign w:val="bottom"/>
          </w:tcPr>
          <w:p>
            <w:pPr>
              <w:pStyle w:val="TableContents"/>
              <w:bidi w:val="0"/>
              <w:spacing w:before="0" w:after="283"/>
              <w:jc w:val="left"/>
              <w:rPr/>
            </w:pPr>
            <w:r>
              <w:rPr/>
              <w:t>Germany</w:t>
            </w:r>
          </w:p>
        </w:tc>
      </w:tr>
      <w:tr>
        <w:trPr/>
        <w:tc>
          <w:tcPr>
            <w:tcW w:w="6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Signode Packaging Systems GmbH</w:t>
            </w:r>
          </w:p>
        </w:tc>
        <w:tc>
          <w:tcPr>
            <w:tcW w:w="594" w:type="dxa"/>
            <w:tcBorders/>
            <w:shd w:fill="CCEEFF" w:val="clear"/>
            <w:vAlign w:val="bottom"/>
          </w:tcPr>
          <w:p>
            <w:pPr>
              <w:pStyle w:val="TableContents"/>
              <w:bidi w:val="0"/>
              <w:spacing w:before="0" w:after="283"/>
              <w:jc w:val="left"/>
              <w:rPr/>
            </w:pPr>
            <w:r>
              <w:rPr/>
              <w:t>  </w:t>
            </w:r>
          </w:p>
        </w:tc>
        <w:tc>
          <w:tcPr>
            <w:tcW w:w="2639" w:type="dxa"/>
            <w:tcBorders/>
            <w:shd w:fill="CCEEFF" w:val="clear"/>
            <w:vAlign w:val="bottom"/>
          </w:tcPr>
          <w:p>
            <w:pPr>
              <w:pStyle w:val="TableContents"/>
              <w:bidi w:val="0"/>
              <w:spacing w:before="0" w:after="283"/>
              <w:jc w:val="left"/>
              <w:rPr/>
            </w:pPr>
            <w:r>
              <w:rPr/>
              <w:t>Germany</w:t>
            </w:r>
          </w:p>
        </w:tc>
      </w:tr>
      <w:tr>
        <w:trPr/>
        <w:tc>
          <w:tcPr>
            <w:tcW w:w="6972" w:type="dxa"/>
            <w:tcBorders/>
          </w:tcPr>
          <w:p>
            <w:pPr>
              <w:pStyle w:val="TableContents"/>
              <w:bidi w:val="0"/>
              <w:spacing w:before="0" w:after="0"/>
              <w:jc w:val="left"/>
              <w:rPr>
                <w:rFonts w:ascii="Times New Roman" w:hAnsi="Times New Roman"/>
                <w:sz w:val="20"/>
              </w:rPr>
            </w:pPr>
            <w:r>
              <w:rPr>
                <w:rFonts w:ascii="Times New Roman" w:hAnsi="Times New Roman"/>
                <w:sz w:val="20"/>
              </w:rPr>
              <w:t>Mezger Heftsysteme GmbH</w:t>
            </w:r>
          </w:p>
        </w:tc>
        <w:tc>
          <w:tcPr>
            <w:tcW w:w="594" w:type="dxa"/>
            <w:tcBorders/>
            <w:vAlign w:val="bottom"/>
          </w:tcPr>
          <w:p>
            <w:pPr>
              <w:pStyle w:val="TableContents"/>
              <w:bidi w:val="0"/>
              <w:spacing w:before="0" w:after="283"/>
              <w:jc w:val="left"/>
              <w:rPr/>
            </w:pPr>
            <w:r>
              <w:rPr/>
              <w:t>  </w:t>
            </w:r>
          </w:p>
        </w:tc>
        <w:tc>
          <w:tcPr>
            <w:tcW w:w="2639" w:type="dxa"/>
            <w:tcBorders/>
            <w:vAlign w:val="bottom"/>
          </w:tcPr>
          <w:p>
            <w:pPr>
              <w:pStyle w:val="TableContents"/>
              <w:bidi w:val="0"/>
              <w:spacing w:before="0" w:after="283"/>
              <w:jc w:val="left"/>
              <w:rPr/>
            </w:pPr>
            <w:r>
              <w:rPr/>
              <w:t>Germany</w:t>
            </w:r>
          </w:p>
        </w:tc>
      </w:tr>
      <w:tr>
        <w:trPr/>
        <w:tc>
          <w:tcPr>
            <w:tcW w:w="6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Signode System GmbH</w:t>
            </w:r>
          </w:p>
        </w:tc>
        <w:tc>
          <w:tcPr>
            <w:tcW w:w="594" w:type="dxa"/>
            <w:tcBorders/>
            <w:shd w:fill="CCEEFF" w:val="clear"/>
            <w:vAlign w:val="bottom"/>
          </w:tcPr>
          <w:p>
            <w:pPr>
              <w:pStyle w:val="TableContents"/>
              <w:bidi w:val="0"/>
              <w:spacing w:before="0" w:after="283"/>
              <w:jc w:val="left"/>
              <w:rPr/>
            </w:pPr>
            <w:r>
              <w:rPr/>
              <w:t>  </w:t>
            </w:r>
          </w:p>
        </w:tc>
        <w:tc>
          <w:tcPr>
            <w:tcW w:w="2639" w:type="dxa"/>
            <w:tcBorders/>
            <w:shd w:fill="CCEEFF" w:val="clear"/>
            <w:vAlign w:val="bottom"/>
          </w:tcPr>
          <w:p>
            <w:pPr>
              <w:pStyle w:val="TableContents"/>
              <w:bidi w:val="0"/>
              <w:spacing w:before="0" w:after="283"/>
              <w:jc w:val="left"/>
              <w:rPr/>
            </w:pPr>
            <w:r>
              <w:rPr/>
              <w:t>Germany</w:t>
            </w:r>
          </w:p>
        </w:tc>
      </w:tr>
      <w:tr>
        <w:trPr/>
        <w:tc>
          <w:tcPr>
            <w:tcW w:w="6972" w:type="dxa"/>
            <w:tcBorders/>
          </w:tcPr>
          <w:p>
            <w:pPr>
              <w:pStyle w:val="TableContents"/>
              <w:bidi w:val="0"/>
              <w:spacing w:before="0" w:after="0"/>
              <w:jc w:val="left"/>
              <w:rPr>
                <w:rFonts w:ascii="Times New Roman" w:hAnsi="Times New Roman"/>
                <w:sz w:val="20"/>
              </w:rPr>
            </w:pPr>
            <w:r>
              <w:rPr>
                <w:rFonts w:ascii="Times New Roman" w:hAnsi="Times New Roman"/>
                <w:sz w:val="20"/>
              </w:rPr>
              <w:t>SPG Germany Service Management GmbH</w:t>
            </w:r>
          </w:p>
        </w:tc>
        <w:tc>
          <w:tcPr>
            <w:tcW w:w="594" w:type="dxa"/>
            <w:tcBorders/>
            <w:vAlign w:val="bottom"/>
          </w:tcPr>
          <w:p>
            <w:pPr>
              <w:pStyle w:val="TableContents"/>
              <w:bidi w:val="0"/>
              <w:spacing w:before="0" w:after="283"/>
              <w:jc w:val="left"/>
              <w:rPr/>
            </w:pPr>
            <w:r>
              <w:rPr/>
              <w:t>  </w:t>
            </w:r>
          </w:p>
        </w:tc>
        <w:tc>
          <w:tcPr>
            <w:tcW w:w="2639" w:type="dxa"/>
            <w:tcBorders/>
            <w:vAlign w:val="bottom"/>
          </w:tcPr>
          <w:p>
            <w:pPr>
              <w:pStyle w:val="TableContents"/>
              <w:bidi w:val="0"/>
              <w:spacing w:before="0" w:after="283"/>
              <w:jc w:val="left"/>
              <w:rPr/>
            </w:pPr>
            <w:r>
              <w:rPr/>
              <w:t>Germany</w:t>
            </w:r>
          </w:p>
        </w:tc>
      </w:tr>
      <w:tr>
        <w:trPr/>
        <w:tc>
          <w:tcPr>
            <w:tcW w:w="6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Signode Germany GmbH</w:t>
            </w:r>
          </w:p>
        </w:tc>
        <w:tc>
          <w:tcPr>
            <w:tcW w:w="594" w:type="dxa"/>
            <w:tcBorders/>
            <w:shd w:fill="CCEEFF" w:val="clear"/>
            <w:vAlign w:val="bottom"/>
          </w:tcPr>
          <w:p>
            <w:pPr>
              <w:pStyle w:val="TableContents"/>
              <w:bidi w:val="0"/>
              <w:spacing w:before="0" w:after="283"/>
              <w:jc w:val="left"/>
              <w:rPr/>
            </w:pPr>
            <w:r>
              <w:rPr/>
              <w:t>  </w:t>
            </w:r>
          </w:p>
        </w:tc>
        <w:tc>
          <w:tcPr>
            <w:tcW w:w="2639" w:type="dxa"/>
            <w:tcBorders/>
            <w:shd w:fill="CCEEFF" w:val="clear"/>
            <w:vAlign w:val="bottom"/>
          </w:tcPr>
          <w:p>
            <w:pPr>
              <w:pStyle w:val="TableContents"/>
              <w:bidi w:val="0"/>
              <w:spacing w:before="0" w:after="283"/>
              <w:jc w:val="left"/>
              <w:rPr/>
            </w:pPr>
            <w:r>
              <w:rPr/>
              <w:t>Germany</w:t>
            </w:r>
          </w:p>
        </w:tc>
      </w:tr>
      <w:tr>
        <w:trPr/>
        <w:tc>
          <w:tcPr>
            <w:tcW w:w="6972" w:type="dxa"/>
            <w:tcBorders/>
          </w:tcPr>
          <w:p>
            <w:pPr>
              <w:pStyle w:val="TableContents"/>
              <w:bidi w:val="0"/>
              <w:spacing w:before="0" w:after="0"/>
              <w:jc w:val="left"/>
              <w:rPr>
                <w:rFonts w:ascii="Times New Roman" w:hAnsi="Times New Roman"/>
                <w:sz w:val="20"/>
              </w:rPr>
            </w:pPr>
            <w:r>
              <w:rPr>
                <w:rFonts w:ascii="Times New Roman" w:hAnsi="Times New Roman"/>
                <w:sz w:val="20"/>
              </w:rPr>
              <w:t>SMP Schwede Maschinenbau Weischlitz GmbH</w:t>
            </w:r>
          </w:p>
        </w:tc>
        <w:tc>
          <w:tcPr>
            <w:tcW w:w="594" w:type="dxa"/>
            <w:tcBorders/>
            <w:vAlign w:val="bottom"/>
          </w:tcPr>
          <w:p>
            <w:pPr>
              <w:pStyle w:val="TableContents"/>
              <w:bidi w:val="0"/>
              <w:spacing w:before="0" w:after="283"/>
              <w:jc w:val="left"/>
              <w:rPr/>
            </w:pPr>
            <w:r>
              <w:rPr/>
              <w:t>  </w:t>
            </w:r>
          </w:p>
        </w:tc>
        <w:tc>
          <w:tcPr>
            <w:tcW w:w="2639" w:type="dxa"/>
            <w:tcBorders/>
            <w:vAlign w:val="bottom"/>
          </w:tcPr>
          <w:p>
            <w:pPr>
              <w:pStyle w:val="TableContents"/>
              <w:bidi w:val="0"/>
              <w:spacing w:before="0" w:after="283"/>
              <w:jc w:val="left"/>
              <w:rPr/>
            </w:pPr>
            <w:r>
              <w:rPr/>
              <w:t>Germany</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Luxembourg:</w:t>
            </w:r>
          </w:p>
        </w:tc>
      </w:tr>
      <w:tr>
        <w:trPr/>
        <w:tc>
          <w:tcPr>
            <w:tcW w:w="6972" w:type="dxa"/>
            <w:tcBorders/>
          </w:tcPr>
          <w:p>
            <w:pPr>
              <w:pStyle w:val="TableContents"/>
              <w:bidi w:val="0"/>
              <w:spacing w:before="0" w:after="0"/>
              <w:jc w:val="left"/>
              <w:rPr>
                <w:rFonts w:ascii="Times New Roman" w:hAnsi="Times New Roman"/>
                <w:sz w:val="20"/>
              </w:rPr>
            </w:pPr>
            <w:r>
              <w:rPr>
                <w:rFonts w:ascii="Times New Roman" w:hAnsi="Times New Roman"/>
                <w:sz w:val="20"/>
              </w:rPr>
              <w:t>Crown Packaging Lux III, S.à r.l.</w:t>
            </w:r>
          </w:p>
        </w:tc>
        <w:tc>
          <w:tcPr>
            <w:tcW w:w="594" w:type="dxa"/>
            <w:tcBorders/>
            <w:vAlign w:val="bottom"/>
          </w:tcPr>
          <w:p>
            <w:pPr>
              <w:pStyle w:val="TableContents"/>
              <w:bidi w:val="0"/>
              <w:spacing w:before="0" w:after="283"/>
              <w:jc w:val="left"/>
              <w:rPr/>
            </w:pPr>
            <w:r>
              <w:rPr/>
              <w:t>  </w:t>
            </w:r>
          </w:p>
        </w:tc>
        <w:tc>
          <w:tcPr>
            <w:tcW w:w="2639" w:type="dxa"/>
            <w:tcBorders/>
            <w:vAlign w:val="bottom"/>
          </w:tcPr>
          <w:p>
            <w:pPr>
              <w:pStyle w:val="TableContents"/>
              <w:bidi w:val="0"/>
              <w:spacing w:before="0" w:after="283"/>
              <w:jc w:val="left"/>
              <w:rPr/>
            </w:pPr>
            <w:r>
              <w:rPr/>
              <w:t>Luxembourg</w:t>
            </w:r>
          </w:p>
        </w:tc>
      </w:tr>
      <w:tr>
        <w:trPr/>
        <w:tc>
          <w:tcPr>
            <w:tcW w:w="6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Signode Industrial Group Lux S.A.</w:t>
            </w:r>
          </w:p>
        </w:tc>
        <w:tc>
          <w:tcPr>
            <w:tcW w:w="594" w:type="dxa"/>
            <w:tcBorders/>
            <w:shd w:fill="CCEEFF" w:val="clear"/>
            <w:vAlign w:val="bottom"/>
          </w:tcPr>
          <w:p>
            <w:pPr>
              <w:pStyle w:val="TableContents"/>
              <w:bidi w:val="0"/>
              <w:spacing w:before="0" w:after="283"/>
              <w:jc w:val="left"/>
              <w:rPr/>
            </w:pPr>
            <w:r>
              <w:rPr/>
              <w:t>  </w:t>
            </w:r>
          </w:p>
        </w:tc>
        <w:tc>
          <w:tcPr>
            <w:tcW w:w="2639" w:type="dxa"/>
            <w:tcBorders/>
            <w:shd w:fill="CCEEFF" w:val="clear"/>
            <w:vAlign w:val="bottom"/>
          </w:tcPr>
          <w:p>
            <w:pPr>
              <w:pStyle w:val="TableContents"/>
              <w:bidi w:val="0"/>
              <w:spacing w:before="0" w:after="283"/>
              <w:jc w:val="left"/>
              <w:rPr/>
            </w:pPr>
            <w:r>
              <w:rPr/>
              <w:t>Luxembourg</w:t>
            </w:r>
          </w:p>
        </w:tc>
      </w:tr>
      <w:tr>
        <w:trPr/>
        <w:tc>
          <w:tcPr>
            <w:tcW w:w="6972" w:type="dxa"/>
            <w:tcBorders/>
          </w:tcPr>
          <w:p>
            <w:pPr>
              <w:pStyle w:val="TableContents"/>
              <w:bidi w:val="0"/>
              <w:spacing w:before="0" w:after="0"/>
              <w:jc w:val="left"/>
              <w:rPr>
                <w:rFonts w:ascii="Times New Roman" w:hAnsi="Times New Roman"/>
                <w:sz w:val="20"/>
              </w:rPr>
            </w:pPr>
            <w:r>
              <w:rPr>
                <w:rFonts w:ascii="Times New Roman" w:hAnsi="Times New Roman"/>
                <w:sz w:val="20"/>
              </w:rPr>
              <w:t>Signode Luxembourg S.à r.l.</w:t>
            </w:r>
          </w:p>
        </w:tc>
        <w:tc>
          <w:tcPr>
            <w:tcW w:w="594" w:type="dxa"/>
            <w:tcBorders/>
            <w:vAlign w:val="bottom"/>
          </w:tcPr>
          <w:p>
            <w:pPr>
              <w:pStyle w:val="TableContents"/>
              <w:bidi w:val="0"/>
              <w:spacing w:before="0" w:after="283"/>
              <w:jc w:val="left"/>
              <w:rPr/>
            </w:pPr>
            <w:r>
              <w:rPr/>
              <w:t>  </w:t>
            </w:r>
          </w:p>
        </w:tc>
        <w:tc>
          <w:tcPr>
            <w:tcW w:w="2639" w:type="dxa"/>
            <w:tcBorders/>
            <w:vAlign w:val="bottom"/>
          </w:tcPr>
          <w:p>
            <w:pPr>
              <w:pStyle w:val="TableContents"/>
              <w:bidi w:val="0"/>
              <w:spacing w:before="0" w:after="283"/>
              <w:jc w:val="left"/>
              <w:rPr/>
            </w:pPr>
            <w:r>
              <w:rPr/>
              <w:t>Luxembourg</w:t>
            </w:r>
          </w:p>
        </w:tc>
      </w:tr>
      <w:tr>
        <w:trPr/>
        <w:tc>
          <w:tcPr>
            <w:tcW w:w="6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SPG Industrial Packaging S.à r.l.</w:t>
            </w:r>
          </w:p>
        </w:tc>
        <w:tc>
          <w:tcPr>
            <w:tcW w:w="594" w:type="dxa"/>
            <w:tcBorders/>
            <w:shd w:fill="CCEEFF" w:val="clear"/>
            <w:vAlign w:val="bottom"/>
          </w:tcPr>
          <w:p>
            <w:pPr>
              <w:pStyle w:val="TableContents"/>
              <w:bidi w:val="0"/>
              <w:spacing w:before="0" w:after="283"/>
              <w:jc w:val="left"/>
              <w:rPr/>
            </w:pPr>
            <w:r>
              <w:rPr/>
              <w:t>  </w:t>
            </w:r>
          </w:p>
        </w:tc>
        <w:tc>
          <w:tcPr>
            <w:tcW w:w="2639" w:type="dxa"/>
            <w:tcBorders/>
            <w:shd w:fill="CCEEFF" w:val="clear"/>
            <w:vAlign w:val="bottom"/>
          </w:tcPr>
          <w:p>
            <w:pPr>
              <w:pStyle w:val="TableContents"/>
              <w:bidi w:val="0"/>
              <w:spacing w:before="0" w:after="283"/>
              <w:jc w:val="left"/>
              <w:rPr/>
            </w:pPr>
            <w:r>
              <w:rPr/>
              <w:t>Luxembourg</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Mexico:</w:t>
            </w:r>
          </w:p>
        </w:tc>
      </w:tr>
      <w:tr>
        <w:trPr/>
        <w:tc>
          <w:tcPr>
            <w:tcW w:w="6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Crown Envases Mexico, S.A. de C.V.</w:t>
            </w:r>
          </w:p>
        </w:tc>
        <w:tc>
          <w:tcPr>
            <w:tcW w:w="594" w:type="dxa"/>
            <w:tcBorders/>
            <w:shd w:fill="CCEEFF" w:val="clear"/>
            <w:vAlign w:val="bottom"/>
          </w:tcPr>
          <w:p>
            <w:pPr>
              <w:pStyle w:val="TableContents"/>
              <w:bidi w:val="0"/>
              <w:spacing w:before="0" w:after="283"/>
              <w:jc w:val="left"/>
              <w:rPr/>
            </w:pPr>
            <w:r>
              <w:rPr/>
              <w:t>  </w:t>
            </w:r>
          </w:p>
        </w:tc>
        <w:tc>
          <w:tcPr>
            <w:tcW w:w="2639" w:type="dxa"/>
            <w:tcBorders/>
            <w:shd w:fill="CCEEFF" w:val="clear"/>
            <w:vAlign w:val="bottom"/>
          </w:tcPr>
          <w:p>
            <w:pPr>
              <w:pStyle w:val="TableContents"/>
              <w:bidi w:val="0"/>
              <w:spacing w:before="0" w:after="283"/>
              <w:jc w:val="left"/>
              <w:rPr/>
            </w:pPr>
            <w:r>
              <w:rPr/>
              <w:t>Mexico</w:t>
            </w:r>
          </w:p>
        </w:tc>
      </w:tr>
      <w:tr>
        <w:trPr/>
        <w:tc>
          <w:tcPr>
            <w:tcW w:w="6972" w:type="dxa"/>
            <w:tcBorders/>
          </w:tcPr>
          <w:p>
            <w:pPr>
              <w:pStyle w:val="TableContents"/>
              <w:bidi w:val="0"/>
              <w:spacing w:before="0" w:after="0"/>
              <w:jc w:val="left"/>
              <w:rPr>
                <w:rFonts w:ascii="Times New Roman" w:hAnsi="Times New Roman"/>
                <w:sz w:val="20"/>
              </w:rPr>
            </w:pPr>
            <w:r>
              <w:rPr>
                <w:rFonts w:ascii="Times New Roman" w:hAnsi="Times New Roman"/>
                <w:sz w:val="20"/>
              </w:rPr>
              <w:t>Fábricas Monterrey, S.A. de C.V.</w:t>
            </w:r>
          </w:p>
        </w:tc>
        <w:tc>
          <w:tcPr>
            <w:tcW w:w="594" w:type="dxa"/>
            <w:tcBorders/>
            <w:vAlign w:val="bottom"/>
          </w:tcPr>
          <w:p>
            <w:pPr>
              <w:pStyle w:val="TableContents"/>
              <w:bidi w:val="0"/>
              <w:spacing w:before="0" w:after="283"/>
              <w:jc w:val="left"/>
              <w:rPr/>
            </w:pPr>
            <w:r>
              <w:rPr/>
              <w:t>  </w:t>
            </w:r>
          </w:p>
        </w:tc>
        <w:tc>
          <w:tcPr>
            <w:tcW w:w="2639" w:type="dxa"/>
            <w:tcBorders/>
            <w:vAlign w:val="bottom"/>
          </w:tcPr>
          <w:p>
            <w:pPr>
              <w:pStyle w:val="TableContents"/>
              <w:bidi w:val="0"/>
              <w:spacing w:before="0" w:after="283"/>
              <w:jc w:val="left"/>
              <w:rPr/>
            </w:pPr>
            <w:r>
              <w:rPr/>
              <w:t>Mexico</w:t>
            </w:r>
          </w:p>
        </w:tc>
      </w:tr>
      <w:tr>
        <w:trPr/>
        <w:tc>
          <w:tcPr>
            <w:tcW w:w="6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CROWN Famosa, S.A. de C.V.</w:t>
            </w:r>
          </w:p>
        </w:tc>
        <w:tc>
          <w:tcPr>
            <w:tcW w:w="594" w:type="dxa"/>
            <w:tcBorders/>
            <w:shd w:fill="CCEEFF" w:val="clear"/>
            <w:vAlign w:val="bottom"/>
          </w:tcPr>
          <w:p>
            <w:pPr>
              <w:pStyle w:val="TableContents"/>
              <w:bidi w:val="0"/>
              <w:spacing w:before="0" w:after="283"/>
              <w:jc w:val="left"/>
              <w:rPr/>
            </w:pPr>
            <w:r>
              <w:rPr/>
              <w:t>  </w:t>
            </w:r>
          </w:p>
        </w:tc>
        <w:tc>
          <w:tcPr>
            <w:tcW w:w="2639" w:type="dxa"/>
            <w:tcBorders/>
            <w:shd w:fill="CCEEFF" w:val="clear"/>
            <w:vAlign w:val="bottom"/>
          </w:tcPr>
          <w:p>
            <w:pPr>
              <w:pStyle w:val="TableContents"/>
              <w:bidi w:val="0"/>
              <w:spacing w:before="0" w:after="283"/>
              <w:jc w:val="left"/>
              <w:rPr/>
            </w:pPr>
            <w:r>
              <w:rPr/>
              <w:t>Mexico</w:t>
            </w:r>
          </w:p>
        </w:tc>
      </w:tr>
      <w:tr>
        <w:trPr/>
        <w:tc>
          <w:tcPr>
            <w:tcW w:w="6972" w:type="dxa"/>
            <w:tcBorders/>
          </w:tcPr>
          <w:p>
            <w:pPr>
              <w:pStyle w:val="TableContents"/>
              <w:bidi w:val="0"/>
              <w:spacing w:before="0" w:after="0"/>
              <w:jc w:val="left"/>
              <w:rPr>
                <w:rFonts w:ascii="Times New Roman" w:hAnsi="Times New Roman"/>
                <w:sz w:val="20"/>
              </w:rPr>
            </w:pPr>
            <w:r>
              <w:rPr>
                <w:rFonts w:ascii="Times New Roman" w:hAnsi="Times New Roman"/>
                <w:sz w:val="20"/>
              </w:rPr>
              <w:t>Silices de Veracruz, S.A. de C.V.</w:t>
            </w:r>
          </w:p>
        </w:tc>
        <w:tc>
          <w:tcPr>
            <w:tcW w:w="594" w:type="dxa"/>
            <w:tcBorders/>
            <w:vAlign w:val="bottom"/>
          </w:tcPr>
          <w:p>
            <w:pPr>
              <w:pStyle w:val="TableContents"/>
              <w:bidi w:val="0"/>
              <w:spacing w:before="0" w:after="283"/>
              <w:jc w:val="left"/>
              <w:rPr/>
            </w:pPr>
            <w:r>
              <w:rPr/>
              <w:t>  </w:t>
            </w:r>
          </w:p>
        </w:tc>
        <w:tc>
          <w:tcPr>
            <w:tcW w:w="2639" w:type="dxa"/>
            <w:tcBorders/>
            <w:vAlign w:val="bottom"/>
          </w:tcPr>
          <w:p>
            <w:pPr>
              <w:pStyle w:val="TableContents"/>
              <w:bidi w:val="0"/>
              <w:spacing w:before="0" w:after="283"/>
              <w:jc w:val="left"/>
              <w:rPr/>
            </w:pPr>
            <w:r>
              <w:rPr/>
              <w:t>Mexico</w:t>
            </w:r>
          </w:p>
        </w:tc>
      </w:tr>
      <w:tr>
        <w:trPr/>
        <w:tc>
          <w:tcPr>
            <w:tcW w:w="6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Silice del Istmo, S.A. de C.V.</w:t>
            </w:r>
          </w:p>
        </w:tc>
        <w:tc>
          <w:tcPr>
            <w:tcW w:w="594" w:type="dxa"/>
            <w:tcBorders/>
            <w:shd w:fill="CCEEFF" w:val="clear"/>
            <w:vAlign w:val="bottom"/>
          </w:tcPr>
          <w:p>
            <w:pPr>
              <w:pStyle w:val="TableContents"/>
              <w:bidi w:val="0"/>
              <w:spacing w:before="0" w:after="283"/>
              <w:jc w:val="left"/>
              <w:rPr/>
            </w:pPr>
            <w:r>
              <w:rPr/>
              <w:t>  </w:t>
            </w:r>
          </w:p>
        </w:tc>
        <w:tc>
          <w:tcPr>
            <w:tcW w:w="2639" w:type="dxa"/>
            <w:tcBorders/>
            <w:shd w:fill="CCEEFF" w:val="clear"/>
            <w:vAlign w:val="bottom"/>
          </w:tcPr>
          <w:p>
            <w:pPr>
              <w:pStyle w:val="TableContents"/>
              <w:bidi w:val="0"/>
              <w:spacing w:before="0" w:after="283"/>
              <w:jc w:val="left"/>
              <w:rPr/>
            </w:pPr>
            <w:r>
              <w:rPr/>
              <w:t>Mexico</w:t>
            </w:r>
          </w:p>
        </w:tc>
      </w:tr>
      <w:tr>
        <w:trPr/>
        <w:tc>
          <w:tcPr>
            <w:tcW w:w="6972" w:type="dxa"/>
            <w:tcBorders/>
          </w:tcPr>
          <w:p>
            <w:pPr>
              <w:pStyle w:val="TableContents"/>
              <w:bidi w:val="0"/>
              <w:spacing w:before="0" w:after="0"/>
              <w:jc w:val="left"/>
              <w:rPr>
                <w:rFonts w:ascii="Times New Roman" w:hAnsi="Times New Roman"/>
                <w:sz w:val="20"/>
              </w:rPr>
            </w:pPr>
            <w:r>
              <w:rPr>
                <w:rFonts w:ascii="Times New Roman" w:hAnsi="Times New Roman"/>
                <w:sz w:val="20"/>
              </w:rPr>
              <w:t>Vichisa, S.A. de C.V.</w:t>
            </w:r>
          </w:p>
        </w:tc>
        <w:tc>
          <w:tcPr>
            <w:tcW w:w="594" w:type="dxa"/>
            <w:tcBorders/>
            <w:vAlign w:val="bottom"/>
          </w:tcPr>
          <w:p>
            <w:pPr>
              <w:pStyle w:val="TableContents"/>
              <w:bidi w:val="0"/>
              <w:spacing w:before="0" w:after="283"/>
              <w:jc w:val="left"/>
              <w:rPr/>
            </w:pPr>
            <w:r>
              <w:rPr/>
              <w:t>  </w:t>
            </w:r>
          </w:p>
        </w:tc>
        <w:tc>
          <w:tcPr>
            <w:tcW w:w="2639" w:type="dxa"/>
            <w:tcBorders/>
            <w:vAlign w:val="bottom"/>
          </w:tcPr>
          <w:p>
            <w:pPr>
              <w:pStyle w:val="TableContents"/>
              <w:bidi w:val="0"/>
              <w:spacing w:before="0" w:after="283"/>
              <w:jc w:val="left"/>
              <w:rPr/>
            </w:pPr>
            <w:r>
              <w:rPr/>
              <w:t>Mexico</w:t>
            </w:r>
          </w:p>
        </w:tc>
      </w:tr>
      <w:tr>
        <w:trPr/>
        <w:tc>
          <w:tcPr>
            <w:tcW w:w="6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Signode Mexico S. de R.L. de C.V.</w:t>
            </w:r>
          </w:p>
        </w:tc>
        <w:tc>
          <w:tcPr>
            <w:tcW w:w="594" w:type="dxa"/>
            <w:tcBorders/>
            <w:shd w:fill="CCEEFF" w:val="clear"/>
            <w:vAlign w:val="bottom"/>
          </w:tcPr>
          <w:p>
            <w:pPr>
              <w:pStyle w:val="TableContents"/>
              <w:bidi w:val="0"/>
              <w:spacing w:before="0" w:after="283"/>
              <w:jc w:val="left"/>
              <w:rPr/>
            </w:pPr>
            <w:r>
              <w:rPr/>
              <w:t>  </w:t>
            </w:r>
          </w:p>
        </w:tc>
        <w:tc>
          <w:tcPr>
            <w:tcW w:w="2639" w:type="dxa"/>
            <w:tcBorders/>
            <w:shd w:fill="CCEEFF" w:val="clear"/>
            <w:vAlign w:val="bottom"/>
          </w:tcPr>
          <w:p>
            <w:pPr>
              <w:pStyle w:val="TableContents"/>
              <w:bidi w:val="0"/>
              <w:spacing w:before="0" w:after="283"/>
              <w:jc w:val="left"/>
              <w:rPr/>
            </w:pPr>
            <w:r>
              <w:rPr/>
              <w:t>Mexico</w:t>
            </w:r>
          </w:p>
        </w:tc>
      </w:tr>
      <w:tr>
        <w:trPr/>
        <w:tc>
          <w:tcPr>
            <w:tcW w:w="6972" w:type="dxa"/>
            <w:tcBorders/>
          </w:tcPr>
          <w:p>
            <w:pPr>
              <w:pStyle w:val="TableContents"/>
              <w:bidi w:val="0"/>
              <w:spacing w:before="0" w:after="0"/>
              <w:jc w:val="left"/>
              <w:rPr>
                <w:rFonts w:ascii="Times New Roman" w:hAnsi="Times New Roman"/>
                <w:sz w:val="20"/>
              </w:rPr>
            </w:pPr>
            <w:r>
              <w:rPr>
                <w:rFonts w:ascii="Times New Roman" w:hAnsi="Times New Roman"/>
                <w:sz w:val="20"/>
              </w:rPr>
              <w:t>Simplimatic Automation S. de R.L. de C.V.</w:t>
            </w:r>
          </w:p>
        </w:tc>
        <w:tc>
          <w:tcPr>
            <w:tcW w:w="594" w:type="dxa"/>
            <w:tcBorders/>
            <w:vAlign w:val="bottom"/>
          </w:tcPr>
          <w:p>
            <w:pPr>
              <w:pStyle w:val="TableContents"/>
              <w:bidi w:val="0"/>
              <w:spacing w:before="0" w:after="283"/>
              <w:jc w:val="left"/>
              <w:rPr/>
            </w:pPr>
            <w:r>
              <w:rPr/>
              <w:t>  </w:t>
            </w:r>
          </w:p>
        </w:tc>
        <w:tc>
          <w:tcPr>
            <w:tcW w:w="2639" w:type="dxa"/>
            <w:tcBorders/>
            <w:vAlign w:val="bottom"/>
          </w:tcPr>
          <w:p>
            <w:pPr>
              <w:pStyle w:val="TableContents"/>
              <w:bidi w:val="0"/>
              <w:spacing w:before="0" w:after="283"/>
              <w:jc w:val="left"/>
              <w:rPr/>
            </w:pPr>
            <w:r>
              <w:rPr/>
              <w:t>Mexico</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Netherlands:</w:t>
            </w:r>
          </w:p>
        </w:tc>
      </w:tr>
      <w:tr>
        <w:trPr/>
        <w:tc>
          <w:tcPr>
            <w:tcW w:w="6972" w:type="dxa"/>
            <w:tcBorders/>
          </w:tcPr>
          <w:p>
            <w:pPr>
              <w:pStyle w:val="TableContents"/>
              <w:bidi w:val="0"/>
              <w:spacing w:before="0" w:after="0"/>
              <w:jc w:val="left"/>
              <w:rPr>
                <w:rFonts w:ascii="Times New Roman" w:hAnsi="Times New Roman"/>
                <w:sz w:val="20"/>
              </w:rPr>
            </w:pPr>
            <w:r>
              <w:rPr>
                <w:rFonts w:ascii="Times New Roman" w:hAnsi="Times New Roman"/>
                <w:sz w:val="20"/>
              </w:rPr>
              <w:t>FAMOSA B.V.</w:t>
            </w:r>
          </w:p>
        </w:tc>
        <w:tc>
          <w:tcPr>
            <w:tcW w:w="594" w:type="dxa"/>
            <w:tcBorders/>
            <w:vAlign w:val="bottom"/>
          </w:tcPr>
          <w:p>
            <w:pPr>
              <w:pStyle w:val="TableContents"/>
              <w:bidi w:val="0"/>
              <w:spacing w:before="0" w:after="283"/>
              <w:jc w:val="left"/>
              <w:rPr/>
            </w:pPr>
            <w:r>
              <w:rPr/>
              <w:t>  </w:t>
            </w:r>
          </w:p>
        </w:tc>
        <w:tc>
          <w:tcPr>
            <w:tcW w:w="2639" w:type="dxa"/>
            <w:tcBorders/>
            <w:vAlign w:val="bottom"/>
          </w:tcPr>
          <w:p>
            <w:pPr>
              <w:pStyle w:val="TableContents"/>
              <w:bidi w:val="0"/>
              <w:spacing w:before="0" w:after="283"/>
              <w:jc w:val="left"/>
              <w:rPr/>
            </w:pPr>
            <w:r>
              <w:rPr/>
              <w:t>Netherlands</w:t>
            </w:r>
          </w:p>
        </w:tc>
      </w:tr>
      <w:tr>
        <w:trPr/>
        <w:tc>
          <w:tcPr>
            <w:tcW w:w="6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SIVESA B.V.</w:t>
            </w:r>
          </w:p>
        </w:tc>
        <w:tc>
          <w:tcPr>
            <w:tcW w:w="594" w:type="dxa"/>
            <w:tcBorders/>
            <w:shd w:fill="CCEEFF" w:val="clear"/>
            <w:vAlign w:val="bottom"/>
          </w:tcPr>
          <w:p>
            <w:pPr>
              <w:pStyle w:val="TableContents"/>
              <w:bidi w:val="0"/>
              <w:spacing w:before="0" w:after="283"/>
              <w:jc w:val="left"/>
              <w:rPr/>
            </w:pPr>
            <w:r>
              <w:rPr/>
              <w:t>  </w:t>
            </w:r>
          </w:p>
        </w:tc>
        <w:tc>
          <w:tcPr>
            <w:tcW w:w="2639" w:type="dxa"/>
            <w:tcBorders/>
            <w:shd w:fill="CCEEFF" w:val="clear"/>
            <w:vAlign w:val="bottom"/>
          </w:tcPr>
          <w:p>
            <w:pPr>
              <w:pStyle w:val="TableContents"/>
              <w:bidi w:val="0"/>
              <w:spacing w:before="0" w:after="283"/>
              <w:jc w:val="left"/>
              <w:rPr/>
            </w:pPr>
            <w:r>
              <w:rPr/>
              <w:t>Netherlands</w:t>
            </w:r>
          </w:p>
        </w:tc>
      </w:tr>
      <w:tr>
        <w:trPr/>
        <w:tc>
          <w:tcPr>
            <w:tcW w:w="6972" w:type="dxa"/>
            <w:tcBorders/>
          </w:tcPr>
          <w:p>
            <w:pPr>
              <w:pStyle w:val="TableContents"/>
              <w:bidi w:val="0"/>
              <w:spacing w:before="0" w:after="0"/>
              <w:jc w:val="left"/>
              <w:rPr>
                <w:rFonts w:ascii="Times New Roman" w:hAnsi="Times New Roman"/>
                <w:sz w:val="20"/>
              </w:rPr>
            </w:pPr>
            <w:r>
              <w:rPr>
                <w:rFonts w:ascii="Times New Roman" w:hAnsi="Times New Roman"/>
                <w:sz w:val="20"/>
              </w:rPr>
              <w:t>SISA Mexico B.V.</w:t>
            </w:r>
          </w:p>
        </w:tc>
        <w:tc>
          <w:tcPr>
            <w:tcW w:w="594" w:type="dxa"/>
            <w:tcBorders/>
            <w:vAlign w:val="bottom"/>
          </w:tcPr>
          <w:p>
            <w:pPr>
              <w:pStyle w:val="TableContents"/>
              <w:bidi w:val="0"/>
              <w:spacing w:before="0" w:after="283"/>
              <w:jc w:val="left"/>
              <w:rPr/>
            </w:pPr>
            <w:r>
              <w:rPr/>
              <w:t>  </w:t>
            </w:r>
          </w:p>
        </w:tc>
        <w:tc>
          <w:tcPr>
            <w:tcW w:w="2639" w:type="dxa"/>
            <w:tcBorders/>
            <w:vAlign w:val="bottom"/>
          </w:tcPr>
          <w:p>
            <w:pPr>
              <w:pStyle w:val="TableContents"/>
              <w:bidi w:val="0"/>
              <w:spacing w:before="0" w:after="283"/>
              <w:jc w:val="left"/>
              <w:rPr/>
            </w:pPr>
            <w:r>
              <w:rPr/>
              <w:t>Netherlands</w:t>
            </w:r>
          </w:p>
        </w:tc>
      </w:tr>
      <w:tr>
        <w:trPr/>
        <w:tc>
          <w:tcPr>
            <w:tcW w:w="6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Signode Netherlands B.V.</w:t>
            </w:r>
          </w:p>
        </w:tc>
        <w:tc>
          <w:tcPr>
            <w:tcW w:w="594" w:type="dxa"/>
            <w:tcBorders/>
            <w:shd w:fill="CCEEFF" w:val="clear"/>
            <w:vAlign w:val="bottom"/>
          </w:tcPr>
          <w:p>
            <w:pPr>
              <w:pStyle w:val="TableContents"/>
              <w:bidi w:val="0"/>
              <w:spacing w:before="0" w:after="283"/>
              <w:jc w:val="left"/>
              <w:rPr/>
            </w:pPr>
            <w:r>
              <w:rPr/>
              <w:t>  </w:t>
            </w:r>
          </w:p>
        </w:tc>
        <w:tc>
          <w:tcPr>
            <w:tcW w:w="2639" w:type="dxa"/>
            <w:tcBorders/>
            <w:shd w:fill="CCEEFF" w:val="clear"/>
            <w:vAlign w:val="bottom"/>
          </w:tcPr>
          <w:p>
            <w:pPr>
              <w:pStyle w:val="TableContents"/>
              <w:bidi w:val="0"/>
              <w:spacing w:before="0" w:after="283"/>
              <w:jc w:val="left"/>
              <w:rPr/>
            </w:pPr>
            <w:r>
              <w:rPr/>
              <w:t>Netherlands</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7208"/>
        <w:gridCol w:w="376"/>
        <w:gridCol w:w="2621"/>
      </w:tblGrid>
      <w:tr>
        <w:trPr/>
        <w:tc>
          <w:tcPr>
            <w:tcW w:w="7208" w:type="dxa"/>
            <w:tcBorders/>
            <w:vAlign w:val="center"/>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sz w:val="4"/>
                <w:szCs w:val="4"/>
              </w:rPr>
            </w:pPr>
            <w:r>
              <w:rPr>
                <w:sz w:val="4"/>
                <w:szCs w:val="4"/>
              </w:rPr>
            </w:r>
          </w:p>
        </w:tc>
        <w:tc>
          <w:tcPr>
            <w:tcW w:w="2621" w:type="dxa"/>
            <w:tcBorders/>
            <w:vAlign w:val="center"/>
          </w:tcPr>
          <w:p>
            <w:pPr>
              <w:pStyle w:val="TableContents"/>
              <w:bidi w:val="0"/>
              <w:spacing w:before="0" w:after="283"/>
              <w:jc w:val="left"/>
              <w:rPr>
                <w:sz w:val="4"/>
                <w:szCs w:val="4"/>
              </w:rPr>
            </w:pPr>
            <w:r>
              <w:rPr>
                <w:sz w:val="4"/>
                <w:szCs w:val="4"/>
              </w:rPr>
            </w:r>
          </w:p>
        </w:tc>
      </w:tr>
      <w:tr>
        <w:trPr/>
        <w:tc>
          <w:tcPr>
            <w:tcW w:w="720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Guarantors</w:t>
            </w:r>
          </w:p>
        </w:tc>
        <w:tc>
          <w:tcPr>
            <w:tcW w:w="376" w:type="dxa"/>
            <w:tcBorders/>
            <w:vAlign w:val="bottom"/>
          </w:tcPr>
          <w:p>
            <w:pPr>
              <w:pStyle w:val="TableContents"/>
              <w:bidi w:val="0"/>
              <w:spacing w:before="0" w:after="283"/>
              <w:jc w:val="left"/>
              <w:rPr/>
            </w:pPr>
            <w:r>
              <w:rPr/>
              <w:t>  </w:t>
            </w:r>
          </w:p>
        </w:tc>
        <w:tc>
          <w:tcPr>
            <w:tcW w:w="2621" w:type="dxa"/>
            <w:tcBorders>
              <w:bottom w:val="single" w:sz="8" w:space="0" w:color="000000"/>
            </w:tcBorders>
            <w:tcMar>
              <w:bottom w:w="28" w:type="dxa"/>
            </w:tcMar>
            <w:vAlign w:val="bottom"/>
          </w:tcPr>
          <w:p>
            <w:pPr>
              <w:pStyle w:val="TableContents"/>
              <w:bidi w:val="0"/>
              <w:spacing w:before="0" w:after="283"/>
              <w:jc w:val="center"/>
              <w:rPr>
                <w:b/>
              </w:rPr>
            </w:pPr>
            <w:r>
              <w:rPr>
                <w:b/>
              </w:rPr>
              <w:t>Jurisdiction of Formation</w:t>
            </w:r>
          </w:p>
        </w:tc>
      </w:tr>
      <w:tr>
        <w:trPr/>
        <w:tc>
          <w:tcPr>
            <w:tcW w:w="10205" w:type="dxa"/>
            <w:gridSpan w:val="3"/>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Switzerland:</w:t>
            </w:r>
          </w:p>
        </w:tc>
      </w:tr>
      <w:tr>
        <w:trPr/>
        <w:tc>
          <w:tcPr>
            <w:tcW w:w="7208" w:type="dxa"/>
            <w:tcBorders/>
          </w:tcPr>
          <w:p>
            <w:pPr>
              <w:pStyle w:val="TableContents"/>
              <w:bidi w:val="0"/>
              <w:spacing w:before="0" w:after="0"/>
              <w:jc w:val="left"/>
              <w:rPr>
                <w:rFonts w:ascii="Times New Roman" w:hAnsi="Times New Roman"/>
                <w:sz w:val="20"/>
              </w:rPr>
            </w:pPr>
            <w:r>
              <w:rPr>
                <w:rFonts w:ascii="Times New Roman" w:hAnsi="Times New Roman"/>
                <w:sz w:val="20"/>
              </w:rPr>
              <w:t>Crown Packaging European Holdings GmbH</w:t>
            </w:r>
          </w:p>
        </w:tc>
        <w:tc>
          <w:tcPr>
            <w:tcW w:w="376" w:type="dxa"/>
            <w:tcBorders/>
            <w:vAlign w:val="bottom"/>
          </w:tcPr>
          <w:p>
            <w:pPr>
              <w:pStyle w:val="TableContents"/>
              <w:bidi w:val="0"/>
              <w:spacing w:before="0" w:after="283"/>
              <w:jc w:val="left"/>
              <w:rPr/>
            </w:pPr>
            <w:r>
              <w:rPr/>
              <w:t>  </w:t>
            </w:r>
          </w:p>
        </w:tc>
        <w:tc>
          <w:tcPr>
            <w:tcW w:w="2621" w:type="dxa"/>
            <w:tcBorders/>
            <w:vAlign w:val="bottom"/>
          </w:tcPr>
          <w:p>
            <w:pPr>
              <w:pStyle w:val="TableContents"/>
              <w:bidi w:val="0"/>
              <w:spacing w:before="0" w:after="283"/>
              <w:jc w:val="left"/>
              <w:rPr/>
            </w:pPr>
            <w:r>
              <w:rPr/>
              <w:t>Switzerland</w:t>
            </w:r>
          </w:p>
        </w:tc>
      </w:tr>
      <w:tr>
        <w:trPr/>
        <w:tc>
          <w:tcPr>
            <w:tcW w:w="72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Crown Packaging European Division GmbH</w:t>
            </w:r>
          </w:p>
        </w:tc>
        <w:tc>
          <w:tcPr>
            <w:tcW w:w="376" w:type="dxa"/>
            <w:tcBorders/>
            <w:shd w:fill="CCEEFF" w:val="clear"/>
            <w:vAlign w:val="bottom"/>
          </w:tcPr>
          <w:p>
            <w:pPr>
              <w:pStyle w:val="TableContents"/>
              <w:bidi w:val="0"/>
              <w:spacing w:before="0" w:after="283"/>
              <w:jc w:val="left"/>
              <w:rPr/>
            </w:pPr>
            <w:r>
              <w:rPr/>
              <w:t>  </w:t>
            </w:r>
          </w:p>
        </w:tc>
        <w:tc>
          <w:tcPr>
            <w:tcW w:w="2621" w:type="dxa"/>
            <w:tcBorders/>
            <w:shd w:fill="CCEEFF" w:val="clear"/>
            <w:vAlign w:val="bottom"/>
          </w:tcPr>
          <w:p>
            <w:pPr>
              <w:pStyle w:val="TableContents"/>
              <w:bidi w:val="0"/>
              <w:spacing w:before="0" w:after="283"/>
              <w:jc w:val="left"/>
              <w:rPr/>
            </w:pPr>
            <w:r>
              <w:rPr/>
              <w:t>Switzerland</w:t>
            </w:r>
          </w:p>
        </w:tc>
      </w:tr>
      <w:tr>
        <w:trPr/>
        <w:tc>
          <w:tcPr>
            <w:tcW w:w="7208" w:type="dxa"/>
            <w:tcBorders/>
          </w:tcPr>
          <w:p>
            <w:pPr>
              <w:pStyle w:val="TableContents"/>
              <w:bidi w:val="0"/>
              <w:spacing w:before="0" w:after="0"/>
              <w:jc w:val="left"/>
              <w:rPr>
                <w:rFonts w:ascii="Times New Roman" w:hAnsi="Times New Roman"/>
                <w:sz w:val="20"/>
              </w:rPr>
            </w:pPr>
            <w:r>
              <w:rPr>
                <w:rFonts w:ascii="Times New Roman" w:hAnsi="Times New Roman"/>
                <w:sz w:val="20"/>
              </w:rPr>
              <w:t>Signode Switzerland GmbH</w:t>
            </w:r>
          </w:p>
        </w:tc>
        <w:tc>
          <w:tcPr>
            <w:tcW w:w="376" w:type="dxa"/>
            <w:tcBorders/>
            <w:vAlign w:val="bottom"/>
          </w:tcPr>
          <w:p>
            <w:pPr>
              <w:pStyle w:val="TableContents"/>
              <w:bidi w:val="0"/>
              <w:spacing w:before="0" w:after="283"/>
              <w:jc w:val="left"/>
              <w:rPr/>
            </w:pPr>
            <w:r>
              <w:rPr/>
              <w:t>  </w:t>
            </w:r>
          </w:p>
        </w:tc>
        <w:tc>
          <w:tcPr>
            <w:tcW w:w="2621" w:type="dxa"/>
            <w:tcBorders/>
            <w:vAlign w:val="bottom"/>
          </w:tcPr>
          <w:p>
            <w:pPr>
              <w:pStyle w:val="TableContents"/>
              <w:bidi w:val="0"/>
              <w:spacing w:before="0" w:after="283"/>
              <w:jc w:val="left"/>
              <w:rPr/>
            </w:pPr>
            <w:r>
              <w:rPr/>
              <w:t>Switzerland</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United Kingdom:</w:t>
            </w:r>
          </w:p>
        </w:tc>
      </w:tr>
      <w:tr>
        <w:trPr/>
        <w:tc>
          <w:tcPr>
            <w:tcW w:w="7208" w:type="dxa"/>
            <w:tcBorders/>
          </w:tcPr>
          <w:p>
            <w:pPr>
              <w:pStyle w:val="TableContents"/>
              <w:bidi w:val="0"/>
              <w:spacing w:before="0" w:after="0"/>
              <w:jc w:val="left"/>
              <w:rPr>
                <w:rFonts w:ascii="Times New Roman" w:hAnsi="Times New Roman"/>
                <w:sz w:val="20"/>
              </w:rPr>
            </w:pPr>
            <w:r>
              <w:rPr>
                <w:rFonts w:ascii="Times New Roman" w:hAnsi="Times New Roman"/>
                <w:sz w:val="20"/>
              </w:rPr>
              <w:t>Crown UK Holdings Limited</w:t>
            </w:r>
          </w:p>
        </w:tc>
        <w:tc>
          <w:tcPr>
            <w:tcW w:w="376" w:type="dxa"/>
            <w:tcBorders/>
            <w:vAlign w:val="bottom"/>
          </w:tcPr>
          <w:p>
            <w:pPr>
              <w:pStyle w:val="TableContents"/>
              <w:bidi w:val="0"/>
              <w:spacing w:before="0" w:after="283"/>
              <w:jc w:val="left"/>
              <w:rPr/>
            </w:pPr>
            <w:r>
              <w:rPr/>
              <w:t>  </w:t>
            </w:r>
          </w:p>
        </w:tc>
        <w:tc>
          <w:tcPr>
            <w:tcW w:w="2621" w:type="dxa"/>
            <w:tcBorders/>
            <w:vAlign w:val="bottom"/>
          </w:tcPr>
          <w:p>
            <w:pPr>
              <w:pStyle w:val="TableContents"/>
              <w:bidi w:val="0"/>
              <w:spacing w:before="0" w:after="283"/>
              <w:jc w:val="left"/>
              <w:rPr/>
            </w:pPr>
            <w:r>
              <w:rPr/>
              <w:t>United Kingdom</w:t>
            </w:r>
          </w:p>
        </w:tc>
      </w:tr>
      <w:tr>
        <w:trPr/>
        <w:tc>
          <w:tcPr>
            <w:tcW w:w="72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CarnaudMetalbox Engineering Limited</w:t>
            </w:r>
          </w:p>
        </w:tc>
        <w:tc>
          <w:tcPr>
            <w:tcW w:w="376" w:type="dxa"/>
            <w:tcBorders/>
            <w:shd w:fill="CCEEFF" w:val="clear"/>
            <w:vAlign w:val="bottom"/>
          </w:tcPr>
          <w:p>
            <w:pPr>
              <w:pStyle w:val="TableContents"/>
              <w:bidi w:val="0"/>
              <w:spacing w:before="0" w:after="283"/>
              <w:jc w:val="left"/>
              <w:rPr/>
            </w:pPr>
            <w:r>
              <w:rPr/>
              <w:t>  </w:t>
            </w:r>
          </w:p>
        </w:tc>
        <w:tc>
          <w:tcPr>
            <w:tcW w:w="2621" w:type="dxa"/>
            <w:tcBorders/>
            <w:shd w:fill="CCEEFF" w:val="clear"/>
            <w:vAlign w:val="bottom"/>
          </w:tcPr>
          <w:p>
            <w:pPr>
              <w:pStyle w:val="TableContents"/>
              <w:bidi w:val="0"/>
              <w:spacing w:before="0" w:after="283"/>
              <w:jc w:val="left"/>
              <w:rPr/>
            </w:pPr>
            <w:r>
              <w:rPr/>
              <w:t>United Kingdom</w:t>
            </w:r>
          </w:p>
        </w:tc>
      </w:tr>
      <w:tr>
        <w:trPr/>
        <w:tc>
          <w:tcPr>
            <w:tcW w:w="7208" w:type="dxa"/>
            <w:tcBorders/>
          </w:tcPr>
          <w:p>
            <w:pPr>
              <w:pStyle w:val="TableContents"/>
              <w:bidi w:val="0"/>
              <w:spacing w:before="0" w:after="0"/>
              <w:jc w:val="left"/>
              <w:rPr>
                <w:rFonts w:ascii="Times New Roman" w:hAnsi="Times New Roman"/>
                <w:sz w:val="20"/>
              </w:rPr>
            </w:pPr>
            <w:r>
              <w:rPr>
                <w:rFonts w:ascii="Times New Roman" w:hAnsi="Times New Roman"/>
                <w:sz w:val="20"/>
              </w:rPr>
              <w:t>CarnaudMetalbox Group UK Limited</w:t>
            </w:r>
          </w:p>
        </w:tc>
        <w:tc>
          <w:tcPr>
            <w:tcW w:w="376" w:type="dxa"/>
            <w:tcBorders/>
            <w:vAlign w:val="bottom"/>
          </w:tcPr>
          <w:p>
            <w:pPr>
              <w:pStyle w:val="TableContents"/>
              <w:bidi w:val="0"/>
              <w:spacing w:before="0" w:after="283"/>
              <w:jc w:val="left"/>
              <w:rPr/>
            </w:pPr>
            <w:r>
              <w:rPr/>
              <w:t>  </w:t>
            </w:r>
          </w:p>
        </w:tc>
        <w:tc>
          <w:tcPr>
            <w:tcW w:w="2621" w:type="dxa"/>
            <w:tcBorders/>
            <w:vAlign w:val="bottom"/>
          </w:tcPr>
          <w:p>
            <w:pPr>
              <w:pStyle w:val="TableContents"/>
              <w:bidi w:val="0"/>
              <w:spacing w:before="0" w:after="283"/>
              <w:jc w:val="left"/>
              <w:rPr/>
            </w:pPr>
            <w:r>
              <w:rPr/>
              <w:t>United Kingdom</w:t>
            </w:r>
          </w:p>
        </w:tc>
      </w:tr>
      <w:tr>
        <w:trPr/>
        <w:tc>
          <w:tcPr>
            <w:tcW w:w="72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CarnaudMetalbox Overseas Limited</w:t>
            </w:r>
          </w:p>
        </w:tc>
        <w:tc>
          <w:tcPr>
            <w:tcW w:w="376" w:type="dxa"/>
            <w:tcBorders/>
            <w:shd w:fill="CCEEFF" w:val="clear"/>
            <w:vAlign w:val="bottom"/>
          </w:tcPr>
          <w:p>
            <w:pPr>
              <w:pStyle w:val="TableContents"/>
              <w:bidi w:val="0"/>
              <w:spacing w:before="0" w:after="283"/>
              <w:jc w:val="left"/>
              <w:rPr/>
            </w:pPr>
            <w:r>
              <w:rPr/>
              <w:t>  </w:t>
            </w:r>
          </w:p>
        </w:tc>
        <w:tc>
          <w:tcPr>
            <w:tcW w:w="2621" w:type="dxa"/>
            <w:tcBorders/>
            <w:shd w:fill="CCEEFF" w:val="clear"/>
            <w:vAlign w:val="bottom"/>
          </w:tcPr>
          <w:p>
            <w:pPr>
              <w:pStyle w:val="TableContents"/>
              <w:bidi w:val="0"/>
              <w:spacing w:before="0" w:after="283"/>
              <w:jc w:val="left"/>
              <w:rPr/>
            </w:pPr>
            <w:r>
              <w:rPr/>
              <w:t>United Kingdom</w:t>
            </w:r>
          </w:p>
        </w:tc>
      </w:tr>
      <w:tr>
        <w:trPr/>
        <w:tc>
          <w:tcPr>
            <w:tcW w:w="7208" w:type="dxa"/>
            <w:tcBorders/>
          </w:tcPr>
          <w:p>
            <w:pPr>
              <w:pStyle w:val="TableContents"/>
              <w:bidi w:val="0"/>
              <w:spacing w:before="0" w:after="0"/>
              <w:jc w:val="left"/>
              <w:rPr>
                <w:rFonts w:ascii="Times New Roman" w:hAnsi="Times New Roman"/>
                <w:sz w:val="20"/>
              </w:rPr>
            </w:pPr>
            <w:r>
              <w:rPr>
                <w:rFonts w:ascii="Times New Roman" w:hAnsi="Times New Roman"/>
                <w:sz w:val="20"/>
              </w:rPr>
              <w:t>Crown Packaging Distribution UK Limited</w:t>
            </w:r>
          </w:p>
        </w:tc>
        <w:tc>
          <w:tcPr>
            <w:tcW w:w="376" w:type="dxa"/>
            <w:tcBorders/>
            <w:vAlign w:val="bottom"/>
          </w:tcPr>
          <w:p>
            <w:pPr>
              <w:pStyle w:val="TableContents"/>
              <w:bidi w:val="0"/>
              <w:spacing w:before="0" w:after="283"/>
              <w:jc w:val="left"/>
              <w:rPr/>
            </w:pPr>
            <w:r>
              <w:rPr/>
              <w:t>  </w:t>
            </w:r>
          </w:p>
        </w:tc>
        <w:tc>
          <w:tcPr>
            <w:tcW w:w="2621" w:type="dxa"/>
            <w:tcBorders/>
            <w:vAlign w:val="bottom"/>
          </w:tcPr>
          <w:p>
            <w:pPr>
              <w:pStyle w:val="TableContents"/>
              <w:bidi w:val="0"/>
              <w:spacing w:before="0" w:after="283"/>
              <w:jc w:val="left"/>
              <w:rPr/>
            </w:pPr>
            <w:r>
              <w:rPr/>
              <w:t>United Kingdom</w:t>
            </w:r>
          </w:p>
        </w:tc>
      </w:tr>
      <w:tr>
        <w:trPr/>
        <w:tc>
          <w:tcPr>
            <w:tcW w:w="72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Crown Packaging Manufacturing UK Limited</w:t>
            </w:r>
          </w:p>
        </w:tc>
        <w:tc>
          <w:tcPr>
            <w:tcW w:w="376" w:type="dxa"/>
            <w:tcBorders/>
            <w:shd w:fill="CCEEFF" w:val="clear"/>
            <w:vAlign w:val="bottom"/>
          </w:tcPr>
          <w:p>
            <w:pPr>
              <w:pStyle w:val="TableContents"/>
              <w:bidi w:val="0"/>
              <w:spacing w:before="0" w:after="283"/>
              <w:jc w:val="left"/>
              <w:rPr/>
            </w:pPr>
            <w:r>
              <w:rPr/>
              <w:t>  </w:t>
            </w:r>
          </w:p>
        </w:tc>
        <w:tc>
          <w:tcPr>
            <w:tcW w:w="2621" w:type="dxa"/>
            <w:tcBorders/>
            <w:shd w:fill="CCEEFF" w:val="clear"/>
            <w:vAlign w:val="bottom"/>
          </w:tcPr>
          <w:p>
            <w:pPr>
              <w:pStyle w:val="TableContents"/>
              <w:bidi w:val="0"/>
              <w:spacing w:before="0" w:after="283"/>
              <w:jc w:val="left"/>
              <w:rPr/>
            </w:pPr>
            <w:r>
              <w:rPr/>
              <w:t>United Kingdom</w:t>
            </w:r>
          </w:p>
        </w:tc>
      </w:tr>
      <w:tr>
        <w:trPr/>
        <w:tc>
          <w:tcPr>
            <w:tcW w:w="7208" w:type="dxa"/>
            <w:tcBorders/>
          </w:tcPr>
          <w:p>
            <w:pPr>
              <w:pStyle w:val="TableContents"/>
              <w:bidi w:val="0"/>
              <w:spacing w:before="0" w:after="0"/>
              <w:jc w:val="left"/>
              <w:rPr>
                <w:rFonts w:ascii="Times New Roman" w:hAnsi="Times New Roman"/>
                <w:sz w:val="20"/>
              </w:rPr>
            </w:pPr>
            <w:r>
              <w:rPr>
                <w:rFonts w:ascii="Times New Roman" w:hAnsi="Times New Roman"/>
                <w:sz w:val="20"/>
              </w:rPr>
              <w:t>Signode UK Ltd.</w:t>
            </w:r>
          </w:p>
        </w:tc>
        <w:tc>
          <w:tcPr>
            <w:tcW w:w="376" w:type="dxa"/>
            <w:tcBorders/>
            <w:vAlign w:val="bottom"/>
          </w:tcPr>
          <w:p>
            <w:pPr>
              <w:pStyle w:val="TableContents"/>
              <w:bidi w:val="0"/>
              <w:spacing w:before="0" w:after="283"/>
              <w:jc w:val="left"/>
              <w:rPr/>
            </w:pPr>
            <w:r>
              <w:rPr/>
              <w:t>  </w:t>
            </w:r>
          </w:p>
        </w:tc>
        <w:tc>
          <w:tcPr>
            <w:tcW w:w="2621" w:type="dxa"/>
            <w:tcBorders/>
            <w:vAlign w:val="bottom"/>
          </w:tcPr>
          <w:p>
            <w:pPr>
              <w:pStyle w:val="TableContents"/>
              <w:bidi w:val="0"/>
              <w:spacing w:before="0" w:after="283"/>
              <w:jc w:val="left"/>
              <w:rPr/>
            </w:pPr>
            <w:r>
              <w:rPr/>
              <w:t>United Kingdom</w:t>
            </w:r>
          </w:p>
        </w:tc>
      </w:tr>
      <w:tr>
        <w:trPr/>
        <w:tc>
          <w:tcPr>
            <w:tcW w:w="72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Mec-a-Tec Services Limited</w:t>
            </w:r>
          </w:p>
        </w:tc>
        <w:tc>
          <w:tcPr>
            <w:tcW w:w="376" w:type="dxa"/>
            <w:tcBorders/>
            <w:shd w:fill="CCEEFF" w:val="clear"/>
            <w:vAlign w:val="bottom"/>
          </w:tcPr>
          <w:p>
            <w:pPr>
              <w:pStyle w:val="TableContents"/>
              <w:bidi w:val="0"/>
              <w:spacing w:before="0" w:after="283"/>
              <w:jc w:val="left"/>
              <w:rPr/>
            </w:pPr>
            <w:r>
              <w:rPr/>
              <w:t>  </w:t>
            </w:r>
          </w:p>
        </w:tc>
        <w:tc>
          <w:tcPr>
            <w:tcW w:w="2621" w:type="dxa"/>
            <w:tcBorders/>
            <w:shd w:fill="CCEEFF" w:val="clear"/>
            <w:vAlign w:val="bottom"/>
          </w:tcPr>
          <w:p>
            <w:pPr>
              <w:pStyle w:val="TableContents"/>
              <w:bidi w:val="0"/>
              <w:spacing w:before="0" w:after="283"/>
              <w:jc w:val="left"/>
              <w:rPr/>
            </w:pPr>
            <w:r>
              <w:rPr/>
              <w:t>United Kingdom</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A </w:t>
      </w:r>
    </w:p>
    <w:p>
      <w:pPr>
        <w:pStyle w:val="TextBody"/>
        <w:bidi w:val="0"/>
        <w:spacing w:before="240" w:after="0"/>
        <w:jc w:val="center"/>
        <w:rPr>
          <w:rFonts w:ascii="Times New Roman" w:hAnsi="Times New Roman"/>
          <w:sz w:val="20"/>
        </w:rPr>
      </w:pPr>
      <w:r>
        <w:rPr>
          <w:rFonts w:ascii="Times New Roman" w:hAnsi="Times New Roman"/>
          <w:sz w:val="20"/>
        </w:rPr>
        <w:t xml:space="preserve">[Attached]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A </w:t>
      </w:r>
    </w:p>
    <w:p>
      <w:pPr>
        <w:pStyle w:val="TextBody"/>
        <w:bidi w:val="0"/>
        <w:spacing w:before="480" w:after="0"/>
        <w:jc w:val="center"/>
        <w:rPr>
          <w:rFonts w:ascii="Times New Roman" w:hAnsi="Times New Roman"/>
          <w:b/>
          <w:sz w:val="20"/>
        </w:rPr>
      </w:pPr>
      <w:r>
        <w:rPr>
          <w:rFonts w:ascii="Times New Roman" w:hAnsi="Times New Roman"/>
          <w:b/>
          <w:sz w:val="20"/>
        </w:rPr>
        <w:t xml:space="preserve">Selling Restrictions for Offers </w:t>
      </w:r>
    </w:p>
    <w:p>
      <w:pPr>
        <w:pStyle w:val="TextBody"/>
        <w:bidi w:val="0"/>
        <w:spacing w:before="0" w:after="0"/>
        <w:jc w:val="center"/>
        <w:rPr>
          <w:rFonts w:ascii="Times New Roman" w:hAnsi="Times New Roman"/>
          <w:b/>
          <w:sz w:val="20"/>
        </w:rPr>
      </w:pPr>
      <w:r>
        <w:rPr>
          <w:rFonts w:ascii="Times New Roman" w:hAnsi="Times New Roman"/>
          <w:b/>
          <w:sz w:val="20"/>
        </w:rPr>
        <w:t xml:space="preserve">and Sales Outside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1. (a) The Securities have not been and will not be registered under the Act and may not be offered or sold (x) within the United States or to, or for the account or benefit of, U.S. persons except pursuant to an exemption from the registration requirements of the Act and (y) outside the United States except in accordance with Regulation S under the Act. Each Initial Purchaser represents and agrees that, except as otherwise permitted by Section 4(a)(i) of the Agreement to which this is an exhibit, it has offered and sold the Securities, and will offer and sell the Securities, (i) as part of their distribution at any time; and (ii) otherwise until 40 days after the later of the commencement of the offering and the Closing Date (the distribution compliance period), only in accordance with Rule 903 of Regulation S under the Act. Accordingly, each Initial Purchaser represents and agrees that neither it, nor any of its Affiliates nor any person acting on its or their behalf has engaged or will engage in any directed selling efforts with respect to the Securities, and that it and they have complied and will comply with the offering restrictions requirement of Regulation S. Each Initial Purchaser agrees that, at or prior to the confirmation of sale of Securities (other than a sale of Securities pursuant to Section 4(a)(i) of the Agreement to which this is an exhibit), it shall have sent to each distributor, dealer or person receiving a selling concession, fee or other remuneration that purchases Securities from it during the distribution compliance period a confirmation or notice to substantially the following effect: </w:t>
      </w:r>
    </w:p>
    <w:p>
      <w:pPr>
        <w:pStyle w:val="TextBody"/>
        <w:bidi w:val="0"/>
        <w:spacing w:before="240" w:after="0"/>
        <w:jc w:val="left"/>
        <w:rPr>
          <w:rFonts w:ascii="Times New Roman" w:hAnsi="Times New Roman"/>
          <w:sz w:val="20"/>
        </w:rPr>
      </w:pPr>
      <w:r>
        <w:rPr>
          <w:rFonts w:ascii="Times New Roman" w:hAnsi="Times New Roman"/>
          <w:sz w:val="20"/>
        </w:rPr>
        <w:t>The Securities covered hereby have not been registered under the U.S. Securities Act of 1933 (the </w:t>
      </w:r>
      <w:r>
        <w:rPr>
          <w:rFonts w:ascii="Times New Roman" w:hAnsi="Times New Roman"/>
          <w:sz w:val="20"/>
          <w:u w:val="single"/>
        </w:rPr>
        <w:t>Act</w:t>
      </w:r>
      <w:r>
        <w:rPr>
          <w:rFonts w:ascii="Times New Roman" w:hAnsi="Times New Roman"/>
          <w:sz w:val="20"/>
        </w:rPr>
        <w:t xml:space="preserve">) and may not be offered or sold within the United States or to, or for the account or benefit of, U.S. persons (i) as part of their distribution at any time or (ii) otherwise until 40 days after the later of the commencement of the offering and the date of closing of the offering, except in either case in accordance with Regulation S or Rule 144A under the Act. Terms used above have the meanings given to them by Regulation S. </w:t>
      </w:r>
    </w:p>
    <w:p>
      <w:pPr>
        <w:pStyle w:val="TextBody"/>
        <w:bidi w:val="0"/>
        <w:spacing w:before="240" w:after="0"/>
        <w:jc w:val="left"/>
        <w:rPr>
          <w:rFonts w:ascii="Times New Roman" w:hAnsi="Times New Roman"/>
          <w:sz w:val="20"/>
        </w:rPr>
      </w:pPr>
      <w:r>
        <w:rPr>
          <w:rFonts w:ascii="Times New Roman" w:hAnsi="Times New Roman"/>
          <w:sz w:val="20"/>
        </w:rPr>
        <w:t xml:space="preserve">(b) Each Initial Purchaser also represents and agrees that it has not entered and will not enter into any contractual arrangement with any distributor with respect to the distribution of the Securities, except with its Affiliates or with the prior written consent of the Companies. </w:t>
      </w:r>
    </w:p>
    <w:p>
      <w:pPr>
        <w:pStyle w:val="TextBody"/>
        <w:bidi w:val="0"/>
        <w:spacing w:before="240" w:after="0"/>
        <w:jc w:val="left"/>
        <w:rPr>
          <w:rFonts w:ascii="Times New Roman" w:hAnsi="Times New Roman"/>
          <w:sz w:val="20"/>
        </w:rPr>
      </w:pPr>
      <w:r>
        <w:rPr>
          <w:rFonts w:ascii="Times New Roman" w:hAnsi="Times New Roman"/>
          <w:sz w:val="20"/>
        </w:rPr>
        <w:t xml:space="preserve">(c) Terms used in this section have the meanings given to them by Regulation S. </w:t>
      </w:r>
    </w:p>
    <w:p>
      <w:pPr>
        <w:pStyle w:val="TextBody"/>
        <w:bidi w:val="0"/>
        <w:spacing w:before="240" w:after="0"/>
        <w:jc w:val="left"/>
        <w:rPr>
          <w:rFonts w:ascii="Times New Roman" w:hAnsi="Times New Roman"/>
          <w:sz w:val="20"/>
        </w:rPr>
      </w:pPr>
      <w:r>
        <w:rPr>
          <w:rFonts w:ascii="Times New Roman" w:hAnsi="Times New Roman"/>
          <w:sz w:val="20"/>
        </w:rPr>
        <w:t xml:space="preserve">2. Each Initial Purchaser, severally and not jointly represents and warrants and agrees with the Companies that: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 it has not offered, sold or otherwise made available and will not offer, sell or otherwise make available any Notes to any retail investor in the European Economic Area. For these purposes, a retail investor means a person who is one (or more) of: (i) a retail client as defined in point (11) of Article 4(1) of Directive 2014/65/EU (as amended, </w:t>
      </w:r>
      <w:r>
        <w:rPr>
          <w:rFonts w:ascii="Times New Roman" w:hAnsi="Times New Roman"/>
          <w:sz w:val="20"/>
          <w:u w:val="single"/>
        </w:rPr>
        <w:t>MiFID II</w:t>
      </w:r>
      <w:r>
        <w:rPr>
          <w:rFonts w:ascii="Times New Roman" w:hAnsi="Times New Roman"/>
          <w:sz w:val="20"/>
        </w:rPr>
        <w:t xml:space="preserve">); (ii) a customer within the meaning of Directive EU 2016/97 (as amended), where that customer would not qualify as a professional client as defined in point (10) of Article 4(1) of MiFID II; or (iii) not a qualified investor as defined in the Prospectus Regulation; </w:t>
      </w:r>
    </w:p>
    <w:p>
      <w:pPr>
        <w:pStyle w:val="TextBody"/>
        <w:bidi w:val="0"/>
        <w:spacing w:before="120" w:after="0"/>
        <w:jc w:val="left"/>
        <w:rPr>
          <w:rFonts w:ascii="Times New Roman" w:hAnsi="Times New Roman"/>
          <w:sz w:val="20"/>
        </w:rPr>
      </w:pPr>
      <w:r>
        <w:rPr>
          <w:rFonts w:ascii="Times New Roman" w:hAnsi="Times New Roman"/>
          <w:sz w:val="20"/>
        </w:rPr>
        <w:t xml:space="preserve">(b) it has only communicated or caused to be communicated and will only communicate or cause to be communicated an invitation or inducement to engage in investment activity (within the meaning of Section 21 of the FSMA) received by it in connection with the issue or sale of the Notes in circumstances in which Section 21(1) of the FSMA does not apply to the Companies; </w:t>
      </w:r>
    </w:p>
    <w:p>
      <w:pPr>
        <w:pStyle w:val="TextBody"/>
        <w:bidi w:val="0"/>
        <w:spacing w:before="120" w:after="0"/>
        <w:jc w:val="left"/>
        <w:rPr>
          <w:rFonts w:ascii="Times New Roman" w:hAnsi="Times New Roman"/>
          <w:sz w:val="20"/>
        </w:rPr>
      </w:pPr>
      <w:r>
        <w:rPr>
          <w:rFonts w:ascii="Times New Roman" w:hAnsi="Times New Roman"/>
          <w:sz w:val="20"/>
        </w:rPr>
        <w:t xml:space="preserve">(c) it has complied and will comply with all applicable provisions of the FSMA with respect to anything done by it in relation to the Notes in, from or otherwise involving the United Kingdom; </w:t>
      </w:r>
    </w:p>
    <w:p>
      <w:pPr>
        <w:pStyle w:val="TextBody"/>
        <w:bidi w:val="0"/>
        <w:spacing w:before="120" w:after="0"/>
        <w:jc w:val="left"/>
        <w:rPr>
          <w:rFonts w:ascii="Times New Roman" w:hAnsi="Times New Roman"/>
          <w:sz w:val="20"/>
        </w:rPr>
      </w:pPr>
      <w:r>
        <w:rPr>
          <w:rFonts w:ascii="Times New Roman" w:hAnsi="Times New Roman"/>
          <w:sz w:val="20"/>
        </w:rPr>
        <w:t>(d) with respect to offers and sales made in France, that it has not offered or sold, and will not offer or sell, directly or indirectly, Securities to the public in France (other than to qualified investors). It has only made and will only make offers, sales and distribution of the Notes in France to qualified investors (</w:t>
      </w:r>
      <w:r>
        <w:rPr>
          <w:rFonts w:ascii="Times New Roman" w:hAnsi="Times New Roman"/>
          <w:i/>
          <w:sz w:val="20"/>
        </w:rPr>
        <w:t>investisseurs qualifiés</w:t>
      </w:r>
      <w:r>
        <w:rPr>
          <w:rFonts w:ascii="Times New Roman" w:hAnsi="Times New Roman"/>
          <w:sz w:val="20"/>
        </w:rPr>
        <w:t xml:space="preserve">), as defined in the Regulation (EU) 2017/1129 of the European Parliament and of the Council of 14 June 2017 as amended from time to time and any applicable French law and regulation implementing the Prospectus Regulation and related regulations in France; and </w:t>
      </w:r>
    </w:p>
    <w:p>
      <w:pPr>
        <w:pStyle w:val="TextBody"/>
        <w:bidi w:val="0"/>
        <w:spacing w:before="120" w:after="0"/>
        <w:jc w:val="left"/>
        <w:rPr>
          <w:rFonts w:ascii="Times New Roman" w:hAnsi="Times New Roman"/>
          <w:sz w:val="20"/>
        </w:rPr>
      </w:pPr>
      <w:r>
        <w:rPr>
          <w:rFonts w:ascii="Times New Roman" w:hAnsi="Times New Roman"/>
          <w:sz w:val="20"/>
        </w:rPr>
        <w:t xml:space="preserve">(e) with respect to offers and sales made in Canada, it has only made and will only make offers, sales and distribution of the Notes in Canada to purchasers (i) purchasing, or deemed to be purchasing, as principal that are accredited investors, as defined in National Instrument 45-106 - </w:t>
      </w:r>
      <w:r>
        <w:rPr>
          <w:rFonts w:ascii="Times New Roman" w:hAnsi="Times New Roman"/>
          <w:i/>
          <w:sz w:val="20"/>
        </w:rPr>
        <w:t>Prospectus Exemptions</w:t>
      </w:r>
      <w:r>
        <w:rPr>
          <w:rFonts w:ascii="Times New Roman" w:hAnsi="Times New Roman"/>
          <w:sz w:val="20"/>
        </w:rPr>
        <w:t xml:space="preserve"> or subsection 73.3(1) of the </w:t>
      </w:r>
      <w:r>
        <w:rPr>
          <w:rFonts w:ascii="Times New Roman" w:hAnsi="Times New Roman"/>
          <w:i/>
          <w:sz w:val="20"/>
        </w:rPr>
        <w:t>Securities Act</w:t>
      </w:r>
      <w:r>
        <w:rPr>
          <w:rFonts w:ascii="Times New Roman" w:hAnsi="Times New Roman"/>
          <w:sz w:val="20"/>
        </w:rPr>
        <w:t xml:space="preserve"> (Ontario), as applicable, and (ii) that are permitted clients, as defined in National Instrument 31-103 - </w:t>
      </w:r>
      <w:r>
        <w:rPr>
          <w:rFonts w:ascii="Times New Roman" w:hAnsi="Times New Roman"/>
          <w:i/>
          <w:sz w:val="20"/>
        </w:rPr>
        <w:t>Registration Requirements, Exemptions and Ongoing Registrant Obligations</w:t>
      </w: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81</Pages>
  <Words>22693</Words>
  <Characters>119942</Characters>
  <CharactersWithSpaces>142137</CharactersWithSpaces>
  <Paragraphs>1613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