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47128d8k.htm"/>
      <w:bookmarkStart w:id="1" w:name="ksd64712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CROWN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14025 Riveredge Drive, Suite 300</w:t>
            </w:r>
          </w:p>
          <w:p>
            <w:pPr>
              <w:pStyle w:val="TableContents"/>
              <w:bidi w:val="0"/>
              <w:spacing w:before="0" w:after="0"/>
              <w:jc w:val="center"/>
              <w:rPr>
                <w:rFonts w:ascii="Times New Roman" w:hAnsi="Times New Roman"/>
                <w:b/>
                <w:sz w:val="20"/>
              </w:rPr>
            </w:pPr>
            <w:r>
              <w:rPr>
                <w:rFonts w:ascii="Times New Roman" w:hAnsi="Times New Roman"/>
                <w:b/>
                <w:sz w:val="20"/>
              </w:rPr>
              <w:t>Tampa, Florida 33637</w:t>
            </w:r>
          </w:p>
          <w:p>
            <w:pPr>
              <w:pStyle w:val="TableContents"/>
              <w:bidi w:val="0"/>
              <w:spacing w:before="0" w:after="20"/>
              <w:jc w:val="center"/>
              <w:rPr>
                <w:rFonts w:ascii="Times New Roman" w:hAnsi="Times New Roman"/>
                <w:b/>
                <w:sz w:val="20"/>
              </w:rPr>
            </w:pPr>
            <w:r>
              <w:rPr>
                <w:rFonts w:ascii="Times New Roman" w:hAnsi="Times New Roman"/>
                <w:b/>
                <w:sz w:val="20"/>
              </w:rPr>
              <w:t>(215) 698-5100</w:t>
            </w:r>
          </w:p>
        </w:tc>
      </w:tr>
      <w:tr>
        <w:trPr/>
        <w:tc>
          <w:tcPr>
            <w:tcW w:w="10205" w:type="dxa"/>
            <w:tcBorders/>
            <w:vAlign w:val="center"/>
          </w:tcPr>
          <w:p>
            <w:pPr>
              <w:pStyle w:val="TableContents"/>
              <w:bidi w:val="0"/>
              <w:spacing w:before="0" w:after="283"/>
              <w:jc w:val="center"/>
              <w:rPr>
                <w:b/>
              </w:rPr>
            </w:pPr>
            <w:r>
              <w:rPr>
                <w:b/>
              </w:rPr>
              <w:t>(Address, Including Zip Code, and Telephone Number, Including Area Code, of Registrant’s Principal Executive Offices)</w:t>
            </w:r>
          </w:p>
        </w:tc>
      </w:tr>
    </w:tbl>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30"/>
        <w:gridCol w:w="72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REGISTRANT’S BUSINESS AND OPERATIONS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2.03 below is hereby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FINANCIAL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2.03.</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On August 8, 2024, Crown European Holdings S.A. (the “</w:t>
      </w:r>
      <w:r>
        <w:rPr>
          <w:rFonts w:ascii="Times New Roman" w:hAnsi="Times New Roman"/>
          <w:sz w:val="20"/>
          <w:u w:val="single"/>
        </w:rPr>
        <w:t>Issuer</w:t>
      </w:r>
      <w:r>
        <w:rPr>
          <w:rFonts w:ascii="Times New Roman" w:hAnsi="Times New Roman"/>
          <w:sz w:val="20"/>
        </w:rPr>
        <w:t>”), a wholly-owned subsidiary of Crown Holdings, Inc. (the “</w:t>
      </w:r>
      <w:r>
        <w:rPr>
          <w:rFonts w:ascii="Times New Roman" w:hAnsi="Times New Roman"/>
          <w:sz w:val="20"/>
          <w:u w:val="single"/>
        </w:rPr>
        <w:t>Company</w:t>
      </w:r>
      <w:r>
        <w:rPr>
          <w:rFonts w:ascii="Times New Roman" w:hAnsi="Times New Roman"/>
          <w:sz w:val="20"/>
        </w:rPr>
        <w:t>”), completed its note offering (the “</w:t>
      </w:r>
      <w:r>
        <w:rPr>
          <w:rFonts w:ascii="Times New Roman" w:hAnsi="Times New Roman"/>
          <w:sz w:val="20"/>
          <w:u w:val="single"/>
        </w:rPr>
        <w:t>Offering</w:t>
      </w:r>
      <w:r>
        <w:rPr>
          <w:rFonts w:ascii="Times New Roman" w:hAnsi="Times New Roman"/>
          <w:sz w:val="20"/>
        </w:rPr>
        <w:t>”) of €600,000,000 aggregate principal amount of 4.500% senior unsecured notes due 2030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January 15, 2030 and will accrue interest at a rate of 4.500% per year. Interest on the Notes will be payable semi-annually on January 15 and July 15 of each year, beginning on January 15, 2025. The Issuer may redeem some or all of the Notes, at its option, at any time prior to October 15, 2029 by paying 100% of the principal amount, plus accrued and unpaid interest, if any, to, but excluding, the redemption date, and a make-whole premium. The Issuer may redeem some or all of the Notes, at its option, at any time on or after October 15, 2029 by paying 100% of the principal amount,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The Notes were sold in a private placement and resold by the initial purchasers to persons reasonably believed to be qualified institutional buyers pursuant to Rule 144A promulgated under the Securities Act of 1933 (the “</w:t>
      </w:r>
      <w:r>
        <w:rPr>
          <w:rFonts w:ascii="Times New Roman" w:hAnsi="Times New Roman"/>
          <w:sz w:val="20"/>
          <w:u w:val="single"/>
        </w:rPr>
        <w:t>Securities Act</w:t>
      </w:r>
      <w:r>
        <w:rPr>
          <w:rFonts w:ascii="Times New Roman" w:hAnsi="Times New Roman"/>
          <w:sz w:val="20"/>
        </w:rPr>
        <w:t xml:space="preserve">”) and to non-U.S. persons pursuant to Regulation S of the Securities Act. The Notes have not been registered under the Securities Act and may not be offered or sold in the United States absent registration or an applicable exemption from the registration requirements. The net proceeds from the Offering, together with cash on hand, will be used to pay at maturity the Issuer’s outstanding 2.625% senior notes due in September 2024 and to pay related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the Company experiences a change of control repurchase event, the Issuer may be required to offer to purchase the Notes at a purchase price equal to 101% of their principal amount,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 that are obligors under the Company’s senior secured credit facilities or that guarantees or otherwise becomes liable with respect to any other indebtedness of the Company, the Issuer or another guarantor, and subject to applicable law and exceptions, each of the Issuer’s subsidiaries that guarantee or otherwise become liable with respect to any indebtedness of the Company, the Issuer or another guarantor or is otherwise an obligor under the Company’s senior secured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been issued under an indenture with U.S. Bank Trust Company, National Association, as trustee. The indenture governing the Notes contain covenants that will limit the ability of the Company and its subsidiaries (including the Issuer) to, among other things, create liens, engage in sale and leaseback transactions or merge or consolidate with or into other companies. If an event of default, as specified in the indenture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description set forth above is qualified in its entirety by the indenture governing the Notes filed herewith as Exhibit 4.1.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2023 and in subsequent filings made prior to or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intend to review or revise any particular forward-looking statement in light of future events.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75"/>
        <w:gridCol w:w="305"/>
        <w:gridCol w:w="84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rPr>
            </w:pPr>
            <w:r>
              <w:rPr>
                <w:b/>
              </w:rPr>
              <w:t>(d)</w:t>
            </w:r>
          </w:p>
        </w:tc>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120"/>
        <w:gridCol w:w="894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center"/>
              <w:rPr/>
            </w:pPr>
            <w:r>
              <w:rPr/>
              <w:t>Exhibit</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center"/>
              <w:rPr/>
            </w:pPr>
            <w:r>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647128dex41.htm">
              <w:r>
                <w:rPr>
                  <w:rStyle w:val="InternetLink"/>
                </w:rPr>
                <w:t xml:space="preserve">Indenture, dated August 8, 2024, among the Issuer, the Company, the other guarantors party thereto, BNP Paribas, as representative of the several initial purchasers party thereto, U.S. Bank Trust Company, National Association, as Trustee, Elavon Financial Services DAC, as paying agent, registrar and transfer agent, relating to the €600,000,000 4.500% senior unsecured notes due 2030.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August 9, 2024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665"/>
        <w:gridCol w:w="60"/>
        <w:gridCol w:w="38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9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Christy L. Kalaus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Vice President and Corporate Controller</w:t>
            </w:r>
          </w:p>
        </w:tc>
      </w:tr>
    </w:tbl>
    <w:p>
      <w:pPr>
        <w:pStyle w:val="TextBody"/>
        <w:bidi w:val="0"/>
        <w:spacing w:before="0" w:after="0"/>
        <w:jc w:val="right"/>
        <w:rPr>
          <w:rFonts w:ascii="Times New Roman" w:hAnsi="Times New Roman"/>
          <w:b/>
          <w:sz w:val="20"/>
        </w:rPr>
      </w:pPr>
      <w:bookmarkStart w:id="2" w:name="d647128dex41.htm"/>
      <w:bookmarkStart w:id="3" w:name="ksd647128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CROWN EUROPEAN HOLDINGS S.A.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named herein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ELAVON FINANCIAL SERVICES DAC </w:t>
      </w:r>
    </w:p>
    <w:p>
      <w:pPr>
        <w:pStyle w:val="TextBody"/>
        <w:bidi w:val="0"/>
        <w:spacing w:before="240" w:after="0"/>
        <w:jc w:val="center"/>
        <w:rPr>
          <w:rFonts w:ascii="Times New Roman" w:hAnsi="Times New Roman"/>
          <w:sz w:val="20"/>
        </w:rPr>
      </w:pPr>
      <w:r>
        <w:rPr>
          <w:rFonts w:ascii="Times New Roman" w:hAnsi="Times New Roman"/>
          <w:sz w:val="20"/>
        </w:rPr>
        <w:t xml:space="preserve">as Paying Agent, Registrar and Transfer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8,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4.500% Senior Notes due 2030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CROSS-REFERENCE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
        <w:gridCol w:w="115"/>
        <w:gridCol w:w="7714"/>
        <w:gridCol w:w="150"/>
        <w:gridCol w:w="1845"/>
      </w:tblGrid>
      <w:tr>
        <w:trPr/>
        <w:tc>
          <w:tcPr>
            <w:tcW w:w="381"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714"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8210" w:type="dxa"/>
            <w:gridSpan w:val="3"/>
            <w:tcBorders/>
            <w:vAlign w:val="bottom"/>
          </w:tcPr>
          <w:p>
            <w:pPr>
              <w:pStyle w:val="TableContents"/>
              <w:bidi w:val="0"/>
              <w:spacing w:before="0" w:after="0"/>
              <w:jc w:val="left"/>
              <w:rPr>
                <w:rFonts w:ascii="Times New Roman" w:hAnsi="Times New Roman"/>
                <w:sz w:val="16"/>
              </w:rPr>
            </w:pPr>
            <w:r>
              <w:rPr>
                <w:rFonts w:ascii="Times New Roman" w:hAnsi="Times New Roman"/>
                <w:sz w:val="16"/>
              </w:rPr>
              <w:t>TIA</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Section</w:t>
            </w:r>
          </w:p>
        </w:tc>
        <w:tc>
          <w:tcPr>
            <w:tcW w:w="150" w:type="dxa"/>
            <w:tcBorders/>
            <w:vAlign w:val="bottom"/>
          </w:tcPr>
          <w:p>
            <w:pPr>
              <w:pStyle w:val="TableContents"/>
              <w:bidi w:val="0"/>
              <w:spacing w:before="0" w:after="283"/>
              <w:jc w:val="left"/>
              <w:rPr/>
            </w:pPr>
            <w:r>
              <w:rPr/>
              <w:t>  </w:t>
            </w:r>
          </w:p>
        </w:tc>
        <w:tc>
          <w:tcPr>
            <w:tcW w:w="1845" w:type="dxa"/>
            <w:tcBorders>
              <w:bottom w:val="single" w:sz="8" w:space="0" w:color="000000"/>
            </w:tcBorders>
            <w:tcMar>
              <w:bottom w:w="28" w:type="dxa"/>
            </w:tcMar>
            <w:vAlign w:val="bottom"/>
          </w:tcPr>
          <w:p>
            <w:pPr>
              <w:pStyle w:val="TableContents"/>
              <w:bidi w:val="0"/>
              <w:spacing w:before="0" w:after="283"/>
              <w:jc w:val="center"/>
              <w:rPr/>
            </w:pPr>
            <w:r>
              <w:rPr/>
              <w:t>Indenture</w:t>
              <w:br/>
              <w:t>Section</w:t>
            </w:r>
          </w:p>
        </w:tc>
      </w:tr>
      <w:tr>
        <w:trPr/>
        <w:tc>
          <w:tcPr>
            <w:tcW w:w="381" w:type="dxa"/>
            <w:tcBorders/>
          </w:tcPr>
          <w:p>
            <w:pPr>
              <w:pStyle w:val="TableContents"/>
              <w:bidi w:val="0"/>
              <w:spacing w:before="0" w:after="283"/>
              <w:jc w:val="left"/>
              <w:rPr/>
            </w:pPr>
            <w:r>
              <w:rPr/>
              <w:t>310</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(a)(1)</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7.10</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(a)(2)</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7.10</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(a)(3)</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(a)(4)</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(a)(5)</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7.08; 7.10; 11.02</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(b)(1)</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7.10</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pPr>
            <w:r>
              <w:rPr/>
              <w:t>311</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7.11</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7.11</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pPr>
            <w:r>
              <w:rPr/>
              <w:t>312</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2.06</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11.03</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11.03</w:t>
            </w:r>
          </w:p>
        </w:tc>
      </w:tr>
      <w:tr>
        <w:trPr/>
        <w:tc>
          <w:tcPr>
            <w:tcW w:w="381" w:type="dxa"/>
            <w:tcBorders/>
          </w:tcPr>
          <w:p>
            <w:pPr>
              <w:pStyle w:val="TableContents"/>
              <w:bidi w:val="0"/>
              <w:spacing w:before="0" w:after="283"/>
              <w:jc w:val="left"/>
              <w:rPr/>
            </w:pPr>
            <w:r>
              <w:rPr/>
              <w:t>313</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7.06</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(b)(1)</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(b)(2)</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7.06</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7.06; 11.02</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(d)</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7.06</w:t>
            </w:r>
          </w:p>
        </w:tc>
      </w:tr>
      <w:tr>
        <w:trPr/>
        <w:tc>
          <w:tcPr>
            <w:tcW w:w="381" w:type="dxa"/>
            <w:tcBorders/>
          </w:tcPr>
          <w:p>
            <w:pPr>
              <w:pStyle w:val="TableContents"/>
              <w:bidi w:val="0"/>
              <w:spacing w:before="0" w:after="283"/>
              <w:jc w:val="left"/>
              <w:rPr/>
            </w:pPr>
            <w:r>
              <w:rPr/>
              <w:t>314</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4.06; 4.16; 11.02</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(c)(1)</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11.04</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(c)(2)</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11.04</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(c)(3)</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(d)</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(e)</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11.05</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(f)</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pPr>
            <w:r>
              <w:rPr/>
              <w:t>315</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7.01(b)</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7.05; 11.02</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7.01(a)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(d)</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7.01(c)</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(e)</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6.12</w:t>
            </w:r>
          </w:p>
        </w:tc>
      </w:tr>
      <w:tr>
        <w:trPr/>
        <w:tc>
          <w:tcPr>
            <w:tcW w:w="381" w:type="dxa"/>
            <w:tcBorders/>
          </w:tcPr>
          <w:p>
            <w:pPr>
              <w:pStyle w:val="TableContents"/>
              <w:bidi w:val="0"/>
              <w:spacing w:before="0" w:after="283"/>
              <w:jc w:val="left"/>
              <w:rPr/>
            </w:pPr>
            <w:r>
              <w:rPr/>
              <w:t>316</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 (last sentence)</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2.10</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(a)(1)(A)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6.05</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(a)(1)(B)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6.04</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(a)(2)</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N.A.</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6.08</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(c)</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8.04</w:t>
            </w:r>
          </w:p>
        </w:tc>
      </w:tr>
      <w:tr>
        <w:trPr/>
        <w:tc>
          <w:tcPr>
            <w:tcW w:w="381" w:type="dxa"/>
            <w:tcBorders/>
          </w:tcPr>
          <w:p>
            <w:pPr>
              <w:pStyle w:val="TableContents"/>
              <w:bidi w:val="0"/>
              <w:spacing w:before="0" w:after="283"/>
              <w:jc w:val="left"/>
              <w:rPr/>
            </w:pPr>
            <w:r>
              <w:rPr/>
              <w:t>317</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(a)(1)</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6.09</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(a)(2)</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6.10</w:t>
            </w:r>
          </w:p>
        </w:tc>
      </w:tr>
      <w:tr>
        <w:trPr/>
        <w:tc>
          <w:tcPr>
            <w:tcW w:w="38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(b)</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2.05; 7.12</w:t>
            </w:r>
          </w:p>
        </w:tc>
      </w:tr>
      <w:tr>
        <w:trPr/>
        <w:tc>
          <w:tcPr>
            <w:tcW w:w="381" w:type="dxa"/>
            <w:tcBorders/>
          </w:tcPr>
          <w:p>
            <w:pPr>
              <w:pStyle w:val="TableContents"/>
              <w:bidi w:val="0"/>
              <w:spacing w:before="0" w:after="283"/>
              <w:jc w:val="left"/>
              <w:rPr/>
            </w:pPr>
            <w:r>
              <w:rPr/>
              <w:t>318</w:t>
            </w:r>
          </w:p>
        </w:tc>
        <w:tc>
          <w:tcPr>
            <w:tcW w:w="115" w:type="dxa"/>
            <w:tcBorders/>
            <w:vAlign w:val="bottom"/>
          </w:tcPr>
          <w:p>
            <w:pPr>
              <w:pStyle w:val="TableContents"/>
              <w:bidi w:val="0"/>
              <w:spacing w:before="0" w:after="283"/>
              <w:jc w:val="left"/>
              <w:rPr/>
            </w:pPr>
            <w:r>
              <w:rPr/>
              <w:t> </w:t>
            </w:r>
          </w:p>
        </w:tc>
        <w:tc>
          <w:tcPr>
            <w:tcW w:w="7714" w:type="dxa"/>
            <w:tcBorders/>
            <w:vAlign w:val="bottom"/>
          </w:tcPr>
          <w:p>
            <w:pPr>
              <w:pStyle w:val="TableContents"/>
              <w:bidi w:val="0"/>
              <w:spacing w:before="0" w:after="283"/>
              <w:jc w:val="left"/>
              <w:rPr/>
            </w:pPr>
            <w:r>
              <w:rPr/>
              <w:t>(a)</w:t>
            </w:r>
          </w:p>
        </w:tc>
        <w:tc>
          <w:tcPr>
            <w:tcW w:w="150"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11.01</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N.A. means Not Applicable </w:t>
      </w:r>
    </w:p>
    <w:p>
      <w:pPr>
        <w:pStyle w:val="TextBody"/>
        <w:bidi w:val="0"/>
        <w:spacing w:before="0" w:after="0"/>
        <w:jc w:val="left"/>
        <w:rPr>
          <w:rFonts w:ascii="Times New Roman" w:hAnsi="Times New Roman"/>
          <w:sz w:val="20"/>
        </w:rPr>
      </w:pPr>
      <w:r>
        <w:rPr>
          <w:rFonts w:ascii="Times New Roman" w:hAnsi="Times New Roman"/>
          <w:sz w:val="20"/>
        </w:rPr>
        <w:t xml:space="preserve">Note:  This Cross-Reference Table shall not, for any purpose, be deemed to be a part of this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0"/>
        <w:gridCol w:w="176"/>
        <w:gridCol w:w="7603"/>
        <w:gridCol w:w="176"/>
        <w:gridCol w:w="90"/>
        <w:gridCol w:w="397"/>
        <w:gridCol w:w="63"/>
      </w:tblGrid>
      <w:tr>
        <w:trPr/>
        <w:tc>
          <w:tcPr>
            <w:tcW w:w="170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60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0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ONE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AND INCORPORATION BY REFERENCE</w:t>
            </w:r>
          </w:p>
        </w:tc>
        <w:tc>
          <w:tcPr>
            <w:tcW w:w="63" w:type="dxa"/>
            <w:tcBorders/>
          </w:tcPr>
          <w:p>
            <w:pPr>
              <w:pStyle w:val="TableContents"/>
              <w:bidi w:val="0"/>
              <w:spacing w:before="0" w:after="0"/>
              <w:jc w:val="left"/>
              <w:rPr/>
            </w:pPr>
            <w:r>
              <w:rPr/>
              <w:t> </w:t>
            </w:r>
          </w:p>
        </w:tc>
      </w:tr>
      <w:tr>
        <w:trPr>
          <w:trHeight w:val="120" w:hRule="atLeast"/>
        </w:trPr>
        <w:tc>
          <w:tcPr>
            <w:tcW w:w="1700"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Incorporation by Reference of Trust Indenture Act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Rules of Construction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TWO</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SECURITIES</w:t>
            </w:r>
          </w:p>
        </w:tc>
        <w:tc>
          <w:tcPr>
            <w:tcW w:w="63" w:type="dxa"/>
            <w:tcBorders/>
          </w:tcPr>
          <w:p>
            <w:pPr>
              <w:pStyle w:val="TableContents"/>
              <w:bidi w:val="0"/>
              <w:spacing w:before="0" w:after="0"/>
              <w:jc w:val="left"/>
              <w:rPr/>
            </w:pPr>
            <w:r>
              <w:rPr/>
              <w:t> </w:t>
            </w:r>
          </w:p>
        </w:tc>
      </w:tr>
      <w:tr>
        <w:trPr>
          <w:trHeight w:val="120" w:hRule="atLeast"/>
        </w:trPr>
        <w:tc>
          <w:tcPr>
            <w:tcW w:w="1700"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Amount of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Form and Dating; Legends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Execution and Authentication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Registrar, Paying Agent and Transfer Agent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Paying Agent To Hold Money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Noteholder Lists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Transfer and Exchange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Replacement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Outstanding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Treasury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Temporary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Cancellation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Defaulted Interest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CUSIP, ISIN and Common Code Numbers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Deposit of Moneys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Book-Entry Provisions for Global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Transfer and Exchange of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Computation of Interest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THREE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REDEMPTION</w:t>
            </w:r>
          </w:p>
        </w:tc>
        <w:tc>
          <w:tcPr>
            <w:tcW w:w="63" w:type="dxa"/>
            <w:tcBorders/>
          </w:tcPr>
          <w:p>
            <w:pPr>
              <w:pStyle w:val="TableContents"/>
              <w:bidi w:val="0"/>
              <w:spacing w:before="0" w:after="0"/>
              <w:jc w:val="left"/>
              <w:rPr/>
            </w:pPr>
            <w:r>
              <w:rPr/>
              <w:t> </w:t>
            </w:r>
          </w:p>
        </w:tc>
      </w:tr>
      <w:tr>
        <w:trPr>
          <w:trHeight w:val="120" w:hRule="atLeast"/>
        </w:trPr>
        <w:tc>
          <w:tcPr>
            <w:tcW w:w="1700"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Election To Redeem; Notices to Trustee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Selection by Trustee of Notes To Be Redeemed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Notice of Redemption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Effect of Notice of Redemption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Deposit of Redemption Price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Notes Redeemed in Part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76" w:type="dxa"/>
            <w:tcBorders/>
            <w:vAlign w:val="bottom"/>
          </w:tcPr>
          <w:p>
            <w:pPr>
              <w:pStyle w:val="TableContents"/>
              <w:bidi w:val="0"/>
              <w:spacing w:before="0" w:after="283"/>
              <w:jc w:val="left"/>
              <w:rPr/>
            </w:pPr>
            <w:r>
              <w:rPr/>
              <w:t>  </w:t>
            </w:r>
          </w:p>
        </w:tc>
        <w:tc>
          <w:tcPr>
            <w:tcW w:w="76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Mandatory Redemption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01"/>
        <w:gridCol w:w="176"/>
        <w:gridCol w:w="7602"/>
        <w:gridCol w:w="176"/>
        <w:gridCol w:w="90"/>
        <w:gridCol w:w="397"/>
        <w:gridCol w:w="63"/>
      </w:tblGrid>
      <w:tr>
        <w:trPr/>
        <w:tc>
          <w:tcPr>
            <w:tcW w:w="170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602"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0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FOUR</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COVENANTS</w:t>
            </w:r>
          </w:p>
        </w:tc>
        <w:tc>
          <w:tcPr>
            <w:tcW w:w="63" w:type="dxa"/>
            <w:tcBorders/>
          </w:tcPr>
          <w:p>
            <w:pPr>
              <w:pStyle w:val="TableContents"/>
              <w:bidi w:val="0"/>
              <w:spacing w:before="0" w:after="0"/>
              <w:jc w:val="left"/>
              <w:rPr/>
            </w:pPr>
            <w:r>
              <w:rPr/>
              <w: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7778"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Payment of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Maintenance of Office or Agency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Legal Existence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Compliance with Law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Waiver of Stay, Extension or Usury Laws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Compliance Certificate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Taxes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Repurchase at the Option of Holders upon Change of Control Repurchase Event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Limitation on Liens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Limitation on Sale and Leaseback Transactions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Reports to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Additional Note Guarantees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Maintenance of Listing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Payment of Additional Amounts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FIVE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SUCCESSOR CORPORATION</w:t>
            </w:r>
          </w:p>
        </w:tc>
        <w:tc>
          <w:tcPr>
            <w:tcW w:w="63" w:type="dxa"/>
            <w:tcBorders/>
          </w:tcPr>
          <w:p>
            <w:pPr>
              <w:pStyle w:val="TableContents"/>
              <w:bidi w:val="0"/>
              <w:spacing w:before="0" w:after="0"/>
              <w:jc w:val="left"/>
              <w:rPr/>
            </w:pPr>
            <w:r>
              <w:rPr/>
              <w: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7778"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Consolidation, Merger and Sale of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Successor Person Substituted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SIX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DEFAULTS AND REMEDIES</w:t>
            </w:r>
          </w:p>
        </w:tc>
        <w:tc>
          <w:tcPr>
            <w:tcW w:w="63" w:type="dxa"/>
            <w:tcBorders/>
          </w:tcPr>
          <w:p>
            <w:pPr>
              <w:pStyle w:val="TableContents"/>
              <w:bidi w:val="0"/>
              <w:spacing w:before="0" w:after="0"/>
              <w:jc w:val="left"/>
              <w:rPr/>
            </w:pPr>
            <w:r>
              <w:rPr/>
              <w: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7778"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Events of Default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Acceleration of Maturity; Rescission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Other Remedies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Waiver of Existing Defaults and Events of Default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Control by Majority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76" w:type="dxa"/>
            <w:tcBorders/>
            <w:vAlign w:val="bottom"/>
          </w:tcPr>
          <w:p>
            <w:pPr>
              <w:pStyle w:val="TableContents"/>
              <w:bidi w:val="0"/>
              <w:spacing w:before="0" w:after="283"/>
              <w:jc w:val="left"/>
              <w:rPr/>
            </w:pPr>
            <w:r>
              <w:rPr/>
              <w:t>  </w:t>
            </w:r>
          </w:p>
        </w:tc>
        <w:tc>
          <w:tcPr>
            <w:tcW w:w="760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Limitation on Suits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54"/>
        <w:gridCol w:w="134"/>
        <w:gridCol w:w="8334"/>
        <w:gridCol w:w="134"/>
        <w:gridCol w:w="90"/>
        <w:gridCol w:w="395"/>
        <w:gridCol w:w="64"/>
      </w:tblGrid>
      <w:tr>
        <w:trPr/>
        <w:tc>
          <w:tcPr>
            <w:tcW w:w="105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3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5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No Personal Liability of Directors, Officers, Employees and Stockholders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Rights of Holders To Receive Payment</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Collection Suit by Trustee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Trustee May File Proofs of Claim</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Priorities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Undertaking for Costs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SEVEN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TRUSTEE</w:t>
            </w:r>
          </w:p>
        </w:tc>
        <w:tc>
          <w:tcPr>
            <w:tcW w:w="64" w:type="dxa"/>
            <w:tcBorders/>
          </w:tcPr>
          <w:p>
            <w:pPr>
              <w:pStyle w:val="TableContents"/>
              <w:bidi w:val="0"/>
              <w:spacing w:before="0" w:after="0"/>
              <w:jc w:val="left"/>
              <w:rPr/>
            </w:pPr>
            <w:r>
              <w:rPr/>
              <w:t> </w:t>
            </w:r>
          </w:p>
        </w:tc>
      </w:tr>
      <w:tr>
        <w:trPr>
          <w:trHeight w:val="120" w:hRule="atLeast"/>
        </w:trPr>
        <w:tc>
          <w:tcPr>
            <w:tcW w:w="1054"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34" w:type="dxa"/>
            <w:tcBorders/>
            <w:vAlign w:val="bottom"/>
          </w:tcPr>
          <w:p>
            <w:pPr>
              <w:pStyle w:val="TableContents"/>
              <w:bidi w:val="0"/>
              <w:spacing w:before="0" w:after="283"/>
              <w:jc w:val="left"/>
              <w:rPr/>
            </w:pPr>
            <w:r>
              <w:rPr/>
              <w:t>  </w:t>
            </w:r>
          </w:p>
        </w:tc>
        <w:tc>
          <w:tcPr>
            <w:tcW w:w="833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Duties of Trustee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Rights of Trustee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Individual Rights of Trustee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Trustees Disclaimer</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Notice of Defaults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Reports by Trustee to Holders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Compensation and Indemnity</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Replacement of Trustee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Successor Trustee by Consolidation, Merger, etc</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Eligibility; Disqualification</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Preferential Collection of Claims Against Issuer</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Paying Agents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Communications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EIGHT</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AMENDMENT, SUPPLEMENT AND WAIVER</w:t>
            </w:r>
          </w:p>
        </w:tc>
        <w:tc>
          <w:tcPr>
            <w:tcW w:w="64" w:type="dxa"/>
            <w:tcBorders/>
          </w:tcPr>
          <w:p>
            <w:pPr>
              <w:pStyle w:val="TableContents"/>
              <w:bidi w:val="0"/>
              <w:spacing w:before="0" w:after="0"/>
              <w:jc w:val="left"/>
              <w:rPr/>
            </w:pPr>
            <w:r>
              <w:rPr/>
              <w:t> </w:t>
            </w:r>
          </w:p>
        </w:tc>
      </w:tr>
      <w:tr>
        <w:trPr>
          <w:trHeight w:val="120" w:hRule="atLeast"/>
        </w:trPr>
        <w:tc>
          <w:tcPr>
            <w:tcW w:w="1054"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34" w:type="dxa"/>
            <w:tcBorders/>
            <w:vAlign w:val="bottom"/>
          </w:tcPr>
          <w:p>
            <w:pPr>
              <w:pStyle w:val="TableContents"/>
              <w:bidi w:val="0"/>
              <w:spacing w:before="0" w:after="283"/>
              <w:jc w:val="left"/>
              <w:rPr/>
            </w:pPr>
            <w:r>
              <w:rPr/>
              <w:t>  </w:t>
            </w:r>
          </w:p>
        </w:tc>
        <w:tc>
          <w:tcPr>
            <w:tcW w:w="833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Without Consent of Noteholders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With Consent of Noteholders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Compliance with Trust Indenture Act</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Revocation and Effect of Consents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Notation on or Exchange of Notes</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Trustee To Sign Amendments, etc</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NINE</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DISCHARGE OF INDENTURE; DEFEASANCE</w:t>
            </w:r>
          </w:p>
        </w:tc>
        <w:tc>
          <w:tcPr>
            <w:tcW w:w="64" w:type="dxa"/>
            <w:tcBorders/>
          </w:tcPr>
          <w:p>
            <w:pPr>
              <w:pStyle w:val="TableContents"/>
              <w:bidi w:val="0"/>
              <w:spacing w:before="0" w:after="0"/>
              <w:jc w:val="left"/>
              <w:rPr/>
            </w:pPr>
            <w:r>
              <w:rPr/>
              <w:t> </w:t>
            </w:r>
          </w:p>
        </w:tc>
      </w:tr>
      <w:tr>
        <w:trPr>
          <w:trHeight w:val="120" w:hRule="atLeast"/>
        </w:trPr>
        <w:tc>
          <w:tcPr>
            <w:tcW w:w="1054"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34" w:type="dxa"/>
            <w:tcBorders/>
            <w:vAlign w:val="bottom"/>
          </w:tcPr>
          <w:p>
            <w:pPr>
              <w:pStyle w:val="TableContents"/>
              <w:bidi w:val="0"/>
              <w:spacing w:before="0" w:after="283"/>
              <w:jc w:val="left"/>
              <w:rPr/>
            </w:pPr>
            <w:r>
              <w:rPr/>
              <w:t>  </w:t>
            </w:r>
          </w:p>
        </w:tc>
        <w:tc>
          <w:tcPr>
            <w:tcW w:w="833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Discharge of Indenture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Legal Defeasance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05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34"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u w:val="single"/>
              </w:rPr>
            </w:pPr>
            <w:r>
              <w:rPr>
                <w:u w:val="single"/>
              </w:rPr>
              <w:t>Covenant Defeasance</w:t>
            </w:r>
          </w:p>
        </w:tc>
        <w:tc>
          <w:tcPr>
            <w:tcW w:w="13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90"/>
        <w:gridCol w:w="176"/>
        <w:gridCol w:w="7610"/>
        <w:gridCol w:w="176"/>
        <w:gridCol w:w="90"/>
        <w:gridCol w:w="401"/>
        <w:gridCol w:w="62"/>
      </w:tblGrid>
      <w:tr>
        <w:trPr/>
        <w:tc>
          <w:tcPr>
            <w:tcW w:w="169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6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1"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Conditions to Defeasance or Covenant Defeasance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Deposited Money and EU Government Obligations To Be Held in Trust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Reinstatement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Moneys Held by Paying Agent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Moneys Held by Trustee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TEN</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GUARANTEE OF SECURITIES</w:t>
            </w:r>
          </w:p>
        </w:tc>
        <w:tc>
          <w:tcPr>
            <w:tcW w:w="62" w:type="dxa"/>
            <w:tcBorders/>
          </w:tcPr>
          <w:p>
            <w:pPr>
              <w:pStyle w:val="TableContents"/>
              <w:bidi w:val="0"/>
              <w:spacing w:before="0" w:after="0"/>
              <w:jc w:val="left"/>
              <w:rPr/>
            </w:pPr>
            <w:r>
              <w:rPr/>
              <w:t> </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Guarantee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Execution and Delivery of Note Guarantee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Release of Guarantors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Waiver of Subrogation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Notice to Trustee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Limitation on Guarantors Liability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ELEVEN</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MISCELLANEOUS</w:t>
            </w:r>
          </w:p>
        </w:tc>
        <w:tc>
          <w:tcPr>
            <w:tcW w:w="62" w:type="dxa"/>
            <w:tcBorders/>
          </w:tcPr>
          <w:p>
            <w:pPr>
              <w:pStyle w:val="TableContents"/>
              <w:bidi w:val="0"/>
              <w:spacing w:before="0" w:after="0"/>
              <w:jc w:val="left"/>
              <w:rPr/>
            </w:pPr>
            <w:r>
              <w:rPr/>
              <w:t> </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Trust Indenture Act Controls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Notices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Communications by Holders with Other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Certificate and Opinion as to Conditions Precedent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Statements Required in Certificate and Opinion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Rules by Trustee and Agents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Business Days; Legal Holidays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Governing Law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 Adverse Interpretation of Other Agreements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Successors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Multiple Counterparts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Table of Contents, Headings, etc</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Separability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Waiver of Jury Trial</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Force Majeure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Agent for Service; Submission to Jurisdiction; Waiver of Immunities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Currency of Account; Conversion of Currency; Foreign Exchange Restrictions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169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11.18.</w:t>
            </w:r>
          </w:p>
        </w:tc>
        <w:tc>
          <w:tcPr>
            <w:tcW w:w="176" w:type="dxa"/>
            <w:tcBorders/>
            <w:vAlign w:val="bottom"/>
          </w:tcPr>
          <w:p>
            <w:pPr>
              <w:pStyle w:val="TableContents"/>
              <w:bidi w:val="0"/>
              <w:spacing w:before="0" w:after="283"/>
              <w:jc w:val="left"/>
              <w:rPr/>
            </w:pPr>
            <w:r>
              <w:rPr/>
              <w:t>  </w:t>
            </w:r>
          </w:p>
        </w:tc>
        <w:tc>
          <w:tcPr>
            <w:tcW w:w="76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BRRD and Other Regulatory Matters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0"/>
        <w:gridCol w:w="123"/>
        <w:gridCol w:w="7723"/>
        <w:gridCol w:w="220"/>
        <w:gridCol w:w="60"/>
        <w:gridCol w:w="449"/>
        <w:gridCol w:w="210"/>
      </w:tblGrid>
      <w:tr>
        <w:trPr/>
        <w:tc>
          <w:tcPr>
            <w:tcW w:w="14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A-1.</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Restricted Note</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A-1-1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A-2.</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Unrestricted Note</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A-2-1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Private Placement Legend</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B-1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Legend for Global Note</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C-1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OID Legend</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D-1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E-1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Certificate of Transfer</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F-1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Certificate of Exchange</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G-1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283"/>
              <w:jc w:val="left"/>
              <w:rPr/>
            </w:pPr>
            <w:r>
              <w:rPr/>
              <w:t>Exhibit H.</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Certificate from Acquiring Institutional Accredited Investor</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H-1</w:t>
            </w:r>
          </w:p>
        </w:tc>
        <w:tc>
          <w:tcPr>
            <w:tcW w:w="210" w:type="dxa"/>
            <w:tcBorders/>
          </w:tcPr>
          <w:p>
            <w:pPr>
              <w:pStyle w:val="TableContents"/>
              <w:bidi w:val="0"/>
              <w:spacing w:before="0" w:after="283"/>
              <w:jc w:val="left"/>
              <w:rPr/>
            </w:pPr>
            <w:r>
              <w:rPr/>
              <w:t> </w:t>
            </w:r>
          </w:p>
        </w:tc>
      </w:tr>
      <w:tr>
        <w:trPr/>
        <w:tc>
          <w:tcPr>
            <w:tcW w:w="1420" w:type="dxa"/>
            <w:tcBorders/>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3" w:type="dxa"/>
            <w:tcBorders/>
            <w:vAlign w:val="bottom"/>
          </w:tcPr>
          <w:p>
            <w:pPr>
              <w:pStyle w:val="TableContents"/>
              <w:bidi w:val="0"/>
              <w:spacing w:before="0" w:after="283"/>
              <w:jc w:val="left"/>
              <w:rPr/>
            </w:pPr>
            <w:r>
              <w:rPr/>
              <w:t>  </w:t>
            </w:r>
          </w:p>
        </w:tc>
        <w:tc>
          <w:tcPr>
            <w:tcW w:w="7723" w:type="dxa"/>
            <w:tcBorders/>
          </w:tcPr>
          <w:p>
            <w:pPr>
              <w:pStyle w:val="TableContents"/>
              <w:bidi w:val="0"/>
              <w:spacing w:before="0" w:after="0"/>
              <w:jc w:val="left"/>
              <w:rPr>
                <w:rFonts w:ascii="Times New Roman" w:hAnsi="Times New Roman"/>
                <w:sz w:val="20"/>
              </w:rPr>
            </w:pPr>
            <w:r>
              <w:rPr>
                <w:rFonts w:ascii="Times New Roman" w:hAnsi="Times New Roman"/>
                <w:sz w:val="20"/>
              </w:rPr>
              <w:t>Form of Guarantee</w:t>
            </w:r>
          </w:p>
        </w:tc>
        <w:tc>
          <w:tcPr>
            <w:tcW w:w="2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49" w:type="dxa"/>
            <w:tcBorders/>
          </w:tcPr>
          <w:p>
            <w:pPr>
              <w:pStyle w:val="TableContents"/>
              <w:bidi w:val="0"/>
              <w:spacing w:before="0" w:after="283"/>
              <w:jc w:val="right"/>
              <w:rPr/>
            </w:pPr>
            <w:r>
              <w:rPr/>
              <w:t>I-4</w:t>
            </w:r>
          </w:p>
        </w:tc>
        <w:tc>
          <w:tcPr>
            <w:tcW w:w="210"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dated as of August 8, 2024 among Crown European Holdings S.A., a French </w:t>
      </w:r>
      <w:r>
        <w:rPr>
          <w:rFonts w:ascii="Times New Roman" w:hAnsi="Times New Roman"/>
          <w:i/>
          <w:sz w:val="20"/>
        </w:rPr>
        <w:t>société anonyme</w:t>
      </w:r>
      <w:r>
        <w:rPr>
          <w:rFonts w:ascii="Times New Roman" w:hAnsi="Times New Roman"/>
          <w:sz w:val="20"/>
        </w:rPr>
        <w:t xml:space="preserve"> (the </w:t>
      </w:r>
      <w:r>
        <w:rPr>
          <w:rFonts w:ascii="Times New Roman" w:hAnsi="Times New Roman"/>
          <w:sz w:val="20"/>
          <w:u w:val="single"/>
        </w:rPr>
        <w:t>Issuer</w:t>
      </w:r>
      <w:r>
        <w:rPr>
          <w:rFonts w:ascii="Times New Roman" w:hAnsi="Times New Roman"/>
          <w:sz w:val="20"/>
        </w:rPr>
        <w:t>), the Guarantors (as defined), U.S. Bank Trust Company, National Association, as trustee (the </w:t>
      </w:r>
      <w:r>
        <w:rPr>
          <w:rFonts w:ascii="Times New Roman" w:hAnsi="Times New Roman"/>
          <w:sz w:val="20"/>
          <w:u w:val="single"/>
        </w:rPr>
        <w:t>Trustee</w:t>
      </w:r>
      <w:r>
        <w:rPr>
          <w:rFonts w:ascii="Times New Roman" w:hAnsi="Times New Roman"/>
          <w:sz w:val="20"/>
        </w:rPr>
        <w:t>), Elavon Financial Services DAC, as paying agent (the </w:t>
      </w:r>
      <w:r>
        <w:rPr>
          <w:rFonts w:ascii="Times New Roman" w:hAnsi="Times New Roman"/>
          <w:sz w:val="20"/>
          <w:u w:val="single"/>
        </w:rPr>
        <w:t>Paying Agent</w:t>
      </w:r>
      <w:r>
        <w:rPr>
          <w:rFonts w:ascii="Times New Roman" w:hAnsi="Times New Roman"/>
          <w:sz w:val="20"/>
        </w:rPr>
        <w:t>), as registrar (the </w:t>
      </w:r>
      <w:r>
        <w:rPr>
          <w:rFonts w:ascii="Times New Roman" w:hAnsi="Times New Roman"/>
          <w:sz w:val="20"/>
          <w:u w:val="single"/>
        </w:rPr>
        <w:t>Registrar</w:t>
      </w:r>
      <w:r>
        <w:rPr>
          <w:rFonts w:ascii="Times New Roman" w:hAnsi="Times New Roman"/>
          <w:sz w:val="20"/>
        </w:rPr>
        <w:t>) and transfer agent (the </w:t>
      </w:r>
      <w:r>
        <w:rPr>
          <w:rFonts w:ascii="Times New Roman" w:hAnsi="Times New Roman"/>
          <w:sz w:val="20"/>
          <w:u w:val="single"/>
        </w:rPr>
        <w:t>Transfer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parties and for the equal and ratable benefit of the Holders of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ONE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Amounts</w:t>
      </w:r>
      <w:r>
        <w:rPr>
          <w:rFonts w:ascii="Times New Roman" w:hAnsi="Times New Roman"/>
          <w:sz w:val="20"/>
        </w:rPr>
        <w:t xml:space="preserve"> has the meaning set forth in Section 4.20.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Notes</w:t>
      </w:r>
      <w:r>
        <w:rPr>
          <w:rFonts w:ascii="Times New Roman" w:hAnsi="Times New Roman"/>
          <w:sz w:val="20"/>
        </w:rPr>
        <w:t xml:space="preserve"> has the meaning set forth in Section 2.01.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Net Assets</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means any Registrar, Paying Agent, Transfer Agent or agent for service or notices and demands.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Members</w:t>
      </w:r>
      <w:r>
        <w:rPr>
          <w:rFonts w:ascii="Times New Roman" w:hAnsi="Times New Roman"/>
          <w:sz w:val="20"/>
        </w:rPr>
        <w:t xml:space="preserve"> has the meaning set forth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w:t>
      </w:r>
      <w:r>
        <w:rPr>
          <w:rFonts w:ascii="Times New Roman" w:hAnsi="Times New Roman"/>
          <w:sz w:val="20"/>
        </w:rPr>
        <w:t> means to amend, supplement, restate, amend and restate or otherwise modify; and </w:t>
      </w:r>
      <w:r>
        <w:rPr>
          <w:rFonts w:ascii="Times New Roman" w:hAnsi="Times New Roman"/>
          <w:sz w:val="20"/>
          <w:u w:val="single"/>
        </w:rPr>
        <w:t>amendment</w:t>
      </w:r>
      <w:r>
        <w:rPr>
          <w:rFonts w:ascii="Times New Roman" w:hAnsi="Times New Roman"/>
          <w:sz w:val="20"/>
        </w:rPr>
        <w:t xml:space="preserve"> shall have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asset</w:t>
      </w:r>
      <w:r>
        <w:rPr>
          <w:rFonts w:ascii="Times New Roman" w:hAnsi="Times New Roman"/>
          <w:sz w:val="20"/>
        </w:rPr>
        <w:t xml:space="preserve"> means any asset or property, whether real, personal or mixed, tangible or intangible.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Attributable Debt</w:t>
      </w:r>
      <w:r>
        <w:rPr>
          <w:rFonts w:ascii="Times New Roman" w:hAnsi="Times New Roman"/>
          <w:sz w:val="20"/>
        </w:rPr>
        <w:t xml:space="preserve">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Authorized Person</w:t>
      </w:r>
      <w:r>
        <w:rPr>
          <w:rFonts w:ascii="Times New Roman" w:hAnsi="Times New Roman"/>
          <w:sz w:val="20"/>
        </w:rPr>
        <w:t xml:space="preserve"> means any person who is designated in writing by the Issuer from time to time to give Instructions to the Trustee or Agent under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Law</w:t>
      </w:r>
      <w:r>
        <w:rPr>
          <w:rFonts w:ascii="Times New Roman" w:hAnsi="Times New Roman"/>
          <w:sz w:val="20"/>
        </w:rPr>
        <w:t xml:space="preserve"> means Title 11 of the United States Code, as amended, or any similar federal, state, local or foreign law for the relief of debtors, and shall include in respect of each of the Issuer and the French Guarantors, provisions of </w:t>
      </w:r>
      <w:r>
        <w:rPr>
          <w:rFonts w:ascii="Times New Roman" w:hAnsi="Times New Roman"/>
          <w:i/>
          <w:sz w:val="20"/>
        </w:rPr>
        <w:t>Livre Sixième, Des difficultés des entreprises</w:t>
      </w:r>
      <w:r>
        <w:rPr>
          <w:rFonts w:ascii="Times New Roman" w:hAnsi="Times New Roman"/>
          <w:sz w:val="20"/>
        </w:rPr>
        <w:t xml:space="preserve"> of the French </w:t>
      </w:r>
      <w:r>
        <w:rPr>
          <w:rFonts w:ascii="Times New Roman" w:hAnsi="Times New Roman"/>
          <w:i/>
          <w:sz w:val="20"/>
        </w:rPr>
        <w:t>Code de Commerce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 Currency</w:t>
      </w:r>
      <w:r>
        <w:rPr>
          <w:rFonts w:ascii="Times New Roman" w:hAnsi="Times New Roman"/>
          <w:sz w:val="20"/>
        </w:rPr>
        <w:t xml:space="preserve"> has the meaning set forth in Section 11.17.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with respect to any Person, the board of directors or comparable governing body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Bund Rate</w:t>
      </w:r>
      <w:r>
        <w:rPr>
          <w:rFonts w:ascii="Times New Roman" w:hAnsi="Times New Roman"/>
          <w:sz w:val="20"/>
        </w:rPr>
        <w:t xml:space="preserve">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has the meaning set forth in Section 11.07.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Lease Obligation</w:t>
      </w:r>
      <w:r>
        <w:rPr>
          <w:rFonts w:ascii="Times New Roman" w:hAnsi="Times New Roman"/>
          <w:sz w:val="20"/>
        </w:rPr>
        <w:t xml:space="preserve"> means, at the time any determination thereof is to be made, the amount of the liability in respect of a capital lease that would at such time be so required to be capitalized on the balance sheet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and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the adoption of a plan for the liquidation or dissolution of Parent or the Issuer (other than in a transaction that complies with Article Five); </w:t>
      </w:r>
    </w:p>
    <w:p>
      <w:pPr>
        <w:pStyle w:val="TextBody"/>
        <w:bidi w:val="0"/>
        <w:spacing w:before="120" w:after="0"/>
        <w:jc w:val="left"/>
        <w:rPr>
          <w:rFonts w:ascii="Times New Roman" w:hAnsi="Times New Roman"/>
          <w:sz w:val="20"/>
        </w:rPr>
      </w:pPr>
      <w:r>
        <w:rPr>
          <w:rFonts w:ascii="Times New Roman" w:hAnsi="Times New Roman"/>
          <w:sz w:val="20"/>
        </w:rPr>
        <w:t xml:space="preserve">(3) 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hAnsi="Times New Roman"/>
          <w:i/>
          <w:sz w:val="20"/>
        </w:rPr>
        <w:t>provided, however</w:t>
      </w:r>
      <w:r>
        <w:rPr>
          <w:rFonts w:ascii="Times New Roman" w:hAnsi="Times New Roman"/>
          <w:sz w:val="20"/>
        </w:rPr>
        <w:t>, that a transaction in which Parent becomes a Wholly Owned Subsidiary of another Person (other than a Person that is an individual) (the </w:t>
      </w:r>
      <w:r>
        <w:rPr>
          <w:rFonts w:ascii="Times New Roman" w:hAnsi="Times New Roman"/>
          <w:sz w:val="20"/>
          <w:u w:val="single"/>
        </w:rPr>
        <w:t>New Parent</w:t>
      </w:r>
      <w:r>
        <w:rPr>
          <w:rFonts w:ascii="Times New Roman" w:hAnsi="Times New Roman"/>
          <w:sz w:val="20"/>
        </w:rPr>
        <w:t xml:space="preserve">)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 </w:t>
      </w:r>
    </w:p>
    <w:p>
      <w:pPr>
        <w:pStyle w:val="TextBody"/>
        <w:bidi w:val="0"/>
        <w:spacing w:before="120" w:after="0"/>
        <w:jc w:val="left"/>
        <w:rPr>
          <w:rFonts w:ascii="Times New Roman" w:hAnsi="Times New Roman"/>
          <w:sz w:val="20"/>
        </w:rPr>
      </w:pPr>
      <w:r>
        <w:rPr>
          <w:rFonts w:ascii="Times New Roman" w:hAnsi="Times New Roman"/>
          <w:sz w:val="20"/>
        </w:rPr>
        <w:t xml:space="preserve">(4) during any consecutive two-year period, the first day on which a majority of the members of the Board of Directors of Parent who were members of the Board of Directors of Parent at the beginning of such period are not Continuing Directors; or </w:t>
      </w:r>
    </w:p>
    <w:p>
      <w:pPr>
        <w:pStyle w:val="TextBody"/>
        <w:bidi w:val="0"/>
        <w:spacing w:before="120" w:after="0"/>
        <w:jc w:val="left"/>
        <w:rPr>
          <w:rFonts w:ascii="Times New Roman" w:hAnsi="Times New Roman"/>
          <w:sz w:val="20"/>
        </w:rPr>
      </w:pPr>
      <w:r>
        <w:rPr>
          <w:rFonts w:ascii="Times New Roman" w:hAnsi="Times New Roman"/>
          <w:sz w:val="20"/>
        </w:rPr>
        <w:t xml:space="preserve">(5) the first day on which Parent fails to own, either directly or indirectly through one or more Wholly Owned Subsidiaries, 100% of the issued and outstanding Equity Interests of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Offer</w:t>
      </w:r>
      <w:r>
        <w:rPr>
          <w:rFonts w:ascii="Times New Roman" w:hAnsi="Times New Roman"/>
          <w:sz w:val="20"/>
        </w:rPr>
        <w:t xml:space="preserve"> has the meaning set forth in Section 4.08.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Payment</w:t>
      </w:r>
      <w:r>
        <w:rPr>
          <w:rFonts w:ascii="Times New Roman" w:hAnsi="Times New Roman"/>
          <w:sz w:val="20"/>
        </w:rPr>
        <w:t xml:space="preserve"> has the meaning set forth in Section 4.08.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Payment Date</w:t>
      </w:r>
      <w:r>
        <w:rPr>
          <w:rFonts w:ascii="Times New Roman" w:hAnsi="Times New Roman"/>
          <w:sz w:val="20"/>
        </w:rPr>
        <w:t xml:space="preserve"> has the meaning set forth in Section 4.08.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Repurchase Event</w:t>
      </w:r>
      <w:r>
        <w:rPr>
          <w:rFonts w:ascii="Times New Roman" w:hAnsi="Times New Roman"/>
          <w:sz w:val="20"/>
        </w:rPr>
        <w:t xml:space="preserve"> means the occurrence of both a Change of Control and a Ratings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means Clearstream Banking, 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Depositary</w:t>
      </w:r>
      <w:r>
        <w:rPr>
          <w:rFonts w:ascii="Times New Roman" w:hAnsi="Times New Roman"/>
          <w:sz w:val="20"/>
        </w:rPr>
        <w:t xml:space="preserve"> means Elavon Financial Services DAC, as common depositary for Euroclear and Clearstream.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Comparable German Bund Issue</w:t>
      </w:r>
      <w:r>
        <w:rPr>
          <w:rFonts w:ascii="Times New Roman" w:hAnsi="Times New Roman"/>
          <w:sz w:val="20"/>
        </w:rPr>
        <w:t xml:space="preserve"> means the German Bundesanleihe security selected by any Reference German Bund Dealer as having a fixed maturity most nearly equal to the period from such Redemption Date to October 15, 2029 and that would be utilized,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October 15, 2029;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period from such Redemption Date to October 15, 2029 is less than one year, a fixed maturity of one year shall be used.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Comparable German Bund Price</w:t>
      </w:r>
      <w:r>
        <w:rPr>
          <w:rFonts w:ascii="Times New Roman" w:hAnsi="Times New Roman"/>
          <w:sz w:val="20"/>
        </w:rPr>
        <w:t xml:space="preserve">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with respect to any Person for any period, the Consolidated Net Income of such Person and its Subsidiaries for such period, </w:t>
      </w:r>
      <w:r>
        <w:rPr>
          <w:rFonts w:ascii="Times New Roman" w:hAnsi="Times New Roman"/>
          <w:i/>
          <w:sz w:val="20"/>
        </w:rPr>
        <w:t>plus</w:t>
      </w:r>
      <w:r>
        <w:rPr>
          <w:rFonts w:ascii="Times New Roman" w:hAnsi="Times New Roman"/>
          <w:sz w:val="20"/>
        </w:rPr>
        <w:t xml:space="preserve">, to the extent deducted in computing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(1) provision for taxes based on income or profits of such Person and its Subsidiaries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(3) 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any non-recurring restructuring charges or expenses of such Person and its Subsidiaries for such period, 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Interest Expense</w:t>
      </w:r>
      <w:r>
        <w:rPr>
          <w:rFonts w:ascii="Times New Roman" w:hAnsi="Times New Roman"/>
          <w:sz w:val="20"/>
        </w:rPr>
        <w:t xml:space="preserve">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xml:space="preserve"> means, with respect to any Person for any period, the aggregate of the net income of such Person and its Subsidiaries for such period, on a consolidated basis, determined in accordance with GAAP;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(1) 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(3) 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in the case of a successor to such Person by consolidation or merger or as a transferee of such Persons assets, any earnings of the successor corporation prior to such consolidation, merger or transfer of assets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any net gain or loss resulting from an asset disposition by the Person in question or any of its Subsidiaries other than in the ordinary course of business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extraordinary gains and losses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any fees, charges, costs and expenses incurred in connection with the Financing Transaction shall be excluded; and </w:t>
      </w:r>
    </w:p>
    <w:p>
      <w:pPr>
        <w:pStyle w:val="TextBody"/>
        <w:bidi w:val="0"/>
        <w:spacing w:before="120" w:after="0"/>
        <w:jc w:val="left"/>
        <w:rPr>
          <w:rFonts w:ascii="Times New Roman" w:hAnsi="Times New Roman"/>
          <w:sz w:val="20"/>
        </w:rPr>
      </w:pPr>
      <w:r>
        <w:rPr>
          <w:rFonts w:ascii="Times New Roman" w:hAnsi="Times New Roman"/>
          <w:sz w:val="20"/>
        </w:rPr>
        <w:t xml:space="preserve">(8) (a)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Tangible Assets</w:t>
      </w:r>
      <w:r>
        <w:rPr>
          <w:rFonts w:ascii="Times New Roman" w:hAnsi="Times New Roman"/>
          <w:sz w:val="20"/>
        </w:rPr>
        <w:t xml:space="preserve"> means, with respect to any specified Person as of any date, the total assets of such Person and its Subsidiaries as of the most recent quarter end for which a consolidated balance sheet of such Person and its Subsidiaries is available as of that date, </w:t>
      </w:r>
      <w:r>
        <w:rPr>
          <w:rFonts w:ascii="Times New Roman" w:hAnsi="Times New Roman"/>
          <w:i/>
          <w:sz w:val="20"/>
        </w:rPr>
        <w:t>minus</w:t>
      </w:r>
      <w:r>
        <w:rPr>
          <w:rFonts w:ascii="Times New Roman" w:hAnsi="Times New Roman"/>
          <w:sz w:val="20"/>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Secured Indebtedness</w:t>
      </w:r>
      <w:r>
        <w:rPr>
          <w:rFonts w:ascii="Times New Roman" w:hAnsi="Times New Roman"/>
          <w:sz w:val="20"/>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plus (b) the total amount of Capital Lease Obligations of such Person and its Subsidiaries as of the most recent consolidated balance sheet of such Person and its Subsidiaries that is available as of that date, as determined on a consolidated basis in accordance with GAAP, plus (c) the total amount of Attributable Debt in respect of Sale and Leaseback Transactions of such Person and its Subsidiaries as of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Secured Leverage Ratio</w:t>
      </w:r>
      <w:r>
        <w:rPr>
          <w:rFonts w:ascii="Times New Roman" w:hAnsi="Times New Roman"/>
          <w:sz w:val="20"/>
        </w:rPr>
        <w:t xml:space="preserve"> means, with respect to any specified Person as of any date, the ratio of (a) the Consolidated Secured Indebtedness of such Person as of such date to (b) the Consolidated EBITDA of such Person for the four most recent full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which the calculation of the Consolidated Secured Leverage Ratio is made (the </w:t>
      </w:r>
      <w:r>
        <w:rPr>
          <w:rFonts w:ascii="Times New Roman" w:hAnsi="Times New Roman"/>
          <w:sz w:val="20"/>
          <w:u w:val="single"/>
        </w:rPr>
        <w:t>Calculation Date</w:t>
      </w:r>
      <w:r>
        <w:rPr>
          <w:rFonts w:ascii="Times New Roman" w:hAnsi="Times New Roman"/>
          <w:sz w:val="20"/>
        </w:rPr>
        <w:t xml:space="preserve">),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purposes of calculating the Consolidated Secured Leverage Ratio: </w:t>
      </w:r>
    </w:p>
    <w:p>
      <w:pPr>
        <w:pStyle w:val="TextBody"/>
        <w:bidi w:val="0"/>
        <w:spacing w:before="120" w:after="0"/>
        <w:jc w:val="left"/>
        <w:rPr>
          <w:rFonts w:ascii="Times New Roman" w:hAnsi="Times New Roman"/>
          <w:sz w:val="20"/>
        </w:rPr>
      </w:pPr>
      <w:r>
        <w:rPr>
          <w:rFonts w:ascii="Times New Roman" w:hAnsi="Times New Roman"/>
          <w:sz w:val="20"/>
        </w:rPr>
        <w:t xml:space="preserve">(1) 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 </w:t>
      </w:r>
    </w:p>
    <w:p>
      <w:pPr>
        <w:pStyle w:val="TextBody"/>
        <w:bidi w:val="0"/>
        <w:spacing w:before="120" w:after="0"/>
        <w:jc w:val="left"/>
        <w:rPr>
          <w:rFonts w:ascii="Times New Roman" w:hAnsi="Times New Roman"/>
          <w:sz w:val="20"/>
        </w:rPr>
      </w:pPr>
      <w:r>
        <w:rPr>
          <w:rFonts w:ascii="Times New Roman" w:hAnsi="Times New Roman"/>
          <w:sz w:val="20"/>
        </w:rPr>
        <w:t xml:space="preserve">(2) the Consolidated EBITDA attributable to discontinued operations, as determined with GAAP, and operations or businesses disposed of prior to the Calculation Date, will be excluded,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Continuing Directors</w:t>
      </w:r>
      <w:r>
        <w:rPr>
          <w:rFonts w:ascii="Times New Roman" w:hAnsi="Times New Roman"/>
          <w:sz w:val="20"/>
        </w:rPr>
        <w:t xml:space="preserve"> means, as of any date of determination, any member of the Board of Directors of the relevant Person who: </w:t>
      </w:r>
    </w:p>
    <w:p>
      <w:pPr>
        <w:pStyle w:val="TextBody"/>
        <w:bidi w:val="0"/>
        <w:spacing w:before="120" w:after="0"/>
        <w:jc w:val="left"/>
        <w:rPr>
          <w:rFonts w:ascii="Times New Roman" w:hAnsi="Times New Roman"/>
          <w:sz w:val="20"/>
        </w:rPr>
      </w:pPr>
      <w:r>
        <w:rPr>
          <w:rFonts w:ascii="Times New Roman" w:hAnsi="Times New Roman"/>
          <w:sz w:val="20"/>
        </w:rPr>
        <w:t xml:space="preserve">(1) was a member of such Board of Directors on the Issue Date; or </w:t>
      </w:r>
    </w:p>
    <w:p>
      <w:pPr>
        <w:pStyle w:val="TextBody"/>
        <w:bidi w:val="0"/>
        <w:spacing w:before="120" w:after="0"/>
        <w:jc w:val="left"/>
        <w:rPr>
          <w:rFonts w:ascii="Times New Roman" w:hAnsi="Times New Roman"/>
          <w:sz w:val="20"/>
        </w:rPr>
      </w:pPr>
      <w:r>
        <w:rPr>
          <w:rFonts w:ascii="Times New Roman" w:hAnsi="Times New Roman"/>
          <w:sz w:val="20"/>
        </w:rPr>
        <w:t xml:space="preserve">(2) was nominated for election or elected to such Board of Directors with the approval of a majority of the Continuing Directors who were members of such Board of Directors at the time of such nomination 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means, solely for purposes of presenting the Notes for payment, Elavon Financial Services DAC, as Paying Agent, located at Block F1, Cherrywood Business Park, Cherrywood, Dublin 18, D18 W2X7, Ireland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Covenant Defeasance</w:t>
      </w:r>
      <w:r>
        <w:rPr>
          <w:rFonts w:ascii="Times New Roman" w:hAnsi="Times New Roman"/>
          <w:sz w:val="20"/>
        </w:rPr>
        <w:t xml:space="preserve"> has the meaning set forth in Section 9.03.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Facilities</w:t>
      </w:r>
      <w:r>
        <w:rPr>
          <w:rFonts w:ascii="Times New Roman" w:hAnsi="Times New Roman"/>
          <w:sz w:val="20"/>
        </w:rPr>
        <w:t xml:space="preserve">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Crown</w:t>
      </w:r>
      <w:r>
        <w:rPr>
          <w:rFonts w:ascii="Times New Roman" w:hAnsi="Times New Roman"/>
          <w:sz w:val="20"/>
        </w:rPr>
        <w:t xml:space="preserve"> means Crown Cork &amp; Seal Company, Inc., a Pennsylvania corporation, until a successor replaces such party pursuant to Article Five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Subsidiary</w:t>
      </w:r>
      <w:r>
        <w:rPr>
          <w:rFonts w:ascii="Times New Roman" w:hAnsi="Times New Roman"/>
          <w:sz w:val="20"/>
        </w:rPr>
        <w:t xml:space="preserve"> means any Subsidiary organized under the laws of the United States or any State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Dutch Guarantor</w:t>
      </w:r>
      <w:r>
        <w:rPr>
          <w:rFonts w:ascii="Times New Roman" w:hAnsi="Times New Roman"/>
          <w:sz w:val="20"/>
        </w:rPr>
        <w:t xml:space="preserve"> has the meaning set forth in Section 10.06(a)(6).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Government Obligations</w:t>
      </w:r>
      <w:r>
        <w:rPr>
          <w:rFonts w:ascii="Times New Roman" w:hAnsi="Times New Roman"/>
          <w:sz w:val="20"/>
        </w:rPr>
        <w:t xml:space="preserve"> means marketable direct obligations issued by, or unconditionally guaranteed by, any member state of the European Union (as it exists on the Issue Date) or issued by any agency or instrumentality thereof and backed by the full faith and credit of such member state of the European Union that, in each case, mature within one year from the date of acquisition thereof and are not callable or redeemable at the option of the issuer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 Currency Equivalent</w:t>
      </w:r>
      <w:r>
        <w:rPr>
          <w:rFonts w:ascii="Times New Roman" w:hAnsi="Times New Roman"/>
          <w:sz w:val="20"/>
        </w:rPr>
        <w:t xml:space="preserve"> means, with respect to any monetary amount in a currency other than Euros, at any time for the determination thereof, the amount of Euros obtained by converting such foreign currency involved in such computation into Euros at the spot rate for the purchase of Euros with the applicable foreign currency as quoted by Reuters at approximately 10:00 A.M. (New York time) on the date not more than two Business Days prior to such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Euroclear</w:t>
      </w:r>
      <w:r>
        <w:rPr>
          <w:rFonts w:ascii="Times New Roman" w:hAnsi="Times New Roman"/>
          <w:sz w:val="20"/>
        </w:rPr>
        <w:t xml:space="preserve"> means Euroclear Bank S.A./N.V.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set forth in Section 6.01.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Credit Facility</w:t>
      </w:r>
      <w:r>
        <w:rPr>
          <w:rFonts w:ascii="Times New Roman" w:hAnsi="Times New Roman"/>
          <w:sz w:val="20"/>
        </w:rPr>
        <w:t xml:space="preserve"> means the Amended and Restated Credit Agreement dated as of April 7, 2017, as amended by the First Amendment to the Amended and Restated Credit Agreement dated as of January 29, 2018, as amended by the Incremental Amendment No. 1 to the Amended and Restated Credit Agreement, dated as of December 28, 2017,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as amended by the Fourth Amendment to Amended and Restated Credit Agreement, dated as of October 4, 2021, as amended by the Incremental Amendment No. 3 and Fifth Amendment to Amended and Restated Credit Agreement, dated as of August 8, 2022, and as amended by the Sixth Amendment to Amended and Restated Credit Agreement, dated as of June 28,2024,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Transaction</w:t>
      </w:r>
      <w:r>
        <w:rPr>
          <w:rFonts w:ascii="Times New Roman" w:hAnsi="Times New Roman"/>
          <w:sz w:val="20"/>
        </w:rPr>
        <w:t xml:space="preserve"> means issuance of the Notes issued on the Issue Date and the application of the net proceeds thereof as described in the Offering Memorandum.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Fiscal Year</w:t>
      </w:r>
      <w:r>
        <w:rPr>
          <w:rFonts w:ascii="Times New Roman" w:hAnsi="Times New Roman"/>
          <w:sz w:val="20"/>
        </w:rPr>
        <w:t xml:space="preserve"> means the fiscal year of the Issuer, which at the date hereof ends on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French Guarantor</w:t>
      </w:r>
      <w:r>
        <w:rPr>
          <w:rFonts w:ascii="Times New Roman" w:hAnsi="Times New Roman"/>
          <w:sz w:val="20"/>
        </w:rPr>
        <w:t xml:space="preserve"> has the meaning set forth in Section 10.06(a)(5).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French Subsidiary Guarantor</w:t>
      </w:r>
      <w:r>
        <w:rPr>
          <w:rFonts w:ascii="Times New Roman" w:hAnsi="Times New Roman"/>
          <w:sz w:val="20"/>
        </w:rPr>
        <w:t xml:space="preserve"> has the meaning set forth in Section 10.06(a)(5).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Future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German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Note Legend</w:t>
      </w:r>
      <w:r>
        <w:rPr>
          <w:rFonts w:ascii="Times New Roman" w:hAnsi="Times New Roman"/>
          <w:sz w:val="20"/>
        </w:rPr>
        <w:t xml:space="preserve"> means the legend substantially in the form set forth in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Notes</w:t>
      </w:r>
      <w:r>
        <w:rPr>
          <w:rFonts w:ascii="Times New Roman" w:hAnsi="Times New Roman"/>
          <w:sz w:val="20"/>
        </w:rPr>
        <w:t xml:space="preserve"> has the meaning set forth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 Financing</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 Financing Guarantee</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Guarantor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Parent; </w:t>
      </w:r>
    </w:p>
    <w:p>
      <w:pPr>
        <w:pStyle w:val="TextBody"/>
        <w:bidi w:val="0"/>
        <w:spacing w:before="120" w:after="0"/>
        <w:jc w:val="left"/>
        <w:rPr>
          <w:rFonts w:ascii="Times New Roman" w:hAnsi="Times New Roman"/>
          <w:sz w:val="20"/>
        </w:rPr>
      </w:pPr>
      <w:r>
        <w:rPr>
          <w:rFonts w:ascii="Times New Roman" w:hAnsi="Times New Roman"/>
          <w:sz w:val="20"/>
        </w:rPr>
        <w:t xml:space="preserve">(2) each Subsidiary that executes and delivers a Note Guarantee pursuant to Section 4.17; and </w:t>
      </w:r>
    </w:p>
    <w:p>
      <w:pPr>
        <w:pStyle w:val="TextBody"/>
        <w:bidi w:val="0"/>
        <w:spacing w:before="120" w:after="0"/>
        <w:jc w:val="left"/>
        <w:rPr>
          <w:rFonts w:ascii="Times New Roman" w:hAnsi="Times New Roman"/>
          <w:sz w:val="20"/>
        </w:rPr>
      </w:pPr>
      <w:r>
        <w:rPr>
          <w:rFonts w:ascii="Times New Roman" w:hAnsi="Times New Roman"/>
          <w:sz w:val="20"/>
        </w:rPr>
        <w:t xml:space="preserve">(3) each Subsidiary that otherwise executes and delivers a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in each case, until such time as such Person is released from its Note Guarantee in accordance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Hedging Obligations</w:t>
      </w:r>
      <w:r>
        <w:rPr>
          <w:rFonts w:ascii="Times New Roman" w:hAnsi="Times New Roman"/>
          <w:sz w:val="20"/>
        </w:rPr>
        <w:t xml:space="preserve"> means, with respect to any Person, the obligations of such Person under: </w:t>
      </w:r>
    </w:p>
    <w:p>
      <w:pPr>
        <w:pStyle w:val="TextBody"/>
        <w:bidi w:val="0"/>
        <w:spacing w:before="120" w:after="0"/>
        <w:jc w:val="left"/>
        <w:rPr>
          <w:rFonts w:ascii="Times New Roman" w:hAnsi="Times New Roman"/>
          <w:sz w:val="20"/>
        </w:rPr>
      </w:pPr>
      <w:r>
        <w:rPr>
          <w:rFonts w:ascii="Times New Roman" w:hAnsi="Times New Roman"/>
          <w:sz w:val="20"/>
        </w:rPr>
        <w:t xml:space="preserve">(1) any interest rate protection agreements including, without limitation, interest rate swap agreements, interest rate cap agreements and interest rate collar agreements; </w:t>
      </w:r>
    </w:p>
    <w:p>
      <w:pPr>
        <w:pStyle w:val="TextBody"/>
        <w:bidi w:val="0"/>
        <w:spacing w:before="120" w:after="0"/>
        <w:jc w:val="left"/>
        <w:rPr>
          <w:rFonts w:ascii="Times New Roman" w:hAnsi="Times New Roman"/>
          <w:sz w:val="20"/>
        </w:rPr>
      </w:pPr>
      <w:r>
        <w:rPr>
          <w:rFonts w:ascii="Times New Roman" w:hAnsi="Times New Roman"/>
          <w:sz w:val="20"/>
        </w:rPr>
        <w:t xml:space="preserve">(2) any foreign exchange contracts, currency swap agreements or other agreements or arrangements designed to protect such Person against fluctuations in interest rates or foreign exchange rates; </w:t>
      </w:r>
    </w:p>
    <w:p>
      <w:pPr>
        <w:pStyle w:val="TextBody"/>
        <w:bidi w:val="0"/>
        <w:spacing w:before="120" w:after="0"/>
        <w:jc w:val="left"/>
        <w:rPr>
          <w:rFonts w:ascii="Times New Roman" w:hAnsi="Times New Roman"/>
          <w:sz w:val="20"/>
        </w:rPr>
      </w:pPr>
      <w:r>
        <w:rPr>
          <w:rFonts w:ascii="Times New Roman" w:hAnsi="Times New Roman"/>
          <w:sz w:val="20"/>
        </w:rPr>
        <w:t xml:space="preserve">(3) any commodity futures contract, commodity option or other similar arrangement or agreement designed to protect such Person against fluctuations in the prices of commodities; and </w:t>
      </w:r>
    </w:p>
    <w:p>
      <w:pPr>
        <w:pStyle w:val="TextBody"/>
        <w:bidi w:val="0"/>
        <w:spacing w:before="120" w:after="0"/>
        <w:jc w:val="left"/>
        <w:rPr>
          <w:rFonts w:ascii="Times New Roman" w:hAnsi="Times New Roman"/>
          <w:sz w:val="20"/>
        </w:rPr>
      </w:pPr>
      <w:r>
        <w:rPr>
          <w:rFonts w:ascii="Times New Roman" w:hAnsi="Times New Roman"/>
          <w:sz w:val="20"/>
        </w:rPr>
        <w:t xml:space="preserve">(4) indemnity agreements and arrangements entered into in connection with the agreements and arrangements described in clauses (1), (2) and (3)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or </w:t>
      </w:r>
      <w:r>
        <w:rPr>
          <w:rFonts w:ascii="Times New Roman" w:hAnsi="Times New Roman"/>
          <w:sz w:val="20"/>
          <w:u w:val="single"/>
        </w:rPr>
        <w:t>Noteholder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will be: </w:t>
      </w:r>
    </w:p>
    <w:p>
      <w:pPr>
        <w:pStyle w:val="TextBody"/>
        <w:bidi w:val="0"/>
        <w:spacing w:before="120" w:after="0"/>
        <w:jc w:val="left"/>
        <w:rPr>
          <w:rFonts w:ascii="Times New Roman" w:hAnsi="Times New Roman"/>
          <w:sz w:val="20"/>
        </w:rPr>
      </w:pPr>
      <w:r>
        <w:rPr>
          <w:rFonts w:ascii="Times New Roman" w:hAnsi="Times New Roman"/>
          <w:sz w:val="20"/>
        </w:rPr>
        <w:t xml:space="preserve">(1) the accreted value of the Indebtedness, in the case of any Indebtedness that does not require the current payment of interest; </w:t>
      </w:r>
    </w:p>
    <w:p>
      <w:pPr>
        <w:pStyle w:val="TextBody"/>
        <w:bidi w:val="0"/>
        <w:spacing w:before="240" w:after="0"/>
        <w:jc w:val="left"/>
        <w:rPr>
          <w:rFonts w:ascii="Times New Roman" w:hAnsi="Times New Roman"/>
          <w:sz w:val="20"/>
        </w:rPr>
      </w:pPr>
      <w:r>
        <w:rPr>
          <w:rFonts w:ascii="Times New Roman" w:hAnsi="Times New Roman"/>
          <w:sz w:val="20"/>
        </w:rPr>
        <w:t xml:space="preserve">(2) the principal amount of the Indebtedness, in the case of any other Indebtedness;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in respect of Indebtedness of another Person secured by a Lien on the assets of the specified Person, the lesser of: </w:t>
      </w:r>
    </w:p>
    <w:p>
      <w:pPr>
        <w:pStyle w:val="TextBody"/>
        <w:bidi w:val="0"/>
        <w:spacing w:before="120" w:after="0"/>
        <w:jc w:val="left"/>
        <w:rPr>
          <w:rFonts w:ascii="Times New Roman" w:hAnsi="Times New Roman"/>
          <w:sz w:val="20"/>
        </w:rPr>
      </w:pPr>
      <w:r>
        <w:rPr>
          <w:rFonts w:ascii="Times New Roman" w:hAnsi="Times New Roman"/>
          <w:sz w:val="20"/>
        </w:rPr>
        <w:t xml:space="preserve">(a) the fair market value (as determined in good faith by Parent) of such assets at the date of determination; and </w:t>
      </w:r>
    </w:p>
    <w:p>
      <w:pPr>
        <w:pStyle w:val="TextBody"/>
        <w:bidi w:val="0"/>
        <w:spacing w:before="240" w:after="0"/>
        <w:jc w:val="left"/>
        <w:rPr>
          <w:rFonts w:ascii="Times New Roman" w:hAnsi="Times New Roman"/>
          <w:sz w:val="20"/>
        </w:rPr>
      </w:pPr>
      <w:r>
        <w:rPr>
          <w:rFonts w:ascii="Times New Roman" w:hAnsi="Times New Roman"/>
          <w:sz w:val="20"/>
        </w:rPr>
        <w:t xml:space="preserve">(b) the amount of the Indebtedness of the other Person.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letter of credit or analogous instrument will not constitute Indebtedness until it has been drawn upon.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means this Indenture as amended, restated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Purchasers</w:t>
      </w:r>
      <w:r>
        <w:rPr>
          <w:rFonts w:ascii="Times New Roman" w:hAnsi="Times New Roman"/>
          <w:sz w:val="20"/>
        </w:rPr>
        <w:t xml:space="preserve"> means BNP Paribas, Crédit Agricole Corporate and Investment Bank, Deutsche Bank Aktiengesellschaft, BofA Securities Europe SA, Citigroup Global Markets Europe AG, ING Bank N.V., Mizuho Securities Europe GmbH, MUFG Securities (Europe) N.V., Banco Santander, S.A., Scotiabank (Ireland) Designated Activity Company, SMBC Bank EU AG, TD Securities (USA) LLC, UniCredit Bank GmbH, Wells Fargo Securities Europe S.A., Huntington Securities, Inc., PNC Capital Markets LLC and Coöperatieve Rabobank U.A.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Institutional Accredited Investor</w:t>
      </w:r>
      <w:r>
        <w:rPr>
          <w:rFonts w:ascii="Times New Roman" w:hAnsi="Times New Roman"/>
          <w:sz w:val="20"/>
        </w:rPr>
        <w:t xml:space="preserve"> means an institution that is an accredited investor as defined in Rule 501(a)(1), (2), (3) or (7)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Instructions</w:t>
      </w:r>
      <w:r>
        <w:rPr>
          <w:rFonts w:ascii="Times New Roman" w:hAnsi="Times New Roman"/>
          <w:sz w:val="20"/>
        </w:rPr>
        <w:t xml:space="preserve"> means any written notices, written directions or written instructions received by the Trustee or the Agent in accordance with the provisions of this Indenture from an Authorized Person or from a person reasonably believed by the Trustee or the Agent to be an Authorized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the stated maturity of an installment of interest on the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Internal Revenue Code</w:t>
      </w:r>
      <w:r>
        <w:rPr>
          <w:rFonts w:ascii="Times New Roman" w:hAnsi="Times New Roman"/>
          <w:sz w:val="20"/>
        </w:rPr>
        <w:t xml:space="preserve"> means the U.S.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 Date</w:t>
      </w:r>
      <w:r>
        <w:rPr>
          <w:rFonts w:ascii="Times New Roman" w:hAnsi="Times New Roman"/>
          <w:sz w:val="20"/>
        </w:rPr>
        <w:t xml:space="preserve"> means August 8, 2024, the date on which the Notes were first issued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w:t>
      </w:r>
      <w:r>
        <w:rPr>
          <w:rFonts w:ascii="Times New Roman" w:hAnsi="Times New Roman"/>
          <w:sz w:val="20"/>
        </w:rPr>
        <w:t xml:space="preserve"> has the meaning ascribed to such term in the preamble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Judgment Currency</w:t>
      </w:r>
      <w:r>
        <w:rPr>
          <w:rFonts w:ascii="Times New Roman" w:hAnsi="Times New Roman"/>
          <w:sz w:val="20"/>
        </w:rPr>
        <w:t xml:space="preserve"> has the meaning set forth in Section 11.17.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Legal Defeasance</w:t>
      </w:r>
      <w:r>
        <w:rPr>
          <w:rFonts w:ascii="Times New Roman" w:hAnsi="Times New Roman"/>
          <w:sz w:val="20"/>
        </w:rPr>
        <w:t xml:space="preserve"> has the meaning set forth in Section 9.02.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Legal Holiday</w:t>
      </w:r>
      <w:r>
        <w:rPr>
          <w:rFonts w:ascii="Times New Roman" w:hAnsi="Times New Roman"/>
          <w:sz w:val="20"/>
        </w:rPr>
        <w:t xml:space="preserve"> has the meaning set forth in Section 11.07.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means any and all claims, losses, liabilities, damages, costs, expenses and judgments (including legal fees and expenses) sustained by either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Luxembourg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Make-Whole Premium</w:t>
      </w:r>
      <w:r>
        <w:rPr>
          <w:rFonts w:ascii="Times New Roman" w:hAnsi="Times New Roman"/>
          <w:sz w:val="20"/>
        </w:rPr>
        <w:t xml:space="preserve"> means, with respect to a Note at any Make-Whole Redemption Date, an amount equal to the greater of (i) 0% of the principal amount of such Note and (ii) the excess, if any, of (x) the present value at such Make-Whole Redemption Date of the sum of (1) the principal amount that would be payable on such Note on October 15, 2029 and (2) all remaining interest payments to and including October 15, 2029 (but excluding any interest accrued to the Make-Whole Redemption Date), discounted on a semiannual basis (assuming a 360-day year consisting of twelve 30-day months) from October 15, 2029 to the Make-Whole Redemption Date at a per annum interest rate equal to the Bund Rate on such Make-Whole Redemption Date </w:t>
      </w:r>
      <w:r>
        <w:rPr>
          <w:rFonts w:ascii="Times New Roman" w:hAnsi="Times New Roman"/>
          <w:i/>
          <w:sz w:val="20"/>
        </w:rPr>
        <w:t>plus</w:t>
      </w:r>
      <w:r>
        <w:rPr>
          <w:rFonts w:ascii="Times New Roman" w:hAnsi="Times New Roman"/>
          <w:sz w:val="20"/>
        </w:rPr>
        <w:t xml:space="preserve"> 0.50%, </w:t>
      </w:r>
      <w:r>
        <w:rPr>
          <w:rFonts w:ascii="Times New Roman" w:hAnsi="Times New Roman"/>
          <w:i/>
          <w:sz w:val="20"/>
        </w:rPr>
        <w:t>over</w:t>
      </w:r>
      <w:r>
        <w:rPr>
          <w:rFonts w:ascii="Times New Roman" w:hAnsi="Times New Roman"/>
          <w:sz w:val="20"/>
        </w:rPr>
        <w:t xml:space="preserve"> (y) the outstanding principal amount of such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Make-Whole Redemption</w:t>
      </w:r>
      <w:r>
        <w:rPr>
          <w:rFonts w:ascii="Times New Roman" w:hAnsi="Times New Roman"/>
          <w:sz w:val="20"/>
        </w:rPr>
        <w:t xml:space="preserve"> has the meaning set forth in paragraph 5 of the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Make-Whole Redemption Date</w:t>
      </w:r>
      <w:r>
        <w:rPr>
          <w:rFonts w:ascii="Times New Roman" w:hAnsi="Times New Roman"/>
          <w:sz w:val="20"/>
        </w:rPr>
        <w:t xml:space="preserve"> with respect to a Make-Whole Redemption, means the date such Make Whole Redemption is effectuated.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when used with respect to any Note, means the date on which the principal amount of such Note becomes due and payable as therein or herein provided.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Guaranteed Amount</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Equity Cap</w:t>
      </w:r>
      <w:r>
        <w:rPr>
          <w:rFonts w:ascii="Times New Roman" w:hAnsi="Times New Roman"/>
          <w:sz w:val="20"/>
        </w:rPr>
        <w:t xml:space="preserve"> has the meaning set forth in Section 10.06.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Non-U.S. Person</w:t>
      </w:r>
      <w:r>
        <w:rPr>
          <w:rFonts w:ascii="Times New Roman" w:hAnsi="Times New Roman"/>
          <w:sz w:val="20"/>
        </w:rPr>
        <w:t xml:space="preserve"> means a Person who is not a U.S.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Guarantee</w:t>
      </w:r>
      <w:r>
        <w:rPr>
          <w:rFonts w:ascii="Times New Roman" w:hAnsi="Times New Roman"/>
          <w:sz w:val="20"/>
        </w:rPr>
        <w:t xml:space="preserve"> means any Guarantee of the obligations of the Issuer under this Indenture and the Notes by any Person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means the 4.500% Senior Notes due 2030 issued by the Issuer, including, without limitation, any Additional Notes, treated as a single class of securities, as amended from time to time in accordance with the terms hereof, that are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Offering Memorandum</w:t>
      </w:r>
      <w:r>
        <w:rPr>
          <w:rFonts w:ascii="Times New Roman" w:hAnsi="Times New Roman"/>
          <w:sz w:val="20"/>
        </w:rPr>
        <w:t xml:space="preserve"> means the Offering Memorandum of the Issuer, dated July 30, 2024, relating to the offering of the Notes on the Issue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w:t>
      </w:r>
      <w:r>
        <w:rPr>
          <w:rFonts w:ascii="Times New Roman" w:hAnsi="Times New Roman"/>
          <w:sz w:val="20"/>
        </w:rPr>
        <w:t xml:space="preserve"> means, with respect to any Person, the Chairman, President, Chief Executive Officer, Chief Financial Officer, Treasurer, Controller, any Senior Vice President, any Vice President of such Person or any other authorized officer or director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 Certificate</w:t>
      </w:r>
      <w:r>
        <w:rPr>
          <w:rFonts w:ascii="Times New Roman" w:hAnsi="Times New Roman"/>
          <w:sz w:val="20"/>
        </w:rPr>
        <w:t xml:space="preserve">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Opinion of Counsel</w:t>
      </w:r>
      <w:r>
        <w:rPr>
          <w:rFonts w:ascii="Times New Roman" w:hAnsi="Times New Roman"/>
          <w:sz w:val="20"/>
        </w:rPr>
        <w:t xml:space="preserve"> means a written opinion from legal counsel who is reasonably acceptable to the Trustee. Such counsel may be an employee of or counsel to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w:t>
      </w:r>
      <w:r>
        <w:rPr>
          <w:rFonts w:ascii="Times New Roman" w:hAnsi="Times New Roman"/>
          <w:sz w:val="20"/>
        </w:rPr>
        <w:t xml:space="preserve"> means Crown Holdings, Inc., a Pennsylvania corporation, until a successor replaces such party pursuant to Article Five of this Indenture and thereafter the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Paying Agent</w:t>
      </w:r>
      <w:r>
        <w:rPr>
          <w:rFonts w:ascii="Times New Roman" w:hAnsi="Times New Roman"/>
          <w:sz w:val="20"/>
        </w:rPr>
        <w:t xml:space="preserve"> has the meaning set forth in Section 2.04.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Default</w:t>
      </w:r>
      <w:r>
        <w:rPr>
          <w:rFonts w:ascii="Times New Roman" w:hAnsi="Times New Roman"/>
          <w:sz w:val="20"/>
        </w:rPr>
        <w:t xml:space="preserve"> has the meaning set forth in Section 6.01.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Holders</w:t>
      </w:r>
      <w:r>
        <w:rPr>
          <w:rFonts w:ascii="Times New Roman" w:hAnsi="Times New Roman"/>
          <w:sz w:val="20"/>
        </w:rPr>
        <w:t xml:space="preserve"> means, collectively, the executive officers of Parent on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Times New Roman" w:hAnsi="Times New Roman"/>
          <w:sz w:val="20"/>
          <w:u w:val="single"/>
        </w:rPr>
        <w:t>substantial improvement</w:t>
      </w:r>
      <w:r>
        <w:rPr>
          <w:rFonts w:ascii="Times New Roman" w:hAnsi="Times New Roman"/>
          <w:sz w:val="20"/>
        </w:rPr>
        <w:t xml:space="preserve">) of such Principal Property or (b) the placing in operation of such Principal Property after the acquisition or completion of any such construction or substantial improvement; </w:t>
      </w:r>
    </w:p>
    <w:p>
      <w:pPr>
        <w:pStyle w:val="TextBody"/>
        <w:bidi w:val="0"/>
        <w:spacing w:before="120" w:after="0"/>
        <w:jc w:val="left"/>
        <w:rPr>
          <w:rFonts w:ascii="Times New Roman" w:hAnsi="Times New Roman"/>
          <w:sz w:val="20"/>
        </w:rPr>
      </w:pPr>
      <w:r>
        <w:rPr>
          <w:rFonts w:ascii="Times New Roman" w:hAnsi="Times New Roman"/>
          <w:sz w:val="20"/>
        </w:rPr>
        <w:t xml:space="preserve">(2) 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(3) Liens securing Indebtedness in favor of Parent and/or one or more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(5) 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(6) Liens existing on the date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(8) 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(9) Liens resulting from the deposit of funds or evidences of Indebtedness in trust for the purpose of defeasing Indebtedness of Parent or any of its Restricted Subsidiaries, and legal or equitable encumbrances deemed to exist by reason of negative pledges; </w:t>
      </w:r>
    </w:p>
    <w:p>
      <w:pPr>
        <w:pStyle w:val="TextBody"/>
        <w:bidi w:val="0"/>
        <w:spacing w:before="120" w:after="0"/>
        <w:jc w:val="left"/>
        <w:rPr>
          <w:rFonts w:ascii="Times New Roman" w:hAnsi="Times New Roman"/>
          <w:sz w:val="20"/>
        </w:rPr>
      </w:pPr>
      <w:r>
        <w:rPr>
          <w:rFonts w:ascii="Times New Roman" w:hAnsi="Times New Roman"/>
          <w:sz w:val="20"/>
        </w:rPr>
        <w:t xml:space="preserve">(10) Liens securing Indebtedness in an aggregate principal amount not to exceed, as of the date of such Indebtedness is incurred, the amount that would cause the Consolidated Secured Leverage Ratio of Parent to be greater than 3.00 to 1.00 as of such date of incurrence; </w:t>
      </w:r>
    </w:p>
    <w:p>
      <w:pPr>
        <w:pStyle w:val="TextBody"/>
        <w:bidi w:val="0"/>
        <w:spacing w:before="120" w:after="0"/>
        <w:jc w:val="left"/>
        <w:rPr>
          <w:rFonts w:ascii="Times New Roman" w:hAnsi="Times New Roman"/>
          <w:sz w:val="20"/>
        </w:rPr>
      </w:pPr>
      <w:r>
        <w:rPr>
          <w:rFonts w:ascii="Times New Roman" w:hAnsi="Times New Roman"/>
          <w:sz w:val="20"/>
        </w:rPr>
        <w:t xml:space="preserve">(11) Liens on or sales of receivables; </w:t>
      </w:r>
    </w:p>
    <w:p>
      <w:pPr>
        <w:pStyle w:val="TextBody"/>
        <w:bidi w:val="0"/>
        <w:spacing w:before="120" w:after="0"/>
        <w:jc w:val="left"/>
        <w:rPr>
          <w:rFonts w:ascii="Times New Roman" w:hAnsi="Times New Roman"/>
          <w:sz w:val="20"/>
        </w:rPr>
      </w:pPr>
      <w:r>
        <w:rPr>
          <w:rFonts w:ascii="Times New Roman" w:hAnsi="Times New Roman"/>
          <w:sz w:val="20"/>
        </w:rPr>
        <w:t xml:space="preserve">(12) 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hAnsi="Times New Roman"/>
          <w:i/>
          <w:sz w:val="20"/>
        </w:rPr>
        <w:t>pro forma</w:t>
      </w:r>
      <w:r>
        <w:rPr>
          <w:rFonts w:ascii="Times New Roman" w:hAnsi="Times New Roman"/>
          <w:sz w:val="20"/>
        </w:rPr>
        <w:t xml:space="preserve"> effect to the application of the proceeds therefrom), taken together with the amount of all Attributable Debt of Parent and its Restricted Subsidiaries at that time outstanding relating to Sale and Leaseback Transactions permitted under Section 4.15, not to exceed 15% of the Consolidated Net Tangible Assets of Parent measured as of the date any such Indebtedness is incurred (after giving </w:t>
      </w:r>
      <w:r>
        <w:rPr>
          <w:rFonts w:ascii="Times New Roman" w:hAnsi="Times New Roman"/>
          <w:i/>
          <w:sz w:val="20"/>
        </w:rPr>
        <w:t>pro forma</w:t>
      </w:r>
      <w:r>
        <w:rPr>
          <w:rFonts w:ascii="Times New Roman" w:hAnsi="Times New Roman"/>
          <w:sz w:val="20"/>
        </w:rPr>
        <w:t xml:space="preserve"> effect to the application of the proceeds therefrom and any transaction in connection with which such Indebtedness is being incurred); </w:t>
      </w:r>
    </w:p>
    <w:p>
      <w:pPr>
        <w:pStyle w:val="TextBody"/>
        <w:bidi w:val="0"/>
        <w:spacing w:before="120" w:after="0"/>
        <w:jc w:val="left"/>
        <w:rPr>
          <w:rFonts w:ascii="Times New Roman" w:hAnsi="Times New Roman"/>
          <w:sz w:val="20"/>
        </w:rPr>
      </w:pPr>
      <w:r>
        <w:rPr>
          <w:rFonts w:ascii="Times New Roman" w:hAnsi="Times New Roman"/>
          <w:sz w:val="20"/>
        </w:rPr>
        <w:t xml:space="preserve">(13) 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Liens for taxes, assessments or governmental charges or claims or other like statutory Liens, that (a) are not yet delinquent or (b) are being contested in good faith by appropriate proceedings promptly instituted and diligently concluded; </w:t>
      </w:r>
      <w:r>
        <w:rPr>
          <w:rFonts w:ascii="Times New Roman" w:hAnsi="Times New Roman"/>
          <w:i/>
          <w:sz w:val="20"/>
        </w:rPr>
        <w:t xml:space="preserve">provided </w:t>
      </w:r>
      <w:r>
        <w:rPr>
          <w:rFonts w:ascii="Times New Roman" w:hAnsi="Times New Roman"/>
          <w:sz w:val="20"/>
        </w:rPr>
        <w:t xml:space="preserve">that any reserve or other appropriate provision as shall be required in conformity with GAAP shall have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(15) (a)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w:t>
      </w:r>
    </w:p>
    <w:p>
      <w:pPr>
        <w:pStyle w:val="TextBody"/>
        <w:bidi w:val="0"/>
        <w:spacing w:before="120" w:after="0"/>
        <w:jc w:val="left"/>
        <w:rPr>
          <w:rFonts w:ascii="Times New Roman" w:hAnsi="Times New Roman"/>
          <w:sz w:val="20"/>
        </w:rPr>
      </w:pPr>
      <w:r>
        <w:rPr>
          <w:rFonts w:ascii="Times New Roman" w:hAnsi="Times New Roman"/>
          <w:sz w:val="20"/>
        </w:rPr>
        <w:t xml:space="preserve">(16) 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(17) Liens securing Hedging Obligations not entered into for speculative purposes or securing letters of credit that support such Hedging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(18) Liens resulting from operation of law with respect to any judgments, awards or orders to the extent that such judgments, awards or orders do not cause or constitute a Default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partnership, corporation, limited liability company, unincorporated organization, trust or joint venture, or a governmental agency or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Physical Notes</w:t>
      </w:r>
      <w:r>
        <w:rPr>
          <w:rFonts w:ascii="Times New Roman" w:hAnsi="Times New Roman"/>
          <w:sz w:val="20"/>
        </w:rPr>
        <w:t xml:space="preserve"> means certificated Notes in registered form.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w:t>
      </w:r>
      <w:r>
        <w:rPr>
          <w:rFonts w:ascii="Times New Roman" w:hAnsi="Times New Roman"/>
          <w:sz w:val="20"/>
        </w:rPr>
        <w:t xml:space="preserve"> of a Note means the principal of the Note plus the premium, if any, payable on the Note which is due or overdue or is to become due at the relevant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Property</w:t>
      </w:r>
      <w:r>
        <w:rPr>
          <w:rFonts w:ascii="Times New Roman" w:hAnsi="Times New Roman"/>
          <w:sz w:val="20"/>
        </w:rPr>
        <w:t xml:space="preserve"> means any manufacturing plant or manufacturing facility owned (excluding any equipment or personalty located therein) by Parent or any of its Subsidiaries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Property Subsidiary</w:t>
      </w:r>
      <w:r>
        <w:rPr>
          <w:rFonts w:ascii="Times New Roman" w:hAnsi="Times New Roman"/>
          <w:sz w:val="20"/>
        </w:rPr>
        <w:t xml:space="preserve"> means any Subsidiary that owns, operates or leases one or more Principal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Private Placement Legend</w:t>
      </w:r>
      <w:r>
        <w:rPr>
          <w:rFonts w:ascii="Times New Roman" w:hAnsi="Times New Roman"/>
          <w:sz w:val="20"/>
        </w:rPr>
        <w:t xml:space="preserve"> means the legend substantially in the form set forth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Institutional Buyer</w:t>
      </w:r>
      <w:r>
        <w:rPr>
          <w:rFonts w:ascii="Times New Roman" w:hAnsi="Times New Roman"/>
          <w:sz w:val="20"/>
        </w:rPr>
        <w:t xml:space="preserve"> shall have the meaning specified in Rule 144A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Date</w:t>
      </w:r>
      <w:r>
        <w:rPr>
          <w:rFonts w:ascii="Times New Roman" w:hAnsi="Times New Roman"/>
          <w:sz w:val="20"/>
        </w:rPr>
        <w:t xml:space="preserve"> means the date that is 60 days prior to the earlier of (a) a Change of Control or (b) public notice of the occurrence of a Change of Control or the intention by Parent to effect a Change of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Ratings Event</w:t>
      </w:r>
      <w:r>
        <w:rPr>
          <w:rFonts w:ascii="Times New Roman" w:hAnsi="Times New Roman"/>
          <w:sz w:val="20"/>
        </w:rPr>
        <w:t xml:space="preserve">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 </w:t>
      </w:r>
    </w:p>
    <w:p>
      <w:pPr>
        <w:pStyle w:val="TextBody"/>
        <w:bidi w:val="0"/>
        <w:spacing w:before="120" w:after="0"/>
        <w:jc w:val="left"/>
        <w:rPr>
          <w:rFonts w:ascii="Times New Roman" w:hAnsi="Times New Roman"/>
          <w:sz w:val="20"/>
        </w:rPr>
      </w:pPr>
      <w:r>
        <w:rPr>
          <w:rFonts w:ascii="Times New Roman" w:hAnsi="Times New Roman"/>
          <w:sz w:val="20"/>
        </w:rPr>
        <w:t xml:space="preserve">(1) if the Notes are rated by one or both Rating Agencies on the Rating Date as Investment Grade, the rating of the Notes shall be reduced so that the Notes are rated below Investment Grade by both Rating Agencies;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Notes are rated below Investment Grade by both Rating Agencies on the Rating Date, the rating of the Notes shall remain rated below Investment Grade by both Rating Agencies.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Date</w:t>
      </w:r>
      <w:r>
        <w:rPr>
          <w:rFonts w:ascii="Times New Roman" w:hAnsi="Times New Roman"/>
          <w:sz w:val="20"/>
        </w:rPr>
        <w:t xml:space="preserve"> when used with respect to any Note to be redeemed pursuant to paragraph 5 of the Notes means the date fixed for such redemption pursuant to the terms of this Indenture and the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German Bund Dealer</w:t>
      </w:r>
      <w:r>
        <w:rPr>
          <w:rFonts w:ascii="Times New Roman" w:hAnsi="Times New Roman"/>
          <w:sz w:val="20"/>
        </w:rPr>
        <w:t xml:space="preserve"> means any dealer of German Bundesanleihe securities appointed by the Issuer in good faith.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German Bund Dealer Quotations</w:t>
      </w:r>
      <w:r>
        <w:rPr>
          <w:rFonts w:ascii="Times New Roman" w:hAnsi="Times New Roman"/>
          <w:sz w:val="20"/>
        </w:rPr>
        <w:t xml:space="preserve">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Registrar</w:t>
      </w:r>
      <w:r>
        <w:rPr>
          <w:rFonts w:ascii="Times New Roman" w:hAnsi="Times New Roman"/>
          <w:sz w:val="20"/>
        </w:rPr>
        <w:t xml:space="preserve"> has the meaning set forth in Section 2.04.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means Regulation S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 Global Notes</w:t>
      </w:r>
      <w:r>
        <w:rPr>
          <w:rFonts w:ascii="Times New Roman" w:hAnsi="Times New Roman"/>
          <w:sz w:val="20"/>
        </w:rPr>
        <w:t xml:space="preserve"> has the meaning set forth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 Notes</w:t>
      </w:r>
      <w:r>
        <w:rPr>
          <w:rFonts w:ascii="Times New Roman" w:hAnsi="Times New Roman"/>
          <w:sz w:val="20"/>
        </w:rPr>
        <w:t xml:space="preserve"> has the meaning set forth in Section 2.02.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Global Note</w:t>
      </w:r>
      <w:r>
        <w:rPr>
          <w:rFonts w:ascii="Times New Roman" w:hAnsi="Times New Roman"/>
          <w:sz w:val="20"/>
        </w:rPr>
        <w:t xml:space="preserve"> means a Global Note that is a Restricted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Note</w:t>
      </w:r>
      <w:r>
        <w:rPr>
          <w:rFonts w:ascii="Times New Roman" w:hAnsi="Times New Roman"/>
          <w:sz w:val="20"/>
        </w:rPr>
        <w:t xml:space="preserve"> has the same meaning as restricted security set forth in Rule 144(a)(3) promulgated under the Securities Act; </w:t>
      </w:r>
      <w:r>
        <w:rPr>
          <w:rFonts w:ascii="Times New Roman" w:hAnsi="Times New Roman"/>
          <w:i/>
          <w:sz w:val="20"/>
        </w:rPr>
        <w:t>provided</w:t>
      </w:r>
      <w:r>
        <w:rPr>
          <w:rFonts w:ascii="Times New Roman" w:hAnsi="Times New Roman"/>
          <w:sz w:val="20"/>
        </w:rPr>
        <w:t xml:space="preserve"> that the Trustee shall be entitled to request and conclusively rely upon an Opinion of Counsel with respect to whether any Note is a Restricted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Period</w:t>
      </w:r>
      <w:r>
        <w:rPr>
          <w:rFonts w:ascii="Times New Roman" w:hAnsi="Times New Roman"/>
          <w:sz w:val="20"/>
        </w:rPr>
        <w:t xml:space="preserve"> has the meaning set forth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Physical Note</w:t>
      </w:r>
      <w:r>
        <w:rPr>
          <w:rFonts w:ascii="Times New Roman" w:hAnsi="Times New Roman"/>
          <w:sz w:val="20"/>
        </w:rPr>
        <w:t xml:space="preserve"> means a Physical Note that is a Restricted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Subsidiary</w:t>
      </w:r>
      <w:r>
        <w:rPr>
          <w:rFonts w:ascii="Times New Roman" w:hAnsi="Times New Roman"/>
          <w:sz w:val="20"/>
        </w:rPr>
        <w:t xml:space="preserve"> means a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Global Notes</w:t>
      </w:r>
      <w:r>
        <w:rPr>
          <w:rFonts w:ascii="Times New Roman" w:hAnsi="Times New Roman"/>
          <w:sz w:val="20"/>
        </w:rPr>
        <w:t xml:space="preserve"> has the meaning set forth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 Notes</w:t>
      </w:r>
      <w:r>
        <w:rPr>
          <w:rFonts w:ascii="Times New Roman" w:hAnsi="Times New Roman"/>
          <w:sz w:val="20"/>
        </w:rPr>
        <w:t xml:space="preserve"> has the meaning set forth in Section 2.02.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S&amp;P Global Ratings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and Leaseback Transaction</w:t>
      </w:r>
      <w:r>
        <w:rPr>
          <w:rFonts w:ascii="Times New Roman" w:hAnsi="Times New Roman"/>
          <w:sz w:val="20"/>
        </w:rPr>
        <w:t xml:space="preserve"> has the meaning set forth in Section 4.15.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Significant Subsidiary</w:t>
      </w:r>
      <w:r>
        <w:rPr>
          <w:rFonts w:ascii="Times New Roman" w:hAnsi="Times New Roman"/>
          <w:sz w:val="20"/>
        </w:rPr>
        <w:t xml:space="preserve"> means any Subsidiary that would be a significant subsidiary as defined in Article 1, Rule 1-02 of Regulation S-X, promulgated pursuant to the Securities Act, as such Regulation is in effect on the Issue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of which more than 50% of the total voting power of Voting Stock is at the time owned or controlled, directly or indirectly, by such Person or one or more of the other Subsidiaries of that Person (or a combination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(a) the sole general partner or the managing general partner of which is such Person or a Subsidiary of such Person or (b) the only general partners of which are such Person or one or more Subsidiaries of such Person (or any combination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Swiss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has the meaning set forth in Section 4.20.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Jurisdiction</w:t>
      </w:r>
      <w:r>
        <w:rPr>
          <w:rFonts w:ascii="Times New Roman" w:hAnsi="Times New Roman"/>
          <w:sz w:val="20"/>
        </w:rPr>
        <w:t xml:space="preserve"> has the meaning set forth in Section 4.20.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TIA</w:t>
      </w:r>
      <w:r>
        <w:rPr>
          <w:rFonts w:ascii="Times New Roman" w:hAnsi="Times New Roman"/>
          <w:sz w:val="20"/>
        </w:rPr>
        <w:t> or </w:t>
      </w:r>
      <w:r>
        <w:rPr>
          <w:rFonts w:ascii="Times New Roman" w:hAnsi="Times New Roman"/>
          <w:sz w:val="20"/>
          <w:u w:val="single"/>
        </w:rPr>
        <w:t>Trust Indenture Act</w:t>
      </w:r>
      <w:r>
        <w:rPr>
          <w:rFonts w:ascii="Times New Roman" w:hAnsi="Times New Roman"/>
          <w:sz w:val="20"/>
        </w:rPr>
        <w:t xml:space="preserve"> means the Trust Indenture Act of 1939 (15 U.S. Code §§ 77aaa-77bbbb) as in effect on the date of this Indenture (except as provided in Section 8.03).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Agent</w:t>
      </w:r>
      <w:r>
        <w:rPr>
          <w:rFonts w:ascii="Times New Roman" w:hAnsi="Times New Roman"/>
          <w:sz w:val="20"/>
        </w:rPr>
        <w:t xml:space="preserve"> has the meaning set forth in Section 2.04.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Trustee</w:t>
      </w:r>
      <w:r>
        <w:rPr>
          <w:rFonts w:ascii="Times New Roman" w:hAnsi="Times New Roman"/>
          <w:sz w:val="20"/>
        </w:rPr>
        <w:t xml:space="preserve"> means the party named as such in this Indenture until a successor replaces it pursuant to this Indenture and thereafter means the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Global Note</w:t>
      </w:r>
      <w:r>
        <w:rPr>
          <w:rFonts w:ascii="Times New Roman" w:hAnsi="Times New Roman"/>
          <w:sz w:val="20"/>
        </w:rPr>
        <w:t xml:space="preserve"> means a Global Note that is not a Restricted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Notes</w:t>
      </w:r>
      <w:r>
        <w:rPr>
          <w:rFonts w:ascii="Times New Roman" w:hAnsi="Times New Roman"/>
          <w:sz w:val="20"/>
        </w:rPr>
        <w:t xml:space="preserve"> means Notes that are not Restricted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Physical Note</w:t>
      </w:r>
      <w:r>
        <w:rPr>
          <w:rFonts w:ascii="Times New Roman" w:hAnsi="Times New Roman"/>
          <w:sz w:val="20"/>
        </w:rPr>
        <w:t xml:space="preserve"> means a Physical Note that is not a Restricted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Guarantor</w:t>
      </w:r>
      <w:r>
        <w:rPr>
          <w:rFonts w:ascii="Times New Roman" w:hAnsi="Times New Roman"/>
          <w:sz w:val="20"/>
        </w:rPr>
        <w:t xml:space="preserve"> has the meaning set forth in Section 10.06.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Person</w:t>
      </w:r>
      <w:r>
        <w:rPr>
          <w:rFonts w:ascii="Times New Roman" w:hAnsi="Times New Roman"/>
          <w:sz w:val="20"/>
        </w:rPr>
        <w:t xml:space="preserve"> means a U.S. person as defined in Rule 902(k)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Stock</w:t>
      </w:r>
      <w:r>
        <w:rPr>
          <w:rFonts w:ascii="Times New Roman" w:hAnsi="Times New Roman"/>
          <w:sz w:val="20"/>
        </w:rPr>
        <w:t xml:space="preserve">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 Owned Subsidiary</w:t>
      </w:r>
      <w:r>
        <w:rPr>
          <w:rFonts w:ascii="Times New Roman" w:hAnsi="Times New Roman"/>
          <w:sz w:val="20"/>
        </w:rPr>
        <w:t xml:space="preserve">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indenture securities means the Notes. </w:t>
      </w:r>
    </w:p>
    <w:p>
      <w:pPr>
        <w:pStyle w:val="TextBody"/>
        <w:bidi w:val="0"/>
        <w:spacing w:before="120" w:after="0"/>
        <w:jc w:val="left"/>
        <w:rPr>
          <w:rFonts w:ascii="Times New Roman" w:hAnsi="Times New Roman"/>
          <w:sz w:val="20"/>
        </w:rPr>
      </w:pPr>
      <w:r>
        <w:rPr>
          <w:rFonts w:ascii="Times New Roman" w:hAnsi="Times New Roman"/>
          <w:sz w:val="20"/>
        </w:rPr>
        <w:t xml:space="preserve">indenture securityholder means a Holder or Noteholder.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to be qualified means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obligor on the indenture securities means the Issuer, the Guarantors or any other obligor on the Notes.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in the TIA by reference to another statute or defined by Commission rule have the meanings therein assigned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herein, whether defined expressly or by reference; </w:t>
      </w:r>
    </w:p>
    <w:p>
      <w:pPr>
        <w:pStyle w:val="TextBody"/>
        <w:bidi w:val="0"/>
        <w:spacing w:before="120" w:after="0"/>
        <w:jc w:val="left"/>
        <w:rPr>
          <w:rFonts w:ascii="Times New Roman" w:hAnsi="Times New Roman"/>
          <w:sz w:val="20"/>
        </w:rPr>
      </w:pPr>
      <w:r>
        <w:rPr>
          <w:rFonts w:ascii="Times New Roman" w:hAnsi="Times New Roman"/>
          <w:sz w:val="20"/>
        </w:rPr>
        <w:t xml:space="preserve">(2)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(3)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(4) words used herein implying any gender shall apply to both genders; </w:t>
      </w:r>
    </w:p>
    <w:p>
      <w:pPr>
        <w:pStyle w:val="TextBody"/>
        <w:bidi w:val="0"/>
        <w:spacing w:before="120" w:after="0"/>
        <w:jc w:val="left"/>
        <w:rPr>
          <w:rFonts w:ascii="Times New Roman" w:hAnsi="Times New Roman"/>
          <w:sz w:val="20"/>
        </w:rPr>
      </w:pPr>
      <w:r>
        <w:rPr>
          <w:rFonts w:ascii="Times New Roman" w:hAnsi="Times New Roman"/>
          <w:sz w:val="20"/>
        </w:rPr>
        <w:t xml:space="preserve">(5) herein, hereof and other words of similar import refer to this Indenture as a whole and not to any particular Article, Section or other subsection; </w:t>
      </w:r>
    </w:p>
    <w:p>
      <w:pPr>
        <w:pStyle w:val="TextBody"/>
        <w:bidi w:val="0"/>
        <w:spacing w:before="120" w:after="0"/>
        <w:jc w:val="left"/>
        <w:rPr>
          <w:rFonts w:ascii="Times New Roman" w:hAnsi="Times New Roman"/>
          <w:sz w:val="20"/>
        </w:rPr>
      </w:pPr>
      <w:r>
        <w:rPr>
          <w:rFonts w:ascii="Times New Roman" w:hAnsi="Times New Roman"/>
          <w:sz w:val="20"/>
        </w:rPr>
        <w:t xml:space="preserve">(6) will shall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(7) unless otherwise specified herein, all accounting terms used herein shall be interpreted, all accounting determinations hereunder shall be made, and all financial statements required to be delivered hereunder shall be prepared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(8) $ and U.S. Dollars each refer to United States dollars, or such other money of the United States of America that at the time of payment is legal tender for payment of public and private debts; and </w:t>
      </w:r>
    </w:p>
    <w:p>
      <w:pPr>
        <w:pStyle w:val="TextBody"/>
        <w:bidi w:val="0"/>
        <w:spacing w:before="120" w:after="0"/>
        <w:jc w:val="left"/>
        <w:rPr>
          <w:rFonts w:ascii="Times New Roman" w:hAnsi="Times New Roman"/>
          <w:sz w:val="20"/>
        </w:rPr>
      </w:pPr>
      <w:r>
        <w:rPr>
          <w:rFonts w:ascii="Times New Roman" w:hAnsi="Times New Roman"/>
          <w:sz w:val="20"/>
        </w:rPr>
        <w:t xml:space="preserve">(9) € and Euros each refer to the lawful currency of the member states of the European Union that adopt the single currency in accordance with the Treaty establishing the European Communities,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TWO </w:t>
      </w:r>
    </w:p>
    <w:p>
      <w:pPr>
        <w:pStyle w:val="TextBody"/>
        <w:bidi w:val="0"/>
        <w:spacing w:before="12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Amount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Trustee shall initially authenticate 600,000,000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Times New Roman" w:hAnsi="Times New Roman"/>
          <w:sz w:val="20"/>
          <w:u w:val="single"/>
        </w:rPr>
        <w:t>Additional Notes</w:t>
      </w:r>
      <w:r>
        <w:rPr>
          <w:rFonts w:ascii="Times New Roman" w:hAnsi="Times New Roman"/>
          <w:sz w:val="20"/>
        </w:rPr>
        <w:t xml:space="preserve">)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and Dating;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Trustees certificate of authentication with respect thereto shall be substantially in the form set forth in </w:t>
      </w:r>
      <w:r>
        <w:rPr>
          <w:rFonts w:ascii="Times New Roman" w:hAnsi="Times New Roman"/>
          <w:sz w:val="20"/>
          <w:u w:val="single"/>
        </w:rPr>
        <w:t>Exhibit A-1</w:t>
      </w:r>
      <w:r>
        <w:rPr>
          <w:rFonts w:ascii="Times New Roman" w:hAnsi="Times New Roman"/>
          <w:sz w:val="20"/>
        </w:rPr>
        <w:t xml:space="preserve"> (with respect to the Restricted Notes) and </w:t>
      </w:r>
      <w:r>
        <w:rPr>
          <w:rFonts w:ascii="Times New Roman" w:hAnsi="Times New Roman"/>
          <w:sz w:val="20"/>
          <w:u w:val="single"/>
        </w:rPr>
        <w:t>Exhibit A-2</w:t>
      </w:r>
      <w:r>
        <w:rPr>
          <w:rFonts w:ascii="Times New Roman" w:hAnsi="Times New Roman"/>
          <w:sz w:val="20"/>
        </w:rPr>
        <w:t xml:space="preserve"> (with respect to the Unrestricted Notes), each of which is incorporated in and forms a part of this Indenture. Each Note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hAnsi="Times New Roman"/>
          <w:sz w:val="20"/>
          <w:u w:val="single"/>
        </w:rPr>
        <w:t>Rule 144A Notes</w:t>
      </w:r>
      <w:r>
        <w:rPr>
          <w:rFonts w:ascii="Times New Roman" w:hAnsi="Times New Roman"/>
          <w:sz w:val="20"/>
        </w:rPr>
        <w:t>), Notes offered and sold in offshore transactions in reliance on Regulation S (</w:t>
      </w:r>
      <w:r>
        <w:rPr>
          <w:rFonts w:ascii="Times New Roman" w:hAnsi="Times New Roman"/>
          <w:sz w:val="20"/>
          <w:u w:val="single"/>
        </w:rPr>
        <w:t>Regulation S Notes</w:t>
      </w:r>
      <w:r>
        <w:rPr>
          <w:rFonts w:ascii="Times New Roman" w:hAnsi="Times New Roman"/>
          <w:sz w:val="20"/>
        </w:rPr>
        <w:t xml:space="preserve">) and all other Restricted Notes shall bear the Private Placement Legend. All Global Notes shall bear the 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Each Note issued hereunder that has more than a de minimis amount of original issue discount for U.S. Federal Income Tax purposes shall bear a legend substantially in the form set forth on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The Notes may be presented for registration of transfer and exchange at the offices of the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executed on behalf of the Issuer by two Officers of the Issuer. The signature of any of these Officers on the Notes may be manual, facsimile, .pdf attachment or other electronically transmitted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Note was an Officer at the time of such execution but no longer holds that office at the time the Trustee authenticates the Note, the Note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Notes shall be issuable only in registered form without coupons in denominations of 100,000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Registrar, Paying Agent and Transfer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Issuer shall maintain (a) an office or agency where Notes may be presented for registration of transfer or for exchange (the </w:t>
      </w:r>
      <w:r>
        <w:rPr>
          <w:rFonts w:ascii="Times New Roman" w:hAnsi="Times New Roman"/>
          <w:sz w:val="20"/>
          <w:u w:val="single"/>
        </w:rPr>
        <w:t>Registrar</w:t>
      </w:r>
      <w:r>
        <w:rPr>
          <w:rFonts w:ascii="Times New Roman" w:hAnsi="Times New Roman"/>
          <w:sz w:val="20"/>
        </w:rPr>
        <w:t>), (b) an office or agency in London, England where the Notes may be presented for payment (the </w:t>
      </w:r>
      <w:r>
        <w:rPr>
          <w:rFonts w:ascii="Times New Roman" w:hAnsi="Times New Roman"/>
          <w:sz w:val="20"/>
          <w:u w:val="single"/>
        </w:rPr>
        <w:t>Paying Agent</w:t>
      </w:r>
      <w:r>
        <w:rPr>
          <w:rFonts w:ascii="Times New Roman" w:hAnsi="Times New Roman"/>
          <w:sz w:val="20"/>
        </w:rPr>
        <w:t>), (c) an office or agency where notices and demands to or upon the Issuer, if any, in respect of the Notes and this Indenture may be served and (d) an office or agency to act as transfer agent in respect of the Notes (the </w:t>
      </w:r>
      <w:r>
        <w:rPr>
          <w:rFonts w:ascii="Times New Roman" w:hAnsi="Times New Roman"/>
          <w:sz w:val="20"/>
          <w:u w:val="single"/>
        </w:rPr>
        <w:t>Transfer Agent</w:t>
      </w:r>
      <w:r>
        <w:rPr>
          <w:rFonts w:ascii="Times New Roman" w:hAnsi="Times New Roman"/>
          <w:sz w:val="20"/>
        </w:rPr>
        <w:t xml:space="preserve">). The Registrar shall keep a register of the Notes and of their transfer and exchange. The Registrar shall provide a copy of such register from time to time upon request of the Issuer. The Issuer may have one or more co-registrars and one or more additional Paying Agents. The term Registrar includes any co-registrars. The term Paying Agents means the Paying Agent and any additional Paying Agents. The term Transfer Agent includes any co-transfer agents. The Issuer or any Affiliate thereof may act as Registrar, a Paying Agent or a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ensure that it maintains a Paying Agent in a member state of the European Union that will not be obliged to withhold or deduct tax pursuant to Council Directives 2003/48/EC and 2015/2060/EU. </w:t>
      </w:r>
    </w:p>
    <w:p>
      <w:pPr>
        <w:pStyle w:val="TextBody"/>
        <w:bidi w:val="0"/>
        <w:spacing w:before="240" w:after="0"/>
        <w:jc w:val="left"/>
        <w:rPr>
          <w:rFonts w:ascii="Times New Roman" w:hAnsi="Times New Roman"/>
          <w:sz w:val="20"/>
        </w:rPr>
      </w:pPr>
      <w:r>
        <w:rPr>
          <w:rFonts w:ascii="Times New Roman" w:hAnsi="Times New Roman"/>
          <w:sz w:val="20"/>
        </w:rPr>
        <w:t xml:space="preserve">The Issuer initially appoints the Trustee as agent for service of notices and demands in connection with the Notes and this Indenture. The Issuer initially appoints Elavon Financial Services DAC, in Dublin as Paying Agent, Registrar and Transfer Agent. </w:t>
      </w:r>
    </w:p>
    <w:p>
      <w:pPr>
        <w:pStyle w:val="TextBody"/>
        <w:bidi w:val="0"/>
        <w:spacing w:before="240" w:after="0"/>
        <w:jc w:val="left"/>
        <w:rPr>
          <w:rFonts w:ascii="Times New Roman" w:hAnsi="Times New Roman"/>
          <w:sz w:val="20"/>
        </w:rPr>
      </w:pPr>
      <w:r>
        <w:rPr>
          <w:rFonts w:ascii="Times New Roman" w:hAnsi="Times New Roman"/>
          <w:sz w:val="20"/>
        </w:rPr>
        <w:t>The Issuer may change the Paying Agent, the Registrar or the Transfer Agent without prior notice to the Holders. For so long as the Notes are listed on the Official List of the Luxembourg Stock Exchange and admitted for trading on the Euro MTF Market, the Issuer will publish a notice of any change of Paying Agent, Registrar or Transfer Agent in accordance with the rules of the Euro MTF Market or, to the extent and in the manner permitted by such rules, post such notice on the official website of the Luxembourg Stock Exchange (</w:t>
      </w:r>
      <w:r>
        <w:rPr>
          <w:rFonts w:ascii="Times New Roman" w:hAnsi="Times New Roman"/>
          <w:i/>
          <w:sz w:val="20"/>
        </w:rPr>
        <w:t>www.luxse.com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Paying Agent To Hold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Noteholder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 apply to any exchange pursuant to Section 2.11, 3.06, 4.08, 4.12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Replacement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the Transfer Agent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Outstanding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 </w:t>
      </w:r>
    </w:p>
    <w:p>
      <w:pPr>
        <w:pStyle w:val="TextBody"/>
        <w:bidi w:val="0"/>
        <w:spacing w:before="240" w:after="0"/>
        <w:jc w:val="left"/>
        <w:rPr>
          <w:rFonts w:ascii="Times New Roman" w:hAnsi="Times New Roman"/>
          <w:sz w:val="20"/>
        </w:rPr>
      </w:pPr>
      <w:r>
        <w:rPr>
          <w:rFonts w:ascii="Times New Roman" w:hAnsi="Times New Roman"/>
          <w:sz w:val="20"/>
        </w:rPr>
        <w:t xml:space="preserve">If a Note is replaced pursuant to Section 2.08, it ceases to be outstanding unless the Trustee receives proof satisfactory to the Trustee that the replaced Note is held by a bona fide purchaser in whose hands such Note is a legal, valid and binding obligation of the Issuer. </w:t>
      </w:r>
    </w:p>
    <w:p>
      <w:pPr>
        <w:pStyle w:val="TextBody"/>
        <w:bidi w:val="0"/>
        <w:spacing w:before="240" w:after="0"/>
        <w:jc w:val="left"/>
        <w:rPr>
          <w:rFonts w:ascii="Times New Roman" w:hAnsi="Times New Roman"/>
          <w:sz w:val="20"/>
        </w:rPr>
      </w:pPr>
      <w:r>
        <w:rPr>
          <w:rFonts w:ascii="Times New Roman" w:hAnsi="Times New Roman"/>
          <w:sz w:val="20"/>
        </w:rPr>
        <w:t xml:space="preserve">If a Paying Agent holds, in its capacity as such, on any Maturity Date, Euros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Treasury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Temporary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at any time may deliver Notes to the Trustee for cancellation. The Registrar, the Transfer Agent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interest which is paid prior to the expiration of the 30-day period set forth in Section 6.01(1) shall be paid to Holders as of the record date for the Interest Payment Date for which interest has not been paid.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CUSIP, ISIN and Common Code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in issuing the Notes may use CUSIP, ISIN and Common Code numbers, and if so used, such CUSIP, ISIN and Common Code numbers shall be included in notices of redemption or exchange as a convenience to Holders; </w:t>
      </w:r>
      <w:r>
        <w:rPr>
          <w:rFonts w:ascii="Times New Roman" w:hAnsi="Times New Roman"/>
          <w:i/>
          <w:sz w:val="20"/>
        </w:rPr>
        <w:t>provided</w:t>
      </w:r>
      <w:r>
        <w:rPr>
          <w:rFonts w:ascii="Times New Roman" w:hAnsi="Times New Roman"/>
          <w:sz w:val="20"/>
        </w:rPr>
        <w:t xml:space="preserve"> that any such notice may state that no representation is made as to the correctness or accuracy of the CUSIP, ISIN or Common Code numbers printed in the notice or on the Notes, and that reliance may be placed only on the other identification numbers printed on the Notes. The Issuer shall promptly notify the Trustee, in writing, of any such CUSIP, ISIN or Common Code number used by the Issuer in connection with the issuance of the Notes and of any change in any such CUSIP, ISIN or Common Code number.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Deposit of Moneys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10:00 A.M., London time, one Business Day prior to each Interest Payment Date and Maturity Date, the Issuer shall have deposited with the Paying Agent in immediately available funds Euros sufficient to make cash payments, if any, due on such Interest Payment Date or Maturity Date, as the case may be, in a timely manner which permits such Paying Agent, subject to actual receipt of such funds, to remit payment to the Holders on such Interest Payment Date or Maturity Date, as the case may be. The principal and interest on Global Notes shall be payable to the Common Depositary or its nominee, as the case may be, as the sole registered owner and the sole Holder of the Global Notes represented thereby. The principal and interest on Physical Notes shall be payable, either in person, by wire transfer or by mail, at the office of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Book-Entry Provisions for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Rule 144A Notes initially shall be represented by one or more Notes in registered, global form without interest coupons (collectively, the </w:t>
      </w:r>
      <w:r>
        <w:rPr>
          <w:rFonts w:ascii="Times New Roman" w:hAnsi="Times New Roman"/>
          <w:sz w:val="20"/>
          <w:u w:val="single"/>
        </w:rPr>
        <w:t>Rule 144A Global Notes</w:t>
      </w:r>
      <w:r>
        <w:rPr>
          <w:rFonts w:ascii="Times New Roman" w:hAnsi="Times New Roman"/>
          <w:sz w:val="20"/>
        </w:rPr>
        <w:t>). Regulation S Notes initially shall be represented by one or more Notes in registered, global form without interest coupons (collectively, the </w:t>
      </w:r>
      <w:r>
        <w:rPr>
          <w:rFonts w:ascii="Times New Roman" w:hAnsi="Times New Roman"/>
          <w:sz w:val="20"/>
          <w:u w:val="single"/>
        </w:rPr>
        <w:t>Regulation S Global Notes</w:t>
      </w:r>
      <w:r>
        <w:rPr>
          <w:rFonts w:ascii="Times New Roman" w:hAnsi="Times New Roman"/>
          <w:sz w:val="20"/>
        </w:rPr>
        <w:t>). The term </w:t>
      </w:r>
      <w:r>
        <w:rPr>
          <w:rFonts w:ascii="Times New Roman" w:hAnsi="Times New Roman"/>
          <w:sz w:val="20"/>
          <w:u w:val="single"/>
        </w:rPr>
        <w:t>Global Notes</w:t>
      </w:r>
      <w:r>
        <w:rPr>
          <w:rFonts w:ascii="Times New Roman" w:hAnsi="Times New Roman"/>
          <w:sz w:val="20"/>
        </w:rPr>
        <w:t xml:space="preserve"> means the Rule 144A Global Notes and the Regulation S Global Notes. The Global Notes shall bear the Global Note Legend. The Global Notes initially shall (i) be registered in the name of the nominee of such Common Depositary, in each case for credit to an account of an Agent Member, (ii) be delivered to the Common Depositary and (iii) bear the Private Placement Legend. </w:t>
      </w:r>
    </w:p>
    <w:p>
      <w:pPr>
        <w:pStyle w:val="TextBody"/>
        <w:bidi w:val="0"/>
        <w:spacing w:before="240" w:after="0"/>
        <w:jc w:val="left"/>
        <w:rPr>
          <w:rFonts w:ascii="Times New Roman" w:hAnsi="Times New Roman"/>
          <w:sz w:val="20"/>
        </w:rPr>
      </w:pPr>
      <w:r>
        <w:rPr>
          <w:rFonts w:ascii="Times New Roman" w:hAnsi="Times New Roman"/>
          <w:sz w:val="20"/>
        </w:rPr>
        <w:t>Members of, or direct or indirect participants in, Euroclear or Clearstream (</w:t>
      </w:r>
      <w:r>
        <w:rPr>
          <w:rFonts w:ascii="Times New Roman" w:hAnsi="Times New Roman"/>
          <w:sz w:val="20"/>
          <w:u w:val="single"/>
        </w:rPr>
        <w:t>Agent Members</w:t>
      </w:r>
      <w:r>
        <w:rPr>
          <w:rFonts w:ascii="Times New Roman" w:hAnsi="Times New Roman"/>
          <w:sz w:val="20"/>
        </w:rPr>
        <w:t xml:space="preserve">) shall have no rights under this Indenture with respect to any Global Note held on their behalf by the nominee of the Common Depositary or under the Global Notes. The nominee of the Common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Common Depositary or impair, as between Euroclear or Clearstream, as the case may be, and their respective Agent Members, the operation of customary practices governing the exercise of the rights of a Holder of any Note.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Global Notes shall be limited to transfer in whole, but not in part, to the Common Depositary, its successors or their respective nominees. Interests of beneficial owners in the Global Notes may be transferred or exchanged for Physical Notes only in accordance with the applicable rules and procedures of Euroclear or Clearstream, as the case may be, and the provisions of Section 2.17. In addition, a Global Note shall be exchangeable for Physical Notes only if (x) Euroclear or Clearstream notifies the Issuer that it is unwilling or unable to continue as clearing agency, (y) the Common Depositary notifies the Issuer that it is unwilling or unable to continue as common depositary for such Global Note and the Issuer fails to appoint a successor common depositary within 120 days of such notice or, (z) in the case of any Global Note there shall have occurred and be continuing an Event of Default with respect to such Global Note. In all cases, Physical Notes delivered in exchange for any Global Note or beneficial interests therein shall be registered in the names, and issued in any approved denominations, requested by or on behalf of the Common Depositary in accordance with its customary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Common Depositary in writing in exchange for its beneficial interest in such Global Note, an equal aggregate principal amount of Physical Notes of authorized denominations.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Restricted Physical Note delivered in exchange for an interest in a Global Note pursuant to Section 2.17 shall, except as otherwise provided in Section 2.17, bear the Private Placement Legend.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sz w:val="20"/>
        </w:rPr>
        <w:t xml:space="preserve">(f) The Holder of any Global Note may grant proxies and otherwise authorize any Person, including Agent Members and Persons that may hold interests through Agent Members, to take any action which a Holder is entitled to take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Transfer and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and Exchange of Global Notes</w:t>
      </w:r>
      <w:r>
        <w:rPr>
          <w:rFonts w:ascii="Times New Roman" w:hAnsi="Times New Roman"/>
          <w:sz w:val="20"/>
        </w:rPr>
        <w:t xml:space="preserve">.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and Exchange of Beneficial Interests in Global Notes</w:t>
      </w:r>
      <w:r>
        <w:rPr>
          <w:rFonts w:ascii="Times New Roman" w:hAnsi="Times New Roman"/>
          <w:sz w:val="20"/>
        </w:rPr>
        <w:t xml:space="preserve">. The transfer and exchange of beneficial interests in the Global Notes shall be effected through the Common Depositary, in accordance with the provisions of this Indenture and the applicable rules and procedures of Euroclear and Clearstream.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prior to the expiration of the Restricted Period,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All Other Transfers and Exchanges of Beneficial Interests in Global Notes</w:t>
      </w:r>
      <w:r>
        <w:rPr>
          <w:rFonts w:ascii="Times New Roman" w:hAnsi="Times New Roman"/>
          <w:sz w:val="20"/>
        </w:rPr>
        <w:t xml:space="preserve">. In connection with all transfers and exchanges of beneficial interests in any Global Note that is not subject to Section 2.17(b)(i), the transferor of such beneficial interest must deliver to the Registrar (1) a written order from an Agent Member given to the Common Depositary in accordance with the applicable rules and procedures of Euroclear and Clearstream directing the Common Depositary to credit or cause to be credited a beneficial interest in another Global Note in an amount equal to the beneficial interest to be transferred or exchanged and (2) instructions given in accordance with the applicable rules and procedures of Euroclear and Clearstream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Registrar shall adjust the principal amount of the relevant Global Note(s) pursuant to Section 2.17(f).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Transfer of Beneficial Interests to Another Restricted Global Note</w:t>
      </w:r>
      <w:r>
        <w:rPr>
          <w:rFonts w:ascii="Times New Roman" w:hAnsi="Times New Roman"/>
          <w:sz w:val="20"/>
        </w:rPr>
        <w:t xml:space="preserve">.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transferee will take delivery in the form of a beneficial interest in a Rule 144A Global Note, then the transferor must deliver a certificate in the form of </w:t>
      </w:r>
      <w:r>
        <w:rPr>
          <w:rFonts w:ascii="Times New Roman" w:hAnsi="Times New Roman"/>
          <w:sz w:val="20"/>
          <w:u w:val="single"/>
        </w:rPr>
        <w:t>Exhibit F</w:t>
      </w:r>
      <w:r>
        <w:rPr>
          <w:rFonts w:ascii="Times New Roman" w:hAnsi="Times New Roman"/>
          <w:sz w:val="20"/>
        </w:rPr>
        <w:t xml:space="preserve">, including the certifications in item (1) thereof; and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transferee will take delivery in the form of a beneficial interest in a Regulation S Global Note, then the transferor must deliver a certificate in the form of </w:t>
      </w:r>
      <w:r>
        <w:rPr>
          <w:rFonts w:ascii="Times New Roman" w:hAnsi="Times New Roman"/>
          <w:sz w:val="20"/>
          <w:u w:val="single"/>
        </w:rPr>
        <w:t>Exhibit F</w:t>
      </w:r>
      <w:r>
        <w:rPr>
          <w:rFonts w:ascii="Times New Roman" w:hAnsi="Times New Roman"/>
          <w:sz w:val="20"/>
        </w:rPr>
        <w:t xml:space="preserve">,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Transfer and Exchange of Beneficial Interests in a Restricted Global Note for Beneficial Interests in an Unrestricted Global Note</w:t>
      </w:r>
      <w:r>
        <w:rPr>
          <w:rFonts w:ascii="Times New Roman" w:hAnsi="Times New Roman"/>
          <w:sz w:val="20"/>
        </w:rPr>
        <w:t xml:space="preserve">.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Restricted Global Note proposes to exchange such beneficial interest for a beneficial interest in an Unrestricted Global Note, a certificate from such holder in the form of </w:t>
      </w:r>
      <w:r>
        <w:rPr>
          <w:rFonts w:ascii="Times New Roman" w:hAnsi="Times New Roman"/>
          <w:sz w:val="20"/>
          <w:u w:val="single"/>
        </w:rPr>
        <w:t>Exhibit G</w:t>
      </w:r>
      <w:r>
        <w:rPr>
          <w:rFonts w:ascii="Times New Roman" w:hAnsi="Times New Roman"/>
          <w:sz w:val="20"/>
        </w:rPr>
        <w:t xml:space="preserve">, including the certifications in item (1)(a)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hAnsi="Times New Roman"/>
          <w:sz w:val="20"/>
          <w:u w:val="single"/>
        </w:rPr>
        <w:t>Exhibit F</w:t>
      </w:r>
      <w:r>
        <w:rPr>
          <w:rFonts w:ascii="Times New Roman" w:hAnsi="Times New Roman"/>
          <w:sz w:val="20"/>
        </w:rPr>
        <w:t xml:space="preserve">,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if the Registrar so requests or if the applicable rules and procedures of the Euroclear and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Transfer and Exchange of Beneficial Interests in an Unrestricted Global Note for Beneficial Interests in a Restricted Global Note</w:t>
      </w:r>
      <w:r>
        <w:rPr>
          <w:rFonts w:ascii="Times New Roman" w:hAnsi="Times New Roman"/>
          <w:sz w:val="20"/>
        </w:rPr>
        <w:t xml:space="preserve">. Beneficial interests in an Unrestricted Global Note cannot be exchanged for, or transferred to Persons who take delivery thereof in the form of, a beneficial interest in a 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and Exchange of Beneficial Interests in Global Notes for Physical Notes</w:t>
      </w:r>
      <w:r>
        <w:rPr>
          <w:rFonts w:ascii="Times New Roman" w:hAnsi="Times New Roman"/>
          <w:sz w:val="20"/>
        </w:rPr>
        <w:t xml:space="preserve">.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and Exchange of Physical Notes for Beneficial Interests in Global Notes</w:t>
      </w:r>
      <w:r>
        <w:rPr>
          <w:rFonts w:ascii="Times New Roman" w:hAnsi="Times New Roman"/>
          <w:sz w:val="20"/>
        </w:rPr>
        <w:t xml:space="preserve">. Physical Notes shall be transferred or exchanged only for beneficial interests in Global Notes as described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Restricted Physical Notes to Beneficial Interests in Restricted Global Notes</w:t>
      </w:r>
      <w:r>
        <w:rPr>
          <w:rFonts w:ascii="Times New Roman" w:hAnsi="Times New Roman"/>
          <w:sz w:val="20"/>
        </w:rPr>
        <w:t xml:space="preserve">.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Restricted Physical Note proposes to exchange such Restricted Physical Note for a beneficial interest in a Restricted Global Note, a certificate from such Holder in the form of </w:t>
      </w:r>
      <w:r>
        <w:rPr>
          <w:rFonts w:ascii="Times New Roman" w:hAnsi="Times New Roman"/>
          <w:sz w:val="20"/>
          <w:u w:val="single"/>
        </w:rPr>
        <w:t>Exhibit G</w:t>
      </w:r>
      <w:r>
        <w:rPr>
          <w:rFonts w:ascii="Times New Roman" w:hAnsi="Times New Roman"/>
          <w:sz w:val="20"/>
        </w:rPr>
        <w:t xml:space="preserve">, including the certifications in item (2)(a)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such Restricted Physical Note is being transferred to a Qualified Institutional Buyer in accordance with Rule 144A under the Securities Act,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Restricted Physical Note is being transferred to a Non-U.S. Person in an offshore transaction in accordance with Rule 903 or Rule 904 under the Securities Act,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Restricted Physical Note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certificates and Opinion of Counsel required by item (3)(d) thereof, if applicable; or </w:t>
      </w:r>
    </w:p>
    <w:p>
      <w:pPr>
        <w:pStyle w:val="TextBody"/>
        <w:bidi w:val="0"/>
        <w:spacing w:before="120" w:after="0"/>
        <w:jc w:val="left"/>
        <w:rPr>
          <w:rFonts w:ascii="Times New Roman" w:hAnsi="Times New Roman"/>
          <w:sz w:val="20"/>
        </w:rPr>
      </w:pPr>
      <w:r>
        <w:rPr>
          <w:rFonts w:ascii="Times New Roman" w:hAnsi="Times New Roman"/>
          <w:sz w:val="20"/>
        </w:rPr>
        <w:t xml:space="preserve">(F) if such Restricted Physical Note is being transferred to the Issuer or a Subsidiary thereof,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(3)(b) thereof,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cancel the Restricted Physical Note, and increase or cause to be increased the aggregate principal amount of the appropriate Restricted Global Note.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Restricted Physical Notes to Beneficial Interests in Unrestricted Global Notes</w:t>
      </w:r>
      <w:r>
        <w:rPr>
          <w:rFonts w:ascii="Times New Roman" w:hAnsi="Times New Roman"/>
          <w:sz w:val="20"/>
        </w:rPr>
        <w:t xml:space="preserve">.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Restricted Physical Note proposes to exchange such Restricted Physical Note for a beneficial interest in an Unrestricted Global Note, a certificate from such Holder in the form of </w:t>
      </w:r>
      <w:r>
        <w:rPr>
          <w:rFonts w:ascii="Times New Roman" w:hAnsi="Times New Roman"/>
          <w:sz w:val="20"/>
          <w:u w:val="single"/>
        </w:rPr>
        <w:t>Exhibit G</w:t>
      </w:r>
      <w:r>
        <w:rPr>
          <w:rFonts w:ascii="Times New Roman" w:hAnsi="Times New Roman"/>
          <w:sz w:val="20"/>
        </w:rPr>
        <w:t xml:space="preserve">, including the certifications in item (1)(b)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hAnsi="Times New Roman"/>
          <w:sz w:val="20"/>
          <w:u w:val="single"/>
        </w:rPr>
        <w:t>Exhibit F</w:t>
      </w:r>
      <w:r>
        <w:rPr>
          <w:rFonts w:ascii="Times New Roman" w:hAnsi="Times New Roman"/>
          <w:sz w:val="20"/>
        </w:rPr>
        <w:t xml:space="preserve">,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if the Registrar so requests or if the applicable rules and procedures of Euroclear or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Unrestricted Physical Notes to Beneficial Interests in Unrestricted Global Notes</w:t>
      </w:r>
      <w:r>
        <w:rPr>
          <w:rFonts w:ascii="Times New Roman" w:hAnsi="Times New Roman"/>
          <w:sz w:val="20"/>
        </w:rPr>
        <w:t xml:space="preserve">.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Unrestricted Physical Notes to Beneficial Interests in Restricted Global Notes</w:t>
      </w:r>
      <w:r>
        <w:rPr>
          <w:rFonts w:ascii="Times New Roman" w:hAnsi="Times New Roman"/>
          <w:sz w:val="20"/>
        </w:rPr>
        <w:t xml:space="preserve">. An Unrestricted Physical Note cannot be exchanged for, or transferred to a Person who takes delivery thereof in the form of, a beneficial interest in a 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and Exchange of Physical Notes for Physical Notes</w:t>
      </w:r>
      <w:r>
        <w:rPr>
          <w:rFonts w:ascii="Times New Roman" w:hAnsi="Times New Roman"/>
          <w:sz w:val="20"/>
        </w:rPr>
        <w:t xml:space="preserve">.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Restricted Physical Notes to Restricted Physical Notes</w:t>
      </w:r>
      <w:r>
        <w:rPr>
          <w:rFonts w:ascii="Times New Roman" w:hAnsi="Times New Roman"/>
          <w:sz w:val="20"/>
        </w:rPr>
        <w:t xml:space="preserve">. A Restricted Physical Note may be transferred to and registered in the name of a Person who takes delivery thereof in the form of a Restricted Physical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 will be made pursuant to Rule 144A under the Securities Act, then the transferor must deliver a certificate in the form of </w:t>
      </w:r>
      <w:r>
        <w:rPr>
          <w:rFonts w:ascii="Times New Roman" w:hAnsi="Times New Roman"/>
          <w:sz w:val="20"/>
          <w:u w:val="single"/>
        </w:rPr>
        <w:t>Exhibit F</w:t>
      </w:r>
      <w:r>
        <w:rPr>
          <w:rFonts w:ascii="Times New Roman" w:hAnsi="Times New Roman"/>
          <w:sz w:val="20"/>
        </w:rPr>
        <w:t xml:space="preserve">,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 will be made pursuant to Rule 903 or Rule 904 under the Securities Act, then the transferor must deliver a certificate in the form of </w:t>
      </w:r>
      <w:r>
        <w:rPr>
          <w:rFonts w:ascii="Times New Roman" w:hAnsi="Times New Roman"/>
          <w:sz w:val="20"/>
          <w:u w:val="single"/>
        </w:rPr>
        <w:t>Exhibit F</w:t>
      </w:r>
      <w:r>
        <w:rPr>
          <w:rFonts w:ascii="Times New Roman" w:hAnsi="Times New Roman"/>
          <w:sz w:val="20"/>
        </w:rPr>
        <w:t xml:space="preserve">,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(C) if the transfer will be made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(D) 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certificates and Opinion of Counsel required by item (3)(d) thereof, if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(E) if such transfer will be made to the Issuer or a Subsidiary thereof, a certificate to the effect set forth in </w:t>
      </w:r>
      <w:r>
        <w:rPr>
          <w:rFonts w:ascii="Times New Roman" w:hAnsi="Times New Roman"/>
          <w:sz w:val="20"/>
          <w:u w:val="single"/>
        </w:rPr>
        <w:t>Exhibit F</w:t>
      </w:r>
      <w:r>
        <w:rPr>
          <w:rFonts w:ascii="Times New Roman" w:hAnsi="Times New Roman"/>
          <w:sz w:val="20"/>
        </w:rPr>
        <w:t xml:space="preserve">, including the certifications in item (3)(b)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Restricted Physical Notes to Unrestricted Physical Notes</w:t>
      </w:r>
      <w:r>
        <w:rPr>
          <w:rFonts w:ascii="Times New Roman" w:hAnsi="Times New Roman"/>
          <w:sz w:val="20"/>
        </w:rPr>
        <w:t xml:space="preserve">. Any Restricted Physical Note may be exchanged by the Holder thereof for an Unrestricted Physical Note or transferred to a Person who takes delivery thereof in the form of an Unrestricted Physical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if the Holder of such Restricted Physical Note proposes to exchange such Restricted Physical Note for an Unrestricted Physical Note, a certificate from such Holder in the form of </w:t>
      </w:r>
      <w:r>
        <w:rPr>
          <w:rFonts w:ascii="Times New Roman" w:hAnsi="Times New Roman"/>
          <w:sz w:val="20"/>
          <w:u w:val="single"/>
        </w:rPr>
        <w:t>Exhibit G</w:t>
      </w:r>
      <w:r>
        <w:rPr>
          <w:rFonts w:ascii="Times New Roman" w:hAnsi="Times New Roman"/>
          <w:sz w:val="20"/>
        </w:rPr>
        <w:t xml:space="preserve">, including the certifications in item (1)(c) thereof; or </w:t>
      </w:r>
    </w:p>
    <w:p>
      <w:pPr>
        <w:pStyle w:val="TextBody"/>
        <w:bidi w:val="0"/>
        <w:spacing w:before="120" w:after="0"/>
        <w:jc w:val="left"/>
        <w:rPr>
          <w:rFonts w:ascii="Times New Roman" w:hAnsi="Times New Roman"/>
          <w:sz w:val="20"/>
        </w:rPr>
      </w:pPr>
      <w:r>
        <w:rPr>
          <w:rFonts w:ascii="Times New Roman" w:hAnsi="Times New Roman"/>
          <w:sz w:val="20"/>
        </w:rPr>
        <w:t xml:space="preserve">(2) if the Holder of such Restricted Physical Note proposes to transfer such Notes to a Person who shall take delivery thereof in the form of an Unrestricted Physical Note, a certificate from such Holder in the form of </w:t>
      </w:r>
      <w:r>
        <w:rPr>
          <w:rFonts w:ascii="Times New Roman" w:hAnsi="Times New Roman"/>
          <w:sz w:val="20"/>
          <w:u w:val="single"/>
        </w:rPr>
        <w:t>Exhibit F</w:t>
      </w:r>
      <w:r>
        <w:rPr>
          <w:rFonts w:ascii="Times New Roman" w:hAnsi="Times New Roman"/>
          <w:sz w:val="20"/>
        </w:rPr>
        <w:t xml:space="preserve">,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Unrestricted Physical Notes to Unrestricted Physical Notes</w:t>
      </w:r>
      <w:r>
        <w:rPr>
          <w:rFonts w:ascii="Times New Roman" w:hAnsi="Times New Roman"/>
          <w:sz w:val="20"/>
        </w:rPr>
        <w:t xml:space="preserve">.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Unrestricted Physical Notes to Restricted Physical Notes</w:t>
      </w:r>
      <w:r>
        <w:rPr>
          <w:rFonts w:ascii="Times New Roman" w:hAnsi="Times New Roman"/>
          <w:sz w:val="20"/>
        </w:rPr>
        <w:t xml:space="preserve">. An Unrestricted Physical Note cannot be exchanged for, or transferred to a Person who takes delivery thereof in the form of, a Restricted Physical Note.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Cancellation and/or Adjustment of Global Notes</w:t>
      </w:r>
      <w:r>
        <w:rPr>
          <w:rFonts w:ascii="Times New Roman" w:hAnsi="Times New Roman"/>
          <w:sz w:val="20"/>
        </w:rPr>
        <w:t xml:space="preserve">.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Private Placement Legend</w:t>
      </w:r>
      <w:r>
        <w:rPr>
          <w:rFonts w:ascii="Times New Roman" w:hAnsi="Times New Roman"/>
          <w:sz w:val="20"/>
        </w:rPr>
        <w:t xml:space="preserve">.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w:t>
      </w:r>
      <w:r>
        <w:rPr>
          <w:rFonts w:ascii="Times New Roman" w:hAnsi="Times New Roman"/>
          <w:sz w:val="20"/>
        </w:rPr>
        <w:t xml:space="preserve">.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Computation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shall be computed on the basis of a 360-day year of twelve 30-day months and actual days elapsed. </w:t>
      </w:r>
    </w:p>
    <w:p>
      <w:pPr>
        <w:pStyle w:val="TextBody"/>
        <w:bidi w:val="0"/>
        <w:spacing w:before="480" w:after="0"/>
        <w:jc w:val="center"/>
        <w:rPr>
          <w:rFonts w:ascii="Times New Roman" w:hAnsi="Times New Roman"/>
          <w:sz w:val="20"/>
        </w:rPr>
      </w:pPr>
      <w:r>
        <w:rPr>
          <w:rFonts w:ascii="Times New Roman" w:hAnsi="Times New Roman"/>
          <w:sz w:val="20"/>
        </w:rPr>
        <w:t xml:space="preserve">ARTICLE THREE </w:t>
      </w:r>
    </w:p>
    <w:p>
      <w:pPr>
        <w:pStyle w:val="TextBody"/>
        <w:bidi w:val="0"/>
        <w:spacing w:before="12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Election To Redeem; Notices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Issuer elects to redeem Notes pursuant to paragraph 5 or 6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or 6 of the Notes. Except as provided in Section 3.04, notice given to the Trustee pursuant to this Section 3.01 may not be revoked after the time that notice is given to Noteholders pursuant to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Selection by Trustee of Notes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Times New Roman" w:hAnsi="Times New Roman"/>
          <w:i/>
          <w:sz w:val="20"/>
        </w:rPr>
        <w:t>pro rata</w:t>
      </w:r>
      <w:r>
        <w:rPr>
          <w:rFonts w:ascii="Times New Roman" w:hAnsi="Times New Roman"/>
          <w:sz w:val="20"/>
        </w:rPr>
        <w:t xml:space="preserve"> basis; </w:t>
      </w:r>
      <w:r>
        <w:rPr>
          <w:rFonts w:ascii="Times New Roman" w:hAnsi="Times New Roman"/>
          <w:i/>
          <w:sz w:val="20"/>
        </w:rPr>
        <w:t>provided</w:t>
      </w:r>
      <w:r>
        <w:rPr>
          <w:rFonts w:ascii="Times New Roman" w:hAnsi="Times New Roman"/>
          <w:sz w:val="20"/>
        </w:rPr>
        <w:t xml:space="preserve"> that no Notes with a principal amount of 100,000 or less shall be redeemed in part. For all purposes of this Indenture unless the context otherwise requires, provisions of this Indenture that apply to the Notes called for redemption also apply to portions of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Notes to be redeemed (including the CUSIP, ISIN and/or Common Code numbers thereof)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and the amount of premium and accrued interest to be paid; </w:t>
      </w:r>
    </w:p>
    <w:p>
      <w:pPr>
        <w:pStyle w:val="TextBody"/>
        <w:bidi w:val="0"/>
        <w:spacing w:before="120" w:after="0"/>
        <w:jc w:val="left"/>
        <w:rPr>
          <w:rFonts w:ascii="Times New Roman" w:hAnsi="Times New Roman"/>
          <w:sz w:val="20"/>
        </w:rPr>
      </w:pPr>
      <w:r>
        <w:rPr>
          <w:rFonts w:ascii="Times New Roman" w:hAnsi="Times New Roman"/>
          <w:sz w:val="20"/>
        </w:rPr>
        <w:t xml:space="preserve">(3) if any Note is being redeemed in part, the portion of the principal amount of such Note to be redeemed and that, after the Redemption Date and upon surrender of such Note, a new Note or Notes in principal amount equal to the unredeemed portion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Issuer defaults in making the redemption payment, interest on Notes called for redemption ceases to accrue on and after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that paragraph 5 or paragraph 6 of the Notes, as applicable, is the provision of the Notes pursuant to which the redemption is occurring; and </w:t>
      </w:r>
    </w:p>
    <w:p>
      <w:pPr>
        <w:pStyle w:val="TextBody"/>
        <w:bidi w:val="0"/>
        <w:spacing w:before="120" w:after="0"/>
        <w:jc w:val="left"/>
        <w:rPr>
          <w:rFonts w:ascii="Times New Roman" w:hAnsi="Times New Roman"/>
          <w:sz w:val="20"/>
        </w:rPr>
      </w:pPr>
      <w:r>
        <w:rPr>
          <w:rFonts w:ascii="Times New Roman" w:hAnsi="Times New Roman"/>
          <w:sz w:val="20"/>
        </w:rPr>
        <w:t xml:space="preserve">(8) the aggregate principal amount of such Notes that are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Issuers written request made at least five Business Days prior to the date on which notice is to be given (or such shorter period acceptable to the Trustee), the Trustee shall give the notice of redemption in the Issuers name and at the Issuers sole expense. </w:t>
      </w:r>
    </w:p>
    <w:p>
      <w:pPr>
        <w:pStyle w:val="TextBody"/>
        <w:bidi w:val="0"/>
        <w:spacing w:before="240" w:after="0"/>
        <w:jc w:val="left"/>
        <w:rPr>
          <w:rFonts w:ascii="Times New Roman" w:hAnsi="Times New Roman"/>
          <w:sz w:val="20"/>
        </w:rPr>
      </w:pPr>
      <w:r>
        <w:rPr>
          <w:rFonts w:ascii="Times New Roman" w:hAnsi="Times New Roman"/>
          <w:sz w:val="20"/>
        </w:rPr>
        <w:t xml:space="preserve">For Notes which are represented by global certificates held on behalf of Euroclear or Clearstream, notices may be given by delivery of the relevant notices to Euroclear or Clearstream for communication to entitled account holders in substitution for the aforesaid mailing. So long as any Notes are listed on the Official List of the Luxembourg Stock Exchange and admitted for trading on the Euro MTF Market,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Issuer will notify the Luxembourg Stock Exchange of any change in the principal amount of Notes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Times New Roman" w:hAnsi="Times New Roman"/>
          <w:i/>
          <w:sz w:val="20"/>
        </w:rPr>
        <w:t xml:space="preserve">provided, however, </w:t>
      </w:r>
      <w:r>
        <w:rPr>
          <w:rFonts w:ascii="Times New Roman" w:hAnsi="Times New Roman"/>
          <w:sz w:val="20"/>
        </w:rPr>
        <w:t xml:space="preserve">that any redemption and notice thereof pursuant to this Indenture may, in the Issuers discretion, be subject to the satisfaction of one 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Times New Roman" w:hAnsi="Times New Roman"/>
          <w:i/>
          <w:sz w:val="20"/>
        </w:rPr>
        <w:t>provided</w:t>
      </w:r>
      <w:r>
        <w:rPr>
          <w:rFonts w:ascii="Times New Roman" w:hAnsi="Times New Roman"/>
          <w:sz w:val="20"/>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 Redemption Date is a Legal Holiday, payment shall be made on the next succeeding Business Day and no interest shall accrue for the period from such Redemption Date to such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10:00 A.M., London time, one Business Day prior to each Redemption Date, the Issuer shall deposit with the Paying Agent Euros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Notes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4.08 or as contemplated by Article Six, the Issuer is not required to make any mandatory redemption of the Notes or any sinking fund payments with respect to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FOUR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the principal of and interest on the Notes on the dates and in the manner provided in such Notes and this Indenture. An installment of principal or interest shall be considered paid on the date it is due if the Trustee or the Paying Agents hold on that date Euros designated for and sufficient to pay such installment.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(including post-petition interest in a proceeding under any Bankruptcy Law), and overdue interest, to the extent lawful, at the rate specified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maintain in the Borough of Manhattan, The City of New York, and in Dublin, Ireland, an office or agency (which may be an office of the Trustee or Registrar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Issuer may also from time to time designate one or more other offices or agencies where the Notes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Issuer of its obligation to maintain an office or agency in the Borough of Manhattan, The City of New York, and in Dublin, Ireland. The Issuer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(c) The Issuer hereby designates the Corporate Trust Office of the Trustee, or its Agent, in the Borough of Manhattan, The City of New York, and in Dublin, Ireland, in each case as such office or agency of the Issuer in accordance with Section 2.04.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Legal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permitted by Article Five, Parent shall do or cause to be done all things necessary to preserve and keep in full force and effect (i) 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Times New Roman" w:hAnsi="Times New Roman"/>
          <w:i/>
          <w:sz w:val="20"/>
        </w:rPr>
        <w:t>provided</w:t>
      </w:r>
      <w:r>
        <w:rPr>
          <w:rFonts w:ascii="Times New Roman" w:hAnsi="Times New Roman"/>
          <w:sz w:val="20"/>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Waiver of Stay, Extension or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any of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deliver to the Trustee, within 120 days after the end of each Fiscal Year, an Officers Certificate (as enumerated by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Issuer have fulfilled all obligations under this Indenture or, if there has been a Default under this Indenture that is continuing, a description of the event and what action Parent and its Restricted Subsidiaries are taking or propose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deliver to the Trustee, within five Business Days after an Officer becomes aware of a Default or Event of Default, a statement specifying such Default or Event of Default. The Trustee may withhold from the Holders notice of any continuing Default or Event of Default (except a Default or Event of Default relating to the payment of principal or interest) if it determines that withholding notice is in the Holders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Issuer shall provide written notice to the Trustee of any change in Parents or Issuers Fiscal Year. </w:t>
      </w:r>
    </w:p>
    <w:p>
      <w:pPr>
        <w:pStyle w:val="TextBody"/>
        <w:bidi w:val="0"/>
        <w:spacing w:before="240" w:after="0"/>
        <w:jc w:val="left"/>
        <w:rPr>
          <w:rFonts w:ascii="Times New Roman" w:hAnsi="Times New Roman"/>
          <w:sz w:val="20"/>
        </w:rPr>
      </w:pPr>
      <w:r>
        <w:rPr>
          <w:rFonts w:ascii="Times New Roman" w:hAnsi="Times New Roman"/>
          <w:sz w:val="20"/>
        </w:rPr>
        <w:t xml:space="preserve">(d) The Issuer shall promptly notify the Trustee, in writing, the first time the Notes are rated Investment Grade Rating;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deliver such notice shall in no event be deemed a Default or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Repurchase at the Option of Holders upon Change of Control Repurchase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occurrence of a Change of Control Repurchase Event, each Holder of Notes shall have the right to require the Issuer to repurchase all or any part (equal to 100,000 or an integral multiple of 1,000 in excess thereof) of such Holders Notes pursuant to the offer described below (the </w:t>
      </w:r>
      <w:r>
        <w:rPr>
          <w:rFonts w:ascii="Times New Roman" w:hAnsi="Times New Roman"/>
          <w:sz w:val="20"/>
          <w:u w:val="single"/>
        </w:rPr>
        <w:t>Change of Control Offer</w:t>
      </w:r>
      <w:r>
        <w:rPr>
          <w:rFonts w:ascii="Times New Roman" w:hAnsi="Times New Roman"/>
          <w:sz w:val="20"/>
        </w:rPr>
        <w:t>) at an offer price in cash equal to 101% of such Holders aggregate principal amount of Notes, plus accrued and unpaid interest, if any, thereon to the date of purchase (the </w:t>
      </w:r>
      <w:r>
        <w:rPr>
          <w:rFonts w:ascii="Times New Roman" w:hAnsi="Times New Roman"/>
          <w:sz w:val="20"/>
          <w:u w:val="single"/>
        </w:rPr>
        <w:t>Change of Control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such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Times New Roman" w:hAnsi="Times New Roman"/>
          <w:sz w:val="20"/>
          <w:u w:val="single"/>
        </w:rPr>
        <w:t>Change of Control Payment Date</w:t>
      </w:r>
      <w:r>
        <w:rPr>
          <w:rFonts w:ascii="Times New Roman" w:hAnsi="Times New Roman"/>
          <w:sz w:val="20"/>
        </w:rPr>
        <w:t xml:space="preserve">) pursuant to the procedures required by this Indenture and described in such notice. Such obligation will not continue after a discharge of the Issuer or defeasance from its obligations with respect to the Notes. The notice to the Holders shall contain all instructions and materials necessary to enable such Holders to tender Notes pursuant to the Change of Control Offer. Such notice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that the Change of Control Offer is being made pursuant to this Section 4.08 and that all Notes validly tendered and not validly withdrawn will be accepted for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Change of Control Payment and the Change of Control Payment Date (which shall be no earlier than 30 days nor later than 60 days from the date such notice is sent, other than as may be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tendered will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Issuer defaults in making payment therefor, any Note accepted for payment pursuant to the Change of Control Offer shall cease to accrue interest after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 Note purchased pursuant to the Change of Control Offer will be required to surrender the Note, with the form entitled Option of Holder to Elect Purchase on the reverse of such Note completed, to the Paying Agent and Registrar for such Note at the address specified in the notice prior to the close of business on the Business Day prior to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whose Notes are purchased only in part will be issued new Notes in a principal amount equal to the unpurchased portion of the Notes surrendered;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Note purchased and each new Note issued shall be in a principal amount of 100,000 or integral multiples of 1,000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(8) the circumstances and relevant facts regarding such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(c) On the Change of Control Payment Date, the Issuer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thereof (in minimum amounts of 100,000 or an integral multiple of 1,000 in excess thereof) validly tendered and not validly withdrawn pursuant to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deposit with the Paying Agent an amount in Euros equal to the Change of Control Payment in respect of all Notes or portions thereof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all Notes so accepted together with an Officers Certificate stating the aggregate principal amount of Notes (or portions thereof) being purchased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Upon receipt by the Paying Agent of the monies specified in clause (2) above and the Officers Certificate specified in clause (3) above, such Paying Agent shall promptly mail or deliver through Euroclear or Clearstream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 Notes surrendered, if any; </w:t>
      </w:r>
      <w:r>
        <w:rPr>
          <w:rFonts w:ascii="Times New Roman" w:hAnsi="Times New Roman"/>
          <w:i/>
          <w:sz w:val="20"/>
        </w:rPr>
        <w:t>provided</w:t>
      </w:r>
      <w:r>
        <w:rPr>
          <w:rFonts w:ascii="Times New Roman" w:hAnsi="Times New Roman"/>
          <w:sz w:val="20"/>
        </w:rPr>
        <w:t xml:space="preserve"> that each such new Note shall be in a principal amount of 100,000 or an integral multiple of 1,000 in excess thereof. The Issuer shall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Upon the payment of the Change of Control Payment, the Trustee shall, subject to the provisions of Section 2.16, return the Notes purchased to the Issuer for cancellation. The Trustee may act as the Paying Agent for purposes of any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(e) 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 </w:t>
      </w:r>
    </w:p>
    <w:p>
      <w:pPr>
        <w:pStyle w:val="TextBody"/>
        <w:bidi w:val="0"/>
        <w:spacing w:before="240" w:after="0"/>
        <w:jc w:val="left"/>
        <w:rPr>
          <w:rFonts w:ascii="Times New Roman" w:hAnsi="Times New Roman"/>
          <w:sz w:val="20"/>
        </w:rPr>
      </w:pPr>
      <w:r>
        <w:rPr>
          <w:rFonts w:ascii="Times New Roman" w:hAnsi="Times New Roman"/>
          <w:sz w:val="20"/>
        </w:rPr>
        <w:t xml:space="preserve">(f) 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and for so long as the Notes are listed on the Official List of the Luxembourg Stock Exchange and admitted for trading on the Euro MTF Market, the Issuer will publish notices relating to the Change of Control Offer in accordance with the rules of the Euro MTF Market. </w:t>
      </w:r>
    </w:p>
    <w:p>
      <w:pPr>
        <w:pStyle w:val="TextBody"/>
        <w:bidi w:val="0"/>
        <w:spacing w:before="240" w:after="0"/>
        <w:jc w:val="left"/>
        <w:rPr>
          <w:rFonts w:ascii="Times New Roman" w:hAnsi="Times New Roman"/>
          <w:sz w:val="20"/>
        </w:rPr>
      </w:pPr>
      <w:r>
        <w:rPr>
          <w:rFonts w:ascii="Times New Roman" w:hAnsi="Times New Roman"/>
          <w:sz w:val="20"/>
        </w:rPr>
        <w:t xml:space="preserve">SECTION 4.09.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4.10.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 </w:t>
      </w:r>
    </w:p>
    <w:p>
      <w:pPr>
        <w:pStyle w:val="TextBody"/>
        <w:bidi w:val="0"/>
        <w:spacing w:before="240" w:after="0"/>
        <w:jc w:val="left"/>
        <w:rPr>
          <w:rFonts w:ascii="Times New Roman" w:hAnsi="Times New Roman"/>
          <w:sz w:val="20"/>
        </w:rPr>
      </w:pPr>
      <w:r>
        <w:rPr>
          <w:rFonts w:ascii="Times New Roman" w:hAnsi="Times New Roman"/>
          <w:sz w:val="20"/>
        </w:rPr>
        <w:t xml:space="preserve">SECTION 4.12.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4.13.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4.14.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Limitation on Sale and Leaseback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hAnsi="Times New Roman"/>
          <w:sz w:val="20"/>
          <w:u w:val="single"/>
        </w:rPr>
        <w:t>Sale and Leaseback Transaction</w:t>
      </w:r>
      <w:r>
        <w:rPr>
          <w:rFonts w:ascii="Times New Roman" w:hAnsi="Times New Roman"/>
          <w:sz w:val="20"/>
        </w:rPr>
        <w:t xml:space="preserve">),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the following Sale and Leaseback Transactions are not subject to the limitation above and the provisions described in Section 4.11: </w:t>
      </w:r>
    </w:p>
    <w:p>
      <w:pPr>
        <w:pStyle w:val="TextBody"/>
        <w:bidi w:val="0"/>
        <w:spacing w:before="120" w:after="0"/>
        <w:jc w:val="left"/>
        <w:rPr>
          <w:rFonts w:ascii="Times New Roman" w:hAnsi="Times New Roman"/>
          <w:sz w:val="20"/>
        </w:rPr>
      </w:pPr>
      <w:r>
        <w:rPr>
          <w:rFonts w:ascii="Times New Roman" w:hAnsi="Times New Roman"/>
          <w:sz w:val="20"/>
        </w:rPr>
        <w:t xml:space="preserve">(i) temporary leases for a term, including renewals at the option of the lessee, of not more than three years; </w:t>
      </w:r>
    </w:p>
    <w:p>
      <w:pPr>
        <w:pStyle w:val="TextBody"/>
        <w:bidi w:val="0"/>
        <w:spacing w:before="120" w:after="0"/>
        <w:jc w:val="left"/>
        <w:rPr>
          <w:rFonts w:ascii="Times New Roman" w:hAnsi="Times New Roman"/>
          <w:sz w:val="20"/>
        </w:rPr>
      </w:pPr>
      <w:r>
        <w:rPr>
          <w:rFonts w:ascii="Times New Roman" w:hAnsi="Times New Roman"/>
          <w:sz w:val="20"/>
        </w:rPr>
        <w:t xml:space="preserve">(ii) leases between only Parent and a Restricted Subsidiary of Parent or only between Restricted Subsidiaries of Parent; </w:t>
      </w:r>
    </w:p>
    <w:p>
      <w:pPr>
        <w:pStyle w:val="TextBody"/>
        <w:bidi w:val="0"/>
        <w:spacing w:before="120" w:after="0"/>
        <w:jc w:val="left"/>
        <w:rPr>
          <w:rFonts w:ascii="Times New Roman" w:hAnsi="Times New Roman"/>
          <w:sz w:val="20"/>
        </w:rPr>
      </w:pPr>
      <w:r>
        <w:rPr>
          <w:rFonts w:ascii="Times New Roman" w:hAnsi="Times New Roman"/>
          <w:sz w:val="20"/>
        </w:rPr>
        <w:t xml:space="preserve">(iii) 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hAnsi="Times New Roman"/>
          <w:i/>
          <w:sz w:val="20"/>
        </w:rPr>
        <w:t>provided</w:t>
      </w:r>
      <w:r>
        <w:rPr>
          <w:rFonts w:ascii="Times New Roman" w:hAnsi="Times New Roman"/>
          <w:sz w:val="20"/>
        </w:rPr>
        <w:t xml:space="preserve"> that in lieu of applying such amount to the retirement of long-term Indebtedness, Parent may deliver Notes to the trustee for cancellation; and </w:t>
      </w:r>
    </w:p>
    <w:p>
      <w:pPr>
        <w:pStyle w:val="TextBody"/>
        <w:bidi w:val="0"/>
        <w:spacing w:before="120" w:after="0"/>
        <w:jc w:val="left"/>
        <w:rPr>
          <w:rFonts w:ascii="Times New Roman" w:hAnsi="Times New Roman"/>
          <w:sz w:val="20"/>
        </w:rPr>
      </w:pPr>
      <w:r>
        <w:rPr>
          <w:rFonts w:ascii="Times New Roman" w:hAnsi="Times New Roman"/>
          <w:sz w:val="20"/>
        </w:rPr>
        <w:t xml:space="preserve">(iv) leases of property executed by the time of, or within 360 days after the latest of, the acquisition, the completion of construction, development, expansion or improvement, or the commencement of commercial operation, of the subject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Reports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required by the rules and regulations of the Commission, so long as any Notes are outstanding hereunder, the Issuer shall furnish to the Trustee and Holders thereof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 </w:t>
      </w:r>
    </w:p>
    <w:p>
      <w:pPr>
        <w:pStyle w:val="TextBody"/>
        <w:bidi w:val="0"/>
        <w:spacing w:before="120" w:after="0"/>
        <w:jc w:val="left"/>
        <w:rPr>
          <w:rFonts w:ascii="Times New Roman" w:hAnsi="Times New Roman"/>
          <w:sz w:val="20"/>
        </w:rPr>
      </w:pPr>
      <w:r>
        <w:rPr>
          <w:rFonts w:ascii="Times New Roman" w:hAnsi="Times New Roman"/>
          <w:sz w:val="20"/>
        </w:rPr>
        <w:t xml:space="preserve">(2) all current reports that would be required to be filed with the Commission on Form 8-K if Parent were required to file such reports, </w:t>
      </w:r>
    </w:p>
    <w:p>
      <w:pPr>
        <w:pStyle w:val="TextBody"/>
        <w:bidi w:val="0"/>
        <w:spacing w:before="240" w:after="0"/>
        <w:jc w:val="left"/>
        <w:rPr>
          <w:rFonts w:ascii="Times New Roman" w:hAnsi="Times New Roman"/>
          <w:sz w:val="20"/>
        </w:rPr>
      </w:pPr>
      <w:r>
        <w:rPr>
          <w:rFonts w:ascii="Times New Roman" w:hAnsi="Times New Roman"/>
          <w:sz w:val="20"/>
        </w:rPr>
        <w:t xml:space="preserve">in each case, within the time periods specified in the Commissions rules and regulations. The Issuer may satisfy its obligation to deliver the information and reports referred to in clauses (1) and (2) above by filing the same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 </w:t>
      </w:r>
    </w:p>
    <w:p>
      <w:pPr>
        <w:pStyle w:val="TextBody"/>
        <w:bidi w:val="0"/>
        <w:spacing w:before="240" w:after="0"/>
        <w:jc w:val="left"/>
        <w:rPr>
          <w:rFonts w:ascii="Times New Roman" w:hAnsi="Times New Roman"/>
          <w:sz w:val="20"/>
        </w:rPr>
      </w:pPr>
      <w:r>
        <w:rPr>
          <w:rFonts w:ascii="Times New Roman" w:hAnsi="Times New Roman"/>
          <w:sz w:val="20"/>
        </w:rPr>
        <w:t xml:space="preserve">(c) The Issuer will also make available copies of all reports required by clauses (1) and (2) of the first paragraph of this covenant, if and so long as the Notes are listed on the Official List of the Luxembourg Stock Exchange and admitted for trading on the Euro MTF Market and the rules of the exchange so require, at the offices of the listing agent in Luxembourg or, to the extent and in the manner permitted by such rules, post such reports on the official website of the Issuer (www.crowncork.com). </w:t>
      </w:r>
    </w:p>
    <w:p>
      <w:pPr>
        <w:pStyle w:val="TextBody"/>
        <w:bidi w:val="0"/>
        <w:spacing w:before="240" w:after="0"/>
        <w:jc w:val="left"/>
        <w:rPr>
          <w:rFonts w:ascii="Times New Roman" w:hAnsi="Times New Roman"/>
          <w:sz w:val="20"/>
        </w:rPr>
      </w:pPr>
      <w:r>
        <w:rPr>
          <w:rFonts w:ascii="Times New Roman" w:hAnsi="Times New Roman"/>
          <w:sz w:val="20"/>
        </w:rPr>
        <w:t xml:space="preserve">(d) 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Additional Note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not create, acquire or suffer to exist, and shall not permit any of its Restricted Subsidiaries to create, acquire or suffer to exist, any Subsidiary other than a Restricted Subsidiary existing as of the Issue Date or that is acquired or created after the Issue Date; </w:t>
      </w:r>
      <w:r>
        <w:rPr>
          <w:rFonts w:ascii="Times New Roman" w:hAnsi="Times New Roman"/>
          <w:i/>
          <w:sz w:val="20"/>
        </w:rPr>
        <w:t>provided, however</w:t>
      </w:r>
      <w:r>
        <w:rPr>
          <w:rFonts w:ascii="Times New Roman" w:hAnsi="Times New Roman"/>
          <w:sz w:val="20"/>
        </w:rPr>
        <w:t xml:space="preserve">, that each </w:t>
      </w:r>
    </w:p>
    <w:p>
      <w:pPr>
        <w:pStyle w:val="TextBody"/>
        <w:bidi w:val="0"/>
        <w:spacing w:before="120" w:after="0"/>
        <w:jc w:val="left"/>
        <w:rPr>
          <w:rFonts w:ascii="Times New Roman" w:hAnsi="Times New Roman"/>
          <w:sz w:val="20"/>
        </w:rPr>
      </w:pPr>
      <w:r>
        <w:rPr>
          <w:rFonts w:ascii="Times New Roman" w:hAnsi="Times New Roman"/>
          <w:sz w:val="20"/>
        </w:rPr>
        <w:t xml:space="preserve">(A) Domestic Subsidiary and each other Subsidiary of the Parent organized in Canada, Germany, the United Kingdom, France, Luxembourg, Mexico, the Netherlands or Switzerland that from time to time is an obligor under the Existing Credit Facility or directly or indirectly (by way of the pledge of any intercompany note or otherwise) Guarantees or in any other manner becomes liable with respect to any Indebtedness of the Issuer, Parent or any other Guarantor (including, without limitation, the Existing Credit Facility), and </w:t>
      </w:r>
    </w:p>
    <w:p>
      <w:pPr>
        <w:pStyle w:val="TextBody"/>
        <w:bidi w:val="0"/>
        <w:spacing w:before="120" w:after="0"/>
        <w:jc w:val="left"/>
        <w:rPr>
          <w:rFonts w:ascii="Times New Roman" w:hAnsi="Times New Roman"/>
          <w:sz w:val="20"/>
        </w:rPr>
      </w:pPr>
      <w:r>
        <w:rPr>
          <w:rFonts w:ascii="Times New Roman" w:hAnsi="Times New Roman"/>
          <w:sz w:val="20"/>
        </w:rPr>
        <w:t xml:space="preserve">(B) Restricted Subsidiary of the Issuer that directly or indirectly (by way of the pledge of any intercompany note or otherwise) Guarantees or in any other manner becomes liable with respect to any Indebtedness of the Issuer, Parent or any other Guarantor (including, without limitation, Indebtedness under the Existing Credit Facility) or is otherwise an obligor under the Existing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Restricted Subsidiary will become a Guarantor (unless, in each case, the incurrence of such Note Guarantee is prohibited under the laws of its jurisdiction of incorporation (as evidenced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(b) A Note Guarantee of any Guarantor shall be subject to release and discharge as provided under Article Ten. </w:t>
      </w:r>
    </w:p>
    <w:p>
      <w:pPr>
        <w:pStyle w:val="TextBody"/>
        <w:bidi w:val="0"/>
        <w:spacing w:before="240" w:after="0"/>
        <w:jc w:val="left"/>
        <w:rPr>
          <w:rFonts w:ascii="Times New Roman" w:hAnsi="Times New Roman"/>
          <w:sz w:val="20"/>
        </w:rPr>
      </w:pPr>
      <w:r>
        <w:rPr>
          <w:rFonts w:ascii="Times New Roman" w:hAnsi="Times New Roman"/>
          <w:sz w:val="20"/>
        </w:rPr>
        <w:t xml:space="preserve">SECTION 4.18.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Maintenance of Listing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use its commercially reasonable efforts to maintain the listing of the Notes on the Official List of the Luxembourg Stock Exchange for so long as such Notes are outstanding; </w:t>
      </w:r>
      <w:r>
        <w:rPr>
          <w:rFonts w:ascii="Times New Roman" w:hAnsi="Times New Roman"/>
          <w:i/>
          <w:sz w:val="20"/>
        </w:rPr>
        <w:t>provided</w:t>
      </w:r>
      <w:r>
        <w:rPr>
          <w:rFonts w:ascii="Times New Roman" w:hAnsi="Times New Roman"/>
          <w:sz w:val="20"/>
        </w:rPr>
        <w:t xml:space="preserve"> that if at any time the Issuer determines that it will not maintain such listing, it will obtain, prior to the delisting of the Notes from the Official List of the Luxembourg Stock Exchange, and thereafter use its commercially reasonable efforts to maintain, a listing of such Notes on another recognized stock exchange or exchange regulated market in western Europe.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Notes are listed on the Official List of the Luxembourg Stock Exchange and admitted to trading on the Euro MTF Market and the rules of such exchange so require, notices to be given to Holders shall be made in accordance with the rules of the Euro MTF Market or, to the extent and in the manner permitted by such rules, posted on the official website of the Luxembourg Stock Exchange (www.luxse.com).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Payment of Additional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payments made by or on behalf of the Issuer under or with respect to a Note, or a Guarantor under or with respect to a Note Guarantee, shall be made free and clear of and without withholding or deduction for or on account of any present or future tax, duty, levy, impost, assessment or other governmental charge (including penalties, interest and other liabilities related thereto) (hereinafter, </w:t>
      </w:r>
      <w:r>
        <w:rPr>
          <w:rFonts w:ascii="Times New Roman" w:hAnsi="Times New Roman"/>
          <w:sz w:val="20"/>
          <w:u w:val="single"/>
        </w:rPr>
        <w:t>Taxes</w:t>
      </w:r>
      <w:r>
        <w:rPr>
          <w:rFonts w:ascii="Times New Roman" w:hAnsi="Times New Roman"/>
          <w:sz w:val="20"/>
        </w:rPr>
        <w:t xml:space="preserve">) unless the Issuer or such Guarantor is required to withhold or deduct any such Taxes by law, including by the official interpretation or administration thereof by a relevant taxing authority. If any Taxes imposed or levied by or on behalf of the government of France or any other jurisdiction in which the Issuer or any Guarantor (or any successor Person) is organized or is a resident or does business for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purposes or within or through which payment is made or any political subdivision or taxing authority or agency thereof or therein (any of the aforementioned being a </w:t>
      </w:r>
      <w:r>
        <w:rPr>
          <w:rFonts w:ascii="Times New Roman" w:hAnsi="Times New Roman"/>
          <w:sz w:val="20"/>
          <w:u w:val="single"/>
        </w:rPr>
        <w:t>Taxing Jurisdiction</w:t>
      </w:r>
      <w:r>
        <w:rPr>
          <w:rFonts w:ascii="Times New Roman" w:hAnsi="Times New Roman"/>
          <w:sz w:val="20"/>
        </w:rPr>
        <w:t>), will at any time be required to be withheld or deducted from any payment made under or with respect to a Note or a Note Guarantee, or if a Holder actually pays any such Taxes where the Issuer or Guarantor or applicable withholding agent has failed to withhold or deduct Taxes required to be withheld or deducted from any payment made under or with respect to a Note or a Note Guarantee, the Issuer or the relevant Guarantor, as applicable, shall, pay such additional amounts (</w:t>
      </w:r>
      <w:r>
        <w:rPr>
          <w:rFonts w:ascii="Times New Roman" w:hAnsi="Times New Roman"/>
          <w:sz w:val="20"/>
          <w:u w:val="single"/>
        </w:rPr>
        <w:t>Additional Amounts</w:t>
      </w:r>
      <w:r>
        <w:rPr>
          <w:rFonts w:ascii="Times New Roman" w:hAnsi="Times New Roman"/>
          <w:sz w:val="20"/>
        </w:rPr>
        <w:t xml:space="preserve">) as may be necessary so that the net amount received by the holder of such Note (including Additional Amounts) after such withholding or deduction by the applicable withholding agent of such Taxes (including any such Taxes on such Additional Amounts) shall not be less than the amount such holder would have received if such Taxes had not been required to be withheld or deducted;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Additional Amounts will not be paid: </w:t>
      </w:r>
    </w:p>
    <w:p>
      <w:pPr>
        <w:pStyle w:val="TextBody"/>
        <w:bidi w:val="0"/>
        <w:spacing w:before="120" w:after="0"/>
        <w:jc w:val="left"/>
        <w:rPr>
          <w:rFonts w:ascii="Times New Roman" w:hAnsi="Times New Roman"/>
          <w:sz w:val="20"/>
        </w:rPr>
      </w:pPr>
      <w:r>
        <w:rPr>
          <w:rFonts w:ascii="Times New Roman" w:hAnsi="Times New Roman"/>
          <w:sz w:val="20"/>
        </w:rPr>
        <w:t xml:space="preserve">(1) to the extent the Taxes giving rise to such Additional Amounts would not have been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(other than the receipt of such payment or the acquisition, ownership, holding or disposition of, or the execution, delivery, registration or enforcement of, such Note or Note Guarantee); </w:t>
      </w:r>
    </w:p>
    <w:p>
      <w:pPr>
        <w:pStyle w:val="TextBody"/>
        <w:bidi w:val="0"/>
        <w:spacing w:before="120" w:after="0"/>
        <w:jc w:val="left"/>
        <w:rPr>
          <w:rFonts w:ascii="Times New Roman" w:hAnsi="Times New Roman"/>
          <w:sz w:val="20"/>
        </w:rPr>
      </w:pPr>
      <w:r>
        <w:rPr>
          <w:rFonts w:ascii="Times New Roman" w:hAnsi="Times New Roman"/>
          <w:sz w:val="20"/>
        </w:rPr>
        <w:t xml:space="preserve">(2) subject to subsection (e) of this Section 4.20, with respect to any estate, inheritance, gift, sales, transfer or similar tax; </w:t>
      </w:r>
    </w:p>
    <w:p>
      <w:pPr>
        <w:pStyle w:val="TextBody"/>
        <w:bidi w:val="0"/>
        <w:spacing w:before="120" w:after="0"/>
        <w:jc w:val="left"/>
        <w:rPr>
          <w:rFonts w:ascii="Times New Roman" w:hAnsi="Times New Roman"/>
          <w:sz w:val="20"/>
        </w:rPr>
      </w:pPr>
      <w:r>
        <w:rPr>
          <w:rFonts w:ascii="Times New Roman" w:hAnsi="Times New Roman"/>
          <w:sz w:val="20"/>
        </w:rPr>
        <w:t xml:space="preserve">(3) subject to subsection (e) of this Section 4.20, with respect to any Taxes payable otherwise than by deduction or withholding from payments under or with respect to such Note; </w:t>
      </w:r>
    </w:p>
    <w:p>
      <w:pPr>
        <w:pStyle w:val="TextBody"/>
        <w:bidi w:val="0"/>
        <w:spacing w:before="120" w:after="0"/>
        <w:jc w:val="left"/>
        <w:rPr>
          <w:rFonts w:ascii="Times New Roman" w:hAnsi="Times New Roman"/>
          <w:sz w:val="20"/>
        </w:rPr>
      </w:pPr>
      <w:r>
        <w:rPr>
          <w:rFonts w:ascii="Times New Roman" w:hAnsi="Times New Roman"/>
          <w:sz w:val="20"/>
        </w:rPr>
        <w:t>(4) to the extent such Taxes would not have been imposed, deducted or withheld if the Holder or beneficial owner of the Note or beneficial owner of any payment on such Note had (i) made a declaration of non-residence, or any other claim or filing for exemption, to which it is entitled or (ii) complied with (to the extent legally eligible to do so)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Times New Roman" w:hAnsi="Times New Roman"/>
          <w:i/>
          <w:sz w:val="20"/>
        </w:rPr>
        <w:t>provided</w:t>
      </w:r>
      <w:r>
        <w:rPr>
          <w:rFonts w:ascii="Times New Roman" w:hAnsi="Times New Roman"/>
          <w:sz w:val="20"/>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at least 30 days prior to the first payment date with respect to which such declaration of nonresidence or other claim or filing for exemption or such compliance is required under the applicable law of the Taxing Jurisdiction, the relevant Holder at that time has been notified in writing by the Issuer, any Guarantor or any other Person through whom payment may be made that a declaration of non-residence or other claim or filing for exemption or such compliance is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(5) to the extent such Taxes would not have been imposed, deducted or withheld if the Note had been presented for payment (where presentation is required)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 </w:t>
      </w:r>
    </w:p>
    <w:p>
      <w:pPr>
        <w:pStyle w:val="TextBody"/>
        <w:bidi w:val="0"/>
        <w:spacing w:before="120" w:after="0"/>
        <w:jc w:val="left"/>
        <w:rPr>
          <w:rFonts w:ascii="Times New Roman" w:hAnsi="Times New Roman"/>
          <w:sz w:val="20"/>
        </w:rPr>
      </w:pPr>
      <w:r>
        <w:rPr>
          <w:rFonts w:ascii="Times New Roman" w:hAnsi="Times New Roman"/>
          <w:sz w:val="20"/>
        </w:rPr>
        <w:t xml:space="preserve">(6) with respect to any payment under or with respect to a Note to any Holder that is a fiduciary or partnership or any person other than the sole beneficial owner of such payment or Note, to the extent that a beneficiary or settlor with respect to such fiduciary, a member of such a partnership or the beneficial owner of such payment or Note would not have been entitled to the Additional Amounts had such beneficiary, settlor, member or beneficial owner been the actual Holder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(7) to the extent such Taxes are imposed or withheld pursuant to Section 1471 through 1474 of the Internal Revenue Code, as of the Issue Date (or any amended or successor version of such sections that are substantively comparable and not materially more onerous to comply with), any regulations promulgated thereunder, any official interpretations thereof, any similar law or regulation adopted pursuant to an intergovernmental agreement between a non-U.S. jurisdiction and the United States implementing the foregoing or any agreements entered into pursuant to Section 1471(b)(1) of the Code as of the Issue Date (or any amended or successor version described above); and </w:t>
      </w:r>
    </w:p>
    <w:p>
      <w:pPr>
        <w:pStyle w:val="TextBody"/>
        <w:bidi w:val="0"/>
        <w:spacing w:before="120" w:after="0"/>
        <w:jc w:val="left"/>
        <w:rPr>
          <w:rFonts w:ascii="Times New Roman" w:hAnsi="Times New Roman"/>
          <w:sz w:val="20"/>
        </w:rPr>
      </w:pPr>
      <w:r>
        <w:rPr>
          <w:rFonts w:ascii="Times New Roman" w:hAnsi="Times New Roman"/>
          <w:sz w:val="20"/>
        </w:rPr>
        <w:t xml:space="preserve">(8) any combination of items (1) through (7) above.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shall survive any termination or discharge of this Indenture and shall apply </w:t>
      </w:r>
      <w:r>
        <w:rPr>
          <w:rFonts w:ascii="Times New Roman" w:hAnsi="Times New Roman"/>
          <w:i/>
          <w:sz w:val="20"/>
        </w:rPr>
        <w:t xml:space="preserve">mutatis mutandis </w:t>
      </w:r>
      <w:r>
        <w:rPr>
          <w:rFonts w:ascii="Times New Roman" w:hAnsi="Times New Roman"/>
          <w:sz w:val="20"/>
        </w:rPr>
        <w:t xml:space="preserve">to any Taxing Jurisdiction with respect to any successor Person to the Issuer or a Guarantor. </w:t>
      </w:r>
    </w:p>
    <w:p>
      <w:pPr>
        <w:pStyle w:val="TextBody"/>
        <w:bidi w:val="0"/>
        <w:spacing w:before="240" w:after="0"/>
        <w:jc w:val="left"/>
        <w:rPr>
          <w:rFonts w:ascii="Times New Roman" w:hAnsi="Times New Roman"/>
          <w:sz w:val="20"/>
        </w:rPr>
      </w:pPr>
      <w:r>
        <w:rPr>
          <w:rFonts w:ascii="Times New Roman" w:hAnsi="Times New Roman"/>
          <w:sz w:val="20"/>
        </w:rPr>
        <w:t xml:space="preserve">(b) The Issuer or the applicable Guarantor, if it is the applicable withholding agent, will make any applicable withholding or deduction required by law and remit the full amount deducted or withheld to the relevant authority in accordance with applicable law. The Issuer or the applicable Guarantor will furnish to the Trustee, within 30 days after the date the payment of any Taxes deducted or withheld is due pursuant to applicable law, certified copies of tax receipts or, if such tax receipts are not reasonably available to the Issuer or such Guarantor, such other documentation that provides reasonable evidence of such payment by the Issuer or such Guarantor. Copies of such receipts or other documentation will be made available to the Holders or the Paying Agent, as applicable,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least 30 days prior to each date on which any payment under or with respect to any Notes is due and payable, if the Issuer or any Guarantor will be obligated to pay Additional Amounts with respect to such payment, the Issuer or such Guarantor will deliver to the Trustee and the Paying Agent an Officers Certificate stating the fact that such Additional Amounts will be payable and the amounts so payable and will set forth such other information necessary to enable such Trustee and Paying Agents to pay such Additional Amounts to Holders of such Notes on the payment date. Notwithstanding the foregoing, if the obligation to pay Additional Amounts arises after the 30th day prior to any such date, the Issuer or the applicable Guarantor will deliver to the Trustee and the Paying Agent an Officers Certificate as described in the preceding sentence and will pay such Additional Amounts promptly after such obligation arises. The Trustee and the Paying Agent shall be entitled but shall not be obligated to rely on each Officers Certificate until receipt of a further Officers Certificate addressing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Whenever in this Indenture or the Notes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the foregoing, the Issuer and the Guarantors will pay any present or future stamp, court or documentary Taxes or any other excise, property or similar Taxes that arise in any Taxing Jurisdiction from the execution, issue, delivery, enforcement or registration of the Notes, the Indenture, any Guarantee or any other document or instrument in relation thereto, and the Issuer and the Guarantors will indemnify the Holders of the Notes for any such Taxes paid by such Holders. </w:t>
      </w:r>
    </w:p>
    <w:p>
      <w:pPr>
        <w:pStyle w:val="TextBody"/>
        <w:bidi w:val="0"/>
        <w:spacing w:before="480" w:after="0"/>
        <w:jc w:val="center"/>
        <w:rPr>
          <w:rFonts w:ascii="Times New Roman" w:hAnsi="Times New Roman"/>
          <w:sz w:val="20"/>
        </w:rPr>
      </w:pPr>
      <w:r>
        <w:rPr>
          <w:rFonts w:ascii="Times New Roman" w:hAnsi="Times New Roman"/>
          <w:sz w:val="20"/>
        </w:rPr>
        <w:t xml:space="preserve">ARTICLE FIVE </w:t>
      </w:r>
    </w:p>
    <w:p>
      <w:pPr>
        <w:pStyle w:val="TextBody"/>
        <w:bidi w:val="0"/>
        <w:spacing w:before="120" w:after="0"/>
        <w:jc w:val="center"/>
        <w:rPr>
          <w:rFonts w:ascii="Times New Roman" w:hAnsi="Times New Roman"/>
          <w:sz w:val="20"/>
        </w:rPr>
      </w:pPr>
      <w:r>
        <w:rPr>
          <w:rFonts w:ascii="Times New Roman" w:hAnsi="Times New Roman"/>
          <w:sz w:val="20"/>
        </w:rPr>
        <w:t xml:space="preserve">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Consolidation, Merger and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 substantially all of the properties or assets of Parent and its Subsidiaries, taken as a whole, in each case, to another Person unless: </w:t>
      </w:r>
    </w:p>
    <w:p>
      <w:pPr>
        <w:pStyle w:val="TextBody"/>
        <w:bidi w:val="0"/>
        <w:spacing w:before="120" w:after="0"/>
        <w:jc w:val="left"/>
        <w:rPr>
          <w:rFonts w:ascii="Times New Roman" w:hAnsi="Times New Roman"/>
          <w:sz w:val="20"/>
        </w:rPr>
      </w:pPr>
      <w:r>
        <w:rPr>
          <w:rFonts w:ascii="Times New Roman" w:hAnsi="Times New Roman"/>
          <w:sz w:val="20"/>
        </w:rPr>
        <w:t xml:space="preserve">(1) (A)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Kingdom, the United States, any State thereof or the District of Columbia,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a merger, consolidation or Transfer involving the Issuer, the Issuer is the surviving Person or the Person formed by or surviving any such consolidation or merger (if other than the Issuer) or to which such Transfer has been made is a corporation organized or existing under the laws of a member state of the European Union (as it existed on December 31, 2003), Switzerland, the United Kingdom, the United States, any State thereof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the Person formed by or surviving any such consolidation or merger (if other than Parent or the Issuer, as the case may be) or the Person to which such Transfer has been made assumes all the obligations of Parent, the Issuer or such Subsidiary under the Notes, the Note Guarantees and this Indenture pursuant to a supplemental indenture or amendment of the relevant documents; and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Default or Event of Default exists.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none of the following shall be permitted: </w:t>
      </w:r>
    </w:p>
    <w:p>
      <w:pPr>
        <w:pStyle w:val="TextBody"/>
        <w:bidi w:val="0"/>
        <w:spacing w:before="120" w:after="0"/>
        <w:jc w:val="left"/>
        <w:rPr>
          <w:rFonts w:ascii="Times New Roman" w:hAnsi="Times New Roman"/>
          <w:sz w:val="20"/>
        </w:rPr>
      </w:pPr>
      <w:r>
        <w:rPr>
          <w:rFonts w:ascii="Times New Roman" w:hAnsi="Times New Roman"/>
          <w:sz w:val="20"/>
        </w:rPr>
        <w:t xml:space="preserve">(1) the consolidation or merger of Parent with or into or the Transfer of all or substantially all of the property or assets of Parent and its Subsidiaries, taken as a whole, to Crown, other than any such merger or consolidation or Transfer to a Subsidiary of Crown; </w:t>
      </w:r>
    </w:p>
    <w:p>
      <w:pPr>
        <w:pStyle w:val="TextBody"/>
        <w:bidi w:val="0"/>
        <w:spacing w:before="120" w:after="0"/>
        <w:jc w:val="left"/>
        <w:rPr>
          <w:rFonts w:ascii="Times New Roman" w:hAnsi="Times New Roman"/>
          <w:sz w:val="20"/>
        </w:rPr>
      </w:pPr>
      <w:r>
        <w:rPr>
          <w:rFonts w:ascii="Times New Roman" w:hAnsi="Times New Roman"/>
          <w:sz w:val="20"/>
        </w:rPr>
        <w:t xml:space="preserve">(2) the Transfer of all or substantially all of the property or assets of Crown and its Subsidiaries, taken as a whole, to Crown, other than any Transfer to a Subsidiary of Crown; and </w:t>
      </w:r>
    </w:p>
    <w:p>
      <w:pPr>
        <w:pStyle w:val="TextBody"/>
        <w:bidi w:val="0"/>
        <w:spacing w:before="120" w:after="0"/>
        <w:jc w:val="left"/>
        <w:rPr>
          <w:rFonts w:ascii="Times New Roman" w:hAnsi="Times New Roman"/>
          <w:sz w:val="20"/>
        </w:rPr>
      </w:pPr>
      <w:r>
        <w:rPr>
          <w:rFonts w:ascii="Times New Roman" w:hAnsi="Times New Roman"/>
          <w:sz w:val="20"/>
        </w:rPr>
        <w:t xml:space="preserve">(3) the consolidation or merger of the Issuer with or into or the Transfer of all or substantially all of the property or assets of the Issuer and its Subsidiaries, taken as a whole, to Crown, other than any such consolidation or merger with or into or Transfer to a Subsidiary of Crown.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Section 5.01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a consolidation or merger between the Issuer and a Guarantor other than Crown; </w:t>
      </w:r>
    </w:p>
    <w:p>
      <w:pPr>
        <w:pStyle w:val="TextBody"/>
        <w:bidi w:val="0"/>
        <w:spacing w:before="120" w:after="0"/>
        <w:jc w:val="left"/>
        <w:rPr>
          <w:rFonts w:ascii="Times New Roman" w:hAnsi="Times New Roman"/>
          <w:sz w:val="20"/>
        </w:rPr>
      </w:pPr>
      <w:r>
        <w:rPr>
          <w:rFonts w:ascii="Times New Roman" w:hAnsi="Times New Roman"/>
          <w:sz w:val="20"/>
        </w:rPr>
        <w:t xml:space="preserve">(2) a consolidation or merger between a Guarantor and any other Guarantor other than Crown; </w:t>
      </w:r>
    </w:p>
    <w:p>
      <w:pPr>
        <w:pStyle w:val="TextBody"/>
        <w:bidi w:val="0"/>
        <w:spacing w:before="120" w:after="0"/>
        <w:jc w:val="left"/>
        <w:rPr>
          <w:rFonts w:ascii="Times New Roman" w:hAnsi="Times New Roman"/>
          <w:sz w:val="20"/>
        </w:rPr>
      </w:pPr>
      <w:r>
        <w:rPr>
          <w:rFonts w:ascii="Times New Roman" w:hAnsi="Times New Roman"/>
          <w:sz w:val="20"/>
        </w:rPr>
        <w:t xml:space="preserve">(3) a consolidation or merger between a Subsidiary (other than the Issuer) that is not a Guarantor and any other Subsidiary other than Crown; </w:t>
      </w:r>
    </w:p>
    <w:p>
      <w:pPr>
        <w:pStyle w:val="TextBody"/>
        <w:bidi w:val="0"/>
        <w:spacing w:before="120" w:after="0"/>
        <w:jc w:val="left"/>
        <w:rPr>
          <w:rFonts w:ascii="Times New Roman" w:hAnsi="Times New Roman"/>
          <w:sz w:val="20"/>
        </w:rPr>
      </w:pPr>
      <w:r>
        <w:rPr>
          <w:rFonts w:ascii="Times New Roman" w:hAnsi="Times New Roman"/>
          <w:sz w:val="20"/>
        </w:rPr>
        <w:t xml:space="preserve">(4) a consolidation or merger of Parent with or into an Affiliate for the purposes of reincorporating Parent in another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(5) the Transfer of all or substantially all of the properties or assets of a Guarantor to the Issuer and/or any other Guarantor other than Crown; or </w:t>
      </w:r>
    </w:p>
    <w:p>
      <w:pPr>
        <w:pStyle w:val="TextBody"/>
        <w:bidi w:val="0"/>
        <w:spacing w:before="120" w:after="0"/>
        <w:jc w:val="left"/>
        <w:rPr>
          <w:rFonts w:ascii="Times New Roman" w:hAnsi="Times New Roman"/>
          <w:sz w:val="20"/>
        </w:rPr>
      </w:pPr>
      <w:r>
        <w:rPr>
          <w:rFonts w:ascii="Times New Roman" w:hAnsi="Times New Roman"/>
          <w:sz w:val="20"/>
        </w:rPr>
        <w:t xml:space="preserve">(6) the Transfer of all or substantially all of the properties or assets of a Subsidiary (other than the Issuer) that is not a Guarantor to any other Subsidiary other than Crown;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in each case involving the Issuer or a Guarantor, if the Issuer or such Guarantor is not the surviving entity of such transaction or the Person to which such Transfer is made, the surviving entity or the Person to which such Transfer is made shall comply with subsection (a)(2) of this Section 5.01.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SIX </w:t>
      </w:r>
    </w:p>
    <w:p>
      <w:pPr>
        <w:pStyle w:val="TextBody"/>
        <w:bidi w:val="0"/>
        <w:spacing w:before="12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constitutes an </w:t>
      </w:r>
      <w:r>
        <w:rPr>
          <w:rFonts w:ascii="Times New Roman" w:hAnsi="Times New Roman"/>
          <w:sz w:val="20"/>
          <w:u w:val="single"/>
        </w:rPr>
        <w:t>Event of Default</w:t>
      </w:r>
      <w:r>
        <w:rPr>
          <w:rFonts w:ascii="Times New Roman" w:hAnsi="Times New Roman"/>
          <w:sz w:val="20"/>
        </w:rPr>
        <w:t xml:space="preserve">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(1) default for 30 days in the payment when due of interest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(2) default in payment when due of principal or premium, if any, on the Notes at maturity, upon redemption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failure by Parent or any Subsidiary for 30 days after receipt of notice from the Trustee or Holders of at least 25% in principal amount of Notes then outstanding under this Indenture to comply with any of the provisions under Section 4.08; </w:t>
      </w:r>
    </w:p>
    <w:p>
      <w:pPr>
        <w:pStyle w:val="TextBody"/>
        <w:bidi w:val="0"/>
        <w:spacing w:before="120" w:after="0"/>
        <w:jc w:val="left"/>
        <w:rPr>
          <w:rFonts w:ascii="Times New Roman" w:hAnsi="Times New Roman"/>
          <w:sz w:val="20"/>
        </w:rPr>
      </w:pPr>
      <w:r>
        <w:rPr>
          <w:rFonts w:ascii="Times New Roman" w:hAnsi="Times New Roman"/>
          <w:sz w:val="20"/>
        </w:rPr>
        <w:t xml:space="preserve">(4) failure by Parent or any Subsidiary of Parent for 60 days after receipt of notice from the Trustee or the Holders of at least 25% in principal amount of Notes then outstanding under this Indenture to comply with any covenant or agreement contained in this Indenture (other than the covenants and agreements specified in clauses (1) through (3) of this Section 6.01); </w:t>
      </w:r>
    </w:p>
    <w:p>
      <w:pPr>
        <w:pStyle w:val="TextBody"/>
        <w:bidi w:val="0"/>
        <w:spacing w:before="120" w:after="0"/>
        <w:jc w:val="left"/>
        <w:rPr>
          <w:rFonts w:ascii="Times New Roman" w:hAnsi="Times New Roman"/>
          <w:sz w:val="20"/>
        </w:rPr>
      </w:pPr>
      <w:r>
        <w:rPr>
          <w:rFonts w:ascii="Times New Roman" w:hAnsi="Times New Roman"/>
          <w:sz w:val="20"/>
        </w:rPr>
        <w:t>(5) 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Times New Roman" w:hAnsi="Times New Roman"/>
          <w:sz w:val="20"/>
          <w:u w:val="single"/>
        </w:rPr>
        <w:t>Payment Default</w:t>
      </w:r>
      <w:r>
        <w:rPr>
          <w:rFonts w:ascii="Times New Roman" w:hAnsi="Times New Roman"/>
          <w:sz w:val="20"/>
        </w:rPr>
        <w:t xml:space="preserve">)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 </w:t>
      </w:r>
    </w:p>
    <w:p>
      <w:pPr>
        <w:pStyle w:val="TextBody"/>
        <w:bidi w:val="0"/>
        <w:spacing w:before="120" w:after="0"/>
        <w:jc w:val="left"/>
        <w:rPr>
          <w:rFonts w:ascii="Times New Roman" w:hAnsi="Times New Roman"/>
          <w:sz w:val="20"/>
        </w:rPr>
      </w:pPr>
      <w:r>
        <w:rPr>
          <w:rFonts w:ascii="Times New Roman" w:hAnsi="Times New Roman"/>
          <w:sz w:val="20"/>
        </w:rPr>
        <w:t xml:space="preserve">(7) (A)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 continuance of any such decree or order for relief or any such other decree or order unstayed and in effect for a period of 60 consecutive days or (B) 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 </w:t>
      </w:r>
    </w:p>
    <w:p>
      <w:pPr>
        <w:pStyle w:val="TextBody"/>
        <w:bidi w:val="0"/>
        <w:spacing w:before="120" w:after="0"/>
        <w:jc w:val="left"/>
        <w:rPr>
          <w:rFonts w:ascii="Times New Roman" w:hAnsi="Times New Roman"/>
          <w:sz w:val="20"/>
        </w:rPr>
      </w:pPr>
      <w:r>
        <w:rPr>
          <w:rFonts w:ascii="Times New Roman" w:hAnsi="Times New Roman"/>
          <w:sz w:val="20"/>
        </w:rPr>
        <w:t xml:space="preserve">(8) 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Acceleration of Maturity; Rescission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under this Indenture, either the Trustee, by notice in writing to the Issuer, or the Holders of at least 25% in aggregate principal amount of the Notes then outstanding may, by notice in writing to the Issuer and the Trustee, specifying the respective Event of Default and that it is a notice of acceleration, declare the principal of and premium, if any, and accrued interest, if any, on the Notes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and payable, and upon such declaration of acceleration, such principal of and premium, if any, and accrued interest, if any, shall be immediately due and payable;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after such acceleration but before a judgment or decree based on such acceleration is obtained by the Trustee, the Holders of a majority in aggregate principal amount of outstanding Notes may rescind and annul such acceleration if: </w:t>
      </w:r>
    </w:p>
    <w:p>
      <w:pPr>
        <w:pStyle w:val="TextBody"/>
        <w:bidi w:val="0"/>
        <w:spacing w:before="120" w:after="0"/>
        <w:jc w:val="left"/>
        <w:rPr>
          <w:rFonts w:ascii="Times New Roman" w:hAnsi="Times New Roman"/>
          <w:sz w:val="20"/>
        </w:rPr>
      </w:pPr>
      <w:r>
        <w:rPr>
          <w:rFonts w:ascii="Times New Roman" w:hAnsi="Times New Roman"/>
          <w:sz w:val="20"/>
        </w:rPr>
        <w:t xml:space="preserve">(1) all Events of Default, other than nonpayment of principal, premium, if any, or interest that has become due solely because of the acceleration, have been cured or waived;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the payment of such interest is lawful, interest on overdue installments of interest and overdue principal, which has become due otherwise than by such declaration of acceleration, has been paid; </w:t>
      </w:r>
    </w:p>
    <w:p>
      <w:pPr>
        <w:pStyle w:val="TextBody"/>
        <w:bidi w:val="0"/>
        <w:spacing w:before="120" w:after="0"/>
        <w:jc w:val="left"/>
        <w:rPr>
          <w:rFonts w:ascii="Times New Roman" w:hAnsi="Times New Roman"/>
          <w:sz w:val="20"/>
        </w:rPr>
      </w:pPr>
      <w:r>
        <w:rPr>
          <w:rFonts w:ascii="Times New Roman" w:hAnsi="Times New Roman"/>
          <w:sz w:val="20"/>
        </w:rPr>
        <w:t xml:space="preserve">(3) the Issuer has paid the Trustee its reasonable compensation and reimbursed the Trustee for its expenses, disbursements, indemnities and advances; and </w:t>
      </w:r>
    </w:p>
    <w:p>
      <w:pPr>
        <w:pStyle w:val="TextBody"/>
        <w:bidi w:val="0"/>
        <w:spacing w:before="120" w:after="0"/>
        <w:jc w:val="left"/>
        <w:rPr>
          <w:rFonts w:ascii="Times New Roman" w:hAnsi="Times New Roman"/>
          <w:sz w:val="20"/>
        </w:rPr>
      </w:pPr>
      <w:r>
        <w:rPr>
          <w:rFonts w:ascii="Times New Roman" w:hAnsi="Times New Roman"/>
          <w:sz w:val="20"/>
        </w:rPr>
        <w:t xml:space="preserve">(4) in the event of the cure or waiver of an Event of Default of the type described in Section 6.01(7), the Trustee shall have received an Officers Certificate and an Opinion of Counsel that such Event of Default has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Waiver of Existing Defaults and 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Sections 2.10, 6.02, 6.08 and 8.02, the Holders of a majority in principal amount of the Notes then outstanding shall have the right to waive past Defaults under this Indenture </w:t>
      </w:r>
      <w:r>
        <w:rPr>
          <w:rFonts w:ascii="Times New Roman" w:hAnsi="Times New Roman"/>
          <w:i/>
          <w:sz w:val="20"/>
        </w:rPr>
        <w:t>except</w:t>
      </w:r>
      <w:r>
        <w:rPr>
          <w:rFonts w:ascii="Times New Roman" w:hAnsi="Times New Roman"/>
          <w:sz w:val="20"/>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316(a)(1)(B), and TIA § 316(a)(1)(B) is hereby expressly excluded from this Indenture and the Notes, as permitted by the TIA. </w:t>
      </w:r>
    </w:p>
    <w:p>
      <w:pPr>
        <w:pStyle w:val="TextBody"/>
        <w:bidi w:val="0"/>
        <w:spacing w:before="240" w:after="0"/>
        <w:jc w:val="left"/>
        <w:rPr>
          <w:rFonts w:ascii="Times New Roman" w:hAnsi="Times New Roman"/>
          <w:sz w:val="20"/>
        </w:rPr>
      </w:pPr>
      <w:r>
        <w:rPr>
          <w:rFonts w:ascii="Times New Roman" w:hAnsi="Times New Roman"/>
          <w:sz w:val="20"/>
        </w:rPr>
        <w:t xml:space="preserve">(b)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hAnsi="Times New Roman"/>
          <w:i/>
          <w:sz w:val="20"/>
        </w:rPr>
        <w:t>provided</w:t>
      </w:r>
      <w:r>
        <w:rPr>
          <w:rFonts w:ascii="Times New Roman" w:hAnsi="Times New Roman"/>
          <w:sz w:val="20"/>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6.08, a Holder may not pursue any remedy with respect to this Indenture or the Notes unless: </w:t>
      </w:r>
    </w:p>
    <w:p>
      <w:pPr>
        <w:pStyle w:val="TextBody"/>
        <w:bidi w:val="0"/>
        <w:spacing w:before="120" w:after="0"/>
        <w:jc w:val="left"/>
        <w:rPr>
          <w:rFonts w:ascii="Times New Roman" w:hAnsi="Times New Roman"/>
          <w:sz w:val="20"/>
        </w:rPr>
      </w:pPr>
      <w:r>
        <w:rPr>
          <w:rFonts w:ascii="Times New Roman" w:hAnsi="Times New Roman"/>
          <w:sz w:val="20"/>
        </w:rPr>
        <w:t xml:space="preserve">(1) the Holder has given the Trustee written notice of a continuing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(2) the Holders of at least 25% in principal amount of the Notes then outstanding make a written request to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such Holder or Holders offer the Trustee indemnity satisfactory to the Trustee against any costs,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does not comply with the request within 60 days after receipt of the request and the offer of indemnity; and </w:t>
      </w:r>
    </w:p>
    <w:p>
      <w:pPr>
        <w:pStyle w:val="TextBody"/>
        <w:bidi w:val="0"/>
        <w:spacing w:before="120" w:after="0"/>
        <w:jc w:val="left"/>
        <w:rPr>
          <w:rFonts w:ascii="Times New Roman" w:hAnsi="Times New Roman"/>
          <w:sz w:val="20"/>
        </w:rPr>
      </w:pPr>
      <w:r>
        <w:rPr>
          <w:rFonts w:ascii="Times New Roman" w:hAnsi="Times New Roman"/>
          <w:sz w:val="20"/>
        </w:rPr>
        <w:t xml:space="preserve">(5) during such 60-day period, the Holders of a majority in aggregate principal amount of the outstanding Notes do not give the Trustee a direction that is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A Noteholder may not use any provision of this Indenture to disturb or prejudice the rights of another Noteholder or to obtain a preference or priority over another Noteholder.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No Personal Liability of Directors, Officers, Employees and </w:t>
      </w:r>
      <w:r>
        <w:rPr>
          <w:rFonts w:ascii="Times New Roman" w:hAnsi="Times New Roman"/>
          <w:sz w:val="20"/>
          <w:u w:val="single"/>
        </w:rPr>
        <w:t>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Rights of Holders To Receive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Collection Suit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collects any money pursuant to this Article Six, it shall pay out the money in the following order: </w:t>
      </w:r>
    </w:p>
    <w:p>
      <w:pPr>
        <w:pStyle w:val="TextBody"/>
        <w:bidi w:val="0"/>
        <w:spacing w:before="120" w:after="0"/>
        <w:jc w:val="left"/>
        <w:rPr>
          <w:rFonts w:ascii="Times New Roman" w:hAnsi="Times New Roman"/>
          <w:sz w:val="20"/>
        </w:rPr>
      </w:pPr>
      <w:r>
        <w:rPr>
          <w:rFonts w:ascii="Times New Roman" w:hAnsi="Times New Roman"/>
          <w:sz w:val="20"/>
        </w:rPr>
        <w:t xml:space="preserve">FIRST: to the Trustee for amounts due under Section 7.07;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to Noteholders for amounts due and unpaid on the Notes for principal, premium, if any, and interest, ratably, without preference or priority of any kind, according to the amounts due and payable on the Notes; and </w:t>
      </w:r>
    </w:p>
    <w:p>
      <w:pPr>
        <w:pStyle w:val="TextBody"/>
        <w:bidi w:val="0"/>
        <w:spacing w:before="120" w:after="0"/>
        <w:jc w:val="left"/>
        <w:rPr>
          <w:rFonts w:ascii="Times New Roman" w:hAnsi="Times New Roman"/>
          <w:sz w:val="20"/>
        </w:rPr>
      </w:pPr>
      <w:r>
        <w:rPr>
          <w:rFonts w:ascii="Times New Roman" w:hAnsi="Times New Roman"/>
          <w:sz w:val="20"/>
        </w:rPr>
        <w:t xml:space="preserve">THIRD: to the Issuer or, to the extent the Trustee collects any amount from any Guarantor,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Noteholders pursuant to this Section 6.11.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Holders of more than 10% in aggregate principal amount of the outstanding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SEVEN </w:t>
      </w:r>
    </w:p>
    <w:p>
      <w:pPr>
        <w:pStyle w:val="TextBody"/>
        <w:bidi w:val="0"/>
        <w:spacing w:before="12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 Default or an Event of Default of which a Responsible Officer of the Trustee has actual knowledge: </w:t>
      </w:r>
    </w:p>
    <w:p>
      <w:pPr>
        <w:pStyle w:val="TextBody"/>
        <w:bidi w:val="0"/>
        <w:spacing w:before="120" w:after="0"/>
        <w:jc w:val="left"/>
        <w:rPr>
          <w:rFonts w:ascii="Times New Roman" w:hAnsi="Times New Roman"/>
          <w:sz w:val="20"/>
        </w:rPr>
      </w:pPr>
      <w:r>
        <w:rPr>
          <w:rFonts w:ascii="Times New Roman" w:hAnsi="Times New Roman"/>
          <w:sz w:val="20"/>
        </w:rPr>
        <w:t xml:space="preserve">(1) The Trustee need perform only those duties expressly set forth in this Indenture and no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This paragraph does not limit the effect of subsection (b) of this Section 7.01.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(4) No provision of this Indenture shall require the Trustee to expend or risk its own funds or otherwise incur any financial liability in the performance of any of its rights, powers or duties.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subsections (a), (b), (c) and (e) of this Section 7.01 shall govern every provision of this Indenture that in any way relates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Issuer or any Guarantor. Money held in trust by the Trustee need not be segregated from other funds except to the extent required by the law.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7.01: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 </w:t>
      </w:r>
    </w:p>
    <w:p>
      <w:pPr>
        <w:pStyle w:val="TextBody"/>
        <w:bidi w:val="0"/>
        <w:spacing w:before="120" w:after="0"/>
        <w:jc w:val="left"/>
        <w:rPr>
          <w:rFonts w:ascii="Times New Roman" w:hAnsi="Times New Roman"/>
          <w:sz w:val="20"/>
        </w:rPr>
      </w:pPr>
      <w:r>
        <w:rPr>
          <w:rFonts w:ascii="Times New Roman" w:hAnsi="Times New Roman"/>
          <w:sz w:val="20"/>
        </w:rPr>
        <w:t xml:space="preserve">(3) 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 </w:t>
      </w:r>
    </w:p>
    <w:p>
      <w:pPr>
        <w:pStyle w:val="TextBody"/>
        <w:bidi w:val="0"/>
        <w:spacing w:before="120" w:after="0"/>
        <w:jc w:val="left"/>
        <w:rPr>
          <w:rFonts w:ascii="Times New Roman" w:hAnsi="Times New Roman"/>
          <w:sz w:val="20"/>
        </w:rPr>
      </w:pPr>
      <w:r>
        <w:rPr>
          <w:rFonts w:ascii="Times New Roman" w:hAnsi="Times New Roman"/>
          <w:sz w:val="20"/>
        </w:rPr>
        <w:t xml:space="preserve">(4) The Trustee may act through its attorneys and agents and shall not be responsible for the misconduct or negligence of any attorney or agent appointed by it with due care. </w:t>
      </w:r>
    </w:p>
    <w:p>
      <w:pPr>
        <w:pStyle w:val="TextBody"/>
        <w:bidi w:val="0"/>
        <w:spacing w:before="120" w:after="0"/>
        <w:jc w:val="left"/>
        <w:rPr>
          <w:rFonts w:ascii="Times New Roman" w:hAnsi="Times New Roman"/>
          <w:sz w:val="20"/>
        </w:rPr>
      </w:pPr>
      <w:r>
        <w:rPr>
          <w:rFonts w:ascii="Times New Roman" w:hAnsi="Times New Roman"/>
          <w:sz w:val="20"/>
        </w:rPr>
        <w:t xml:space="preserve">(5) The Trustee shall not be liable for any action it takes or omits to take in good faith which it reasonably believes to be authorized or within its rights or powers; </w:t>
      </w:r>
      <w:r>
        <w:rPr>
          <w:rFonts w:ascii="Times New Roman" w:hAnsi="Times New Roman"/>
          <w:i/>
          <w:sz w:val="20"/>
        </w:rPr>
        <w:t>provided</w:t>
      </w:r>
      <w:r>
        <w:rPr>
          <w:rFonts w:ascii="Times New Roman" w:hAnsi="Times New Roman"/>
          <w:sz w:val="20"/>
        </w:rPr>
        <w:t xml:space="preserve"> that the Trustees conduct does not constitute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(7) The rights, privileges, protections, immunities and benefits given to the Trustee, including, without limitation, its right to be indemnified, are extended to, and shall be enforceable by, the Trustee in each of its capacities hereunder (including but not limited to as Registrar and as Paying Agent),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(8) The right of the Trustee to perform any discretionary act enumerated in this Indenture shall not be construed as a duty, and the Trustee shall not be answerable for other than its own negligence or willful misconduct in the performance of such act. </w:t>
      </w:r>
    </w:p>
    <w:p>
      <w:pPr>
        <w:pStyle w:val="TextBody"/>
        <w:bidi w:val="0"/>
        <w:spacing w:before="120" w:after="0"/>
        <w:jc w:val="left"/>
        <w:rPr>
          <w:rFonts w:ascii="Times New Roman" w:hAnsi="Times New Roman"/>
          <w:sz w:val="20"/>
        </w:rPr>
      </w:pPr>
      <w:r>
        <w:rPr>
          <w:rFonts w:ascii="Times New Roman" w:hAnsi="Times New Roman"/>
          <w:sz w:val="20"/>
        </w:rPr>
        <w:t xml:space="preserve">(9) The Trustee may from time to time request that the Issuer deliver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 </w:t>
      </w:r>
    </w:p>
    <w:p>
      <w:pPr>
        <w:pStyle w:val="TextBody"/>
        <w:bidi w:val="0"/>
        <w:spacing w:before="120" w:after="0"/>
        <w:jc w:val="left"/>
        <w:rPr>
          <w:rFonts w:ascii="Times New Roman" w:hAnsi="Times New Roman"/>
          <w:sz w:val="20"/>
        </w:rPr>
      </w:pPr>
      <w:r>
        <w:rPr>
          <w:rFonts w:ascii="Times New Roman" w:hAnsi="Times New Roman"/>
          <w:sz w:val="20"/>
        </w:rPr>
        <w:t xml:space="preserve">(10) The Trustee shall have no duty to inquire as to the performance of the covenants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(11)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(12) Trustee entitled to assume without enquiry, that the Issuer has performed in accordance with all of the provisions in the Indenture, unless notified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(13) Under no circumstances will the Trustee be liable to the Issuer for any consequential loss (being loss of business, goodwill, opportunity or profit), even if advised of the possibility of such loss or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 The Trustee shall also be subject to Sections 7.10 and 7.11.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responsible for and makes no representation as to the validity or adequacy of this Indenture,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an Event of Default occurs and is continuing and if it is known to a Responsible Officer of the Trustee, the Trustee shall give to each Noteholder a notice of the Default or Event of Default within 90 days after it occurs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required by TIA § 313(a), within 60 days after March 1 of any year, commencing on the March 1 following the date of this Indenture, the Trustee shall mail to each Noteholder a brief report dated as of such date that complies with TIA § 313(a). The Trustee also shall comply with TIA § 313(b)(2). The Trustee shall also transmit by mail all reports as required by TIA § 313(c) and TIA § 313(d).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Reports pursuant to this Section 7.06 shall be transmitted by mail: </w:t>
      </w:r>
    </w:p>
    <w:p>
      <w:pPr>
        <w:pStyle w:val="TextBody"/>
        <w:bidi w:val="0"/>
        <w:spacing w:before="120" w:after="0"/>
        <w:jc w:val="left"/>
        <w:rPr>
          <w:rFonts w:ascii="Times New Roman" w:hAnsi="Times New Roman"/>
          <w:sz w:val="20"/>
        </w:rPr>
      </w:pPr>
      <w:r>
        <w:rPr>
          <w:rFonts w:ascii="Times New Roman" w:hAnsi="Times New Roman"/>
          <w:sz w:val="20"/>
        </w:rPr>
        <w:t xml:space="preserve">(1) to all Holders of Notes, as the names and addresses of such Holders appear on the Registrars books; and </w:t>
      </w:r>
    </w:p>
    <w:p>
      <w:pPr>
        <w:pStyle w:val="TextBody"/>
        <w:bidi w:val="0"/>
        <w:spacing w:before="120" w:after="0"/>
        <w:jc w:val="left"/>
        <w:rPr>
          <w:rFonts w:ascii="Times New Roman" w:hAnsi="Times New Roman"/>
          <w:sz w:val="20"/>
        </w:rPr>
      </w:pPr>
      <w:r>
        <w:rPr>
          <w:rFonts w:ascii="Times New Roman" w:hAnsi="Times New Roman"/>
          <w:sz w:val="20"/>
        </w:rPr>
        <w:t xml:space="preserve">(2) to such Holders of Notes as have, within the two years preceding such transmission, filed their names and addresses with the Trustee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Holders shall be filed with the Commission and each stock exchange on which the Notes are listed. The Issuer shall promptly notify the Trustee, in writing, when the Notes are listed on any stock exchange or delisted therefrom.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against any claim or liability in connection with the exercise or performance of any of its powers or duties hereunder (including, without limitation, settlement costs). The Trustee shall notify the Issuer and the Guarantors in writing promptly of any claim of which a Responsible Officer of the Trustee has actual knowledge asserted against the Trustee for which it may seek indemnity; </w:t>
      </w:r>
      <w:r>
        <w:rPr>
          <w:rFonts w:ascii="Times New Roman" w:hAnsi="Times New Roman"/>
          <w:i/>
          <w:sz w:val="20"/>
        </w:rPr>
        <w:t>provided</w:t>
      </w:r>
      <w:r>
        <w:rPr>
          <w:rFonts w:ascii="Times New Roman" w:hAnsi="Times New Roman"/>
          <w:sz w:val="20"/>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the Issuer and the Guarantors need not reimburse the Trustee for any expense or indemnify it against any loss or liability to have been incurred by the Trustee through its own negligence, bad faith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6.01 (7) occurs, the expenses and the compensation for the services are intended to constitute expenses of administration under any applicable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7.07, the term Trustee shall include any trustee appointed pursuant to this Article Seven. The provisions of this Section 7.07 shall apply to Trustee in its capacity as Paying Agent, Transfer Agent or Registrar and any other Agent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7.07 shall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their election if: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receiver or other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the Trustee otherwise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Issuer shall promptly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Times New Roman" w:hAnsi="Times New Roman"/>
          <w:i/>
          <w:sz w:val="20"/>
        </w:rPr>
        <w:t>provided</w:t>
      </w:r>
      <w:r>
        <w:rPr>
          <w:rFonts w:ascii="Times New Roman" w:hAnsi="Times New Roman"/>
          <w:sz w:val="20"/>
        </w:rPr>
        <w:t xml:space="preserve"> that if the retiring Trustee resigns and a court has not appointed a successor within 60 days, such retiring Trustee may appoint a successor that meets the eligibility requirements of Section 7.10.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fails to comply with Section 7.10, Noteholders holding at least 10% in principal amount of the Notes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Successor Trustee by Consolidation,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Issuer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and shall comply with TIA § 311(a), excluding any creditor relationship listed in TIA § 311(b). A Trustee who has resigned or been removed shall be subject to TIA § 311(a) to the extent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cause each Paying Agent other than the Trustee or other parties to this Indenture to execute and deliver to it and the Trustee an instrument in which such Paying Agent shall agree with the Trustee, subject to the provisions of this Section 7.12: </w:t>
      </w:r>
    </w:p>
    <w:p>
      <w:pPr>
        <w:pStyle w:val="TextBody"/>
        <w:bidi w:val="0"/>
        <w:spacing w:before="120" w:after="0"/>
        <w:jc w:val="left"/>
        <w:rPr>
          <w:rFonts w:ascii="Times New Roman" w:hAnsi="Times New Roman"/>
          <w:sz w:val="20"/>
        </w:rPr>
      </w:pPr>
      <w:r>
        <w:rPr>
          <w:rFonts w:ascii="Times New Roman" w:hAnsi="Times New Roman"/>
          <w:sz w:val="20"/>
        </w:rPr>
        <w:t xml:space="preserve">(A) that it will hold all sums held by it as agent for the payment of principal of, or premium, if any, or interest on, the Notes (whether such sums have been paid to it by the Issuer or by any obligor on the Notes) in trust for the benefit of Holders of the Notes or the Trustee; </w:t>
      </w:r>
    </w:p>
    <w:p>
      <w:pPr>
        <w:pStyle w:val="TextBody"/>
        <w:bidi w:val="0"/>
        <w:spacing w:before="120" w:after="0"/>
        <w:jc w:val="left"/>
        <w:rPr>
          <w:rFonts w:ascii="Times New Roman" w:hAnsi="Times New Roman"/>
          <w:sz w:val="20"/>
        </w:rPr>
      </w:pPr>
      <w:r>
        <w:rPr>
          <w:rFonts w:ascii="Times New Roman" w:hAnsi="Times New Roman"/>
          <w:sz w:val="20"/>
        </w:rPr>
        <w:t xml:space="preserve">(B) that it will at any time during the continuance of any Event of Default, upon written request from the Trustee, deliver to the Trustee all sums so held in trust by it together with a full accounting thereof; and </w:t>
      </w:r>
    </w:p>
    <w:p>
      <w:pPr>
        <w:pStyle w:val="TextBody"/>
        <w:bidi w:val="0"/>
        <w:spacing w:before="120" w:after="0"/>
        <w:jc w:val="left"/>
        <w:rPr>
          <w:rFonts w:ascii="Times New Roman" w:hAnsi="Times New Roman"/>
          <w:sz w:val="20"/>
        </w:rPr>
      </w:pPr>
      <w:r>
        <w:rPr>
          <w:rFonts w:ascii="Times New Roman" w:hAnsi="Times New Roman"/>
          <w:sz w:val="20"/>
        </w:rPr>
        <w:t xml:space="preserve">(C) that it will give the Trustee written notice within three Business Days of any failure of the Issuer (or by any obligor on the Notes) in the payment of any installment of the principal of, premium, if any, or interest on, the Notes when the same shall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Agent or any other entity of U.S. Bank Trust Company, National Association be liable for any Losses arising to the Agent or any other entity of U.S. Bank Trust Company, National Association receiving or transmitting any data from any Issuer, any Authorized Person or any party to the transaction via any non-secure method of transmission or communication, such as, but without limitation, by facsimile or 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accept that some methods of communication are not secure and the Agent or any other entity of U.S. Bank Trust Company, National Association shall incur no liability for receiving instructions via any such non-secure method. Agent and Trustee shall have the right to accept and act upon any notice, instruction, or other communication, including any funds transfer instruction, (each, a Notice) received pursuant to this Indenture by electronic transmission (including by e-mail, facsimile transmission, web portal or other electronic methods), and shall not have any duty to confirm that the person sending such Notice is, in fact, a person authorized to do so. Electronic signatures believed by Agent or Trustee to comply with the ESIGN Act of 2000 or other applicable law (including electronic images of handwritten signatures and digital signatures provided by DocuSign, Orbit, Adobe Sign or any other digital signature provider identified by any other party hereto and acceptable to Agent or Trustee) shall be deemed original signatures for all purposes. Each other party to this Indenture assumes all risks arising out of the use of electronic signatures and electronic methods to send Notices to Agent and Trustee, including without limitation the risk of Agent or Trustee acting on an unauthorized Notice and the risk of interception or misuse by third parties. Notwithstanding the foregoing, Agent or Trustee may in any instance and in its sole discretion require that a Notice in the form of an original document bearing a manual signature be delivered to Agent or Trustee in lieu of, or in addition to, any such electronic Notice. </w:t>
      </w:r>
    </w:p>
    <w:p>
      <w:pPr>
        <w:pStyle w:val="TextBody"/>
        <w:bidi w:val="0"/>
        <w:spacing w:before="480" w:after="0"/>
        <w:jc w:val="center"/>
        <w:rPr>
          <w:rFonts w:ascii="Times New Roman" w:hAnsi="Times New Roman"/>
          <w:sz w:val="20"/>
        </w:rPr>
      </w:pPr>
      <w:r>
        <w:rPr>
          <w:rFonts w:ascii="Times New Roman" w:hAnsi="Times New Roman"/>
          <w:sz w:val="20"/>
        </w:rPr>
        <w:t xml:space="preserve">ARTICLE EIGHT </w:t>
      </w:r>
    </w:p>
    <w:p>
      <w:pPr>
        <w:pStyle w:val="TextBody"/>
        <w:bidi w:val="0"/>
        <w:spacing w:before="12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Without Consent of Noteholders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8.02, the Issuer and Trustee may modify and amend this Indenture, the Notes or the Note Guarantees without the consent of any Holder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(2) to provide for uncertificated Notes in addition to or in place of Physical Notes; </w:t>
      </w:r>
    </w:p>
    <w:p>
      <w:pPr>
        <w:pStyle w:val="TextBody"/>
        <w:bidi w:val="0"/>
        <w:spacing w:before="120" w:after="0"/>
        <w:jc w:val="left"/>
        <w:rPr>
          <w:rFonts w:ascii="Times New Roman" w:hAnsi="Times New Roman"/>
          <w:sz w:val="20"/>
        </w:rPr>
      </w:pPr>
      <w:r>
        <w:rPr>
          <w:rFonts w:ascii="Times New Roman" w:hAnsi="Times New Roman"/>
          <w:sz w:val="20"/>
        </w:rPr>
        <w:t xml:space="preserve">(3) to provide for the assumption of the Issuers or any Guarantors obligations to the Holders of Notes in the case of a merger or consolidation or sale of all or substantially all of the Issuers or such Guarantors assets; </w:t>
      </w:r>
    </w:p>
    <w:p>
      <w:pPr>
        <w:pStyle w:val="TextBody"/>
        <w:bidi w:val="0"/>
        <w:spacing w:before="120" w:after="0"/>
        <w:jc w:val="left"/>
        <w:rPr>
          <w:rFonts w:ascii="Times New Roman" w:hAnsi="Times New Roman"/>
          <w:sz w:val="20"/>
        </w:rPr>
      </w:pPr>
      <w:r>
        <w:rPr>
          <w:rFonts w:ascii="Times New Roman" w:hAnsi="Times New Roman"/>
          <w:sz w:val="20"/>
        </w:rPr>
        <w:t xml:space="preserve">(4) to secure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to conform the text of the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 </w:t>
      </w:r>
    </w:p>
    <w:p>
      <w:pPr>
        <w:pStyle w:val="TextBody"/>
        <w:bidi w:val="0"/>
        <w:spacing w:before="120" w:after="0"/>
        <w:jc w:val="left"/>
        <w:rPr>
          <w:rFonts w:ascii="Times New Roman" w:hAnsi="Times New Roman"/>
          <w:sz w:val="20"/>
        </w:rPr>
      </w:pPr>
      <w:r>
        <w:rPr>
          <w:rFonts w:ascii="Times New Roman" w:hAnsi="Times New Roman"/>
          <w:sz w:val="20"/>
        </w:rPr>
        <w:t xml:space="preserve">(6) to add any Guarantor or release any Guarantor from its Note Guarantee if such release is in accordance with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to add to the covenants of the Issuer and the Guarantors for the benefit of the Holders of the Notes or to surrender any right or power conferred upon the Issuer and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(8) to provide for or confirm the issuance of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(9) to make any change that would provide any additional rights or benefits to the Holders or that does not adversely affect the rights under this Indenture of any Holder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(10) to comply with requirements of the Commission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With Consent of Noteholders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subsection (a) of this Section 8.02, without the consent of each Holder of Notes issued under this Indenture, an amendment or waiver may not (with respect to any Note held by a non-consenting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(1) reduce the principal amount of Notes issued under this Indenture whose Holders must consent to an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reduce the principal amount of or change the Maturity Date of any Notes, or alter the provisions with respect to the redemption of any such Notes other than, except as set forth in clause (7) below, the provisions of Section 4.08 of this Indenture; </w:t>
      </w:r>
      <w:r>
        <w:rPr>
          <w:rFonts w:ascii="Times New Roman" w:hAnsi="Times New Roman"/>
          <w:i/>
          <w:sz w:val="20"/>
        </w:rPr>
        <w:t>provided</w:t>
      </w:r>
      <w:r>
        <w:rPr>
          <w:rFonts w:ascii="Times New Roman" w:hAnsi="Times New Roman"/>
          <w:sz w:val="20"/>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 </w:t>
      </w:r>
    </w:p>
    <w:p>
      <w:pPr>
        <w:pStyle w:val="TextBody"/>
        <w:bidi w:val="0"/>
        <w:spacing w:before="120" w:after="0"/>
        <w:jc w:val="left"/>
        <w:rPr>
          <w:rFonts w:ascii="Times New Roman" w:hAnsi="Times New Roman"/>
          <w:sz w:val="20"/>
        </w:rPr>
      </w:pPr>
      <w:r>
        <w:rPr>
          <w:rFonts w:ascii="Times New Roman" w:hAnsi="Times New Roman"/>
          <w:sz w:val="20"/>
        </w:rPr>
        <w:t xml:space="preserve">(3) reduce the rate of or change the time for payment of interest on any such Notes; </w:t>
      </w:r>
    </w:p>
    <w:p>
      <w:pPr>
        <w:pStyle w:val="TextBody"/>
        <w:bidi w:val="0"/>
        <w:spacing w:before="120" w:after="0"/>
        <w:jc w:val="left"/>
        <w:rPr>
          <w:rFonts w:ascii="Times New Roman" w:hAnsi="Times New Roman"/>
          <w:sz w:val="20"/>
        </w:rPr>
      </w:pPr>
      <w:r>
        <w:rPr>
          <w:rFonts w:ascii="Times New Roman" w:hAnsi="Times New Roman"/>
          <w:sz w:val="20"/>
        </w:rPr>
        <w:t xml:space="preserve">(4) 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(5) make any such Note payable in currency other than that stated in such Note; </w:t>
      </w:r>
    </w:p>
    <w:p>
      <w:pPr>
        <w:pStyle w:val="TextBody"/>
        <w:bidi w:val="0"/>
        <w:spacing w:before="120" w:after="0"/>
        <w:jc w:val="left"/>
        <w:rPr>
          <w:rFonts w:ascii="Times New Roman" w:hAnsi="Times New Roman"/>
          <w:sz w:val="20"/>
        </w:rPr>
      </w:pPr>
      <w:r>
        <w:rPr>
          <w:rFonts w:ascii="Times New Roman" w:hAnsi="Times New Roman"/>
          <w:sz w:val="20"/>
        </w:rPr>
        <w:t xml:space="preserve">(6) make any change to the provisions of this Indenture relating to the waiver of past Defaults or the rights of Holders of the Notes issued hereunder to receive payments of principal of or interest and Additional Amounts, if any, on the Notes; </w:t>
      </w:r>
    </w:p>
    <w:p>
      <w:pPr>
        <w:pStyle w:val="TextBody"/>
        <w:bidi w:val="0"/>
        <w:spacing w:before="120" w:after="0"/>
        <w:jc w:val="left"/>
        <w:rPr>
          <w:rFonts w:ascii="Times New Roman" w:hAnsi="Times New Roman"/>
          <w:sz w:val="20"/>
        </w:rPr>
      </w:pPr>
      <w:r>
        <w:rPr>
          <w:rFonts w:ascii="Times New Roman" w:hAnsi="Times New Roman"/>
          <w:sz w:val="20"/>
        </w:rPr>
        <w:t xml:space="preserve">(7) 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(8) release Parent, Crown or any other Guarantor that is a Significant Subsidiary from any of its obligations under its Note Guarantee or this Indenture otherwise than in accordance with the terms of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(9) modify or change any provision of this Indenture affecting the ranking of the Notes or Note Guarantees in a manner adverse to the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(c) It shall not be necessary for the consent of the Holders of Notes under this Section 8.02 to approve the particular form of any proposed amendment, supplement or waiver, but it shall be sufficient if such consent approves the substance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or supplement to this Indenture, the Notes or the Note Guarantees shall comply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 </w:t>
      </w:r>
    </w:p>
    <w:p>
      <w:pPr>
        <w:pStyle w:val="TextBody"/>
        <w:bidi w:val="0"/>
        <w:spacing w:before="240" w:after="0"/>
        <w:jc w:val="left"/>
        <w:rPr>
          <w:rFonts w:ascii="Times New Roman" w:hAnsi="Times New Roman"/>
          <w:sz w:val="20"/>
        </w:rPr>
      </w:pPr>
      <w:r>
        <w:rPr>
          <w:rFonts w:ascii="Times New Roman" w:hAnsi="Times New Roman"/>
          <w:sz w:val="20"/>
        </w:rPr>
        <w:t xml:space="preserve">(b) 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After an amendment, supplement, waiver or other action under Section 8.01 or Section 8.02 becomes effective, it shall bind every Noteholder, unless it makes a change described in any of clauses (1) through (9) of Section 8.02(b). In that case the amendment, supplement, waiver or other action shall bind each Noteholder who has consented to it and every subsequent Noteholder or portion of a Note that evidences the same debt as the consenting Holders Note.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Notation on or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Trustee To Sign 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NINE </w:t>
      </w:r>
    </w:p>
    <w:p>
      <w:pPr>
        <w:pStyle w:val="TextBody"/>
        <w:bidi w:val="0"/>
        <w:spacing w:before="120" w:after="0"/>
        <w:jc w:val="center"/>
        <w:rPr>
          <w:rFonts w:ascii="Times New Roman" w:hAnsi="Times New Roman"/>
          <w:sz w:val="20"/>
        </w:rPr>
      </w:pPr>
      <w:r>
        <w:rPr>
          <w:rFonts w:ascii="Times New Roman" w:hAnsi="Times New Roman"/>
          <w:sz w:val="20"/>
        </w:rPr>
        <w:t xml:space="preserve">DISCHARGE OF INDENTURE;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will be discharged and will cease to be of further effect as to the Notes and the Note Guarantees, and the Trustee, at the expense of the Issuer, will execute proper instruments acknowledging satisfaction and discharge of this Indenture, the Notes and the Note Guarantees, when all amounts due to the Trustee shall have been paid and either: </w:t>
      </w:r>
    </w:p>
    <w:p>
      <w:pPr>
        <w:pStyle w:val="TextBody"/>
        <w:bidi w:val="0"/>
        <w:spacing w:before="120" w:after="0"/>
        <w:jc w:val="left"/>
        <w:rPr>
          <w:rFonts w:ascii="Times New Roman" w:hAnsi="Times New Roman"/>
          <w:sz w:val="20"/>
        </w:rPr>
      </w:pPr>
      <w:r>
        <w:rPr>
          <w:rFonts w:ascii="Times New Roman" w:hAnsi="Times New Roman"/>
          <w:sz w:val="20"/>
        </w:rPr>
        <w:t xml:space="preserve">(1) the Issuer delivers to the Trustee all outstanding Notes issued under this Indenture (other than Notes which have been replaced because of mutilation, loss, destruction or wrongful taking as provided in Section 2.08 hereof)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(2) (a)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Euro, EU Government Obligations or a combination thereof in such amounts as will be sufficient, in the opinion of a nationally recognized firm of independent public accountants, to pay the principal of, premium, if any, and interest on the Notes outstanding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 (c) 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acknowledge satisfaction and discharge of this Indenture on demand of and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Issuer in Article Two and in Sections 4.01, 4.02, 7.07, 9.05 and 9.06 shall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Legal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Issuer may, at its option and at any time, elect to have its obligations and the obligations of the Guarantors discharged with respect to the outstanding Notes on a date the conditions set forth in Section 9.04 are satisfied (hereinafter, </w:t>
      </w:r>
      <w:r>
        <w:rPr>
          <w:rFonts w:ascii="Times New Roman" w:hAnsi="Times New Roman"/>
          <w:sz w:val="20"/>
          <w:u w:val="single"/>
        </w:rPr>
        <w:t>Legal Defeasance</w:t>
      </w:r>
      <w:r>
        <w:rPr>
          <w:rFonts w:ascii="Times New Roman" w:hAnsi="Times New Roman"/>
          <w:sz w:val="20"/>
        </w:rPr>
        <w:t xml:space="preserve">).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this Article Nine, the Issuer may exercise its option under this Section 9.02 with respect to the Notes notwithstanding the prior exercise of its option under Section 9.03 below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Issuer may, at its option and at any time, elect to have their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Times New Roman" w:hAnsi="Times New Roman"/>
          <w:sz w:val="20"/>
          <w:u w:val="single"/>
        </w:rPr>
        <w:t>Covenant Defeasance</w:t>
      </w:r>
      <w:r>
        <w:rPr>
          <w:rFonts w:ascii="Times New Roman" w:hAnsi="Times New Roman"/>
          <w:sz w:val="20"/>
        </w:rPr>
        <w:t xml:space="preserve">).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Conditions to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to application of Section 9.02 or Section 9.03 to the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(1) the Issuer must irrevocably deposit with the Trustee, in trust, for the benefit of the Holders of the Notes issued under this Indenture, cash in Euros, EU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U.S. federal income tax law, in either case to the effect that, and based thereon such Opinion of Counsel shall confirm that, the beneficial owners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 </w:t>
      </w:r>
    </w:p>
    <w:p>
      <w:pPr>
        <w:pStyle w:val="TextBody"/>
        <w:bidi w:val="0"/>
        <w:spacing w:before="120" w:after="0"/>
        <w:jc w:val="left"/>
        <w:rPr>
          <w:rFonts w:ascii="Times New Roman" w:hAnsi="Times New Roman"/>
          <w:sz w:val="20"/>
        </w:rPr>
      </w:pPr>
      <w:r>
        <w:rPr>
          <w:rFonts w:ascii="Times New Roman" w:hAnsi="Times New Roman"/>
          <w:sz w:val="20"/>
        </w:rPr>
        <w:t xml:space="preserve">(5) 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 </w:t>
      </w:r>
    </w:p>
    <w:p>
      <w:pPr>
        <w:pStyle w:val="TextBody"/>
        <w:bidi w:val="0"/>
        <w:spacing w:before="120" w:after="0"/>
        <w:jc w:val="left"/>
        <w:rPr>
          <w:rFonts w:ascii="Times New Roman" w:hAnsi="Times New Roman"/>
          <w:sz w:val="20"/>
        </w:rPr>
      </w:pPr>
      <w:r>
        <w:rPr>
          <w:rFonts w:ascii="Times New Roman" w:hAnsi="Times New Roman"/>
          <w:sz w:val="20"/>
        </w:rPr>
        <w:t xml:space="preserve">(6) 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 </w:t>
      </w:r>
    </w:p>
    <w:p>
      <w:pPr>
        <w:pStyle w:val="TextBody"/>
        <w:bidi w:val="0"/>
        <w:spacing w:before="120" w:after="0"/>
        <w:jc w:val="left"/>
        <w:rPr>
          <w:rFonts w:ascii="Times New Roman" w:hAnsi="Times New Roman"/>
          <w:sz w:val="20"/>
        </w:rPr>
      </w:pPr>
      <w:r>
        <w:rPr>
          <w:rFonts w:ascii="Times New Roman" w:hAnsi="Times New Roman"/>
          <w:sz w:val="20"/>
        </w:rPr>
        <w:t xml:space="preserve">(8) 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Deposited Money and EU Government Obligations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 and EU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shall (on a joint and several basis) pay and indemnify the Trustee against any tax, fee or other charge imposed on or assessed against the EU Government Obligations deposited pursuant to Sections 9.01 and 9.04 or the principal, premium, if any,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Nine to the contrary notwithstanding, the Trustee shall deliver or pay to the Issuer from time to time upon a request of the Issuer any money or EU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Paying Agent is unable to apply any money or EU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EU Government Obligations in accordance with Section 9.01, 9.02 or 9.03; </w:t>
      </w:r>
      <w:r>
        <w:rPr>
          <w:rFonts w:ascii="Times New Roman" w:hAnsi="Times New Roman"/>
          <w:i/>
          <w:sz w:val="20"/>
        </w:rPr>
        <w:t>provided</w:t>
      </w:r>
      <w:r>
        <w:rPr>
          <w:rFonts w:ascii="Times New Roman" w:hAnsi="Times New Roman"/>
          <w:sz w:val="20"/>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EU Government Obligations held by the Trustee or any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Moneys Held by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and EU Government Obligations then held by any Paying Agent under the provisions of this Indenture shall, upon written demand of the Issuer, be paid or delivered to the Trustee, or if sufficient moneys and EU Government Obligations have been deposited pursuant to Section 9.04, to the Issuer upon a request of the Issuer (or, if such moneys and EU Government Obligations had been deposited by the Guarantors, to such Guarantors),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Moneys Held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and EU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EU Government Obligations are then held by the Issuer or the Guarantors in trust, such moneys and EU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EU Government Obligations shall thereupon cease; </w:t>
      </w:r>
      <w:r>
        <w:rPr>
          <w:rFonts w:ascii="Times New Roman" w:hAnsi="Times New Roman"/>
          <w:i/>
          <w:sz w:val="20"/>
        </w:rPr>
        <w:t>provided</w:t>
      </w:r>
      <w:r>
        <w:rPr>
          <w:rFonts w:ascii="Times New Roman" w:hAnsi="Times New Roman"/>
          <w:sz w:val="20"/>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or cause to be published once a week for two successive weeks, in one newspaper published in the English language, customarily published each Business Day and of general circulation in The City of New York, the State of New York, and in one newspaper published in the English language, customarily published each Business Day and of general circulation in London, England, a notice that such moneys and EU Government Obligations remains unclaimed and that, after a date specified therein, which shall not be less than 30 days from the date of such mailing or publication, any unclaimed balance of such moneys and EU Government Obligations then remaining will be repaid or returned to the Issuer. After payment or return to the Issuer or the Guarantors or the release of any moneys and EU Government Obligations held in trust by the Issuer or any Guarantors, as the case may be, Holders entitled thereto must look only to the Issuer and the Guarantors for payment as general creditors unless applicable abandoned property law designates another Person. </w:t>
      </w:r>
    </w:p>
    <w:p>
      <w:pPr>
        <w:pStyle w:val="TextBody"/>
        <w:bidi w:val="0"/>
        <w:spacing w:before="480" w:after="0"/>
        <w:jc w:val="center"/>
        <w:rPr>
          <w:rFonts w:ascii="Times New Roman" w:hAnsi="Times New Roman"/>
          <w:sz w:val="20"/>
        </w:rPr>
      </w:pPr>
      <w:r>
        <w:rPr>
          <w:rFonts w:ascii="Times New Roman" w:hAnsi="Times New Roman"/>
          <w:sz w:val="20"/>
        </w:rPr>
        <w:t xml:space="preserve">ARTICLE TEN </w:t>
      </w:r>
    </w:p>
    <w:p>
      <w:pPr>
        <w:pStyle w:val="TextBody"/>
        <w:bidi w:val="0"/>
        <w:spacing w:before="120" w:after="0"/>
        <w:jc w:val="center"/>
        <w:rPr>
          <w:rFonts w:ascii="Times New Roman" w:hAnsi="Times New Roman"/>
          <w:sz w:val="20"/>
        </w:rPr>
      </w:pPr>
      <w:r>
        <w:rPr>
          <w:rFonts w:ascii="Times New Roman" w:hAnsi="Times New Roman"/>
          <w:sz w:val="20"/>
        </w:rPr>
        <w:t xml:space="preserve">GUARANTEE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 (ii) in the event of any declaration of acceleration of such obligations as provided in Article Six, such obligations (whether or not due and payable) shall forthwith become due and payable by each Guarantor for the purpose of this Guarantee.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shall have the right to seek contribution from any non-paying Guarantor so long as the exercise of such right does not impair the rights of any Holder under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Execution and Delivery of Note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further evidence the Note Guarantee set forth in Section 10.01, each Guarantor hereby agrees that a notation of such Note Guarantee, substantially in the form attached hereto as </w:t>
      </w:r>
      <w:r>
        <w:rPr>
          <w:rFonts w:ascii="Times New Roman" w:hAnsi="Times New Roman"/>
          <w:sz w:val="20"/>
          <w:u w:val="single"/>
        </w:rPr>
        <w:t>Exhibit I</w:t>
      </w:r>
      <w:r>
        <w:rPr>
          <w:rFonts w:ascii="Times New Roman" w:hAnsi="Times New Roman"/>
          <w:sz w:val="20"/>
        </w:rPr>
        <w:t xml:space="preserve">,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 </w:t>
      </w:r>
    </w:p>
    <w:p>
      <w:pPr>
        <w:pStyle w:val="TextBody"/>
        <w:bidi w:val="0"/>
        <w:spacing w:before="240" w:after="0"/>
        <w:jc w:val="left"/>
        <w:rPr>
          <w:rFonts w:ascii="Times New Roman" w:hAnsi="Times New Roman"/>
          <w:sz w:val="20"/>
        </w:rPr>
      </w:pPr>
      <w:r>
        <w:rPr>
          <w:rFonts w:ascii="Times New Roman" w:hAnsi="Times New Roman"/>
          <w:sz w:val="20"/>
        </w:rPr>
        <w:t xml:space="preserve">Each of the Guarantors hereby agrees that its Note Guarantee set forth in Section 10.01 shall be in full force and effect notwithstanding any failure to endorse on each Note a notation of such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Note by the Trustee, after the authentication thereof hereunder, shall constitute due delivery of any Note Guarantee set forth in this Indenture on behalf of the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Release of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Note Guarantee of a Guarantor (other than Parent) will be unconditionally released and discharged upon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any Transfer (including, without limitation, by way of consolidation or merger) by Parent or any Subsidiary to any Person that is not Parent or a Subsidiary of Parent of all of the Equity Interests of, or all or substantially all of the properties and assets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hAnsi="Times New Roman"/>
          <w:i/>
          <w:sz w:val="20"/>
        </w:rPr>
        <w:t>provided</w:t>
      </w:r>
      <w:r>
        <w:rPr>
          <w:rFonts w:ascii="Times New Roman" w:hAnsi="Times New Roman"/>
          <w:sz w:val="20"/>
        </w:rPr>
        <w:t xml:space="preserve"> that such Guarantor is also released from all of its obligations in respect of Indebtedness under each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(3) the release of such Guarantor from all obligations of such Guarantor in respect of Indebtedness under each Credit Facility, except to the extent such Guarantor is otherwise required to provide a Guarantee pursuant to Section 4.17; or </w:t>
      </w:r>
    </w:p>
    <w:p>
      <w:pPr>
        <w:pStyle w:val="TextBody"/>
        <w:bidi w:val="0"/>
        <w:spacing w:before="120" w:after="0"/>
        <w:jc w:val="left"/>
        <w:rPr>
          <w:rFonts w:ascii="Times New Roman" w:hAnsi="Times New Roman"/>
          <w:sz w:val="20"/>
        </w:rPr>
      </w:pPr>
      <w:r>
        <w:rPr>
          <w:rFonts w:ascii="Times New Roman" w:hAnsi="Times New Roman"/>
          <w:sz w:val="20"/>
        </w:rPr>
        <w:t xml:space="preserve">(4) upon the contemporaneous release or discharge of all Guarantees by such Guarantor which would have required such Guarantor to guarantee the Notes pursuant to Section 4.17.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under Article Five, a Note Guarantee of Parent may be released and discharged only with the consent of each Holder of Notes to which such Note Guarantee relates. </w:t>
      </w:r>
    </w:p>
    <w:p>
      <w:pPr>
        <w:pStyle w:val="TextBody"/>
        <w:bidi w:val="0"/>
        <w:spacing w:before="240" w:after="0"/>
        <w:jc w:val="left"/>
        <w:rPr>
          <w:rFonts w:ascii="Times New Roman" w:hAnsi="Times New Roman"/>
          <w:sz w:val="20"/>
        </w:rPr>
      </w:pPr>
      <w:r>
        <w:rPr>
          <w:rFonts w:ascii="Times New Roman" w:hAnsi="Times New Roman"/>
          <w:sz w:val="20"/>
        </w:rPr>
        <w:t xml:space="preserve">(c) 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execute any documents reasonably requested by either the Issuer or a Guarantor in order to evidence the release of such Guarantor from its obligations under its Guarantee endorsed on the Notes and under this Article 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Waiver of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one Business Day prior to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Limitation on Guarantors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applicable, a Guarantors liability in respect of its Note Guarantee shall be limited to the extent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Limitations Applicable to U.S. Guarantors</w:t>
      </w:r>
      <w:r>
        <w:rPr>
          <w:rFonts w:ascii="Times New Roman" w:hAnsi="Times New Roman"/>
          <w:sz w:val="20"/>
        </w:rPr>
        <w:t>. Each Guarantor that is incorporated, organized or formed, as the case may be, under the laws of the United States, any State thereof or the District of Columbia (a </w:t>
      </w:r>
      <w:r>
        <w:rPr>
          <w:rFonts w:ascii="Times New Roman" w:hAnsi="Times New Roman"/>
          <w:sz w:val="20"/>
          <w:u w:val="single"/>
        </w:rPr>
        <w:t>U.S. Guarantor</w:t>
      </w:r>
      <w:r>
        <w:rPr>
          <w:rFonts w:ascii="Times New Roman" w:hAnsi="Times New Roman"/>
          <w:sz w:val="20"/>
        </w:rPr>
        <w:t xml:space="preserve">), and by its acceptance hereof, each Holder, hereby confirm that it is the intention of all such parties that the Guarantee of a U.S.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U.S. Guarantor hereby irrevocably agree that the obligations of a U.S. Guarantor under its Note Guarantee shall be limited to the maximum amount as will, after giving effect to all other contingent and fixed liabilities of such U.S. Guarantor result in the obligations of such U.S. Guarantor not constituting such a fraudulent transfer or conveyance.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Limitations Applicable to German Guarantors</w:t>
      </w:r>
      <w:r>
        <w:rPr>
          <w:rFonts w:ascii="Times New Roman" w:hAnsi="Times New Roman"/>
          <w:sz w:val="20"/>
        </w:rPr>
        <w:t>. Each Guarantor incorporated, organized or formed, as the case may be, in Germany (a </w:t>
      </w:r>
      <w:r>
        <w:rPr>
          <w:rFonts w:ascii="Times New Roman" w:hAnsi="Times New Roman"/>
          <w:sz w:val="20"/>
          <w:u w:val="single"/>
        </w:rPr>
        <w:t>German Guarantor</w:t>
      </w:r>
      <w:r>
        <w:rPr>
          <w:rFonts w:ascii="Times New Roman" w:hAnsi="Times New Roman"/>
          <w:sz w:val="20"/>
        </w:rPr>
        <w:t xml:space="preserve">), and by its acceptance hereof, each Holder, hereby confirm that the liability of such German Guarantor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applicable law. Each German Guarantor that makes a payment or distribution under its Note Guarantee shall be entitled to a contribution from each other Guarantor in a </w:t>
      </w:r>
      <w:r>
        <w:rPr>
          <w:rFonts w:ascii="Times New Roman" w:hAnsi="Times New Roman"/>
          <w:i/>
          <w:sz w:val="20"/>
        </w:rPr>
        <w:t>pro rata</w:t>
      </w:r>
      <w:r>
        <w:rPr>
          <w:rFonts w:ascii="Times New Roman" w:hAnsi="Times New Roman"/>
          <w:sz w:val="20"/>
        </w:rPr>
        <w:t xml:space="preserve"> amount based on the Adjusted Net Assets of each Guarantor. The obligation of any German Guarantor under this Article Ten will be binding only to the extent that it would not result in a prohibited repayment to such Guarantors shareholders of assets necessary to maintain the nominal registered capital of such German Guarantor (Section 30 et seq. GmbH Act).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Limitations Applicable to Swiss Guarantors</w:t>
      </w:r>
      <w:r>
        <w:rPr>
          <w:rFonts w:ascii="Times New Roman" w:hAnsi="Times New Roman"/>
          <w:sz w:val="20"/>
        </w:rPr>
        <w:t>. Each Guarantor incorporated, organized or formed, as the case may be, in Switzerland (a </w:t>
      </w:r>
      <w:r>
        <w:rPr>
          <w:rFonts w:ascii="Times New Roman" w:hAnsi="Times New Roman"/>
          <w:sz w:val="20"/>
          <w:u w:val="single"/>
        </w:rPr>
        <w:t>Swiss Guarantor</w:t>
      </w:r>
      <w:r>
        <w:rPr>
          <w:rFonts w:ascii="Times New Roman" w:hAnsi="Times New Roman"/>
          <w:sz w:val="20"/>
        </w:rPr>
        <w:t xml:space="preserve">) and by its acceptance hereof, each Holder, hereby confirm that the liability of such Swiss Guarantor shall be limited to the maximum amount as will, after giving effect to all other contingent and fixed liabilities of such Swiss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after giving effect to any collections from or payments made by or on behalf of any other Guarantor, result in the obligations of such Swiss Guarantor under its Note Guarantee not constituting a fraudulent conveyance or fraudulent transfer under applicable law. The obligations of any Swiss Guarantor under its Note Guarantee shall be limited so that they do not result in a prohibited repayment of the share capital of such Swiss Guarantor (Section 680 of the Swiss Code of Obligations), and infringe the mandatory provisions on reserves (Sections 671 to 674 of the Swiss Code of Obligations).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Limitations Applicable to French Guarantors</w:t>
      </w:r>
      <w:r>
        <w:rPr>
          <w:rFonts w:ascii="Times New Roman" w:hAnsi="Times New Roman"/>
          <w:sz w:val="20"/>
        </w:rPr>
        <w:t>. Each Guarantor incorporated, organized or formed, as the case may be, in France (a </w:t>
      </w:r>
      <w:r>
        <w:rPr>
          <w:rFonts w:ascii="Times New Roman" w:hAnsi="Times New Roman"/>
          <w:sz w:val="20"/>
          <w:u w:val="single"/>
        </w:rPr>
        <w:t>French Guarantor</w:t>
      </w:r>
      <w:r>
        <w:rPr>
          <w:rFonts w:ascii="Times New Roman" w:hAnsi="Times New Roman"/>
          <w:sz w:val="20"/>
        </w:rPr>
        <w:t>), and by its acceptance hereof, each Holder, hereby confirm that the obligation and liability of such French Guarantor or its subsidiaries (a) will not include any obligation or liability which if incurred would constitute a violation to its corporate benefit or interest (</w:t>
      </w:r>
      <w:r>
        <w:rPr>
          <w:rFonts w:ascii="Times New Roman" w:hAnsi="Times New Roman"/>
          <w:i/>
          <w:sz w:val="20"/>
        </w:rPr>
        <w:t>intérêt social</w:t>
      </w:r>
      <w:r>
        <w:rPr>
          <w:rFonts w:ascii="Times New Roman" w:hAnsi="Times New Roman"/>
          <w:sz w:val="20"/>
        </w:rPr>
        <w:t xml:space="preserve">) in particular within the meaning of Articles L.241-3 or L. 242-6 (such articles are applicable to </w:t>
      </w:r>
      <w:r>
        <w:rPr>
          <w:rFonts w:ascii="Times New Roman" w:hAnsi="Times New Roman"/>
          <w:i/>
          <w:sz w:val="20"/>
        </w:rPr>
        <w:t xml:space="preserve">sociétés en commandite par actions </w:t>
      </w:r>
      <w:r>
        <w:rPr>
          <w:rFonts w:ascii="Times New Roman" w:hAnsi="Times New Roman"/>
          <w:sz w:val="20"/>
        </w:rPr>
        <w:t xml:space="preserve">and to </w:t>
      </w:r>
      <w:r>
        <w:rPr>
          <w:rFonts w:ascii="Times New Roman" w:hAnsi="Times New Roman"/>
          <w:i/>
          <w:sz w:val="20"/>
        </w:rPr>
        <w:t xml:space="preserve">sociétés par actions simplifiées </w:t>
      </w:r>
      <w:r>
        <w:rPr>
          <w:rFonts w:ascii="Times New Roman" w:hAnsi="Times New Roman"/>
          <w:sz w:val="20"/>
        </w:rPr>
        <w:t>pursuant to Articles L. 243-1 and L. 244-1 of the French Commercial Code) and/or would constitute prohibited financial assistance within the meaning of Article L. 225-216 of the French Commercial Code and/or would constitute a misuse of corporate assets (</w:t>
      </w:r>
      <w:r>
        <w:rPr>
          <w:rFonts w:ascii="Times New Roman" w:hAnsi="Times New Roman"/>
          <w:i/>
          <w:sz w:val="20"/>
        </w:rPr>
        <w:t>abus de bien sociaux</w:t>
      </w:r>
      <w:r>
        <w:rPr>
          <w:rFonts w:ascii="Times New Roman" w:hAnsi="Times New Roman"/>
          <w:sz w:val="20"/>
        </w:rPr>
        <w:t xml:space="preserve">) within the meaning of Articles L. 241-3 or L. 242-6 of the French Commercial Code (such articles are applicable to </w:t>
      </w:r>
      <w:r>
        <w:rPr>
          <w:rFonts w:ascii="Times New Roman" w:hAnsi="Times New Roman"/>
          <w:i/>
          <w:sz w:val="20"/>
        </w:rPr>
        <w:t xml:space="preserve">sociétés en commandite par actions </w:t>
      </w:r>
      <w:r>
        <w:rPr>
          <w:rFonts w:ascii="Times New Roman" w:hAnsi="Times New Roman"/>
          <w:sz w:val="20"/>
        </w:rPr>
        <w:t xml:space="preserve">and to </w:t>
      </w:r>
      <w:r>
        <w:rPr>
          <w:rFonts w:ascii="Times New Roman" w:hAnsi="Times New Roman"/>
          <w:i/>
          <w:sz w:val="20"/>
        </w:rPr>
        <w:t xml:space="preserve">sociétés par actions simplifiées </w:t>
      </w:r>
      <w:r>
        <w:rPr>
          <w:rFonts w:ascii="Times New Roman" w:hAnsi="Times New Roman"/>
          <w:sz w:val="20"/>
        </w:rPr>
        <w:t>pursuant to Articles L. 243-1 and L. 244-1 of the French Commercial Code); and (b) shall be limited to the extent required by applicable law to the maximum amount any such French Guarantor can pay without exceeding its financial capacity or otherwise resulting in insolvency of such French Guarantor, as of the date the Note Guarantee is subscribed or, if later further amended, restated or reaffirmed, as of such later date, and the Note Guarantee given by any of (i) Crown Bevcan France SAS, (ii) Crown Developpement, (iii) Crown Europe SAS, (iv) Société Civile Immobilière des Baquets, (v) Société Civile Immobilière Rousseau Ivry, (vi) SPG France Holdings and (vii) Signode France SAS and each other Subsidiary Guarantor incorporated, organized or formed, as the case may be, in France (each, a </w:t>
      </w:r>
      <w:r>
        <w:rPr>
          <w:rFonts w:ascii="Times New Roman" w:hAnsi="Times New Roman"/>
          <w:sz w:val="20"/>
          <w:u w:val="single"/>
        </w:rPr>
        <w:t>French Subsidiary Guarantor</w:t>
      </w:r>
      <w:r>
        <w:rPr>
          <w:rFonts w:ascii="Times New Roman" w:hAnsi="Times New Roman"/>
          <w:sz w:val="20"/>
        </w:rPr>
        <w:t xml:space="preserve">) will in addition be limited as to each French Subsidiary Guarantor or its subsidiaries, to the extent required by French law, to an amount that represents either (i) the amount of such proceeds made available to such French Subsidiary Guarantor via intragroup loans or otherwise or (ii) the equivalent in Euros of the portion of the proceeds of the Notes used directly or indirectly to repay or refinance obligations of or obligations guaranteed (to the extent permitted under French law) by, such French Subsidiary Guarantor or its subsidiaries, or to fund or refinance (directly or indirectly) advances or loans to such French Subsidiary Guarantor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Limitations Applicable to the Dutch Guarantors</w:t>
      </w:r>
      <w:r>
        <w:rPr>
          <w:rFonts w:ascii="Times New Roman" w:hAnsi="Times New Roman"/>
          <w:sz w:val="20"/>
        </w:rPr>
        <w:t>. Each Guarantor incorporated, organized or formed, as the case may be, in the Netherlands (a </w:t>
      </w:r>
      <w:r>
        <w:rPr>
          <w:rFonts w:ascii="Times New Roman" w:hAnsi="Times New Roman"/>
          <w:sz w:val="20"/>
          <w:u w:val="single"/>
        </w:rPr>
        <w:t>Dutch Guarantor</w:t>
      </w:r>
      <w:r>
        <w:rPr>
          <w:rFonts w:ascii="Times New Roman" w:hAnsi="Times New Roman"/>
          <w:sz w:val="20"/>
        </w:rPr>
        <w:t>) and, by its acceptance hereof, each Holder, hereby confirm that the Dutch Guarantors shall not be liable under its Note Guarantee to the extent that, if it were so liable, its entry into its Note Guarantee would violate (a) section 2:98c of the Dutch Civil Code, (b) its corporate interest or (c) section 3:45 of the Dutch Civil Code or sections 42 or 43 of the Dutch Bankruptcy Act (</w:t>
      </w:r>
      <w:r>
        <w:rPr>
          <w:rFonts w:ascii="Times New Roman" w:hAnsi="Times New Roman"/>
          <w:i/>
          <w:sz w:val="20"/>
        </w:rPr>
        <w:t>Faillissementswet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Limitations Applicable to the Luxembourg Guarantors</w:t>
      </w:r>
      <w:r>
        <w:rPr>
          <w:rFonts w:ascii="Times New Roman" w:hAnsi="Times New Roman"/>
          <w:sz w:val="20"/>
        </w:rPr>
        <w:t>. Each Guarantor incorporated, organized or formed, as the case may be, in Luxembourg or which may be incorporated, organized or formed in the future, as the case may be, in Luxembourg (a </w:t>
      </w:r>
      <w:r>
        <w:rPr>
          <w:rFonts w:ascii="Times New Roman" w:hAnsi="Times New Roman"/>
          <w:sz w:val="20"/>
          <w:u w:val="single"/>
        </w:rPr>
        <w:t>Luxembourg Guarantor</w:t>
      </w:r>
      <w:r>
        <w:rPr>
          <w:rFonts w:ascii="Times New Roman" w:hAnsi="Times New Roman"/>
          <w:sz w:val="20"/>
        </w:rPr>
        <w:t>) and, by its acceptance hereof, each Holder, hereby confirm that all liabilities and obligations of such Luxembourg Guarantor arising under any Guarantee, including, without limitation, under any Note Guarantee, shall (a) not in any circumstances include any obligation or liability which, if incurred, would constitute a misuse of corporate assets under article 1500-11 of the Luxembourg law on commercial companies dated 10 August 1915, as amended from time to time (the </w:t>
      </w:r>
      <w:r>
        <w:rPr>
          <w:rFonts w:ascii="Times New Roman" w:hAnsi="Times New Roman"/>
          <w:sz w:val="20"/>
          <w:u w:val="single"/>
        </w:rPr>
        <w:t>1915 Law</w:t>
      </w:r>
      <w:r>
        <w:rPr>
          <w:rFonts w:ascii="Times New Roman" w:hAnsi="Times New Roman"/>
          <w:sz w:val="20"/>
        </w:rPr>
        <w:t>) and (b) be limited, at all times, to an aggregate amount that does not exceed eighty percent (80%) of (i) the sum of such Luxembourg Guarantors </w:t>
      </w:r>
      <w:r>
        <w:rPr>
          <w:rFonts w:ascii="Times New Roman" w:hAnsi="Times New Roman"/>
          <w:i/>
          <w:sz w:val="20"/>
        </w:rPr>
        <w:t>capitaux propres</w:t>
      </w:r>
      <w:r>
        <w:rPr>
          <w:rFonts w:ascii="Times New Roman" w:hAnsi="Times New Roman"/>
          <w:sz w:val="20"/>
        </w:rPr>
        <w:t> (as referred to in Annex I to the Luxembourg Grand-Ducal Regulation dated 18 December 2015 setting out the form and content of the presentation of the balance sheet and profit and loss account and implementing articles 34, 35, 46, and 47 of the Luxembourg law of 19 December 2002 on the register of commerce and companies and the accounting and annual accounts of undertakings, as amended) (the </w:t>
      </w:r>
      <w:r>
        <w:rPr>
          <w:rFonts w:ascii="Times New Roman" w:hAnsi="Times New Roman"/>
          <w:sz w:val="20"/>
          <w:u w:val="single"/>
        </w:rPr>
        <w:t>Net Assets</w:t>
      </w:r>
      <w:r>
        <w:rPr>
          <w:rFonts w:ascii="Times New Roman" w:hAnsi="Times New Roman"/>
          <w:sz w:val="20"/>
        </w:rPr>
        <w:t>) and its </w:t>
      </w:r>
      <w:r>
        <w:rPr>
          <w:rFonts w:ascii="Times New Roman" w:hAnsi="Times New Roman"/>
          <w:i/>
          <w:sz w:val="20"/>
        </w:rPr>
        <w:t>dettes subordonnées</w:t>
      </w:r>
      <w:r>
        <w:rPr>
          <w:rFonts w:ascii="Times New Roman" w:hAnsi="Times New Roman"/>
          <w:sz w:val="20"/>
        </w:rPr>
        <w:t> (as referred to in account 191 of the standard chart of accounts attached to the Luxembourg Grand-Ducal Regulation dated 10 June 2009 setting out the form and content of a standard chart of accounts, as the same may be amended or replaced) (the </w:t>
      </w:r>
      <w:r>
        <w:rPr>
          <w:rFonts w:ascii="Times New Roman" w:hAnsi="Times New Roman"/>
          <w:sz w:val="20"/>
          <w:u w:val="single"/>
        </w:rPr>
        <w:t>Subordinated Debts</w:t>
      </w:r>
      <w:r>
        <w:rPr>
          <w:rFonts w:ascii="Times New Roman" w:hAnsi="Times New Roman"/>
          <w:sz w:val="20"/>
        </w:rPr>
        <w:t xml:space="preserve">), as reflected in the most recently available annual accounts of such Luxembourg Guarantor as at the date on which any Guarantee is realised and (ii) the sum of that Luxembourg Guarantors Net Assets and Subordinated Debts, as reflected in its last annual accounts available as at the date of execution of this Indenture (whether as an original party or by way of accession). The obligations of a Luxembourg Guarantor in respect of this Indenture and/or any Guarantee shall not extend to the guaranteeing or securing of any amount which would breach the prohibitions on financial assistance set out in the 1915 Law.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Limitations Applicable to Other Guarantors</w:t>
      </w:r>
      <w:r>
        <w:rPr>
          <w:rFonts w:ascii="Times New Roman" w:hAnsi="Times New Roman"/>
          <w:sz w:val="20"/>
        </w:rPr>
        <w:t>. Each Guarantor that is incorporated, organized or formed, as the case may be, under the laws of any jurisdiction other than one set forth in clauses (1) through (7) above (an </w:t>
      </w:r>
      <w:r>
        <w:rPr>
          <w:rFonts w:ascii="Times New Roman" w:hAnsi="Times New Roman"/>
          <w:sz w:val="20"/>
          <w:u w:val="single"/>
        </w:rPr>
        <w:t>Other Guarantor</w:t>
      </w:r>
      <w:r>
        <w:rPr>
          <w:rFonts w:ascii="Times New Roman" w:hAnsi="Times New Roman"/>
          <w:sz w:val="20"/>
        </w:rPr>
        <w:t xml:space="preserve">), and by its acceptance hereof, each Holder, hereby confirm that it is the intention of all such parties that the Guarantee of an Other Guarantor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 a fraudulent transfer or conveyance for purposes applicable law. To effectuate the foregoing intention, each Holder and each Other Guarantor hereby irrevocably agree that the obligations of an Other Guarantor under its Note Guarantee shall be limited to the maximum amount as will, after giving effect to all other contingent and fixed liabilities of such Other Guarantor result in the obligations of such Other Guarantor not constituting such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Net Assets</w:t>
      </w:r>
      <w:r>
        <w:rPr>
          <w:rFonts w:ascii="Times New Roman" w:hAnsi="Times New Roman"/>
          <w:sz w:val="20"/>
        </w:rPr>
        <w:t xml:space="preserve"> of a Guarantor at any date means the lesser of (1) the amount by which (x) the fair value of the assets of such Guarantor exceeds the total amount of liabilities, including, without limitation, contingent liabilities, but excluding liabilities under its Note Guarantee, of such Guarantor at such date and (y) the present fair salable value of the assets of such Guarantor at such date exceeds (2) the amount that will be required to pay the probable liability of such Guarantor on its debts (after giving effect to all other fixed and contingent liabilities and after giving effect to any collection from any Subsidiary of such Guarantor in respect of the obligations of such Guarantor under its Note Guarantee), excluding Indebtedness in respect of its Note Guarantee, as they become absolute and matured. </w:t>
      </w:r>
    </w:p>
    <w:p>
      <w:pPr>
        <w:pStyle w:val="TextBody"/>
        <w:bidi w:val="0"/>
        <w:spacing w:before="240" w:after="0"/>
        <w:jc w:val="left"/>
        <w:rPr>
          <w:rFonts w:ascii="Times New Roman" w:hAnsi="Times New Roman"/>
          <w:sz w:val="20"/>
        </w:rPr>
      </w:pPr>
      <w:r>
        <w:rPr>
          <w:rFonts w:ascii="Times New Roman" w:hAnsi="Times New Roman"/>
          <w:sz w:val="20"/>
        </w:rPr>
        <w:t xml:space="preserve">(b) If following the date of this Indenture and notwithstanding anything in Section 8.02 to the contrary: </w:t>
      </w:r>
    </w:p>
    <w:p>
      <w:pPr>
        <w:pStyle w:val="TextBody"/>
        <w:bidi w:val="0"/>
        <w:spacing w:before="120" w:after="0"/>
        <w:jc w:val="left"/>
        <w:rPr>
          <w:rFonts w:ascii="Times New Roman" w:hAnsi="Times New Roman"/>
          <w:sz w:val="20"/>
        </w:rPr>
      </w:pPr>
      <w:r>
        <w:rPr>
          <w:rFonts w:ascii="Times New Roman" w:hAnsi="Times New Roman"/>
          <w:sz w:val="20"/>
        </w:rPr>
        <w:t>(1) (i) there shall be any change in the laws of the jurisdictions set forth in clauses (1) through (8) of subsection (a) of this Section 10.06 or (ii) any Restricted Subsidiary incorporated, organized or formed, as the case may be, under the laws of any jurisdiction other than ones set forth in clauses (1) through (8) of subsection (a) of this Section 10.06 (a </w:t>
      </w:r>
      <w:r>
        <w:rPr>
          <w:rFonts w:ascii="Times New Roman" w:hAnsi="Times New Roman"/>
          <w:sz w:val="20"/>
          <w:u w:val="single"/>
        </w:rPr>
        <w:t>Future Guarantor</w:t>
      </w:r>
      <w:r>
        <w:rPr>
          <w:rFonts w:ascii="Times New Roman" w:hAnsi="Times New Roman"/>
          <w:sz w:val="20"/>
        </w:rPr>
        <w:t xml:space="preserve">) shall be required to execute a Note Guarantee and the Issuer shall reasonably determine that clause (9) with respect to Other Guarantors shall not adequately address the limitations on such Guarantee imposed by applicable law of the jurisdiction of incorporation, organization or formation, as the case may be, of any such Future Guarantor; or </w:t>
      </w:r>
    </w:p>
    <w:p>
      <w:pPr>
        <w:pStyle w:val="TextBody"/>
        <w:bidi w:val="0"/>
        <w:spacing w:before="120" w:after="0"/>
        <w:jc w:val="left"/>
        <w:rPr>
          <w:rFonts w:ascii="Times New Roman" w:hAnsi="Times New Roman"/>
          <w:sz w:val="20"/>
        </w:rPr>
      </w:pPr>
      <w:r>
        <w:rPr>
          <w:rFonts w:ascii="Times New Roman" w:hAnsi="Times New Roman"/>
          <w:sz w:val="20"/>
        </w:rPr>
        <w:t xml:space="preserve">(2) the Issuer shall reasonably determine that it shall be necessary or advisable to amend the terms of clauses (1) through (8) of subsection (a) of this Section 10.06 or to add additional provisions related to the limitations imposed on the Note Guarantee of a Future Guarantor, </w:t>
      </w:r>
    </w:p>
    <w:p>
      <w:pPr>
        <w:pStyle w:val="TextBody"/>
        <w:bidi w:val="0"/>
        <w:spacing w:before="240" w:after="0"/>
        <w:jc w:val="left"/>
        <w:rPr>
          <w:rFonts w:ascii="Times New Roman" w:hAnsi="Times New Roman"/>
          <w:sz w:val="20"/>
        </w:rPr>
      </w:pPr>
      <w:r>
        <w:rPr>
          <w:rFonts w:ascii="Times New Roman" w:hAnsi="Times New Roman"/>
          <w:sz w:val="20"/>
        </w:rPr>
        <w:t xml:space="preserve">then upon the delivery of an Officers Certificate and Opinion of Counsel reasonably satisfactory to the Trustee, the Issuer shall be entitled to amend such clauses or add such additional provisions (including any related modifications to the form of Guarantee attached hereto as </w:t>
      </w:r>
      <w:r>
        <w:rPr>
          <w:rFonts w:ascii="Times New Roman" w:hAnsi="Times New Roman"/>
          <w:sz w:val="20"/>
          <w:u w:val="single"/>
        </w:rPr>
        <w:t>Exhibit I</w:t>
      </w:r>
      <w:r>
        <w:rPr>
          <w:rFonts w:ascii="Times New Roman" w:hAnsi="Times New Roman"/>
          <w:sz w:val="20"/>
        </w:rPr>
        <w:t xml:space="preserve">), as the case may be, in order for the Note Guarantee of a Guarantor not to so violate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ELEVEN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TIA §§ 310 through 317 that impose duties on any Person (including the provisions automatically deemed included unless expressly excluded by this Indenture) are a part of and govern this Indenture, whether or not physically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Issuer 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0" w:after="0"/>
        <w:jc w:val="left"/>
        <w:rPr>
          <w:rFonts w:ascii="Times New Roman" w:hAnsi="Times New Roman"/>
          <w:sz w:val="20"/>
        </w:rPr>
      </w:pPr>
      <w:r>
        <w:rPr>
          <w:rFonts w:ascii="Times New Roman" w:hAnsi="Times New Roman"/>
          <w:sz w:val="20"/>
        </w:rPr>
        <w:t xml:space="preserve">Attn: Timothy Donahue </w:t>
      </w:r>
    </w:p>
    <w:p>
      <w:pPr>
        <w:pStyle w:val="TextBody"/>
        <w:bidi w:val="0"/>
        <w:spacing w:before="0" w:after="0"/>
        <w:jc w:val="left"/>
        <w:rPr>
          <w:rFonts w:ascii="Times New Roman" w:hAnsi="Times New Roman"/>
          <w:sz w:val="20"/>
        </w:rPr>
      </w:pPr>
      <w:r>
        <w:rPr>
          <w:rFonts w:ascii="Times New Roman" w:hAnsi="Times New Roman"/>
          <w:sz w:val="20"/>
        </w:rPr>
        <w:t xml:space="preserve">Telephone: 33 1 4918 4000 </w:t>
      </w:r>
    </w:p>
    <w:p>
      <w:pPr>
        <w:pStyle w:val="TextBody"/>
        <w:bidi w:val="0"/>
        <w:spacing w:before="0" w:after="0"/>
        <w:jc w:val="left"/>
        <w:rPr>
          <w:rFonts w:ascii="Times New Roman" w:hAnsi="Times New Roman"/>
          <w:sz w:val="20"/>
        </w:rPr>
      </w:pPr>
      <w:r>
        <w:rPr>
          <w:rFonts w:ascii="Times New Roman" w:hAnsi="Times New Roman"/>
          <w:sz w:val="20"/>
        </w:rPr>
        <w:t xml:space="preserve">Facsimile: 33 1 4918 4001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Crown Holdings, Inc. </w:t>
      </w:r>
    </w:p>
    <w:p>
      <w:pPr>
        <w:pStyle w:val="TextBody"/>
        <w:bidi w:val="0"/>
        <w:spacing w:before="0" w:after="0"/>
        <w:jc w:val="left"/>
        <w:rPr>
          <w:rFonts w:ascii="Times New Roman" w:hAnsi="Times New Roman"/>
          <w:sz w:val="20"/>
        </w:rPr>
      </w:pPr>
      <w:r>
        <w:rPr>
          <w:rFonts w:ascii="Times New Roman" w:hAnsi="Times New Roman"/>
          <w:sz w:val="20"/>
        </w:rPr>
        <w:t xml:space="preserve">770 Township Line Road </w:t>
      </w:r>
    </w:p>
    <w:p>
      <w:pPr>
        <w:pStyle w:val="TextBody"/>
        <w:bidi w:val="0"/>
        <w:spacing w:before="0" w:after="0"/>
        <w:jc w:val="left"/>
        <w:rPr>
          <w:rFonts w:ascii="Times New Roman" w:hAnsi="Times New Roman"/>
          <w:sz w:val="20"/>
        </w:rPr>
      </w:pPr>
      <w:r>
        <w:rPr>
          <w:rFonts w:ascii="Times New Roman" w:hAnsi="Times New Roman"/>
          <w:sz w:val="20"/>
        </w:rPr>
        <w:t xml:space="preserve">Yardley, PA 19067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(215) 698-5100 </w:t>
      </w:r>
    </w:p>
    <w:p>
      <w:pPr>
        <w:pStyle w:val="TextBody"/>
        <w:bidi w:val="0"/>
        <w:spacing w:before="0" w:after="0"/>
        <w:jc w:val="left"/>
        <w:rPr>
          <w:rFonts w:ascii="Times New Roman" w:hAnsi="Times New Roman"/>
          <w:sz w:val="20"/>
        </w:rPr>
      </w:pPr>
      <w:r>
        <w:rPr>
          <w:rFonts w:ascii="Times New Roman" w:hAnsi="Times New Roman"/>
          <w:sz w:val="20"/>
        </w:rPr>
        <w:t xml:space="preserve">Facsimile: (215) 676-6011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Dechert LLP </w:t>
      </w:r>
    </w:p>
    <w:p>
      <w:pPr>
        <w:pStyle w:val="TextBody"/>
        <w:bidi w:val="0"/>
        <w:spacing w:before="0" w:after="0"/>
        <w:jc w:val="left"/>
        <w:rPr>
          <w:rFonts w:ascii="Times New Roman" w:hAnsi="Times New Roman"/>
          <w:sz w:val="20"/>
        </w:rPr>
      </w:pPr>
      <w:r>
        <w:rPr>
          <w:rFonts w:ascii="Times New Roman" w:hAnsi="Times New Roman"/>
          <w:sz w:val="20"/>
        </w:rPr>
        <w:t xml:space="preserve">Cira Center </w:t>
      </w:r>
    </w:p>
    <w:p>
      <w:pPr>
        <w:pStyle w:val="TextBody"/>
        <w:bidi w:val="0"/>
        <w:spacing w:before="0" w:after="0"/>
        <w:jc w:val="left"/>
        <w:rPr>
          <w:rFonts w:ascii="Times New Roman" w:hAnsi="Times New Roman"/>
          <w:sz w:val="20"/>
        </w:rPr>
      </w:pPr>
      <w:r>
        <w:rPr>
          <w:rFonts w:ascii="Times New Roman" w:hAnsi="Times New Roman"/>
          <w:sz w:val="20"/>
        </w:rPr>
        <w:t xml:space="preserve">2929 Arch Street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p>
      <w:pPr>
        <w:pStyle w:val="TextBody"/>
        <w:bidi w:val="0"/>
        <w:spacing w:before="0" w:after="0"/>
        <w:jc w:val="left"/>
        <w:rPr>
          <w:rFonts w:ascii="Times New Roman" w:hAnsi="Times New Roman"/>
          <w:sz w:val="20"/>
        </w:rPr>
      </w:pPr>
      <w:r>
        <w:rPr>
          <w:rFonts w:ascii="Times New Roman" w:hAnsi="Times New Roman"/>
          <w:sz w:val="20"/>
        </w:rPr>
        <w:t xml:space="preserve">Attn: Ian A. Hartman </w:t>
      </w:r>
    </w:p>
    <w:p>
      <w:pPr>
        <w:pStyle w:val="TextBody"/>
        <w:bidi w:val="0"/>
        <w:spacing w:before="0" w:after="0"/>
        <w:jc w:val="left"/>
        <w:rPr>
          <w:rFonts w:ascii="Times New Roman" w:hAnsi="Times New Roman"/>
          <w:sz w:val="20"/>
        </w:rPr>
      </w:pPr>
      <w:r>
        <w:rPr>
          <w:rFonts w:ascii="Times New Roman" w:hAnsi="Times New Roman"/>
          <w:sz w:val="20"/>
        </w:rPr>
        <w:t xml:space="preserve">Telephone: (215) 994-4000 </w:t>
      </w:r>
    </w:p>
    <w:p>
      <w:pPr>
        <w:pStyle w:val="TextBody"/>
        <w:bidi w:val="0"/>
        <w:spacing w:before="0" w:after="0"/>
        <w:jc w:val="left"/>
        <w:rPr>
          <w:rFonts w:ascii="Times New Roman" w:hAnsi="Times New Roman"/>
          <w:sz w:val="20"/>
        </w:rPr>
      </w:pPr>
      <w:r>
        <w:rPr>
          <w:rFonts w:ascii="Times New Roman" w:hAnsi="Times New Roman"/>
          <w:sz w:val="20"/>
        </w:rPr>
        <w:t xml:space="preserve">Facsimile: (215) 994-2222 </w:t>
      </w:r>
    </w:p>
    <w:p>
      <w:pPr>
        <w:pStyle w:val="TextBody"/>
        <w:bidi w:val="0"/>
        <w:spacing w:before="12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Global Corporate Trust Services </w:t>
      </w:r>
    </w:p>
    <w:p>
      <w:pPr>
        <w:pStyle w:val="TextBody"/>
        <w:bidi w:val="0"/>
        <w:spacing w:before="0" w:after="0"/>
        <w:jc w:val="left"/>
        <w:rPr>
          <w:rFonts w:ascii="Times New Roman" w:hAnsi="Times New Roman"/>
          <w:sz w:val="20"/>
        </w:rPr>
      </w:pPr>
      <w:r>
        <w:rPr>
          <w:rFonts w:ascii="Times New Roman" w:hAnsi="Times New Roman"/>
          <w:sz w:val="20"/>
        </w:rPr>
        <w:t xml:space="preserve">Two Liberty Place </w:t>
      </w:r>
    </w:p>
    <w:p>
      <w:pPr>
        <w:pStyle w:val="TextBody"/>
        <w:bidi w:val="0"/>
        <w:spacing w:before="0" w:after="0"/>
        <w:jc w:val="left"/>
        <w:rPr>
          <w:rFonts w:ascii="Times New Roman" w:hAnsi="Times New Roman"/>
          <w:sz w:val="20"/>
        </w:rPr>
      </w:pPr>
      <w:r>
        <w:rPr>
          <w:rFonts w:ascii="Times New Roman" w:hAnsi="Times New Roman"/>
          <w:sz w:val="20"/>
        </w:rPr>
        <w:t xml:space="preserve">50 South 16th Street, Suite 2000 </w:t>
      </w:r>
    </w:p>
    <w:p>
      <w:pPr>
        <w:pStyle w:val="TextBody"/>
        <w:bidi w:val="0"/>
        <w:spacing w:before="0" w:after="0"/>
        <w:jc w:val="left"/>
        <w:rPr>
          <w:rFonts w:ascii="Times New Roman" w:hAnsi="Times New Roman"/>
          <w:sz w:val="20"/>
        </w:rPr>
      </w:pPr>
      <w:r>
        <w:rPr>
          <w:rFonts w:ascii="Times New Roman" w:hAnsi="Times New Roman"/>
          <w:sz w:val="20"/>
        </w:rPr>
        <w:t xml:space="preserve">Mail Station: EX-PA-WBSP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19102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Judge </w:t>
      </w:r>
    </w:p>
    <w:p>
      <w:pPr>
        <w:pStyle w:val="TextBody"/>
        <w:bidi w:val="0"/>
        <w:spacing w:before="0" w:after="0"/>
        <w:jc w:val="left"/>
        <w:rPr>
          <w:rFonts w:ascii="Times New Roman" w:hAnsi="Times New Roman"/>
          <w:sz w:val="20"/>
        </w:rPr>
      </w:pPr>
      <w:r>
        <w:rPr>
          <w:rFonts w:ascii="Times New Roman" w:hAnsi="Times New Roman"/>
          <w:sz w:val="20"/>
        </w:rPr>
        <w:t xml:space="preserve">Telephone: 215-761-9326 </w:t>
      </w:r>
    </w:p>
    <w:p>
      <w:pPr>
        <w:pStyle w:val="TextBody"/>
        <w:bidi w:val="0"/>
        <w:spacing w:before="0" w:after="0"/>
        <w:jc w:val="left"/>
        <w:rPr>
          <w:rFonts w:ascii="Times New Roman" w:hAnsi="Times New Roman"/>
          <w:sz w:val="20"/>
        </w:rPr>
      </w:pPr>
      <w:r>
        <w:rPr>
          <w:rFonts w:ascii="Times New Roman" w:hAnsi="Times New Roman"/>
          <w:sz w:val="20"/>
        </w:rPr>
        <w:t xml:space="preserve">Facsimile: 215-761-9412 </w:t>
      </w:r>
    </w:p>
    <w:p>
      <w:pPr>
        <w:pStyle w:val="TextBody"/>
        <w:bidi w:val="0"/>
        <w:spacing w:before="0" w:after="0"/>
        <w:jc w:val="left"/>
        <w:rPr>
          <w:rFonts w:ascii="Times New Roman" w:hAnsi="Times New Roman"/>
          <w:sz w:val="20"/>
        </w:rPr>
      </w:pPr>
      <w:r>
        <w:rPr>
          <w:rFonts w:ascii="Times New Roman" w:hAnsi="Times New Roman"/>
          <w:sz w:val="20"/>
        </w:rPr>
        <w:t xml:space="preserve">Email: Michael.Judge@usbank.com </w:t>
      </w:r>
    </w:p>
    <w:p>
      <w:pPr>
        <w:pStyle w:val="TextBody"/>
        <w:bidi w:val="0"/>
        <w:spacing w:before="120" w:after="0"/>
        <w:jc w:val="left"/>
        <w:rPr>
          <w:rFonts w:ascii="Times New Roman" w:hAnsi="Times New Roman"/>
          <w:sz w:val="20"/>
        </w:rPr>
      </w:pPr>
      <w:r>
        <w:rPr>
          <w:rFonts w:ascii="Times New Roman" w:hAnsi="Times New Roman"/>
          <w:sz w:val="20"/>
        </w:rPr>
        <w:t xml:space="preserve">If to the Paying Agent, the Registrar or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Elavon Financial Services DAC </w:t>
      </w:r>
    </w:p>
    <w:p>
      <w:pPr>
        <w:pStyle w:val="TextBody"/>
        <w:bidi w:val="0"/>
        <w:spacing w:before="0" w:after="0"/>
        <w:jc w:val="left"/>
        <w:rPr>
          <w:rFonts w:ascii="Times New Roman" w:hAnsi="Times New Roman"/>
          <w:sz w:val="20"/>
        </w:rPr>
      </w:pPr>
      <w:r>
        <w:rPr>
          <w:rFonts w:ascii="Times New Roman" w:hAnsi="Times New Roman"/>
          <w:sz w:val="20"/>
        </w:rPr>
        <w:t xml:space="preserve">Block F1, Cherrywood Business Park </w:t>
      </w:r>
    </w:p>
    <w:p>
      <w:pPr>
        <w:pStyle w:val="TextBody"/>
        <w:bidi w:val="0"/>
        <w:spacing w:before="0" w:after="0"/>
        <w:jc w:val="left"/>
        <w:rPr>
          <w:rFonts w:ascii="Times New Roman" w:hAnsi="Times New Roman"/>
          <w:sz w:val="20"/>
        </w:rPr>
      </w:pPr>
      <w:r>
        <w:rPr>
          <w:rFonts w:ascii="Times New Roman" w:hAnsi="Times New Roman"/>
          <w:sz w:val="20"/>
        </w:rPr>
        <w:t xml:space="preserve">Cherrywood, Dublin 18 </w:t>
      </w:r>
    </w:p>
    <w:p>
      <w:pPr>
        <w:pStyle w:val="TextBody"/>
        <w:bidi w:val="0"/>
        <w:spacing w:before="0" w:after="0"/>
        <w:jc w:val="left"/>
        <w:rPr>
          <w:rFonts w:ascii="Times New Roman" w:hAnsi="Times New Roman"/>
          <w:sz w:val="20"/>
        </w:rPr>
      </w:pPr>
      <w:r>
        <w:rPr>
          <w:rFonts w:ascii="Times New Roman" w:hAnsi="Times New Roman"/>
          <w:sz w:val="20"/>
        </w:rPr>
        <w:t xml:space="preserve">D18 W2X7, Ireland </w:t>
      </w:r>
    </w:p>
    <w:p>
      <w:pPr>
        <w:pStyle w:val="TextBody"/>
        <w:bidi w:val="0"/>
        <w:spacing w:before="0" w:after="0"/>
        <w:jc w:val="left"/>
        <w:rPr>
          <w:rFonts w:ascii="Times New Roman" w:hAnsi="Times New Roman"/>
          <w:sz w:val="20"/>
        </w:rPr>
      </w:pPr>
      <w:r>
        <w:rPr>
          <w:rFonts w:ascii="Times New Roman" w:hAnsi="Times New Roman"/>
          <w:sz w:val="20"/>
        </w:rPr>
        <w:t xml:space="preserve">Attn: Relationship Management Group </w:t>
      </w:r>
    </w:p>
    <w:p>
      <w:pPr>
        <w:pStyle w:val="TextBody"/>
        <w:bidi w:val="0"/>
        <w:spacing w:before="0" w:after="0"/>
        <w:jc w:val="left"/>
        <w:rPr>
          <w:rFonts w:ascii="Times New Roman" w:hAnsi="Times New Roman"/>
          <w:sz w:val="20"/>
        </w:rPr>
      </w:pPr>
      <w:r>
        <w:rPr>
          <w:rFonts w:ascii="Times New Roman" w:hAnsi="Times New Roman"/>
          <w:sz w:val="20"/>
        </w:rPr>
        <w:t xml:space="preserve">Facsimile: +44 207 365 2577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CDRM@usbank.com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the Guarantors or the Trustee by written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to a Holder is mailed in the manner provided above, it shall be deemed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Communications by Holders with Other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may communicate pursuant to TIA § 312(b) with other Holders with respect to their rights under this Indenture or the Notes. The Issuer, the Guarantors, the Trustee, the Registrar, each Agent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Issuer or any Guarantor to the Trustee to take any action under this Indenture, the Issuer or such Guarantor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(which shall include the statements set forth in Section 11.05 below) stating that, in the opinion of the signers, all conditions precedent and covenants,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(which shall include the statements set forth in Section 11.05 below) stating that, in the opinion of such counsel, all such conditions precedent and covenants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Statements Required in Certificate and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and opinion with respect to compliance by or on behalf of the Issuer or any Guarantor with a condition or covenant provided for in this Indenture shall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(4) a statement as to whether or not, in the opinion of such Person, such covenant or condition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meetings of Noteholders. The Registrar and Paying Agent may make reasonable rules for their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Business Days; 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Business Day</w:t>
      </w:r>
      <w:r>
        <w:rPr>
          <w:rFonts w:ascii="Times New Roman" w:hAnsi="Times New Roman"/>
          <w:sz w:val="20"/>
        </w:rPr>
        <w:t> is a day that is not a Legal Holiday. A </w:t>
      </w:r>
      <w:r>
        <w:rPr>
          <w:rFonts w:ascii="Times New Roman" w:hAnsi="Times New Roman"/>
          <w:sz w:val="20"/>
          <w:u w:val="single"/>
        </w:rPr>
        <w:t>Legal Holiday</w:t>
      </w:r>
      <w:r>
        <w:rPr>
          <w:rFonts w:ascii="Times New Roman" w:hAnsi="Times New Roman"/>
          <w:sz w:val="20"/>
        </w:rPr>
        <w:t xml:space="preserve"> is a Saturday, a Sunday or other day on which commercial banks in London, Luxembourg or France are authorized or required by law to close. 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security or debt agreement of Parent or any Subsidiary thereof. No such indenture, loan, security or debt agreement may be used to interpret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Issuer and the Guarantors in this Indenture and the Notes shall bind their respective successors. All agreements of the Trustee, any additional trustee and any Agents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Multiple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multiple counterparts of this Indenture. Each signed counterpart shall be deemed an original, but all of them together represent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sheet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EACH OF THE GUARANTORS AND THE TRUSTEE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Agent for Service; Submission to Jurisdiction; Waiver of Immunities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the execution and delivery of this Indenture, the Issuer and 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subsection (a)(i) above and (iii) agrees that service of process upon CT Corporation System and written notice of said service to the Issuer in accordance with this Section 11.16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this Indenture shall be in full force and effect or any of the Notes shall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Issuer or any Guarantor may, by written notice to the Trustee, designate such additional or alternative agent for service of process under this Section 11.16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Section 11.16. Such notice shall identify the name of such agent for process and the address of such agent for process in the Borough of Manhattan, The City of New York,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this Indenture, the Notes and the Note Guarantees. In addition, the Issuer and each Guarantor irrevocably waives and agrees not to assert, by way of motion, as a defense, or otherwise in any such suit, action or proceeding, any claim that it is not personally subject to the jurisdiction of the courts mentioned in subsection (a) of this Section 11.16 for any reason whatsoever, that such suit, action or proceeding is brought in an inconvenient forum or that the venue for such suit is improper, or that this Indenture, the Notes or the Note Guarantees or the subject matter hereof or thereof may not be enforced in such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Section 11.16 shall affect the right of the Trustee to serve legal process in any other manner permitted by law or affect the right of the Trustee to bring any action or proceeding against the Issuer or any Guarantor or its property in the courts of any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11.17. </w:t>
      </w:r>
      <w:r>
        <w:rPr>
          <w:rFonts w:ascii="Times New Roman" w:hAnsi="Times New Roman"/>
          <w:sz w:val="20"/>
          <w:u w:val="single"/>
        </w:rPr>
        <w:t>Currency of Account; Conversion of Currency; Foreign Exchange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Euros are the sole currency of account and payment for all sums payable by the Issuer and the Guarantors under or in connection with the Notes, the Note Guarantees or this Indenture, including damages related thereto. Any amount received or recovered in a currency other than Euro by a Holder of the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 If that Euro amount is less than the Euro amount expressed to be due to the recipient under the Notes, the Issuer shall indemnify it against any loss sustained by it as a result as set forth in subsection (b) of this Section 11.17. In any event, the Issuer and the Guarantors shall indemnify the recipient against the cost of making any such purchase. For the purposes of this Section 11.17, it will be sufficient for the Holder of a Note to certify in a satisfactory manner (indicating sources of information used) that it would have suffered a loss had an actual purchase of Euros been made with the amount so received in that other currency on the date of receipt or recovery (or, if a purchase of Euros on such date had not been practicable, on the first date on which it would have been practicable, it being required that the need for a change of date be certified in the manner mentioned above). The indemnities set forth in this Section 11.17 constitute separate and independent obligations from other obligations of the Issuer and the Guarantors, shall give rise to a separate and independent cause of action, shall apply irrespective of any indulgence granted by any Holder of the Notes and shall continue in full force and effect despite any other judgment, order, claim or proof for a liquidated amount in respect of any sum due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(b) The Issuer and the Guarantors, jointly and severally, covenant and agree that the following provisions shall apply to conversion of currency in the case of the Notes, the Note Guarantees and this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18"/>
        <w:gridCol w:w="8471"/>
      </w:tblGrid>
      <w:tr>
        <w:trPr/>
        <w:tc>
          <w:tcPr>
            <w:tcW w:w="81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(1)  (A)</w:t>
            </w:r>
          </w:p>
        </w:tc>
        <w:tc>
          <w:tcPr>
            <w:tcW w:w="8471" w:type="dxa"/>
            <w:tcBorders/>
          </w:tcPr>
          <w:p>
            <w:pPr>
              <w:pStyle w:val="TableContents"/>
              <w:bidi w:val="0"/>
              <w:spacing w:before="0" w:after="0"/>
              <w:jc w:val="left"/>
              <w:rPr>
                <w:rFonts w:ascii="Times New Roman" w:hAnsi="Times New Roman"/>
                <w:sz w:val="20"/>
              </w:rPr>
            </w:pPr>
            <w:r>
              <w:rPr>
                <w:rFonts w:ascii="Times New Roman" w:hAnsi="Times New Roman"/>
                <w:sz w:val="20"/>
              </w:rPr>
              <w:t>If for the purpose of obtaining judgment in, or enforcing the judgment of, any court in any country, it becomes necessary to convert into a currency (the </w:t>
            </w:r>
            <w:r>
              <w:rPr>
                <w:rFonts w:ascii="Times New Roman" w:hAnsi="Times New Roman"/>
                <w:sz w:val="20"/>
                <w:u w:val="single"/>
              </w:rPr>
              <w:t>Judgment Currency</w:t>
            </w:r>
            <w:r>
              <w:rPr>
                <w:rFonts w:ascii="Times New Roman" w:hAnsi="Times New Roman"/>
                <w:sz w:val="20"/>
              </w:rPr>
              <w:t>) an amount due in any other currency (the </w:t>
            </w:r>
            <w:r>
              <w:rPr>
                <w:rFonts w:ascii="Times New Roman" w:hAnsi="Times New Roman"/>
                <w:sz w:val="20"/>
                <w:u w:val="single"/>
              </w:rPr>
              <w:t>Base Currency</w:t>
            </w:r>
            <w:r>
              <w:rPr>
                <w:rFonts w:ascii="Times New Roman" w:hAnsi="Times New Roman"/>
                <w:sz w:val="20"/>
              </w:rPr>
              <w:t xml:space="preserve">), then the conversion shall be made at the rate of exchange prevailing on the Business Day before the day on which the judgment is given or the order of enforcement is made, as the case may be (unless a court shall otherwise determine).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 (i) the date as of which the Euro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contained in subsections (a), (b)(1)(B) and (b)(2) of this Section 11.17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 not be deemed to be reduced by any variation in rates of exchange occurring between the said final date and the date of any liquidating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11.18. </w:t>
      </w:r>
      <w:r>
        <w:rPr>
          <w:rFonts w:ascii="Times New Roman" w:hAnsi="Times New Roman"/>
          <w:sz w:val="20"/>
          <w:u w:val="single"/>
        </w:rPr>
        <w:t>BRRD and Other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Paying Agent, Registrar and Transfer Agent are authorised and regulated by the Central Bank of Ireland (</w:t>
      </w:r>
      <w:r>
        <w:rPr>
          <w:rFonts w:ascii="Times New Roman" w:hAnsi="Times New Roman"/>
          <w:sz w:val="20"/>
          <w:u w:val="single"/>
        </w:rPr>
        <w:t>CBOI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worldwide effort against the funding of terrorism and money laundering activities, the Paying Agent, Registrar and Transfer Agent may be required under various national laws and regulations to which they are subject to obtain, verify and record information that identifies each person who opens an account with it. For a non-individual person such as a business entity, a charity, a trust or other legal entity the Paying Agent, Registrar and Transfer Agent shall be entitled to ask for documentation to verify such entitys formation and legal existence as well as financial statements, licenses, identification and authorisation documents from individuals claiming authority to represent the entity or other relevant documentation. </w:t>
      </w:r>
    </w:p>
    <w:p>
      <w:pPr>
        <w:pStyle w:val="TextBody"/>
        <w:bidi w:val="0"/>
        <w:spacing w:before="240" w:after="0"/>
        <w:jc w:val="left"/>
        <w:rPr>
          <w:rFonts w:ascii="Times New Roman" w:hAnsi="Times New Roman"/>
          <w:sz w:val="20"/>
        </w:rPr>
      </w:pPr>
      <w:r>
        <w:rPr>
          <w:rFonts w:ascii="Times New Roman" w:hAnsi="Times New Roman"/>
          <w:sz w:val="20"/>
        </w:rPr>
        <w:t xml:space="preserve">(c) The parties to this Indenture acknowledge and agree that the obligations of Paying Agent, Registrar and Transfer Agent under this Indenture are limited by and subject to compliance by them with EU and US Federal anti-money laundering statutes and regulations. If the Paying Agent, Registrar and Transfer Agent or any of their directors know or suspect that a payment is the proceeds of criminal conduct, such person is required to report such information pursuant to the applicable authorities and such report shall not be treated as a breach by such person of any confidentiality covenant or other restriction imposed on such person under this Indenture, by law or otherwise on the disclosure of information. The Paying Agent, Registrar and Transfer Agent shall be indemnified and held harmless by the Issuer from and against all losses suffered by them that may arise as a result of the agents being prevented from fulfilling their obligations hereunder due to the extent doing so would not be consistent with applicable statutory anti-money laundering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in this Indenture or in any other agreement, arrangement or understanding among any such parties, each party hereto acknowledges that any liability of Paying Agent, Registrar and Transfer Agent arising under this Indenture or any such other document, to the extent such liability is unsecured or not otherwise exempted, may be subject to the Write-Down and Conversion Powers of a Resolution Authority and agrees and consents to, and acknowledges and agrees to be bound by: (1) the application of any Write-Down and Conversion Powers by a Resolution Authority to any such liabilities arising hereunder which may be payable to it by any party hereto; and (2)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any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(e) For the purpose of sub-clause (d) above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any public administrative authority or any person entrusted with public administrative authority to exercise any Write-down and Conversion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in relation to any Bail-In Legislation described in the EU Bail-In Legislation Schedule from time to time, the powers described as such in relation to that Bail-In Legislation in the EU Bail-In Legislation Schedule; and (b) 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Indenture to be duly executed all as of the date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EUROPEAN HOLDINGS S.A.</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Kevin C. Clothier</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Administrateur/DG Délégué</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u w:val="single"/>
              </w:rPr>
              <w:t>GUARANTORS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HOLDINGS, INC.</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0"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5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Kevin C. Clothier</w:t>
            </w:r>
          </w:p>
        </w:tc>
      </w:tr>
      <w:tr>
        <w:trPr/>
        <w:tc>
          <w:tcPr>
            <w:tcW w:w="65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Senior Vice President &amp;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7"/>
        <w:gridCol w:w="60"/>
        <w:gridCol w:w="3435"/>
      </w:tblGrid>
      <w:tr>
        <w:trPr/>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AMERICAS LLC</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3"/>
        <w:gridCol w:w="60"/>
        <w:gridCol w:w="3379"/>
      </w:tblGrid>
      <w:tr>
        <w:trPr/>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CR USA, INC.</w:t>
            </w:r>
          </w:p>
          <w:p>
            <w:pPr>
              <w:pStyle w:val="TableContents"/>
              <w:bidi w:val="0"/>
              <w:spacing w:before="0" w:after="0"/>
              <w:jc w:val="left"/>
              <w:rPr>
                <w:rFonts w:ascii="Times New Roman" w:hAnsi="Times New Roman"/>
                <w:sz w:val="20"/>
              </w:rPr>
            </w:pPr>
            <w:r>
              <w:rPr>
                <w:rFonts w:ascii="Times New Roman" w:hAnsi="Times New Roman"/>
                <w:sz w:val="20"/>
              </w:rPr>
              <w:t>CROWN BEVERAGE PACKAGING</w:t>
            </w:r>
          </w:p>
          <w:p>
            <w:pPr>
              <w:pStyle w:val="TableContents"/>
              <w:bidi w:val="0"/>
              <w:spacing w:before="0" w:after="20"/>
              <w:jc w:val="left"/>
              <w:rPr>
                <w:rFonts w:ascii="Times New Roman" w:hAnsi="Times New Roman"/>
                <w:sz w:val="20"/>
              </w:rPr>
            </w:pPr>
            <w:r>
              <w:rPr>
                <w:rFonts w:ascii="Times New Roman" w:hAnsi="Times New Roman"/>
                <w:sz w:val="20"/>
              </w:rPr>
              <w:t>PUERTO RICO, INC.</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tcPr>
          <w:p>
            <w:pPr>
              <w:pStyle w:val="TableContents"/>
              <w:bidi w:val="0"/>
              <w:spacing w:before="0" w:after="283"/>
              <w:jc w:val="left"/>
              <w:rPr/>
            </w:pPr>
            <w:r>
              <w:rPr/>
              <w:t>/s/ Christy L. Kalaus     </w:t>
            </w:r>
          </w:p>
        </w:tc>
      </w:tr>
      <w:tr>
        <w:trPr/>
        <w:tc>
          <w:tcPr>
            <w:tcW w:w="64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Christy L. Kalaus</w:t>
            </w:r>
          </w:p>
        </w:tc>
      </w:tr>
      <w:tr>
        <w:trPr/>
        <w:tc>
          <w:tcPr>
            <w:tcW w:w="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Vice President &amp; Controller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CROWN CONSULTANTS, INC.</w:t>
            </w:r>
          </w:p>
          <w:p>
            <w:pPr>
              <w:pStyle w:val="TableContents"/>
              <w:bidi w:val="0"/>
              <w:spacing w:before="0" w:after="20"/>
              <w:jc w:val="left"/>
              <w:rPr>
                <w:rFonts w:ascii="Times New Roman" w:hAnsi="Times New Roman"/>
                <w:sz w:val="20"/>
              </w:rPr>
            </w:pPr>
            <w:r>
              <w:rPr>
                <w:rFonts w:ascii="Times New Roman" w:hAnsi="Times New Roman"/>
                <w:sz w:val="20"/>
              </w:rPr>
              <w:t>CROWN FINANCIAL CORPORATION</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4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Kevin C. Clothier</w:t>
            </w:r>
          </w:p>
        </w:tc>
      </w:tr>
      <w:tr>
        <w:trPr/>
        <w:tc>
          <w:tcPr>
            <w:tcW w:w="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COMPANY (DE), LLC</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4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0"/>
              <w:jc w:val="left"/>
              <w:rPr>
                <w:rFonts w:ascii="Times New Roman" w:hAnsi="Times New Roman"/>
                <w:sz w:val="20"/>
              </w:rPr>
            </w:pPr>
            <w:r>
              <w:rPr>
                <w:rFonts w:ascii="Times New Roman" w:hAnsi="Times New Roman"/>
                <w:sz w:val="20"/>
              </w:rPr>
              <w:t>Kevin C. Clothier</w:t>
            </w:r>
          </w:p>
        </w:tc>
      </w:tr>
      <w:tr>
        <w:trPr/>
        <w:tc>
          <w:tcPr>
            <w:tcW w:w="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CORK &amp; SEAL USA,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INDUSTRIAL GROUP US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MANUFACTURERS</w:t>
            </w:r>
          </w:p>
          <w:p>
            <w:pPr>
              <w:pStyle w:val="TableContents"/>
              <w:bidi w:val="0"/>
              <w:spacing w:before="0" w:after="0"/>
              <w:jc w:val="left"/>
              <w:rPr>
                <w:rFonts w:ascii="Times New Roman" w:hAnsi="Times New Roman"/>
                <w:sz w:val="20"/>
              </w:rPr>
            </w:pPr>
            <w:r>
              <w:rPr>
                <w:rFonts w:ascii="Times New Roman" w:hAnsi="Times New Roman"/>
                <w:sz w:val="20"/>
              </w:rPr>
              <w:t>FINANCE CORPORATION</w:t>
            </w:r>
          </w:p>
          <w:p>
            <w:pPr>
              <w:pStyle w:val="TableContents"/>
              <w:bidi w:val="0"/>
              <w:spacing w:before="0" w:after="0"/>
              <w:jc w:val="left"/>
              <w:rPr>
                <w:rFonts w:ascii="Times New Roman" w:hAnsi="Times New Roman"/>
                <w:sz w:val="20"/>
              </w:rPr>
            </w:pPr>
            <w:r>
              <w:rPr>
                <w:rFonts w:ascii="Times New Roman" w:hAnsi="Times New Roman"/>
                <w:sz w:val="20"/>
              </w:rPr>
              <w:t>CROWN CORK &amp; SEAL COMPANY, INC.</w:t>
            </w:r>
          </w:p>
          <w:p>
            <w:pPr>
              <w:pStyle w:val="TableContents"/>
              <w:bidi w:val="0"/>
              <w:spacing w:before="0" w:after="0"/>
              <w:jc w:val="left"/>
              <w:rPr>
                <w:rFonts w:ascii="Times New Roman" w:hAnsi="Times New Roman"/>
                <w:sz w:val="20"/>
              </w:rPr>
            </w:pPr>
            <w:r>
              <w:rPr>
                <w:rFonts w:ascii="Times New Roman" w:hAnsi="Times New Roman"/>
                <w:sz w:val="20"/>
              </w:rPr>
              <w:t>CROWN INTERNATIONAL HOLDINGS, INC.</w:t>
            </w:r>
          </w:p>
          <w:p>
            <w:pPr>
              <w:pStyle w:val="TableContents"/>
              <w:bidi w:val="0"/>
              <w:spacing w:before="0" w:after="20"/>
              <w:jc w:val="left"/>
              <w:rPr>
                <w:rFonts w:ascii="Times New Roman" w:hAnsi="Times New Roman"/>
                <w:sz w:val="20"/>
              </w:rPr>
            </w:pPr>
            <w:r>
              <w:rPr>
                <w:rFonts w:ascii="Times New Roman" w:hAnsi="Times New Roman"/>
                <w:sz w:val="20"/>
              </w:rPr>
              <w:t>CROWN PACKAGING TECHNOLOGY,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BEVERAGE PACKAGING,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BEVERAGE HOLDINGS,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7"/>
        <w:gridCol w:w="60"/>
        <w:gridCol w:w="3435"/>
      </w:tblGrid>
      <w:tr>
        <w:trPr/>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INDUSTRIAL GROUP LLC</w:t>
            </w:r>
          </w:p>
          <w:p>
            <w:pPr>
              <w:pStyle w:val="TableContents"/>
              <w:bidi w:val="0"/>
              <w:spacing w:before="0" w:after="0"/>
              <w:jc w:val="left"/>
              <w:rPr>
                <w:rFonts w:ascii="Times New Roman" w:hAnsi="Times New Roman"/>
                <w:sz w:val="20"/>
              </w:rPr>
            </w:pPr>
            <w:r>
              <w:rPr>
                <w:rFonts w:ascii="Times New Roman" w:hAnsi="Times New Roman"/>
                <w:sz w:val="20"/>
              </w:rPr>
              <w:t>SIGNODE PICKLING HOLDING LLC</w:t>
            </w:r>
          </w:p>
          <w:p>
            <w:pPr>
              <w:pStyle w:val="TableContents"/>
              <w:bidi w:val="0"/>
              <w:spacing w:before="0" w:after="0"/>
              <w:jc w:val="left"/>
              <w:rPr>
                <w:rFonts w:ascii="Times New Roman" w:hAnsi="Times New Roman"/>
                <w:sz w:val="20"/>
              </w:rPr>
            </w:pPr>
            <w:r>
              <w:rPr>
                <w:rFonts w:ascii="Times New Roman" w:hAnsi="Times New Roman"/>
                <w:sz w:val="20"/>
              </w:rPr>
              <w:t>SIGNODE US IP HOLDINGS LLC</w:t>
            </w:r>
          </w:p>
          <w:p>
            <w:pPr>
              <w:pStyle w:val="TableContents"/>
              <w:bidi w:val="0"/>
              <w:spacing w:before="0" w:after="0"/>
              <w:jc w:val="left"/>
              <w:rPr>
                <w:rFonts w:ascii="Times New Roman" w:hAnsi="Times New Roman"/>
                <w:sz w:val="20"/>
              </w:rPr>
            </w:pPr>
            <w:r>
              <w:rPr>
                <w:rFonts w:ascii="Times New Roman" w:hAnsi="Times New Roman"/>
                <w:sz w:val="20"/>
              </w:rPr>
              <w:t>SIGNODE INDUSTRIAL GROUP</w:t>
            </w:r>
          </w:p>
          <w:p>
            <w:pPr>
              <w:pStyle w:val="TableContents"/>
              <w:bidi w:val="0"/>
              <w:spacing w:before="0" w:after="0"/>
              <w:jc w:val="left"/>
              <w:rPr>
                <w:rFonts w:ascii="Times New Roman" w:hAnsi="Times New Roman"/>
                <w:sz w:val="20"/>
              </w:rPr>
            </w:pPr>
            <w:r>
              <w:rPr>
                <w:rFonts w:ascii="Times New Roman" w:hAnsi="Times New Roman"/>
                <w:sz w:val="20"/>
              </w:rPr>
              <w:t>HOLDINGS US INC.</w:t>
            </w:r>
          </w:p>
          <w:p>
            <w:pPr>
              <w:pStyle w:val="TableContents"/>
              <w:bidi w:val="0"/>
              <w:spacing w:before="0" w:after="0"/>
              <w:jc w:val="left"/>
              <w:rPr>
                <w:rFonts w:ascii="Times New Roman" w:hAnsi="Times New Roman"/>
                <w:sz w:val="20"/>
              </w:rPr>
            </w:pPr>
            <w:r>
              <w:rPr>
                <w:rFonts w:ascii="Times New Roman" w:hAnsi="Times New Roman"/>
                <w:sz w:val="20"/>
              </w:rPr>
              <w:t>SIGNODE INTERNATIONAL</w:t>
            </w:r>
          </w:p>
          <w:p>
            <w:pPr>
              <w:pStyle w:val="TableContents"/>
              <w:bidi w:val="0"/>
              <w:spacing w:before="0" w:after="0"/>
              <w:jc w:val="left"/>
              <w:rPr>
                <w:rFonts w:ascii="Times New Roman" w:hAnsi="Times New Roman"/>
                <w:sz w:val="20"/>
              </w:rPr>
            </w:pPr>
            <w:r>
              <w:rPr>
                <w:rFonts w:ascii="Times New Roman" w:hAnsi="Times New Roman"/>
                <w:sz w:val="20"/>
              </w:rPr>
              <w:t>IP HOLDINGS LLC</w:t>
            </w:r>
          </w:p>
          <w:p>
            <w:pPr>
              <w:pStyle w:val="TableContents"/>
              <w:bidi w:val="0"/>
              <w:spacing w:before="0" w:after="0"/>
              <w:jc w:val="left"/>
              <w:rPr>
                <w:rFonts w:ascii="Times New Roman" w:hAnsi="Times New Roman"/>
                <w:sz w:val="20"/>
              </w:rPr>
            </w:pPr>
            <w:r>
              <w:rPr>
                <w:rFonts w:ascii="Times New Roman" w:hAnsi="Times New Roman"/>
                <w:sz w:val="20"/>
              </w:rPr>
              <w:t>SIMPLIMATIC ENGINEERING</w:t>
            </w:r>
          </w:p>
          <w:p>
            <w:pPr>
              <w:pStyle w:val="TableContents"/>
              <w:bidi w:val="0"/>
              <w:spacing w:before="0" w:after="0"/>
              <w:jc w:val="left"/>
              <w:rPr>
                <w:rFonts w:ascii="Times New Roman" w:hAnsi="Times New Roman"/>
                <w:sz w:val="20"/>
              </w:rPr>
            </w:pPr>
            <w:r>
              <w:rPr>
                <w:rFonts w:ascii="Times New Roman" w:hAnsi="Times New Roman"/>
                <w:sz w:val="20"/>
              </w:rPr>
              <w:t>HOLDINGS LLC</w:t>
            </w:r>
          </w:p>
          <w:p>
            <w:pPr>
              <w:pStyle w:val="TableContents"/>
              <w:bidi w:val="0"/>
              <w:spacing w:before="0" w:after="0"/>
              <w:jc w:val="left"/>
              <w:rPr>
                <w:rFonts w:ascii="Times New Roman" w:hAnsi="Times New Roman"/>
                <w:sz w:val="20"/>
              </w:rPr>
            </w:pPr>
            <w:r>
              <w:rPr>
                <w:rFonts w:ascii="Times New Roman" w:hAnsi="Times New Roman"/>
                <w:sz w:val="20"/>
              </w:rPr>
              <w:t>Simplimatic AUTOMATION LLC</w:t>
            </w:r>
          </w:p>
          <w:p>
            <w:pPr>
              <w:pStyle w:val="TableContents"/>
              <w:bidi w:val="0"/>
              <w:spacing w:before="0" w:after="0"/>
              <w:jc w:val="left"/>
              <w:rPr>
                <w:rFonts w:ascii="Times New Roman" w:hAnsi="Times New Roman"/>
                <w:sz w:val="20"/>
              </w:rPr>
            </w:pPr>
            <w:r>
              <w:rPr>
                <w:rFonts w:ascii="Times New Roman" w:hAnsi="Times New Roman"/>
                <w:sz w:val="20"/>
              </w:rPr>
              <w:t>SEH REAL ESTATE HOLDINGS LLC</w:t>
            </w:r>
          </w:p>
          <w:p>
            <w:pPr>
              <w:pStyle w:val="TableContents"/>
              <w:bidi w:val="0"/>
              <w:spacing w:before="0" w:after="0"/>
              <w:jc w:val="left"/>
              <w:rPr>
                <w:rFonts w:ascii="Times New Roman" w:hAnsi="Times New Roman"/>
                <w:sz w:val="20"/>
              </w:rPr>
            </w:pPr>
            <w:r>
              <w:rPr>
                <w:rFonts w:ascii="Times New Roman" w:hAnsi="Times New Roman"/>
                <w:sz w:val="20"/>
              </w:rPr>
              <w:t>SE INTERNATIONAL HOLDINGS LLC</w:t>
            </w:r>
          </w:p>
          <w:p>
            <w:pPr>
              <w:pStyle w:val="TableContents"/>
              <w:bidi w:val="0"/>
              <w:spacing w:before="0" w:after="20"/>
              <w:jc w:val="left"/>
              <w:rPr>
                <w:rFonts w:ascii="Times New Roman" w:hAnsi="Times New Roman"/>
                <w:sz w:val="20"/>
              </w:rPr>
            </w:pPr>
            <w:r>
              <w:rPr>
                <w:rFonts w:ascii="Times New Roman" w:hAnsi="Times New Roman"/>
                <w:sz w:val="20"/>
              </w:rPr>
              <w:t>SE INTERNATIONAL HOLDINGS II LLC</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Vice President &amp;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7"/>
        <w:gridCol w:w="60"/>
        <w:gridCol w:w="3435"/>
      </w:tblGrid>
      <w:tr>
        <w:trPr/>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3079939 NOVA SCOTIA</w:t>
            </w:r>
          </w:p>
          <w:p>
            <w:pPr>
              <w:pStyle w:val="TableContents"/>
              <w:bidi w:val="0"/>
              <w:spacing w:before="0" w:after="0"/>
              <w:jc w:val="left"/>
              <w:rPr>
                <w:rFonts w:ascii="Times New Roman" w:hAnsi="Times New Roman"/>
                <w:sz w:val="20"/>
              </w:rPr>
            </w:pPr>
            <w:r>
              <w:rPr>
                <w:rFonts w:ascii="Times New Roman" w:hAnsi="Times New Roman"/>
                <w:sz w:val="20"/>
              </w:rPr>
              <w:t>COMPANY/3079939 COMPAGNIE DE LA</w:t>
            </w:r>
          </w:p>
          <w:p>
            <w:pPr>
              <w:pStyle w:val="TableContents"/>
              <w:bidi w:val="0"/>
              <w:spacing w:before="0" w:after="0"/>
              <w:jc w:val="left"/>
              <w:rPr>
                <w:rFonts w:ascii="Times New Roman" w:hAnsi="Times New Roman"/>
                <w:sz w:val="20"/>
              </w:rPr>
            </w:pPr>
            <w:r>
              <w:rPr>
                <w:rFonts w:ascii="Times New Roman" w:hAnsi="Times New Roman"/>
                <w:sz w:val="20"/>
              </w:rPr>
              <w:t>NOUVELLE ECOSSE</w:t>
            </w:r>
          </w:p>
          <w:p>
            <w:pPr>
              <w:pStyle w:val="TableContents"/>
              <w:bidi w:val="0"/>
              <w:spacing w:before="0" w:after="0"/>
              <w:jc w:val="left"/>
              <w:rPr>
                <w:rFonts w:ascii="Times New Roman" w:hAnsi="Times New Roman"/>
                <w:sz w:val="20"/>
              </w:rPr>
            </w:pPr>
            <w:r>
              <w:rPr>
                <w:rFonts w:ascii="Times New Roman" w:hAnsi="Times New Roman"/>
                <w:sz w:val="20"/>
              </w:rPr>
              <w:t>889273 ONTARIO INC.</w:t>
            </w:r>
          </w:p>
          <w:p>
            <w:pPr>
              <w:pStyle w:val="TableContents"/>
              <w:bidi w:val="0"/>
              <w:spacing w:before="0" w:after="0"/>
              <w:jc w:val="left"/>
              <w:rPr>
                <w:rFonts w:ascii="Times New Roman" w:hAnsi="Times New Roman"/>
                <w:sz w:val="20"/>
              </w:rPr>
            </w:pPr>
            <w:r>
              <w:rPr>
                <w:rFonts w:ascii="Times New Roman" w:hAnsi="Times New Roman"/>
                <w:sz w:val="20"/>
              </w:rPr>
              <w:t>CROWN CANADIAN HOLDINGS ULC</w:t>
            </w:r>
          </w:p>
          <w:p>
            <w:pPr>
              <w:pStyle w:val="TableContents"/>
              <w:bidi w:val="0"/>
              <w:spacing w:before="0" w:after="0"/>
              <w:jc w:val="left"/>
              <w:rPr>
                <w:rFonts w:ascii="Times New Roman" w:hAnsi="Times New Roman"/>
                <w:sz w:val="20"/>
              </w:rPr>
            </w:pPr>
            <w:r>
              <w:rPr>
                <w:rFonts w:ascii="Times New Roman" w:hAnsi="Times New Roman"/>
                <w:sz w:val="20"/>
              </w:rPr>
              <w:t>CROWN METAL PACKAGING</w:t>
            </w:r>
          </w:p>
          <w:p>
            <w:pPr>
              <w:pStyle w:val="TableContents"/>
              <w:bidi w:val="0"/>
              <w:spacing w:before="0" w:after="20"/>
              <w:jc w:val="left"/>
              <w:rPr>
                <w:rFonts w:ascii="Times New Roman" w:hAnsi="Times New Roman"/>
                <w:sz w:val="20"/>
              </w:rPr>
            </w:pPr>
            <w:r>
              <w:rPr>
                <w:rFonts w:ascii="Times New Roman" w:hAnsi="Times New Roman"/>
                <w:sz w:val="20"/>
              </w:rPr>
              <w:t>CANADA INC.</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CANADA ULC</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Peter Abraham</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Peter Abraham</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METAL PACKAGING CANADA LP</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Crown Metal Packaging Canada Inc., its General Partner</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5"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David A. Beaver</w:t>
            </w:r>
          </w:p>
        </w:tc>
      </w:tr>
      <w:tr>
        <w:trPr/>
        <w:tc>
          <w:tcPr>
            <w:tcW w:w="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BEVCAN FRANCE SAS</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Paul Browett</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Paul Browett</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DÉVELOPPEMENT</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Kevin C. Clothier</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EUROPE SAS</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Jean-Francois Lelouch</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Jean-Francois Lelouch</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Président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7"/>
        <w:gridCol w:w="60"/>
        <w:gridCol w:w="3395"/>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SOCIÉTÉ CIVILE IMMOBILIÉRE</w:t>
            </w:r>
          </w:p>
          <w:p>
            <w:pPr>
              <w:pStyle w:val="TableContents"/>
              <w:bidi w:val="0"/>
              <w:spacing w:before="0" w:after="0"/>
              <w:jc w:val="left"/>
              <w:rPr>
                <w:rFonts w:ascii="Times New Roman" w:hAnsi="Times New Roman"/>
                <w:sz w:val="20"/>
              </w:rPr>
            </w:pPr>
            <w:r>
              <w:rPr>
                <w:rFonts w:ascii="Times New Roman" w:hAnsi="Times New Roman"/>
                <w:sz w:val="20"/>
              </w:rPr>
              <w:t>DES BACQUETS</w:t>
            </w:r>
          </w:p>
          <w:p>
            <w:pPr>
              <w:pStyle w:val="TableContents"/>
              <w:bidi w:val="0"/>
              <w:spacing w:before="0" w:after="0"/>
              <w:jc w:val="left"/>
              <w:rPr>
                <w:rFonts w:ascii="Times New Roman" w:hAnsi="Times New Roman"/>
                <w:sz w:val="20"/>
              </w:rPr>
            </w:pPr>
            <w:r>
              <w:rPr>
                <w:rFonts w:ascii="Times New Roman" w:hAnsi="Times New Roman"/>
                <w:sz w:val="20"/>
              </w:rPr>
              <w:t>SOCIÉTÉ CIVILE IMMOBILIÉRE</w:t>
            </w:r>
          </w:p>
          <w:p>
            <w:pPr>
              <w:pStyle w:val="TableContents"/>
              <w:bidi w:val="0"/>
              <w:spacing w:before="0" w:after="20"/>
              <w:jc w:val="left"/>
              <w:rPr>
                <w:rFonts w:ascii="Times New Roman" w:hAnsi="Times New Roman"/>
                <w:sz w:val="20"/>
              </w:rPr>
            </w:pPr>
            <w:r>
              <w:rPr>
                <w:rFonts w:ascii="Times New Roman" w:hAnsi="Times New Roman"/>
                <w:sz w:val="20"/>
              </w:rPr>
              <w:t>ROUSSEAU IVRY</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5"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Olaf Roth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SPG FRANCE HOLDINGS SAS</w:t>
            </w:r>
          </w:p>
          <w:p>
            <w:pPr>
              <w:pStyle w:val="TableContents"/>
              <w:bidi w:val="0"/>
              <w:spacing w:before="0" w:after="20"/>
              <w:jc w:val="left"/>
              <w:rPr>
                <w:rFonts w:ascii="Times New Roman" w:hAnsi="Times New Roman"/>
                <w:sz w:val="20"/>
              </w:rPr>
            </w:pPr>
            <w:r>
              <w:rPr>
                <w:rFonts w:ascii="Times New Roman" w:hAnsi="Times New Roman"/>
                <w:sz w:val="20"/>
              </w:rPr>
              <w:t>SIGNODE FRANCE SAS</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5"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Olaf Roth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CORK &amp; SEAL DEUTSCHLAND</w:t>
            </w:r>
          </w:p>
          <w:p>
            <w:pPr>
              <w:pStyle w:val="TableContents"/>
              <w:bidi w:val="0"/>
              <w:spacing w:before="0" w:after="20"/>
              <w:jc w:val="left"/>
              <w:rPr>
                <w:rFonts w:ascii="Times New Roman" w:hAnsi="Times New Roman"/>
                <w:sz w:val="20"/>
              </w:rPr>
            </w:pPr>
            <w:r>
              <w:rPr>
                <w:rFonts w:ascii="Times New Roman" w:hAnsi="Times New Roman"/>
                <w:sz w:val="20"/>
              </w:rPr>
              <w:t>HOLDINGS GMBH</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5" w:type="dxa"/>
            <w:tcBorders>
              <w:bottom w:val="single" w:sz="2" w:space="0" w:color="000000"/>
            </w:tcBorders>
            <w:tcMar>
              <w:bottom w:w="28" w:type="dxa"/>
            </w:tcMar>
          </w:tcPr>
          <w:p>
            <w:pPr>
              <w:pStyle w:val="TableContents"/>
              <w:bidi w:val="0"/>
              <w:spacing w:before="0" w:after="283"/>
              <w:jc w:val="left"/>
              <w:rPr/>
            </w:pPr>
            <w:r>
              <w:rPr/>
              <w:t>/s/ Jochen Linzenich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Jochen Linzenich</w:t>
            </w:r>
          </w:p>
        </w:tc>
      </w:tr>
      <w:tr>
        <w:trPr/>
        <w:tc>
          <w:tcPr>
            <w:tcW w:w="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5"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2"/>
        <w:gridCol w:w="68"/>
        <w:gridCol w:w="3232"/>
      </w:tblGrid>
      <w:tr>
        <w:trPr/>
        <w:tc>
          <w:tcPr>
            <w:tcW w:w="782"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PACKAGING SYSTEMS GMBH</w:t>
            </w:r>
          </w:p>
          <w:p>
            <w:pPr>
              <w:pStyle w:val="TableContents"/>
              <w:bidi w:val="0"/>
              <w:spacing w:before="0" w:after="0"/>
              <w:jc w:val="left"/>
              <w:rPr>
                <w:rFonts w:ascii="Times New Roman" w:hAnsi="Times New Roman"/>
                <w:sz w:val="20"/>
              </w:rPr>
            </w:pPr>
            <w:r>
              <w:rPr>
                <w:rFonts w:ascii="Times New Roman" w:hAnsi="Times New Roman"/>
                <w:sz w:val="20"/>
              </w:rPr>
              <w:t>MEZGER HEFTSYSTEME GMBH</w:t>
            </w:r>
          </w:p>
          <w:p>
            <w:pPr>
              <w:pStyle w:val="TableContents"/>
              <w:bidi w:val="0"/>
              <w:spacing w:before="0" w:after="0"/>
              <w:jc w:val="left"/>
              <w:rPr>
                <w:rFonts w:ascii="Times New Roman" w:hAnsi="Times New Roman"/>
                <w:sz w:val="20"/>
              </w:rPr>
            </w:pPr>
            <w:r>
              <w:rPr>
                <w:rFonts w:ascii="Times New Roman" w:hAnsi="Times New Roman"/>
                <w:sz w:val="20"/>
              </w:rPr>
              <w:t>SMP SCHWEDE MASCHINENBAU</w:t>
            </w:r>
          </w:p>
          <w:p>
            <w:pPr>
              <w:pStyle w:val="TableContents"/>
              <w:bidi w:val="0"/>
              <w:spacing w:before="0" w:after="20"/>
              <w:jc w:val="left"/>
              <w:rPr>
                <w:rFonts w:ascii="Times New Roman" w:hAnsi="Times New Roman"/>
                <w:sz w:val="20"/>
              </w:rPr>
            </w:pPr>
            <w:r>
              <w:rPr>
                <w:rFonts w:ascii="Times New Roman" w:hAnsi="Times New Roman"/>
                <w:sz w:val="20"/>
              </w:rPr>
              <w:t>WEISCHLITZ GMBH</w:t>
            </w:r>
          </w:p>
        </w:tc>
      </w:tr>
      <w:tr>
        <w:trPr>
          <w:trHeight w:val="240" w:hRule="atLeast"/>
        </w:trPr>
        <w:tc>
          <w:tcPr>
            <w:tcW w:w="782"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232" w:type="dxa"/>
            <w:tcBorders>
              <w:bottom w:val="single" w:sz="2" w:space="0" w:color="000000"/>
            </w:tcBorders>
            <w:tcMar>
              <w:bottom w:w="28" w:type="dxa"/>
            </w:tcMar>
          </w:tcPr>
          <w:p>
            <w:pPr>
              <w:pStyle w:val="TableContents"/>
              <w:bidi w:val="0"/>
              <w:spacing w:before="0" w:after="283"/>
              <w:jc w:val="left"/>
              <w:rPr/>
            </w:pPr>
            <w:r>
              <w:rPr/>
              <w:t>/s/ Ellen Fleischmann</w:t>
            </w:r>
          </w:p>
        </w:tc>
      </w:tr>
      <w:tr>
        <w:trPr/>
        <w:tc>
          <w:tcPr>
            <w:tcW w:w="782" w:type="dxa"/>
            <w:tcBorders/>
            <w:vAlign w:val="bottom"/>
          </w:tcPr>
          <w:p>
            <w:pPr>
              <w:pStyle w:val="TableContents"/>
              <w:bidi w:val="0"/>
              <w:spacing w:before="0" w:after="283"/>
              <w:jc w:val="left"/>
              <w:rPr/>
            </w:pPr>
            <w:r>
              <w:rPr/>
              <w:t>Name: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Ellen Fleischmann</w:t>
            </w:r>
          </w:p>
        </w:tc>
      </w:tr>
      <w:tr>
        <w:trPr/>
        <w:tc>
          <w:tcPr>
            <w:tcW w:w="782" w:type="dxa"/>
            <w:tcBorders/>
            <w:vAlign w:val="bottom"/>
          </w:tcPr>
          <w:p>
            <w:pPr>
              <w:pStyle w:val="TableContents"/>
              <w:bidi w:val="0"/>
              <w:spacing w:before="0" w:after="283"/>
              <w:jc w:val="left"/>
              <w:rPr/>
            </w:pPr>
            <w:r>
              <w:rPr/>
              <w:t>Title: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SYSTEM GMBH</w:t>
            </w:r>
          </w:p>
        </w:tc>
      </w:tr>
      <w:tr>
        <w:trPr>
          <w:trHeight w:val="240" w:hRule="atLeast"/>
        </w:trPr>
        <w:tc>
          <w:tcPr>
            <w:tcW w:w="782"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232" w:type="dxa"/>
            <w:tcBorders>
              <w:bottom w:val="single" w:sz="2" w:space="0" w:color="000000"/>
            </w:tcBorders>
            <w:tcMar>
              <w:bottom w:w="28" w:type="dxa"/>
            </w:tcMar>
          </w:tcPr>
          <w:p>
            <w:pPr>
              <w:pStyle w:val="TableContents"/>
              <w:bidi w:val="0"/>
              <w:spacing w:before="0" w:after="283"/>
              <w:jc w:val="left"/>
              <w:rPr/>
            </w:pPr>
            <w:r>
              <w:rPr/>
              <w:t>/s/ Peter Aloys Buderath</w:t>
            </w:r>
          </w:p>
        </w:tc>
      </w:tr>
      <w:tr>
        <w:trPr/>
        <w:tc>
          <w:tcPr>
            <w:tcW w:w="782" w:type="dxa"/>
            <w:tcBorders/>
            <w:vAlign w:val="bottom"/>
          </w:tcPr>
          <w:p>
            <w:pPr>
              <w:pStyle w:val="TableContents"/>
              <w:bidi w:val="0"/>
              <w:spacing w:before="0" w:after="283"/>
              <w:jc w:val="left"/>
              <w:rPr/>
            </w:pPr>
            <w:r>
              <w:rPr/>
              <w:t>Name: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Peter Aloys Buderath</w:t>
            </w:r>
          </w:p>
        </w:tc>
      </w:tr>
      <w:tr>
        <w:trPr/>
        <w:tc>
          <w:tcPr>
            <w:tcW w:w="782" w:type="dxa"/>
            <w:tcBorders/>
            <w:vAlign w:val="bottom"/>
          </w:tcPr>
          <w:p>
            <w:pPr>
              <w:pStyle w:val="TableContents"/>
              <w:bidi w:val="0"/>
              <w:spacing w:before="0" w:after="283"/>
              <w:jc w:val="left"/>
              <w:rPr/>
            </w:pPr>
            <w:r>
              <w:rPr/>
              <w:t>Title: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SPG GERMANY SERVICE</w:t>
            </w:r>
          </w:p>
          <w:p>
            <w:pPr>
              <w:pStyle w:val="TableContents"/>
              <w:bidi w:val="0"/>
              <w:spacing w:before="0" w:after="20"/>
              <w:jc w:val="left"/>
              <w:rPr>
                <w:rFonts w:ascii="Times New Roman" w:hAnsi="Times New Roman"/>
                <w:sz w:val="20"/>
              </w:rPr>
            </w:pPr>
            <w:r>
              <w:rPr>
                <w:rFonts w:ascii="Times New Roman" w:hAnsi="Times New Roman"/>
                <w:sz w:val="20"/>
              </w:rPr>
              <w:t>MANAGEMENT GMBH</w:t>
            </w:r>
          </w:p>
        </w:tc>
      </w:tr>
      <w:tr>
        <w:trPr>
          <w:trHeight w:val="240" w:hRule="atLeast"/>
        </w:trPr>
        <w:tc>
          <w:tcPr>
            <w:tcW w:w="782"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232"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782" w:type="dxa"/>
            <w:tcBorders/>
            <w:vAlign w:val="bottom"/>
          </w:tcPr>
          <w:p>
            <w:pPr>
              <w:pStyle w:val="TableContents"/>
              <w:bidi w:val="0"/>
              <w:spacing w:before="0" w:after="283"/>
              <w:jc w:val="left"/>
              <w:rPr/>
            </w:pPr>
            <w:r>
              <w:rPr/>
              <w:t>Name: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Olaf Roth</w:t>
            </w:r>
          </w:p>
        </w:tc>
      </w:tr>
      <w:tr>
        <w:trPr/>
        <w:tc>
          <w:tcPr>
            <w:tcW w:w="782" w:type="dxa"/>
            <w:tcBorders/>
            <w:vAlign w:val="bottom"/>
          </w:tcPr>
          <w:p>
            <w:pPr>
              <w:pStyle w:val="TableContents"/>
              <w:bidi w:val="0"/>
              <w:spacing w:before="0" w:after="283"/>
              <w:jc w:val="left"/>
              <w:rPr/>
            </w:pPr>
            <w:r>
              <w:rPr/>
              <w:t>Title:</w:t>
            </w:r>
          </w:p>
        </w:tc>
        <w:tc>
          <w:tcPr>
            <w:tcW w:w="68" w:type="dxa"/>
            <w:tcBorders/>
            <w:vAlign w:val="bottom"/>
          </w:tcPr>
          <w:p>
            <w:pPr>
              <w:pStyle w:val="TableContents"/>
              <w:bidi w:val="0"/>
              <w:spacing w:before="0" w:after="283"/>
              <w:jc w:val="left"/>
              <w:rPr/>
            </w:pPr>
            <w:r>
              <w:rPr/>
              <w:t> </w:t>
            </w:r>
          </w:p>
        </w:tc>
        <w:tc>
          <w:tcPr>
            <w:tcW w:w="3232"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PACKAGING LUX III, S.À.R.L.</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Paul Browett</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Paul Browett</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Manager A</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Pierre Neu</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Pierre Neu</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Manager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SPG INDUSTRIAL PACKAGING S.À.R.L.</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Olaf Roth</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Manager A</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Pierre Neu</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Pierre Neu</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Manager 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06"/>
        <w:gridCol w:w="66"/>
        <w:gridCol w:w="3110"/>
      </w:tblGrid>
      <w:tr>
        <w:trPr/>
        <w:tc>
          <w:tcPr>
            <w:tcW w:w="90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INDUSTRIAL GROUP LUX S.A.</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906" w:type="dxa"/>
            <w:tcBorders/>
            <w:vAlign w:val="bottom"/>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Olaf Roth</w:t>
            </w:r>
          </w:p>
        </w:tc>
      </w:tr>
      <w:tr>
        <w:trPr/>
        <w:tc>
          <w:tcPr>
            <w:tcW w:w="906" w:type="dxa"/>
            <w:tcBorders/>
            <w:vAlign w:val="bottom"/>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Director A</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/s/ Pierre Neu</w:t>
            </w:r>
          </w:p>
        </w:tc>
      </w:tr>
      <w:tr>
        <w:trPr/>
        <w:tc>
          <w:tcPr>
            <w:tcW w:w="906" w:type="dxa"/>
            <w:tcBorders/>
            <w:vAlign w:val="bottom"/>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Pierre Neu</w:t>
            </w:r>
          </w:p>
        </w:tc>
      </w:tr>
      <w:tr>
        <w:trPr/>
        <w:tc>
          <w:tcPr>
            <w:tcW w:w="906" w:type="dxa"/>
            <w:tcBorders/>
            <w:vAlign w:val="bottom"/>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Director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LUXEMBOURG S.À.R.L.</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906" w:type="dxa"/>
            <w:tcBorders/>
            <w:vAlign w:val="bottom"/>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Olaf Roth</w:t>
            </w:r>
          </w:p>
        </w:tc>
      </w:tr>
      <w:tr>
        <w:trPr/>
        <w:tc>
          <w:tcPr>
            <w:tcW w:w="906" w:type="dxa"/>
            <w:tcBorders/>
            <w:vAlign w:val="bottom"/>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ENVASES MEXICO, S.A. DE C.V.</w:t>
            </w:r>
          </w:p>
          <w:p>
            <w:pPr>
              <w:pStyle w:val="TableContents"/>
              <w:bidi w:val="0"/>
              <w:spacing w:before="0" w:after="0"/>
              <w:jc w:val="left"/>
              <w:rPr>
                <w:rFonts w:ascii="Times New Roman" w:hAnsi="Times New Roman"/>
                <w:sz w:val="20"/>
              </w:rPr>
            </w:pPr>
            <w:r>
              <w:rPr>
                <w:rFonts w:ascii="Times New Roman" w:hAnsi="Times New Roman"/>
                <w:sz w:val="20"/>
              </w:rPr>
              <w:t>FÁBRICAS MONTERREY, S.A. DE C.V.</w:t>
            </w:r>
          </w:p>
          <w:p>
            <w:pPr>
              <w:pStyle w:val="TableContents"/>
              <w:bidi w:val="0"/>
              <w:spacing w:before="0" w:after="0"/>
              <w:jc w:val="left"/>
              <w:rPr>
                <w:rFonts w:ascii="Times New Roman" w:hAnsi="Times New Roman"/>
                <w:sz w:val="20"/>
              </w:rPr>
            </w:pPr>
            <w:r>
              <w:rPr>
                <w:rFonts w:ascii="Times New Roman" w:hAnsi="Times New Roman"/>
                <w:sz w:val="20"/>
              </w:rPr>
              <w:t>CROWN FAMOSA, S.A. DE C.V.</w:t>
            </w:r>
          </w:p>
          <w:p>
            <w:pPr>
              <w:pStyle w:val="TableContents"/>
              <w:bidi w:val="0"/>
              <w:spacing w:before="0" w:after="0"/>
              <w:jc w:val="left"/>
              <w:rPr>
                <w:rFonts w:ascii="Times New Roman" w:hAnsi="Times New Roman"/>
                <w:sz w:val="20"/>
              </w:rPr>
            </w:pPr>
            <w:r>
              <w:rPr>
                <w:rFonts w:ascii="Times New Roman" w:hAnsi="Times New Roman"/>
                <w:sz w:val="20"/>
              </w:rPr>
              <w:t>SILICES DE VERACRUZ, S.A. DE C.V.</w:t>
            </w:r>
          </w:p>
          <w:p>
            <w:pPr>
              <w:pStyle w:val="TableContents"/>
              <w:bidi w:val="0"/>
              <w:spacing w:before="0" w:after="0"/>
              <w:jc w:val="left"/>
              <w:rPr>
                <w:rFonts w:ascii="Times New Roman" w:hAnsi="Times New Roman"/>
                <w:sz w:val="20"/>
              </w:rPr>
            </w:pPr>
            <w:r>
              <w:rPr>
                <w:rFonts w:ascii="Times New Roman" w:hAnsi="Times New Roman"/>
                <w:sz w:val="20"/>
              </w:rPr>
              <w:t>SILICE DEL ISTMO, S.A. DE C.V</w:t>
            </w:r>
          </w:p>
          <w:p>
            <w:pPr>
              <w:pStyle w:val="TableContents"/>
              <w:bidi w:val="0"/>
              <w:spacing w:before="0" w:after="20"/>
              <w:jc w:val="left"/>
              <w:rPr>
                <w:rFonts w:ascii="Times New Roman" w:hAnsi="Times New Roman"/>
                <w:sz w:val="20"/>
              </w:rPr>
            </w:pPr>
            <w:r>
              <w:rPr>
                <w:rFonts w:ascii="Times New Roman" w:hAnsi="Times New Roman"/>
                <w:sz w:val="20"/>
              </w:rPr>
              <w:t>VICHISA, S.A. DE C.V.</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MEXICO S. DE R.L. DE C.V.</w:t>
            </w:r>
          </w:p>
          <w:p>
            <w:pPr>
              <w:pStyle w:val="TableContents"/>
              <w:bidi w:val="0"/>
              <w:spacing w:before="0" w:after="0"/>
              <w:jc w:val="left"/>
              <w:rPr>
                <w:rFonts w:ascii="Times New Roman" w:hAnsi="Times New Roman"/>
                <w:sz w:val="20"/>
              </w:rPr>
            </w:pPr>
            <w:r>
              <w:rPr>
                <w:rFonts w:ascii="Times New Roman" w:hAnsi="Times New Roman"/>
                <w:sz w:val="20"/>
              </w:rPr>
              <w:t>SIMPLIMATIC AUTOMATION DE MEXICO, S.</w:t>
            </w:r>
          </w:p>
          <w:p>
            <w:pPr>
              <w:pStyle w:val="TableContents"/>
              <w:bidi w:val="0"/>
              <w:spacing w:before="0" w:after="20"/>
              <w:jc w:val="left"/>
              <w:rPr>
                <w:rFonts w:ascii="Times New Roman" w:hAnsi="Times New Roman"/>
                <w:sz w:val="20"/>
              </w:rPr>
            </w:pPr>
            <w:r>
              <w:rPr>
                <w:rFonts w:ascii="Times New Roman" w:hAnsi="Times New Roman"/>
                <w:sz w:val="20"/>
              </w:rPr>
              <w:t>DE R.L. DE C.V.</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Maria Evelia Hernandez Rodriguez</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Maria Evelia Hernandez Rodriguez</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FAMOSA B.V.</w:t>
            </w:r>
          </w:p>
          <w:p>
            <w:pPr>
              <w:pStyle w:val="TableContents"/>
              <w:bidi w:val="0"/>
              <w:spacing w:before="0" w:after="0"/>
              <w:jc w:val="left"/>
              <w:rPr>
                <w:rFonts w:ascii="Times New Roman" w:hAnsi="Times New Roman"/>
                <w:sz w:val="20"/>
              </w:rPr>
            </w:pPr>
            <w:r>
              <w:rPr>
                <w:rFonts w:ascii="Times New Roman" w:hAnsi="Times New Roman"/>
                <w:sz w:val="20"/>
              </w:rPr>
              <w:t>SIVESA B.V.</w:t>
            </w:r>
          </w:p>
          <w:p>
            <w:pPr>
              <w:pStyle w:val="TableContents"/>
              <w:bidi w:val="0"/>
              <w:spacing w:before="0" w:after="20"/>
              <w:jc w:val="left"/>
              <w:rPr>
                <w:rFonts w:ascii="Times New Roman" w:hAnsi="Times New Roman"/>
                <w:sz w:val="20"/>
              </w:rPr>
            </w:pPr>
            <w:r>
              <w:rPr>
                <w:rFonts w:ascii="Times New Roman" w:hAnsi="Times New Roman"/>
                <w:sz w:val="20"/>
              </w:rPr>
              <w:t>SISA MEXICO B.V.</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Paul Browett</w:t>
            </w:r>
          </w:p>
        </w:tc>
      </w:tr>
      <w:tr>
        <w:trPr/>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Paul Browett</w:t>
            </w:r>
          </w:p>
        </w:tc>
      </w:tr>
      <w:tr>
        <w:trPr/>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NETHERLANDS B.V.</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Jochen Linzenich</w:t>
            </w:r>
          </w:p>
        </w:tc>
      </w:tr>
      <w:tr>
        <w:trPr/>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Jochen Linzenich</w:t>
            </w:r>
          </w:p>
        </w:tc>
      </w:tr>
      <w:tr>
        <w:trPr/>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PACKAGING EUROPEAN</w:t>
            </w:r>
          </w:p>
          <w:p>
            <w:pPr>
              <w:pStyle w:val="TableContents"/>
              <w:bidi w:val="0"/>
              <w:spacing w:before="0" w:after="20"/>
              <w:jc w:val="left"/>
              <w:rPr>
                <w:rFonts w:ascii="Times New Roman" w:hAnsi="Times New Roman"/>
                <w:sz w:val="20"/>
              </w:rPr>
            </w:pPr>
            <w:r>
              <w:rPr>
                <w:rFonts w:ascii="Times New Roman" w:hAnsi="Times New Roman"/>
                <w:sz w:val="20"/>
              </w:rPr>
              <w:t>HOLDINGS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Andrea Vavassori</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Andrea Vavassori</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President of the Management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PACKAGING EUROPEAN DIVISION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Andrea Vavassori</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Andrea Vavassori</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SWITZERLAND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Olaf Roth</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CARNAUDMETALBOX</w:t>
            </w:r>
          </w:p>
          <w:p>
            <w:pPr>
              <w:pStyle w:val="TableContents"/>
              <w:bidi w:val="0"/>
              <w:spacing w:before="0" w:after="0"/>
              <w:jc w:val="left"/>
              <w:rPr>
                <w:rFonts w:ascii="Times New Roman" w:hAnsi="Times New Roman"/>
                <w:sz w:val="20"/>
              </w:rPr>
            </w:pPr>
            <w:r>
              <w:rPr>
                <w:rFonts w:ascii="Times New Roman" w:hAnsi="Times New Roman"/>
                <w:sz w:val="20"/>
              </w:rPr>
              <w:t>ENGINEERING LIMITED</w:t>
            </w:r>
          </w:p>
          <w:p>
            <w:pPr>
              <w:pStyle w:val="TableContents"/>
              <w:bidi w:val="0"/>
              <w:spacing w:before="0" w:after="0"/>
              <w:jc w:val="left"/>
              <w:rPr>
                <w:rFonts w:ascii="Times New Roman" w:hAnsi="Times New Roman"/>
                <w:sz w:val="20"/>
              </w:rPr>
            </w:pPr>
            <w:r>
              <w:rPr>
                <w:rFonts w:ascii="Times New Roman" w:hAnsi="Times New Roman"/>
                <w:sz w:val="20"/>
              </w:rPr>
              <w:t>CARNAUDMETALBOX GROUP UK LTD.</w:t>
            </w:r>
          </w:p>
          <w:p>
            <w:pPr>
              <w:pStyle w:val="TableContents"/>
              <w:bidi w:val="0"/>
              <w:spacing w:before="0" w:after="0"/>
              <w:jc w:val="left"/>
              <w:rPr>
                <w:rFonts w:ascii="Times New Roman" w:hAnsi="Times New Roman"/>
                <w:sz w:val="20"/>
              </w:rPr>
            </w:pPr>
            <w:r>
              <w:rPr>
                <w:rFonts w:ascii="Times New Roman" w:hAnsi="Times New Roman"/>
                <w:sz w:val="20"/>
              </w:rPr>
              <w:t>CARNAUDMETALBOX OVERSEAS LTD.</w:t>
            </w:r>
          </w:p>
          <w:p>
            <w:pPr>
              <w:pStyle w:val="TableContents"/>
              <w:bidi w:val="0"/>
              <w:spacing w:before="0" w:after="0"/>
              <w:jc w:val="left"/>
              <w:rPr>
                <w:rFonts w:ascii="Times New Roman" w:hAnsi="Times New Roman"/>
                <w:sz w:val="20"/>
              </w:rPr>
            </w:pPr>
            <w:r>
              <w:rPr>
                <w:rFonts w:ascii="Times New Roman" w:hAnsi="Times New Roman"/>
                <w:sz w:val="20"/>
              </w:rPr>
              <w:t>CROWN PACKAGING</w:t>
            </w:r>
          </w:p>
          <w:p>
            <w:pPr>
              <w:pStyle w:val="TableContents"/>
              <w:bidi w:val="0"/>
              <w:spacing w:before="0" w:after="0"/>
              <w:jc w:val="left"/>
              <w:rPr>
                <w:rFonts w:ascii="Times New Roman" w:hAnsi="Times New Roman"/>
                <w:sz w:val="20"/>
              </w:rPr>
            </w:pPr>
            <w:r>
              <w:rPr>
                <w:rFonts w:ascii="Times New Roman" w:hAnsi="Times New Roman"/>
                <w:sz w:val="20"/>
              </w:rPr>
              <w:t>MANUFACTURING UK LIMITED</w:t>
            </w:r>
          </w:p>
          <w:p>
            <w:pPr>
              <w:pStyle w:val="TableContents"/>
              <w:bidi w:val="0"/>
              <w:spacing w:before="0" w:after="20"/>
              <w:jc w:val="left"/>
              <w:rPr>
                <w:rFonts w:ascii="Times New Roman" w:hAnsi="Times New Roman"/>
                <w:sz w:val="20"/>
              </w:rPr>
            </w:pPr>
            <w:r>
              <w:rPr>
                <w:rFonts w:ascii="Times New Roman" w:hAnsi="Times New Roman"/>
                <w:sz w:val="20"/>
              </w:rPr>
              <w:t>CROWN PACKING SERVICES EMEA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/s/ Paul Browett</w:t>
            </w:r>
          </w:p>
        </w:tc>
      </w:tr>
      <w:tr>
        <w:trPr/>
        <w:tc>
          <w:tcPr>
            <w:tcW w:w="69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Paul Browett</w:t>
            </w:r>
          </w:p>
        </w:tc>
      </w:tr>
      <w:tr>
        <w:trPr/>
        <w:tc>
          <w:tcPr>
            <w:tcW w:w="69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PACKAGING DISTRIBUTION UK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/s/ Tim Conybeare</w:t>
            </w:r>
          </w:p>
        </w:tc>
      </w:tr>
      <w:tr>
        <w:trPr/>
        <w:tc>
          <w:tcPr>
            <w:tcW w:w="69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Tim Conybeare</w:t>
            </w:r>
          </w:p>
        </w:tc>
      </w:tr>
      <w:tr>
        <w:trPr/>
        <w:tc>
          <w:tcPr>
            <w:tcW w:w="69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UK HOLDINGS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/s/ Kevin C. Clothier</w:t>
            </w:r>
          </w:p>
        </w:tc>
      </w:tr>
      <w:tr>
        <w:trPr/>
        <w:tc>
          <w:tcPr>
            <w:tcW w:w="69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Kevin C. Clothier</w:t>
            </w:r>
          </w:p>
        </w:tc>
      </w:tr>
      <w:tr>
        <w:trPr/>
        <w:tc>
          <w:tcPr>
            <w:tcW w:w="69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UK LTD</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7" w:type="dxa"/>
            <w:tcBorders>
              <w:bottom w:val="single" w:sz="2" w:space="0" w:color="000000"/>
            </w:tcBorders>
            <w:tcMar>
              <w:bottom w:w="28" w:type="dxa"/>
            </w:tcMar>
          </w:tcPr>
          <w:p>
            <w:pPr>
              <w:pStyle w:val="TableContents"/>
              <w:bidi w:val="0"/>
              <w:spacing w:before="0" w:after="283"/>
              <w:jc w:val="left"/>
              <w:rPr/>
            </w:pPr>
            <w:r>
              <w:rPr/>
              <w:t>/s/ Olaf Roth</w:t>
            </w:r>
          </w:p>
        </w:tc>
      </w:tr>
      <w:tr>
        <w:trPr/>
        <w:tc>
          <w:tcPr>
            <w:tcW w:w="6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Olaf Roth</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CARNAUDMETALBOX MEC-A-TEC</w:t>
            </w:r>
          </w:p>
          <w:p>
            <w:pPr>
              <w:pStyle w:val="TableContents"/>
              <w:bidi w:val="0"/>
              <w:spacing w:before="0" w:after="20"/>
              <w:jc w:val="left"/>
              <w:rPr>
                <w:rFonts w:ascii="Times New Roman" w:hAnsi="Times New Roman"/>
                <w:sz w:val="20"/>
              </w:rPr>
            </w:pPr>
            <w:r>
              <w:rPr>
                <w:rFonts w:ascii="Times New Roman" w:hAnsi="Times New Roman"/>
                <w:sz w:val="20"/>
              </w:rPr>
              <w:t>SERVICES LIMITED</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7" w:type="dxa"/>
            <w:tcBorders>
              <w:bottom w:val="single" w:sz="2" w:space="0" w:color="000000"/>
            </w:tcBorders>
            <w:tcMar>
              <w:bottom w:w="28" w:type="dxa"/>
            </w:tcMar>
          </w:tcPr>
          <w:p>
            <w:pPr>
              <w:pStyle w:val="TableContents"/>
              <w:bidi w:val="0"/>
              <w:spacing w:before="0" w:after="283"/>
              <w:jc w:val="left"/>
              <w:rPr/>
            </w:pPr>
            <w:r>
              <w:rPr/>
              <w:t>/s/ David A. Beaver</w:t>
            </w:r>
          </w:p>
        </w:tc>
      </w:tr>
      <w:tr>
        <w:trPr/>
        <w:tc>
          <w:tcPr>
            <w:tcW w:w="6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David A. Beaver</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Bank Trust Company, National</w:t>
            </w:r>
          </w:p>
          <w:p>
            <w:pPr>
              <w:pStyle w:val="TableContents"/>
              <w:bidi w:val="0"/>
              <w:spacing w:before="0" w:after="20"/>
              <w:jc w:val="left"/>
              <w:rPr>
                <w:rFonts w:ascii="Times New Roman" w:hAnsi="Times New Roman"/>
                <w:sz w:val="20"/>
              </w:rPr>
            </w:pPr>
            <w:r>
              <w:rPr>
                <w:rFonts w:ascii="Times New Roman" w:hAnsi="Times New Roman"/>
                <w:sz w:val="20"/>
              </w:rPr>
              <w:t>Association, as Trustee</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Michael Judge</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Michael Judge</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Elavon Financial Services DAC, as Paying Agent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 Auhtorized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Elavon Financial Services DAC, as Registrar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 Auhtorized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Elavon Financial Services DAC, as Transfer Agent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Shobita Choudhury</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 Auhtorized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p>
    <w:p>
      <w:pPr>
        <w:pStyle w:val="TextBody"/>
        <w:bidi w:val="0"/>
        <w:spacing w:before="24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A-1 </w:t>
      </w:r>
    </w:p>
    <w:p>
      <w:pPr>
        <w:pStyle w:val="TextBody"/>
        <w:bidi w:val="0"/>
        <w:spacing w:before="120" w:after="0"/>
        <w:jc w:val="center"/>
        <w:rPr>
          <w:rFonts w:ascii="Times New Roman" w:hAnsi="Times New Roman"/>
          <w:sz w:val="20"/>
        </w:rPr>
      </w:pPr>
      <w:r>
        <w:rPr>
          <w:rFonts w:ascii="Times New Roman" w:hAnsi="Times New Roman"/>
          <w:sz w:val="20"/>
        </w:rPr>
        <w:t xml:space="preserve">[FORM OF RESTRICTED NOTE] </w:t>
      </w:r>
    </w:p>
    <w:p>
      <w:pPr>
        <w:pStyle w:val="TextBody"/>
        <w:bidi w:val="0"/>
        <w:spacing w:before="12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120" w:after="0"/>
        <w:jc w:val="center"/>
        <w:rPr>
          <w:rFonts w:ascii="Times New Roman" w:hAnsi="Times New Roman"/>
          <w:sz w:val="20"/>
        </w:rPr>
      </w:pPr>
      <w:r>
        <w:rPr>
          <w:rFonts w:ascii="Times New Roman" w:hAnsi="Times New Roman"/>
          <w:sz w:val="20"/>
        </w:rPr>
        <w:t xml:space="preserve">4.500% SENIOR NOTE DUE 2030 </w:t>
      </w:r>
    </w:p>
    <w:p>
      <w:pPr>
        <w:pStyle w:val="TextBody"/>
        <w:bidi w:val="0"/>
        <w:spacing w:before="120" w:after="0"/>
        <w:jc w:val="center"/>
        <w:rPr>
          <w:rFonts w:ascii="Times New Roman" w:hAnsi="Times New Roman"/>
          <w:sz w:val="20"/>
        </w:rPr>
      </w:pPr>
      <w:r>
        <w:rPr>
          <w:rFonts w:ascii="Times New Roman" w:hAnsi="Times New Roman"/>
          <w:b/>
          <w:sz w:val="20"/>
        </w:rPr>
        <w:t>[</w:t>
      </w:r>
      <w:r>
        <w:rPr>
          <w:rFonts w:ascii="Times New Roman" w:hAnsi="Times New Roman"/>
          <w:b/>
          <w:i/>
          <w:sz w:val="20"/>
        </w:rPr>
        <w:t>Insert Global Note Legend</w:t>
      </w:r>
      <w:r>
        <w:rPr>
          <w:rFonts w:ascii="Times New Roman" w:hAnsi="Times New Roman"/>
          <w:b/>
          <w:sz w:val="20"/>
        </w:rPr>
        <w:t>,</w:t>
      </w:r>
      <w:r>
        <w:rPr>
          <w:rFonts w:ascii="Times New Roman" w:hAnsi="Times New Roman"/>
          <w:sz w:val="20"/>
        </w:rPr>
        <w:t xml:space="preserve"> </w:t>
      </w:r>
      <w:r>
        <w:rPr>
          <w:rFonts w:ascii="Times New Roman" w:hAnsi="Times New Roman"/>
          <w:b/>
          <w:i/>
          <w:sz w:val="20"/>
        </w:rPr>
        <w:t>if applicable</w:t>
      </w:r>
      <w:r>
        <w:rPr>
          <w:rFonts w:ascii="Times New Roman" w:hAnsi="Times New Roman"/>
          <w:b/>
          <w:sz w:val="20"/>
        </w:rPr>
        <w:t xml:space="preserve">] </w:t>
      </w:r>
    </w:p>
    <w:p>
      <w:pPr>
        <w:pStyle w:val="TextBody"/>
        <w:bidi w:val="0"/>
        <w:spacing w:before="120" w:after="0"/>
        <w:jc w:val="center"/>
        <w:rPr>
          <w:rFonts w:ascii="Times New Roman" w:hAnsi="Times New Roman"/>
          <w:sz w:val="20"/>
        </w:rPr>
      </w:pPr>
      <w:r>
        <w:rPr>
          <w:rFonts w:ascii="Times New Roman" w:hAnsi="Times New Roman"/>
          <w:b/>
          <w:sz w:val="20"/>
        </w:rPr>
        <w:t>[</w:t>
      </w:r>
      <w:r>
        <w:rPr>
          <w:rFonts w:ascii="Times New Roman" w:hAnsi="Times New Roman"/>
          <w:b/>
          <w:i/>
          <w:sz w:val="20"/>
        </w:rPr>
        <w:t>Insert Private Placement Legend</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2"/>
        <w:gridCol w:w="126"/>
        <w:gridCol w:w="3153"/>
        <w:gridCol w:w="126"/>
        <w:gridCol w:w="3268"/>
      </w:tblGrid>
      <w:tr>
        <w:trPr/>
        <w:tc>
          <w:tcPr>
            <w:tcW w:w="35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532" w:type="dxa"/>
            <w:tcBorders/>
          </w:tcPr>
          <w:p>
            <w:pPr>
              <w:pStyle w:val="TableContents"/>
              <w:bidi w:val="0"/>
              <w:spacing w:before="0" w:after="283"/>
              <w:jc w:val="left"/>
              <w:rPr/>
            </w:pPr>
            <w:r>
              <w:rPr/>
              <w:t>No. [ ]</w:t>
            </w:r>
          </w:p>
        </w:tc>
        <w:tc>
          <w:tcPr>
            <w:tcW w:w="126" w:type="dxa"/>
            <w:tcBorders/>
            <w:vAlign w:val="bottom"/>
          </w:tcPr>
          <w:p>
            <w:pPr>
              <w:pStyle w:val="TableContents"/>
              <w:bidi w:val="0"/>
              <w:spacing w:before="0" w:after="283"/>
              <w:jc w:val="left"/>
              <w:rPr/>
            </w:pPr>
            <w:r>
              <w:rPr/>
              <w:t>  </w:t>
            </w:r>
          </w:p>
        </w:tc>
        <w:tc>
          <w:tcPr>
            <w:tcW w:w="3153"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right"/>
              <w:rPr/>
            </w:pPr>
            <w:r>
              <w:rPr/>
              <w:t>ISIN No. [  ]</w:t>
            </w:r>
          </w:p>
        </w:tc>
      </w:tr>
      <w:tr>
        <w:trPr/>
        <w:tc>
          <w:tcPr>
            <w:tcW w:w="3532"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53"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right"/>
              <w:rPr/>
            </w:pPr>
            <w:r>
              <w:rPr/>
              <w:t>Common Code No. [  ]</w:t>
            </w:r>
          </w:p>
        </w:tc>
      </w:tr>
      <w:tr>
        <w:trPr/>
        <w:tc>
          <w:tcPr>
            <w:tcW w:w="3532"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53"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CROWN EUROPEAN HOLDINGS S.A., a French </w:t>
      </w:r>
      <w:r>
        <w:rPr>
          <w:rFonts w:ascii="Times New Roman" w:hAnsi="Times New Roman"/>
          <w:i/>
          <w:sz w:val="20"/>
        </w:rPr>
        <w:t>société anonyme</w:t>
      </w:r>
      <w:r>
        <w:rPr>
          <w:rFonts w:ascii="Times New Roman" w:hAnsi="Times New Roman"/>
          <w:sz w:val="20"/>
        </w:rPr>
        <w:t>, as issuer (the </w:t>
      </w:r>
      <w:r>
        <w:rPr>
          <w:rFonts w:ascii="Times New Roman" w:hAnsi="Times New Roman"/>
          <w:sz w:val="20"/>
          <w:u w:val="single"/>
        </w:rPr>
        <w:t>Issuer</w:t>
      </w:r>
      <w:r>
        <w:rPr>
          <w:rFonts w:ascii="Times New Roman" w:hAnsi="Times New Roman"/>
          <w:sz w:val="20"/>
        </w:rPr>
        <w:t xml:space="preserve">), for value received, promises to pay to USB Nominees (UK) Limited or registered assigns the principal sum of [    ] (or such other principal amount as shall be set forth in the Schedule of Exchanges of Interests in Global Note attached hereto), on January 15, 2030.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4"/>
        <w:gridCol w:w="121"/>
        <w:gridCol w:w="7960"/>
      </w:tblGrid>
      <w:tr>
        <w:trPr/>
        <w:tc>
          <w:tcPr>
            <w:tcW w:w="21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r>
      <w:tr>
        <w:trPr/>
        <w:tc>
          <w:tcPr>
            <w:tcW w:w="21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Payment Dates:</w:t>
            </w:r>
          </w:p>
        </w:tc>
        <w:tc>
          <w:tcPr>
            <w:tcW w:w="12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January 15 and July 15 commencing January 15, 2025.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
        <w:gridCol w:w="386"/>
        <w:gridCol w:w="9434"/>
      </w:tblGrid>
      <w:tr>
        <w:trPr/>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94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Record Dates: January 1 and July 1 (whether or not a Business Day).</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contained herein, which will for all purposes have the same effect as if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signed by two of its duly authorized officers.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2"/>
        <w:gridCol w:w="73"/>
        <w:gridCol w:w="3567"/>
      </w:tblGrid>
      <w:tr>
        <w:trPr/>
        <w:tc>
          <w:tcPr>
            <w:tcW w:w="442"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EUROPEAN HOLDINGS S.A.</w:t>
            </w:r>
          </w:p>
        </w:tc>
      </w:tr>
      <w:tr>
        <w:trPr>
          <w:trHeight w:val="240" w:hRule="atLeast"/>
        </w:trPr>
        <w:tc>
          <w:tcPr>
            <w:tcW w:w="442" w:type="dxa"/>
            <w:tcBorders/>
            <w:vAlign w:val="center"/>
          </w:tcPr>
          <w:p>
            <w:pPr>
              <w:pStyle w:val="TableContents"/>
              <w:bidi w:val="0"/>
              <w:spacing w:before="0" w:after="283"/>
              <w:jc w:val="left"/>
              <w:rPr>
                <w:sz w:val="4"/>
                <w:szCs w:val="4"/>
              </w:rPr>
            </w:pPr>
            <w:r>
              <w:rPr>
                <w:sz w:val="4"/>
                <w:szCs w:val="4"/>
              </w:rPr>
            </w:r>
          </w:p>
        </w:tc>
        <w:tc>
          <w:tcPr>
            <w:tcW w:w="3640" w:type="dxa"/>
            <w:gridSpan w:val="2"/>
            <w:tcBorders/>
            <w:vAlign w:val="center"/>
          </w:tcPr>
          <w:p>
            <w:pPr>
              <w:pStyle w:val="TableContents"/>
              <w:bidi w:val="0"/>
              <w:spacing w:before="0" w:after="283"/>
              <w:jc w:val="left"/>
              <w:rPr>
                <w:sz w:val="4"/>
                <w:szCs w:val="4"/>
              </w:rPr>
            </w:pPr>
            <w:r>
              <w:rPr>
                <w:sz w:val="4"/>
                <w:szCs w:val="4"/>
              </w:rPr>
            </w:r>
          </w:p>
        </w:tc>
      </w:tr>
      <w:tr>
        <w:trPr/>
        <w:tc>
          <w:tcPr>
            <w:tcW w:w="442"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 </w:t>
            </w:r>
          </w:p>
        </w:tc>
      </w:tr>
      <w:tr>
        <w:trPr/>
        <w:tc>
          <w:tcPr>
            <w:tcW w:w="442"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42"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42" w:type="dxa"/>
            <w:tcBorders/>
            <w:vAlign w:val="center"/>
          </w:tcPr>
          <w:p>
            <w:pPr>
              <w:pStyle w:val="TableContents"/>
              <w:bidi w:val="0"/>
              <w:spacing w:before="0" w:after="283"/>
              <w:jc w:val="left"/>
              <w:rPr>
                <w:sz w:val="4"/>
                <w:szCs w:val="4"/>
              </w:rPr>
            </w:pPr>
            <w:r>
              <w:rPr>
                <w:sz w:val="4"/>
                <w:szCs w:val="4"/>
              </w:rPr>
            </w:r>
          </w:p>
        </w:tc>
        <w:tc>
          <w:tcPr>
            <w:tcW w:w="3640" w:type="dxa"/>
            <w:gridSpan w:val="2"/>
            <w:tcBorders/>
            <w:vAlign w:val="center"/>
          </w:tcPr>
          <w:p>
            <w:pPr>
              <w:pStyle w:val="TableContents"/>
              <w:bidi w:val="0"/>
              <w:spacing w:before="0" w:after="283"/>
              <w:jc w:val="left"/>
              <w:rPr>
                <w:sz w:val="4"/>
                <w:szCs w:val="4"/>
              </w:rPr>
            </w:pPr>
            <w:r>
              <w:rPr>
                <w:sz w:val="4"/>
                <w:szCs w:val="4"/>
              </w:rPr>
            </w:r>
          </w:p>
        </w:tc>
      </w:tr>
      <w:tr>
        <w:trPr/>
        <w:tc>
          <w:tcPr>
            <w:tcW w:w="442"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 </w:t>
            </w:r>
          </w:p>
        </w:tc>
      </w:tr>
      <w:tr>
        <w:trPr/>
        <w:tc>
          <w:tcPr>
            <w:tcW w:w="442"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42"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4.500% Senior Notes due 2030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242"/>
        <w:gridCol w:w="2561"/>
      </w:tblGrid>
      <w:tr>
        <w:trPr/>
        <w:tc>
          <w:tcPr>
            <w:tcW w:w="127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U.S. BANK TRUST COMPANY, NATIONAL ASSOCIATION, as Trustee</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242" w:type="dxa"/>
            <w:tcBorders>
              <w:bottom w:val="single" w:sz="2" w:space="0" w:color="000000"/>
            </w:tcBorders>
            <w:tcMar>
              <w:bottom w:w="28" w:type="dxa"/>
            </w:tcMar>
            <w:vAlign w:val="bottom"/>
          </w:tcPr>
          <w:p>
            <w:pPr>
              <w:pStyle w:val="TableContents"/>
              <w:bidi w:val="0"/>
              <w:spacing w:before="0" w:after="283"/>
              <w:jc w:val="left"/>
              <w:rPr/>
            </w:pPr>
            <w:r>
              <w:rPr/>
              <w:t> </w:t>
            </w:r>
          </w:p>
        </w:tc>
        <w:tc>
          <w:tcPr>
            <w:tcW w:w="256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RESTRICTED NOTE] </w:t>
      </w:r>
    </w:p>
    <w:p>
      <w:pPr>
        <w:pStyle w:val="TextBody"/>
        <w:bidi w:val="0"/>
        <w:spacing w:before="12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120" w:after="0"/>
        <w:jc w:val="center"/>
        <w:rPr>
          <w:rFonts w:ascii="Times New Roman" w:hAnsi="Times New Roman"/>
          <w:sz w:val="20"/>
        </w:rPr>
      </w:pPr>
      <w:r>
        <w:rPr>
          <w:rFonts w:ascii="Times New Roman" w:hAnsi="Times New Roman"/>
          <w:sz w:val="20"/>
        </w:rPr>
        <w:t xml:space="preserve">4.500% SENIOR NOTE DUE 2030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CROWN EUROPEAN HOLDINGS S.A., a French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as issuer (the </w:t>
      </w:r>
      <w:r>
        <w:rPr>
          <w:rFonts w:ascii="Times New Roman" w:hAnsi="Times New Roman"/>
          <w:sz w:val="20"/>
          <w:u w:val="single"/>
        </w:rPr>
        <w:t>Issuer</w:t>
      </w:r>
      <w:r>
        <w:rPr>
          <w:rFonts w:ascii="Times New Roman" w:hAnsi="Times New Roman"/>
          <w:sz w:val="20"/>
        </w:rPr>
        <w:t xml:space="preserve">), promises to pay interest on the principal amount set forth on the face hereof at a rate of 4.500% per annum. Interest hereon will accrue from and including the most recent date to which interest has been paid or, if no interest has been paid, from and including August 8, 20241 to but excluding the date on which interest is paid. Interest shall be payable in arrears on each January 15 and July 15, commencing January 15, 20252.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Registrar and Transfer Agent</w:t>
      </w:r>
      <w:r>
        <w:rPr>
          <w:rFonts w:ascii="Times New Roman" w:hAnsi="Times New Roman"/>
          <w:sz w:val="20"/>
        </w:rPr>
        <w:t xml:space="preserve">. Initially, Elavon Financial Services DAC, in Dublin will act as Paying Agent, Registrar and Transfer Agent. The Issuer may change any Paying Agent or Registrar without notice. The Issuer or any Affiliate thereof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Issuer issued the 4.500% Senior Notes due 2030 (the </w:t>
      </w:r>
      <w:r>
        <w:rPr>
          <w:rFonts w:ascii="Times New Roman" w:hAnsi="Times New Roman"/>
          <w:sz w:val="20"/>
          <w:u w:val="single"/>
        </w:rPr>
        <w:t>Notes</w:t>
      </w:r>
      <w:r>
        <w:rPr>
          <w:rFonts w:ascii="Times New Roman" w:hAnsi="Times New Roman"/>
          <w:sz w:val="20"/>
        </w:rPr>
        <w:t>) under an Indenture dated as of August 8, 2024 (the </w:t>
      </w:r>
      <w:r>
        <w:rPr>
          <w:rFonts w:ascii="Times New Roman" w:hAnsi="Times New Roman"/>
          <w:sz w:val="20"/>
          <w:u w:val="single"/>
        </w:rPr>
        <w:t>Indenture</w:t>
      </w:r>
      <w:r>
        <w:rPr>
          <w:rFonts w:ascii="Times New Roman" w:hAnsi="Times New Roman"/>
          <w:sz w:val="20"/>
        </w:rPr>
        <w:t>) among the Issuer, the Guarantors, U.S. Bank Trust Company, National Association (the </w:t>
      </w:r>
      <w:r>
        <w:rPr>
          <w:rFonts w:ascii="Times New Roman" w:hAnsi="Times New Roman"/>
          <w:sz w:val="20"/>
          <w:u w:val="single"/>
        </w:rPr>
        <w:t>Trustee</w:t>
      </w:r>
      <w:r>
        <w:rPr>
          <w:rFonts w:ascii="Times New Roman" w:hAnsi="Times New Roman"/>
          <w:sz w:val="20"/>
        </w:rPr>
        <w:t>), Elavon Financial Services DAC, as paying agent (the </w:t>
      </w:r>
      <w:r>
        <w:rPr>
          <w:rFonts w:ascii="Times New Roman" w:hAnsi="Times New Roman"/>
          <w:sz w:val="20"/>
          <w:u w:val="single"/>
        </w:rPr>
        <w:t>Paying Agent</w:t>
      </w:r>
      <w:r>
        <w:rPr>
          <w:rFonts w:ascii="Times New Roman" w:hAnsi="Times New Roman"/>
          <w:sz w:val="20"/>
        </w:rPr>
        <w:t>), registrar (the </w:t>
      </w:r>
      <w:r>
        <w:rPr>
          <w:rFonts w:ascii="Times New Roman" w:hAnsi="Times New Roman"/>
          <w:sz w:val="20"/>
          <w:u w:val="single"/>
        </w:rPr>
        <w:t>Registrar</w:t>
      </w:r>
      <w:r>
        <w:rPr>
          <w:rFonts w:ascii="Times New Roman" w:hAnsi="Times New Roman"/>
          <w:sz w:val="20"/>
        </w:rPr>
        <w:t>) and transfer agent (the </w:t>
      </w:r>
      <w:r>
        <w:rPr>
          <w:rFonts w:ascii="Times New Roman" w:hAnsi="Times New Roman"/>
          <w:sz w:val="20"/>
          <w:u w:val="single"/>
        </w:rPr>
        <w:t>Transfer Agent</w:t>
      </w:r>
      <w:r>
        <w:rPr>
          <w:rFonts w:ascii="Times New Roman" w:hAnsi="Times New Roman"/>
          <w:sz w:val="20"/>
        </w:rPr>
        <w:t xml:space="preserv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Notes issued on the Issue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Notes issued on the Issue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October 15, 2029,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hAnsi="Times New Roman"/>
          <w:sz w:val="20"/>
          <w:u w:val="single"/>
        </w:rPr>
        <w:t>Make-Whole Redemption</w:t>
      </w:r>
      <w:r>
        <w:rPr>
          <w:rFonts w:ascii="Times New Roman" w:hAnsi="Times New Roman"/>
          <w:sz w:val="20"/>
        </w:rPr>
        <w:t xml:space="preserve">). The Issuer shall notify the Trustee of the Make-Whole Premium by delivering to the Trustee, on or before the Make-Whole Redemption Date, an Officers Certificate showing the calculation thereof in reasonable detail, and the Trustee shall have no responsibility for such calculation. </w:t>
      </w:r>
    </w:p>
    <w:p>
      <w:pPr>
        <w:pStyle w:val="TextBody"/>
        <w:bidi w:val="0"/>
        <w:spacing w:before="240" w:after="0"/>
        <w:jc w:val="left"/>
        <w:rPr>
          <w:rFonts w:ascii="Times New Roman" w:hAnsi="Times New Roman"/>
          <w:sz w:val="20"/>
        </w:rPr>
      </w:pPr>
      <w:r>
        <w:rPr>
          <w:rFonts w:ascii="Times New Roman" w:hAnsi="Times New Roman"/>
          <w:sz w:val="20"/>
        </w:rPr>
        <w:t xml:space="preserve">(b) At any time on or after October 15, 2029, the Issuer may redeem the Notes, at its option, in whole at any time or in part from time to time at a redemption price equal to 100% of the principal amount thereof, plus accrued and unpaid interest, if any, to, but excluding,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Any such redemption or notice may, at the Issuers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Redemption for Changes in Withholding Tax</w:t>
      </w:r>
      <w:r>
        <w:rPr>
          <w:rFonts w:ascii="Times New Roman" w:hAnsi="Times New Roman"/>
          <w:sz w:val="20"/>
        </w:rPr>
        <w:t xml:space="preserve">.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 of Redemption</w:t>
      </w:r>
      <w:r>
        <w:rPr>
          <w:rFonts w:ascii="Times New Roman" w:hAnsi="Times New Roman"/>
          <w:sz w:val="20"/>
        </w:rPr>
        <w:t xml:space="preserve">.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Offers To Purchase</w:t>
      </w:r>
      <w:r>
        <w:rPr>
          <w:rFonts w:ascii="Times New Roman" w:hAnsi="Times New Roman"/>
          <w:sz w:val="20"/>
        </w:rPr>
        <w:t xml:space="preserve">. The Indenture provides that upon the occurrence of a Change of Control Repurchase Event and subject to further limitations contained therein, the Issuer shall make an offer to purchase outstanding Notes in accordance with the procedures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Persons Deemed Owners</w:t>
      </w:r>
      <w:r>
        <w:rPr>
          <w:rFonts w:ascii="Times New Roman" w:hAnsi="Times New Roman"/>
          <w:sz w:val="20"/>
        </w:rPr>
        <w:t xml:space="preserve">. The registered Holder of this Note may be treated as the owner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Unclaimed Money</w:t>
      </w:r>
      <w:r>
        <w:rPr>
          <w:rFonts w:ascii="Times New Roman" w:hAnsi="Times New Roman"/>
          <w:sz w:val="20"/>
        </w:rPr>
        <w:t xml:space="preserve">.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Amendment, Supplement, Waiver, Etc</w:t>
      </w:r>
      <w:r>
        <w:rPr>
          <w:rFonts w:ascii="Times New Roman" w:hAnsi="Times New Roman"/>
          <w:sz w:val="20"/>
        </w:rPr>
        <w:t xml:space="preserve">.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Restrictive Covenants</w:t>
      </w:r>
      <w:r>
        <w:rPr>
          <w:rFonts w:ascii="Times New Roman" w:hAnsi="Times New Roman"/>
          <w:sz w:val="20"/>
        </w:rPr>
        <w:t xml:space="preserve">.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 Corporation</w:t>
      </w:r>
      <w:r>
        <w:rPr>
          <w:rFonts w:ascii="Times New Roman" w:hAnsi="Times New Roman"/>
          <w:sz w:val="20"/>
        </w:rPr>
        <w:t xml:space="preserve">.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Defaults and Remedies</w:t>
      </w:r>
      <w:r>
        <w:rPr>
          <w:rFonts w:ascii="Times New Roman" w:hAnsi="Times New Roman"/>
          <w:sz w:val="20"/>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if after such acceleration but before a judgment or decree based on such acceleration is obtained by the Trustee, the Holders of a majority in aggregate principal amount of outstanding Notes may rescind and annul such acceleration if: </w:t>
      </w:r>
    </w:p>
    <w:p>
      <w:pPr>
        <w:pStyle w:val="TextBody"/>
        <w:bidi w:val="0"/>
        <w:spacing w:before="120" w:after="0"/>
        <w:jc w:val="left"/>
        <w:rPr>
          <w:rFonts w:ascii="Times New Roman" w:hAnsi="Times New Roman"/>
          <w:sz w:val="20"/>
        </w:rPr>
      </w:pPr>
      <w:r>
        <w:rPr>
          <w:rFonts w:ascii="Times New Roman" w:hAnsi="Times New Roman"/>
          <w:sz w:val="20"/>
        </w:rPr>
        <w:t xml:space="preserve">(1) all Events of Default, other than nonpayment of principal, premium, if any, or interest that has become due solely because of the acceleration, have been cured or waived;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the payment of such interest is lawful, interest on overdue installments of interest and overdue principal, which has become due otherwise than by such declaration of acceleration, has been paid; </w:t>
      </w:r>
    </w:p>
    <w:p>
      <w:pPr>
        <w:pStyle w:val="TextBody"/>
        <w:bidi w:val="0"/>
        <w:spacing w:before="120" w:after="0"/>
        <w:jc w:val="left"/>
        <w:rPr>
          <w:rFonts w:ascii="Times New Roman" w:hAnsi="Times New Roman"/>
          <w:sz w:val="20"/>
        </w:rPr>
      </w:pPr>
      <w:r>
        <w:rPr>
          <w:rFonts w:ascii="Times New Roman" w:hAnsi="Times New Roman"/>
          <w:sz w:val="20"/>
        </w:rPr>
        <w:t xml:space="preserve">(3) the Issuer has paid the Trustee its reasonable compensation and reimbursed the Trustee for its expenses, disbursements and advances; and </w:t>
      </w:r>
    </w:p>
    <w:p>
      <w:pPr>
        <w:pStyle w:val="TextBody"/>
        <w:bidi w:val="0"/>
        <w:spacing w:before="120" w:after="0"/>
        <w:jc w:val="left"/>
        <w:rPr>
          <w:rFonts w:ascii="Times New Roman" w:hAnsi="Times New Roman"/>
          <w:sz w:val="20"/>
        </w:rPr>
      </w:pPr>
      <w:r>
        <w:rPr>
          <w:rFonts w:ascii="Times New Roman" w:hAnsi="Times New Roman"/>
          <w:sz w:val="20"/>
        </w:rPr>
        <w:t xml:space="preserve">(4) in the event of the cure or waiver of an Event of Default of the type described in Section 6.01(7), the Trustee shall have received an Officers Certificate and an Opinion of Counsel that such Event of Default has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Trustee Dealings with the Issuer</w:t>
      </w:r>
      <w:r>
        <w:rPr>
          <w:rFonts w:ascii="Times New Roman" w:hAnsi="Times New Roman"/>
          <w:sz w:val="20"/>
        </w:rPr>
        <w:t xml:space="preserve">. The Trustee, in its individual or any other capacity, may make loans to, accept deposits from and perform services for the Issuer or its Affiliates, and may otherwise deal with the Issuer or its Affiliates, as if it were not Trustee.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Recourse Against Others</w:t>
      </w:r>
      <w:r>
        <w:rPr>
          <w:rFonts w:ascii="Times New Roman" w:hAnsi="Times New Roman"/>
          <w:sz w:val="20"/>
        </w:rPr>
        <w:t xml:space="preserve">.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Discharge</w:t>
      </w:r>
      <w:r>
        <w:rPr>
          <w:rFonts w:ascii="Times New Roman" w:hAnsi="Times New Roman"/>
          <w:sz w:val="20"/>
        </w:rPr>
        <w:t xml:space="preserve">.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Guarantees</w:t>
      </w:r>
      <w:r>
        <w:rPr>
          <w:rFonts w:ascii="Times New Roman" w:hAnsi="Times New Roman"/>
          <w:sz w:val="20"/>
        </w:rPr>
        <w:t xml:space="preserve">.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Authentication</w:t>
      </w:r>
      <w:r>
        <w:rPr>
          <w:rFonts w:ascii="Times New Roman" w:hAnsi="Times New Roman"/>
          <w:sz w:val="20"/>
        </w:rPr>
        <w:t xml:space="preserve">. This Note shall not be valid until the Trustee signs the certificate of authentication on the other side of this Note.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THIS NOTE SHALL BE GOVERNED BY AND CONSTRUED IN ACCORDANCE WITH THE LAWS OF THE STATE OF NEW YORK, BUT WITHOUT GIVING EFFECT TO APPLICABLE PRINCIPLES OF CONFLICTS OF LAW TO THE EXTENT THAT THE APPLICATION OF THE LAW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22. 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0" w:after="0"/>
        <w:jc w:val="left"/>
        <w:rPr>
          <w:rFonts w:ascii="Times New Roman" w:hAnsi="Times New Roman"/>
          <w:sz w:val="20"/>
        </w:rPr>
      </w:pPr>
      <w:r>
        <w:rPr>
          <w:rFonts w:ascii="Times New Roman" w:hAnsi="Times New Roman"/>
          <w:sz w:val="20"/>
        </w:rPr>
        <w:t xml:space="preserve">Attn: Timothy Donahue </w:t>
      </w:r>
    </w:p>
    <w:p>
      <w:pPr>
        <w:pStyle w:val="TextBody"/>
        <w:bidi w:val="0"/>
        <w:spacing w:before="0" w:after="0"/>
        <w:jc w:val="left"/>
        <w:rPr>
          <w:rFonts w:ascii="Times New Roman" w:hAnsi="Times New Roman"/>
          <w:sz w:val="20"/>
        </w:rPr>
      </w:pPr>
      <w:r>
        <w:rPr>
          <w:rFonts w:ascii="Times New Roman" w:hAnsi="Times New Roman"/>
          <w:sz w:val="20"/>
        </w:rPr>
        <w:t xml:space="preserve">Telephone: 33 1 4918 4000 </w:t>
      </w:r>
    </w:p>
    <w:p>
      <w:pPr>
        <w:pStyle w:val="TextBody"/>
        <w:bidi w:val="0"/>
        <w:spacing w:before="0" w:after="0"/>
        <w:jc w:val="left"/>
        <w:rPr>
          <w:rFonts w:ascii="Times New Roman" w:hAnsi="Times New Roman"/>
          <w:sz w:val="20"/>
        </w:rPr>
      </w:pPr>
      <w:r>
        <w:rPr>
          <w:rFonts w:ascii="Times New Roman" w:hAnsi="Times New Roman"/>
          <w:sz w:val="20"/>
        </w:rPr>
        <w:t xml:space="preserve">Facsimile:  33 1 4918 4001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social security or tax I.D. number)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8"/>
        <w:gridCol w:w="125"/>
        <w:gridCol w:w="3839"/>
        <w:gridCol w:w="101"/>
        <w:gridCol w:w="3842"/>
      </w:tblGrid>
      <w:tr>
        <w:trPr/>
        <w:tc>
          <w:tcPr>
            <w:tcW w:w="229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2298" w:type="dxa"/>
            <w:tcBorders/>
          </w:tcPr>
          <w:p>
            <w:pPr>
              <w:pStyle w:val="TableContents"/>
              <w:bidi w:val="0"/>
              <w:spacing w:before="0" w:after="283"/>
              <w:jc w:val="left"/>
              <w:rPr/>
            </w:pPr>
            <w:r>
              <w:rPr/>
              <w:t>and irrevocably appoint</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7782" w:type="dxa"/>
            <w:gridSpan w:val="3"/>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Agent to transfer this Note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48"/>
        <w:gridCol w:w="107"/>
        <w:gridCol w:w="372"/>
        <w:gridCol w:w="107"/>
        <w:gridCol w:w="1494"/>
        <w:gridCol w:w="107"/>
        <w:gridCol w:w="3870"/>
      </w:tblGrid>
      <w:tr>
        <w:trPr/>
        <w:tc>
          <w:tcPr>
            <w:tcW w:w="414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4148" w:type="dxa"/>
            <w:tcBorders/>
          </w:tcPr>
          <w:p>
            <w:pPr>
              <w:pStyle w:val="TableContents"/>
              <w:bidi w:val="0"/>
              <w:spacing w:before="0" w:after="283"/>
              <w:jc w:val="left"/>
              <w:rPr/>
            </w:pPr>
            <w:r>
              <w:rPr/>
              <w:t xml:space="preserve">Date: </w:t>
            </w:r>
            <w:r>
              <w:rPr>
                <w:u w:val="single"/>
              </w:rPr>
              <w:t>      </w:t>
            </w:r>
          </w:p>
        </w:tc>
        <w:tc>
          <w:tcPr>
            <w:tcW w:w="107"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94" w:type="dxa"/>
            <w:tcBorders/>
          </w:tcPr>
          <w:p>
            <w:pPr>
              <w:pStyle w:val="TableContents"/>
              <w:bidi w:val="0"/>
              <w:spacing w:before="0" w:after="283"/>
              <w:jc w:val="left"/>
              <w:rPr/>
            </w:pPr>
            <w:r>
              <w:rPr/>
              <w:t>Your Signature:</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70" w:type="dxa"/>
            <w:tcBorders>
              <w:bottom w:val="single" w:sz="2" w:space="0" w:color="000000"/>
            </w:tcBorders>
            <w:tcMar>
              <w:bottom w:w="28" w:type="dxa"/>
            </w:tcMar>
          </w:tcPr>
          <w:p>
            <w:pPr>
              <w:pStyle w:val="TableContents"/>
              <w:bidi w:val="0"/>
              <w:spacing w:before="0" w:after="283"/>
              <w:jc w:val="left"/>
              <w:rPr/>
            </w:pPr>
            <w:r>
              <w:rPr/>
              <w:t> </w:t>
            </w:r>
          </w:p>
        </w:tc>
      </w:tr>
      <w:tr>
        <w:trPr/>
        <w:tc>
          <w:tcPr>
            <w:tcW w:w="414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4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870" w:type="dxa"/>
            <w:tcBorders/>
          </w:tcPr>
          <w:p>
            <w:pPr>
              <w:pStyle w:val="TableContents"/>
              <w:bidi w:val="0"/>
              <w:spacing w:before="0" w:after="283"/>
              <w:jc w:val="left"/>
              <w:rPr/>
            </w:pPr>
            <w:r>
              <w:rPr/>
              <w:t>(Sign exactly as your name appears on the other side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59"/>
        <w:gridCol w:w="60"/>
        <w:gridCol w:w="859"/>
        <w:gridCol w:w="41"/>
        <w:gridCol w:w="863"/>
      </w:tblGrid>
      <w:tr>
        <w:trPr/>
        <w:tc>
          <w:tcPr>
            <w:tcW w:w="22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 w:type="dxa"/>
            <w:tcBorders/>
            <w:vAlign w:val="bottom"/>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259" w:type="dxa"/>
            <w:tcBorders/>
          </w:tcPr>
          <w:p>
            <w:pPr>
              <w:pStyle w:val="TableContents"/>
              <w:bidi w:val="0"/>
              <w:spacing w:before="0" w:after="283"/>
              <w:jc w:val="left"/>
              <w:rPr/>
            </w:pPr>
            <w:r>
              <w:rPr/>
              <w:t>Signature Guarantee: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763" w:type="dxa"/>
            <w:gridSpan w:val="3"/>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all or any part of this Note purchased by the Issuer pursuant to Section 4.08 of the Indenture,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
        <w:gridCol w:w="123"/>
        <w:gridCol w:w="445"/>
        <w:gridCol w:w="123"/>
        <w:gridCol w:w="4451"/>
        <w:gridCol w:w="123"/>
        <w:gridCol w:w="4008"/>
      </w:tblGrid>
      <w:tr>
        <w:trPr/>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932" w:type="dxa"/>
            <w:tcBorders/>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451" w:type="dxa"/>
            <w:tcBorders/>
          </w:tcPr>
          <w:p>
            <w:pPr>
              <w:pStyle w:val="TableContents"/>
              <w:bidi w:val="0"/>
              <w:spacing w:before="0" w:after="283"/>
              <w:jc w:val="left"/>
              <w:rPr/>
            </w:pPr>
            <w:r>
              <w:rPr/>
              <w:t>Section 4.08</w:t>
            </w:r>
          </w:p>
        </w:tc>
        <w:tc>
          <w:tcPr>
            <w:tcW w:w="123" w:type="dxa"/>
            <w:tcBorders/>
            <w:vAlign w:val="bottom"/>
          </w:tcPr>
          <w:p>
            <w:pPr>
              <w:pStyle w:val="TableContents"/>
              <w:bidi w:val="0"/>
              <w:spacing w:before="0" w:after="283"/>
              <w:jc w:val="left"/>
              <w:rPr/>
            </w:pPr>
            <w:r>
              <w:rPr/>
              <w:t>  </w:t>
            </w:r>
          </w:p>
        </w:tc>
        <w:tc>
          <w:tcPr>
            <w:tcW w:w="400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want to have only part of the Note purchased by the Issuer pursuant to Section 4.08 of the Indenture, state the amount you elect to have purchased: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6"/>
        <w:gridCol w:w="60"/>
        <w:gridCol w:w="3866"/>
      </w:tblGrid>
      <w:tr>
        <w:trPr/>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156" w:type="dxa"/>
            <w:tcBorders/>
          </w:tcPr>
          <w:p>
            <w:pPr>
              <w:pStyle w:val="TableContents"/>
              <w:bidi w:val="0"/>
              <w:spacing w:before="0" w:after="283"/>
              <w:jc w:val="left"/>
              <w:rPr/>
            </w:pPr>
            <w:r>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866" w:type="dxa"/>
            <w:tcBorders>
              <w:bottom w:val="single" w:sz="2" w:space="0" w:color="000000"/>
            </w:tcBorders>
            <w:tcMar>
              <w:bottom w:w="28" w:type="dxa"/>
            </w:tcMar>
          </w:tcPr>
          <w:p>
            <w:pPr>
              <w:pStyle w:val="TableContents"/>
              <w:bidi w:val="0"/>
              <w:spacing w:before="0" w:after="283"/>
              <w:jc w:val="left"/>
              <w:rPr/>
            </w:pPr>
            <w:r>
              <w:rPr/>
              <w:t> </w:t>
            </w:r>
          </w:p>
        </w:tc>
      </w:tr>
      <w:tr>
        <w:trPr/>
        <w:tc>
          <w:tcPr>
            <w:tcW w:w="1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6" w:type="dxa"/>
            <w:tcBorders/>
          </w:tcPr>
          <w:p>
            <w:pPr>
              <w:pStyle w:val="TableContents"/>
              <w:bidi w:val="0"/>
              <w:spacing w:before="0" w:after="0"/>
              <w:jc w:val="left"/>
              <w:rPr>
                <w:rFonts w:ascii="Times New Roman" w:hAnsi="Times New Roman"/>
                <w:sz w:val="20"/>
              </w:rPr>
            </w:pPr>
            <w:r>
              <w:rPr>
                <w:rFonts w:ascii="Times New Roman" w:hAnsi="Times New Roman"/>
                <w:sz w:val="20"/>
              </w:rPr>
              <w:t>(1,000 or any integral multiple</w:t>
            </w:r>
          </w:p>
          <w:p>
            <w:pPr>
              <w:pStyle w:val="TableContents"/>
              <w:bidi w:val="0"/>
              <w:spacing w:before="0" w:after="0"/>
              <w:jc w:val="left"/>
              <w:rPr>
                <w:rFonts w:ascii="Times New Roman" w:hAnsi="Times New Roman"/>
                <w:sz w:val="20"/>
              </w:rPr>
            </w:pPr>
            <w:r>
              <w:rPr>
                <w:rFonts w:ascii="Times New Roman" w:hAnsi="Times New Roman"/>
                <w:sz w:val="20"/>
              </w:rPr>
              <w:t xml:space="preserve">thereof; </w:t>
            </w:r>
            <w:r>
              <w:rPr>
                <w:rFonts w:ascii="Times New Roman" w:hAnsi="Times New Roman"/>
                <w:sz w:val="20"/>
                <w:u w:val="single"/>
              </w:rPr>
              <w:t>provided</w:t>
            </w:r>
            <w:r>
              <w:rPr>
                <w:rFonts w:ascii="Times New Roman" w:hAnsi="Times New Roman"/>
                <w:sz w:val="20"/>
              </w:rPr>
              <w:t xml:space="preserve"> that the part not</w:t>
            </w:r>
          </w:p>
          <w:p>
            <w:pPr>
              <w:pStyle w:val="TableContents"/>
              <w:bidi w:val="0"/>
              <w:spacing w:before="0" w:after="20"/>
              <w:jc w:val="left"/>
              <w:rPr>
                <w:rFonts w:ascii="Times New Roman" w:hAnsi="Times New Roman"/>
                <w:sz w:val="20"/>
              </w:rPr>
            </w:pPr>
            <w:r>
              <w:rPr>
                <w:rFonts w:ascii="Times New Roman" w:hAnsi="Times New Roman"/>
                <w:sz w:val="20"/>
              </w:rPr>
              <w:t>purchased must be at least 100,000)</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82"/>
        <w:gridCol w:w="62"/>
        <w:gridCol w:w="3438"/>
      </w:tblGrid>
      <w:tr>
        <w:trPr/>
        <w:tc>
          <w:tcPr>
            <w:tcW w:w="58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582"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43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03"/>
        <w:gridCol w:w="60"/>
        <w:gridCol w:w="2519"/>
      </w:tblGrid>
      <w:tr>
        <w:trPr/>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19" w:type="dxa"/>
            <w:tcBorders>
              <w:bottom w:val="single" w:sz="2" w:space="0" w:color="000000"/>
            </w:tcBorders>
            <w:tcMar>
              <w:bottom w:w="28" w:type="dxa"/>
            </w:tcMar>
          </w:tcPr>
          <w:p>
            <w:pPr>
              <w:pStyle w:val="TableContents"/>
              <w:bidi w:val="0"/>
              <w:spacing w:before="0" w:after="283"/>
              <w:jc w:val="left"/>
              <w:rPr/>
            </w:pPr>
            <w:r>
              <w:rPr/>
              <w:t> </w:t>
            </w:r>
          </w:p>
        </w:tc>
      </w:tr>
      <w:tr>
        <w:trPr/>
        <w:tc>
          <w:tcPr>
            <w:tcW w:w="15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center"/>
              <w:rPr/>
            </w:pPr>
            <w:r>
              <w:rPr/>
              <w:t>Signature Guaranteed</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Physical Note, or exchanges of a part of another Global Note or Physical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1939"/>
        <w:gridCol w:w="102"/>
        <w:gridCol w:w="2041"/>
        <w:gridCol w:w="102"/>
        <w:gridCol w:w="2042"/>
        <w:gridCol w:w="102"/>
        <w:gridCol w:w="1939"/>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 of Exchange</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b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this Global Note</w:t>
            </w:r>
          </w:p>
        </w:tc>
        <w:tc>
          <w:tcPr>
            <w:tcW w:w="102"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this Global Note</w:t>
            </w:r>
          </w:p>
        </w:tc>
        <w:tc>
          <w:tcPr>
            <w:tcW w:w="102"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 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(or increase)</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Signature of authorized</w:t>
              <w:br/>
              <w:t>signatory of Trustee</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Securities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A-2 </w:t>
      </w:r>
    </w:p>
    <w:p>
      <w:pPr>
        <w:pStyle w:val="TextBody"/>
        <w:bidi w:val="0"/>
        <w:spacing w:before="0" w:after="0"/>
        <w:jc w:val="center"/>
        <w:rPr>
          <w:rFonts w:ascii="Times New Roman" w:hAnsi="Times New Roman"/>
          <w:sz w:val="20"/>
        </w:rPr>
      </w:pPr>
      <w:r>
        <w:rPr>
          <w:rFonts w:ascii="Times New Roman" w:hAnsi="Times New Roman"/>
          <w:sz w:val="20"/>
        </w:rPr>
        <w:t xml:space="preserve">[FORM OF UNRESTRICTED NOTE] </w:t>
      </w:r>
    </w:p>
    <w:p>
      <w:pPr>
        <w:pStyle w:val="TextBody"/>
        <w:bidi w:val="0"/>
        <w:spacing w:before="12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120" w:after="0"/>
        <w:jc w:val="center"/>
        <w:rPr>
          <w:rFonts w:ascii="Times New Roman" w:hAnsi="Times New Roman"/>
          <w:sz w:val="20"/>
        </w:rPr>
      </w:pPr>
      <w:r>
        <w:rPr>
          <w:rFonts w:ascii="Times New Roman" w:hAnsi="Times New Roman"/>
          <w:sz w:val="20"/>
        </w:rPr>
        <w:t xml:space="preserve">4.500% SENIOR NOTE DUE 2030 </w:t>
      </w:r>
    </w:p>
    <w:p>
      <w:pPr>
        <w:pStyle w:val="TextBody"/>
        <w:bidi w:val="0"/>
        <w:spacing w:before="120" w:after="0"/>
        <w:jc w:val="center"/>
        <w:rPr>
          <w:rFonts w:ascii="Times New Roman" w:hAnsi="Times New Roman"/>
          <w:sz w:val="20"/>
        </w:rPr>
      </w:pPr>
      <w:r>
        <w:rPr>
          <w:rFonts w:ascii="Times New Roman" w:hAnsi="Times New Roman"/>
          <w:b/>
          <w:sz w:val="20"/>
        </w:rPr>
        <w:t>[</w:t>
      </w:r>
      <w:r>
        <w:rPr>
          <w:rFonts w:ascii="Times New Roman" w:hAnsi="Times New Roman"/>
          <w:b/>
          <w:i/>
          <w:sz w:val="20"/>
        </w:rPr>
        <w:t>Insert Global Note Legend</w:t>
      </w:r>
      <w:r>
        <w:rPr>
          <w:rFonts w:ascii="Times New Roman" w:hAnsi="Times New Roman"/>
          <w:b/>
          <w:sz w:val="20"/>
        </w:rPr>
        <w:t>,</w:t>
      </w:r>
      <w:r>
        <w:rPr>
          <w:rFonts w:ascii="Times New Roman" w:hAnsi="Times New Roman"/>
          <w:sz w:val="20"/>
        </w:rPr>
        <w:t xml:space="preserve"> </w:t>
      </w:r>
      <w:r>
        <w:rPr>
          <w:rFonts w:ascii="Times New Roman" w:hAnsi="Times New Roman"/>
          <w:b/>
          <w:i/>
          <w:sz w:val="20"/>
        </w:rPr>
        <w:t>if applicable</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4"/>
        <w:gridCol w:w="126"/>
        <w:gridCol w:w="3166"/>
        <w:gridCol w:w="126"/>
        <w:gridCol w:w="3243"/>
      </w:tblGrid>
      <w:tr>
        <w:trPr/>
        <w:tc>
          <w:tcPr>
            <w:tcW w:w="354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3544" w:type="dxa"/>
            <w:tcBorders/>
          </w:tcPr>
          <w:p>
            <w:pPr>
              <w:pStyle w:val="TableContents"/>
              <w:bidi w:val="0"/>
              <w:spacing w:before="0" w:after="283"/>
              <w:jc w:val="left"/>
              <w:rPr/>
            </w:pPr>
            <w:r>
              <w:rPr/>
              <w:t>No. [ ]</w:t>
            </w:r>
          </w:p>
        </w:tc>
        <w:tc>
          <w:tcPr>
            <w:tcW w:w="126"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43" w:type="dxa"/>
            <w:tcBorders/>
          </w:tcPr>
          <w:p>
            <w:pPr>
              <w:pStyle w:val="TableContents"/>
              <w:bidi w:val="0"/>
              <w:spacing w:before="0" w:after="0"/>
              <w:jc w:val="right"/>
              <w:rPr>
                <w:rFonts w:ascii="Times New Roman" w:hAnsi="Times New Roman"/>
                <w:sz w:val="20"/>
              </w:rPr>
            </w:pPr>
            <w:r>
              <w:rPr>
                <w:rFonts w:ascii="Times New Roman" w:hAnsi="Times New Roman"/>
                <w:sz w:val="20"/>
              </w:rPr>
              <w:t>ISIN No. [    ]</w:t>
            </w:r>
          </w:p>
          <w:p>
            <w:pPr>
              <w:pStyle w:val="TableContents"/>
              <w:bidi w:val="0"/>
              <w:spacing w:before="0" w:after="0"/>
              <w:jc w:val="right"/>
              <w:rPr>
                <w:rFonts w:ascii="Times New Roman" w:hAnsi="Times New Roman"/>
                <w:sz w:val="20"/>
              </w:rPr>
            </w:pPr>
            <w:r>
              <w:rPr>
                <w:rFonts w:ascii="Times New Roman" w:hAnsi="Times New Roman"/>
                <w:sz w:val="20"/>
              </w:rPr>
              <w:t>Common Code No. [    ]</w:t>
            </w:r>
          </w:p>
          <w:p>
            <w:pPr>
              <w:pStyle w:val="TableContents"/>
              <w:bidi w:val="0"/>
              <w:spacing w:before="0" w:after="20"/>
              <w:jc w:val="right"/>
              <w:rPr>
                <w:rFonts w:ascii="Times New Roman" w:hAnsi="Times New Roman"/>
                <w:sz w:val="20"/>
              </w:rPr>
            </w:pPr>
            <w:r>
              <w:rPr>
                <w:rFonts w:ascii="Times New Roman" w:hAnsi="Times New Roman"/>
                <w:sz w:val="20"/>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CROWN EUROPEAN HOLDINGS S.A., a French </w:t>
      </w:r>
      <w:r>
        <w:rPr>
          <w:rFonts w:ascii="Times New Roman" w:hAnsi="Times New Roman"/>
          <w:i/>
          <w:sz w:val="20"/>
        </w:rPr>
        <w:t>société anonyme</w:t>
      </w:r>
      <w:r>
        <w:rPr>
          <w:rFonts w:ascii="Times New Roman" w:hAnsi="Times New Roman"/>
          <w:sz w:val="20"/>
        </w:rPr>
        <w:t>, as issuer (the </w:t>
      </w:r>
      <w:r>
        <w:rPr>
          <w:rFonts w:ascii="Times New Roman" w:hAnsi="Times New Roman"/>
          <w:sz w:val="20"/>
          <w:u w:val="single"/>
        </w:rPr>
        <w:t>Issuer</w:t>
      </w:r>
      <w:r>
        <w:rPr>
          <w:rFonts w:ascii="Times New Roman" w:hAnsi="Times New Roman"/>
          <w:sz w:val="20"/>
        </w:rPr>
        <w:t xml:space="preserve">), for value received, promises to pay to USB Nominees (UK) Limited or registered assigns the principal sum of [    ] (or such other principal amount as shall be set forth in the Schedule of Exchanges of Interests in Global Note attached hereto), on January 15, 2030.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January 15 and July 15 commencing January 15, 2025. </w:t>
      </w:r>
    </w:p>
    <w:p>
      <w:pPr>
        <w:pStyle w:val="TextBody"/>
        <w:bidi w:val="0"/>
        <w:spacing w:before="240" w:after="0"/>
        <w:jc w:val="left"/>
        <w:rPr>
          <w:rFonts w:ascii="Times New Roman" w:hAnsi="Times New Roman"/>
          <w:sz w:val="20"/>
        </w:rPr>
      </w:pPr>
      <w:r>
        <w:rPr>
          <w:rFonts w:ascii="Times New Roman" w:hAnsi="Times New Roman"/>
          <w:sz w:val="20"/>
        </w:rPr>
        <w:t xml:space="preserve">Record Dates: January 1 and July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contained herein, which will for all purposes have the same effect as if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signed by two of its duly authorized officers.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EUROPEAN HOLDINGS S.A.</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vAlign w:val="bottom"/>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pBdr>
                <w:bottom w:val="single" w:sz="2" w:space="1" w:color="000000"/>
              </w:pBdr>
              <w:bidi w:val="0"/>
              <w:spacing w:before="0" w:after="20"/>
              <w:jc w:val="left"/>
              <w:rPr/>
            </w:pPr>
            <w:r>
              <w:rPr/>
              <w:t> </w:t>
            </w:r>
          </w:p>
        </w:tc>
      </w:tr>
      <w:tr>
        <w:trPr/>
        <w:tc>
          <w:tcPr>
            <w:tcW w:w="497"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bidi w:val="0"/>
              <w:spacing w:before="0" w:after="283"/>
              <w:jc w:val="left"/>
              <w:rPr/>
            </w:pPr>
            <w:r>
              <w:rPr/>
              <w:t>Name:</w:t>
            </w:r>
          </w:p>
        </w:tc>
      </w:tr>
      <w:tr>
        <w:trPr/>
        <w:tc>
          <w:tcPr>
            <w:tcW w:w="497"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bidi w:val="0"/>
              <w:spacing w:before="0" w:after="283"/>
              <w:jc w:val="left"/>
              <w:rPr/>
            </w:pPr>
            <w:r>
              <w:rPr/>
              <w:t>Title:</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vAlign w:val="bottom"/>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pBdr>
                <w:bottom w:val="single" w:sz="2" w:space="1" w:color="000000"/>
              </w:pBdr>
              <w:bidi w:val="0"/>
              <w:spacing w:before="0" w:after="20"/>
              <w:jc w:val="left"/>
              <w:rPr/>
            </w:pPr>
            <w:r>
              <w:rPr/>
              <w:t> </w:t>
            </w:r>
          </w:p>
        </w:tc>
      </w:tr>
      <w:tr>
        <w:trPr/>
        <w:tc>
          <w:tcPr>
            <w:tcW w:w="497"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bidi w:val="0"/>
              <w:spacing w:before="0" w:after="283"/>
              <w:jc w:val="left"/>
              <w:rPr/>
            </w:pPr>
            <w:r>
              <w:rPr/>
              <w:t>Name:</w:t>
            </w:r>
          </w:p>
        </w:tc>
      </w:tr>
      <w:tr>
        <w:trPr/>
        <w:tc>
          <w:tcPr>
            <w:tcW w:w="497"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4.500% Senior Notes due 2030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242"/>
        <w:gridCol w:w="2561"/>
      </w:tblGrid>
      <w:tr>
        <w:trPr/>
        <w:tc>
          <w:tcPr>
            <w:tcW w:w="127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U.S. BANK TRUST COMPANY, NATIONAL ASSOCIATION, as Trustee</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vAlign w:val="bottom"/>
          </w:tcPr>
          <w:p>
            <w:pPr>
              <w:pStyle w:val="TableContents"/>
              <w:bidi w:val="0"/>
              <w:spacing w:before="0" w:after="283"/>
              <w:jc w:val="left"/>
              <w:rPr/>
            </w:pPr>
            <w:r>
              <w:rPr/>
              <w:t>By:</w:t>
            </w:r>
          </w:p>
        </w:tc>
        <w:tc>
          <w:tcPr>
            <w:tcW w:w="242"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1"/>
        <w:gridCol w:w="4843"/>
      </w:tblGrid>
      <w:tr>
        <w:trPr/>
        <w:tc>
          <w:tcPr>
            <w:tcW w:w="5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43" w:type="dxa"/>
            <w:tcBorders/>
            <w:vAlign w:val="center"/>
          </w:tcPr>
          <w:p>
            <w:pPr>
              <w:pStyle w:val="TableContents"/>
              <w:bidi w:val="0"/>
              <w:spacing w:before="0" w:after="283"/>
              <w:jc w:val="left"/>
              <w:rPr>
                <w:sz w:val="4"/>
                <w:szCs w:val="4"/>
              </w:rPr>
            </w:pPr>
            <w:r>
              <w:rPr>
                <w:sz w:val="4"/>
                <w:szCs w:val="4"/>
              </w:rPr>
            </w:r>
          </w:p>
        </w:tc>
      </w:tr>
      <w:tr>
        <w:trPr/>
        <w:tc>
          <w:tcPr>
            <w:tcW w:w="5241" w:type="dxa"/>
            <w:tcBorders/>
            <w:vAlign w:val="bottom"/>
          </w:tcPr>
          <w:p>
            <w:pPr>
              <w:pStyle w:val="TableContents"/>
              <w:bidi w:val="0"/>
              <w:spacing w:before="0" w:after="283"/>
              <w:jc w:val="left"/>
              <w:rPr/>
            </w:pPr>
            <w:r>
              <w:rPr/>
              <w:t>Dated:</w:t>
            </w:r>
          </w:p>
        </w:tc>
        <w:tc>
          <w:tcPr>
            <w:tcW w:w="121" w:type="dxa"/>
            <w:tcBorders/>
            <w:vAlign w:val="bottom"/>
          </w:tcPr>
          <w:p>
            <w:pPr>
              <w:pStyle w:val="TableContents"/>
              <w:bidi w:val="0"/>
              <w:spacing w:before="0" w:after="283"/>
              <w:jc w:val="left"/>
              <w:rPr/>
            </w:pPr>
            <w:r>
              <w:rPr/>
              <w:t>  </w:t>
            </w:r>
          </w:p>
        </w:tc>
        <w:tc>
          <w:tcPr>
            <w:tcW w:w="484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UNRESTRICTED NOTE] </w:t>
      </w:r>
    </w:p>
    <w:p>
      <w:pPr>
        <w:pStyle w:val="TextBody"/>
        <w:bidi w:val="0"/>
        <w:spacing w:before="12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120" w:after="0"/>
        <w:jc w:val="center"/>
        <w:rPr>
          <w:rFonts w:ascii="Times New Roman" w:hAnsi="Times New Roman"/>
          <w:sz w:val="20"/>
        </w:rPr>
      </w:pPr>
      <w:r>
        <w:rPr>
          <w:rFonts w:ascii="Times New Roman" w:hAnsi="Times New Roman"/>
          <w:sz w:val="20"/>
        </w:rPr>
        <w:t xml:space="preserve">4.500% SENIOR NOTE DUE 2030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CROWN EUROPEAN HOLDINGS S.A., a French </w:t>
      </w:r>
      <w:r>
        <w:rPr>
          <w:rFonts w:ascii="Times New Roman" w:hAnsi="Times New Roman"/>
          <w:i/>
          <w:sz w:val="20"/>
        </w:rPr>
        <w:t>société anonyme</w:t>
      </w:r>
      <w:r>
        <w:rPr>
          <w:rFonts w:ascii="Times New Roman" w:hAnsi="Times New Roman"/>
          <w:sz w:val="20"/>
        </w:rPr>
        <w:t>, as issuer (the </w:t>
      </w:r>
      <w:r>
        <w:rPr>
          <w:rFonts w:ascii="Times New Roman" w:hAnsi="Times New Roman"/>
          <w:sz w:val="20"/>
          <w:u w:val="single"/>
        </w:rPr>
        <w:t>Issuer</w:t>
      </w:r>
      <w:r>
        <w:rPr>
          <w:rFonts w:ascii="Times New Roman" w:hAnsi="Times New Roman"/>
          <w:sz w:val="20"/>
        </w:rPr>
        <w:t xml:space="preserve">), promises to pay interest on the principal amount set forth on the face hereof at a rate of 4.500% per annum. Interest hereon will accrue from and including the most recent date to which interest has been paid or, if no interest has been paid, from and including August 8, 20243 to but excluding the date on which interest is paid. Interest shall be payable in arrears on each January 15 and July 15 commencing January 15, 20254.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 will pay interest hereon (except defaulted interest) to the Persons who are registered Holders at the close of business on February 1 or August 1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Registrar and Transfer Agent</w:t>
      </w:r>
      <w:r>
        <w:rPr>
          <w:rFonts w:ascii="Times New Roman" w:hAnsi="Times New Roman"/>
          <w:sz w:val="20"/>
        </w:rPr>
        <w:t xml:space="preserve">. Initially, Elavon Financial Services DAC, in Dublin will act as Paying Agent, Registrar and Transfer Agent. The Issuer may change any Paying Agent or Registrar without notice. The Issuer or any Affiliate thereof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Issuer issued 4.500% Senior Notes due 2030 (the </w:t>
      </w:r>
      <w:r>
        <w:rPr>
          <w:rFonts w:ascii="Times New Roman" w:hAnsi="Times New Roman"/>
          <w:sz w:val="20"/>
          <w:u w:val="single"/>
        </w:rPr>
        <w:t>Notes</w:t>
      </w:r>
      <w:r>
        <w:rPr>
          <w:rFonts w:ascii="Times New Roman" w:hAnsi="Times New Roman"/>
          <w:sz w:val="20"/>
        </w:rPr>
        <w:t>) under an Indenture dated as of August 8, 2024 (the </w:t>
      </w:r>
      <w:r>
        <w:rPr>
          <w:rFonts w:ascii="Times New Roman" w:hAnsi="Times New Roman"/>
          <w:sz w:val="20"/>
          <w:u w:val="single"/>
        </w:rPr>
        <w:t>Indenture</w:t>
      </w:r>
      <w:r>
        <w:rPr>
          <w:rFonts w:ascii="Times New Roman" w:hAnsi="Times New Roman"/>
          <w:sz w:val="20"/>
        </w:rPr>
        <w:t>) among the Issuer, the Guarantors, U.S. Bank Trust Company, National Association (the </w:t>
      </w:r>
      <w:r>
        <w:rPr>
          <w:rFonts w:ascii="Times New Roman" w:hAnsi="Times New Roman"/>
          <w:sz w:val="20"/>
          <w:u w:val="single"/>
        </w:rPr>
        <w:t>Trustee</w:t>
      </w:r>
      <w:r>
        <w:rPr>
          <w:rFonts w:ascii="Times New Roman" w:hAnsi="Times New Roman"/>
          <w:sz w:val="20"/>
        </w:rPr>
        <w:t>), Elavon Financial Services DAC, as paying agent (the </w:t>
      </w:r>
      <w:r>
        <w:rPr>
          <w:rFonts w:ascii="Times New Roman" w:hAnsi="Times New Roman"/>
          <w:sz w:val="20"/>
          <w:u w:val="single"/>
        </w:rPr>
        <w:t>Paying Agent</w:t>
      </w:r>
      <w:r>
        <w:rPr>
          <w:rFonts w:ascii="Times New Roman" w:hAnsi="Times New Roman"/>
          <w:sz w:val="20"/>
        </w:rPr>
        <w:t>), registrar (the </w:t>
      </w:r>
      <w:r>
        <w:rPr>
          <w:rFonts w:ascii="Times New Roman" w:hAnsi="Times New Roman"/>
          <w:sz w:val="20"/>
          <w:u w:val="single"/>
        </w:rPr>
        <w:t>Registrar</w:t>
      </w:r>
      <w:r>
        <w:rPr>
          <w:rFonts w:ascii="Times New Roman" w:hAnsi="Times New Roman"/>
          <w:sz w:val="20"/>
        </w:rPr>
        <w:t>) and transfer agent (the </w:t>
      </w:r>
      <w:r>
        <w:rPr>
          <w:rFonts w:ascii="Times New Roman" w:hAnsi="Times New Roman"/>
          <w:sz w:val="20"/>
          <w:u w:val="single"/>
        </w:rPr>
        <w:t>Transfer Agent</w:t>
      </w:r>
      <w:r>
        <w:rPr>
          <w:rFonts w:ascii="Times New Roman" w:hAnsi="Times New Roman"/>
          <w:sz w:val="20"/>
        </w:rPr>
        <w:t xml:space="preserv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Notes issued on the Issue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Notes issued on the Issue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October 15, 2029,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hAnsi="Times New Roman"/>
          <w:sz w:val="20"/>
          <w:u w:val="single"/>
        </w:rPr>
        <w:t>Make-Whole Redemption</w:t>
      </w:r>
      <w:r>
        <w:rPr>
          <w:rFonts w:ascii="Times New Roman" w:hAnsi="Times New Roman"/>
          <w:sz w:val="20"/>
        </w:rPr>
        <w:t xml:space="preserve">). The Issuer shall notify the Trustee of the Make-Whole Premium by delivering to the Trustee, on or before the Make-Whole Redemption Date, an Officers Certificate showing the calculation thereof in reasonable detail, and the Trustee shall have no responsibility for such calculation. </w:t>
      </w:r>
    </w:p>
    <w:p>
      <w:pPr>
        <w:pStyle w:val="TextBody"/>
        <w:bidi w:val="0"/>
        <w:spacing w:before="240" w:after="0"/>
        <w:jc w:val="left"/>
        <w:rPr>
          <w:rFonts w:ascii="Times New Roman" w:hAnsi="Times New Roman"/>
          <w:sz w:val="20"/>
        </w:rPr>
      </w:pPr>
      <w:r>
        <w:rPr>
          <w:rFonts w:ascii="Times New Roman" w:hAnsi="Times New Roman"/>
          <w:sz w:val="20"/>
        </w:rPr>
        <w:t xml:space="preserve">(b) At any time on or after October 15, 2029, the Issuer may redeem the Notes, at its option, in whole at any time or in part from time to time at a redemption price equal to 100% of the principal amount thereof, plus accrued and unpaid interest, if any, to, but excluding,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Any such redemption or notice may, at the Issuers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 may acquire Notes by means other than a redemption, whether by tender offer, open market purchases, negotiated transactions, or otherwise, in accordance with applicable securities laws, so long as such acquisition does not otherwise violate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Redemption for Changes in Withholding Tax</w:t>
      </w:r>
      <w:r>
        <w:rPr>
          <w:rFonts w:ascii="Times New Roman" w:hAnsi="Times New Roman"/>
          <w:sz w:val="20"/>
        </w:rPr>
        <w:t xml:space="preserve">.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 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 of Redemption</w:t>
      </w:r>
      <w:r>
        <w:rPr>
          <w:rFonts w:ascii="Times New Roman" w:hAnsi="Times New Roman"/>
          <w:sz w:val="20"/>
        </w:rPr>
        <w:t xml:space="preserve">.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Offers To Purchase</w:t>
      </w:r>
      <w:r>
        <w:rPr>
          <w:rFonts w:ascii="Times New Roman" w:hAnsi="Times New Roman"/>
          <w:sz w:val="20"/>
        </w:rPr>
        <w:t xml:space="preserve">. The Indenture provides that upon the occurrence of a Change of Control Repurchase Event and subject to further limitations contained therein, the Issuer shall make an offer to purchase outstanding Notes in accordance with the procedures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Persons Deemed Owners</w:t>
      </w:r>
      <w:r>
        <w:rPr>
          <w:rFonts w:ascii="Times New Roman" w:hAnsi="Times New Roman"/>
          <w:sz w:val="20"/>
        </w:rPr>
        <w:t xml:space="preserve">. The registered Holder of this Note may be treated as the owner of this Note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Unclaimed Money</w:t>
      </w:r>
      <w:r>
        <w:rPr>
          <w:rFonts w:ascii="Times New Roman" w:hAnsi="Times New Roman"/>
          <w:sz w:val="20"/>
        </w:rPr>
        <w:t xml:space="preserve">.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Amendment, Supplement, Waiver, Etc</w:t>
      </w:r>
      <w:r>
        <w:rPr>
          <w:rFonts w:ascii="Times New Roman" w:hAnsi="Times New Roman"/>
          <w:sz w:val="20"/>
        </w:rPr>
        <w:t xml:space="preserve">.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Restrictive Covenants</w:t>
      </w:r>
      <w:r>
        <w:rPr>
          <w:rFonts w:ascii="Times New Roman" w:hAnsi="Times New Roman"/>
          <w:sz w:val="20"/>
        </w:rPr>
        <w:t xml:space="preserve">.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 Corporation</w:t>
      </w:r>
      <w:r>
        <w:rPr>
          <w:rFonts w:ascii="Times New Roman" w:hAnsi="Times New Roman"/>
          <w:sz w:val="20"/>
        </w:rPr>
        <w:t xml:space="preserve">.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Defaults and Remedies</w:t>
      </w:r>
      <w:r>
        <w:rPr>
          <w:rFonts w:ascii="Times New Roman" w:hAnsi="Times New Roman"/>
          <w:sz w:val="20"/>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after such acceleration but before a judgment or decree based on such acceleration is obtained by the Trustee, the Holders of a majority in aggregate principal amount of outstanding Notes may rescind and annul such acceleration if: </w:t>
      </w:r>
    </w:p>
    <w:p>
      <w:pPr>
        <w:pStyle w:val="TextBody"/>
        <w:bidi w:val="0"/>
        <w:spacing w:before="120" w:after="0"/>
        <w:jc w:val="left"/>
        <w:rPr>
          <w:rFonts w:ascii="Times New Roman" w:hAnsi="Times New Roman"/>
          <w:sz w:val="20"/>
        </w:rPr>
      </w:pPr>
      <w:r>
        <w:rPr>
          <w:rFonts w:ascii="Times New Roman" w:hAnsi="Times New Roman"/>
          <w:sz w:val="20"/>
        </w:rPr>
        <w:t xml:space="preserve">(1) all Events of Default, other than nonpayment of principal, premium, if any, or interest that has become due solely because of the acceleration, have been cured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the extent the payment of such interest is lawful, interest on overdue installments of interest and overdue principal, which has become due otherwise than by such declaration of acceleration, has been paid; </w:t>
      </w:r>
    </w:p>
    <w:p>
      <w:pPr>
        <w:pStyle w:val="TextBody"/>
        <w:bidi w:val="0"/>
        <w:spacing w:before="120" w:after="0"/>
        <w:jc w:val="left"/>
        <w:rPr>
          <w:rFonts w:ascii="Times New Roman" w:hAnsi="Times New Roman"/>
          <w:sz w:val="20"/>
        </w:rPr>
      </w:pPr>
      <w:r>
        <w:rPr>
          <w:rFonts w:ascii="Times New Roman" w:hAnsi="Times New Roman"/>
          <w:sz w:val="20"/>
        </w:rPr>
        <w:t xml:space="preserve">(3) the Issuer has paid the Trustee its reasonable compensation and reimbursed the Trustee for its expenses, disbursements and advances; and </w:t>
      </w:r>
    </w:p>
    <w:p>
      <w:pPr>
        <w:pStyle w:val="TextBody"/>
        <w:bidi w:val="0"/>
        <w:spacing w:before="120" w:after="0"/>
        <w:jc w:val="left"/>
        <w:rPr>
          <w:rFonts w:ascii="Times New Roman" w:hAnsi="Times New Roman"/>
          <w:sz w:val="20"/>
        </w:rPr>
      </w:pPr>
      <w:r>
        <w:rPr>
          <w:rFonts w:ascii="Times New Roman" w:hAnsi="Times New Roman"/>
          <w:sz w:val="20"/>
        </w:rPr>
        <w:t xml:space="preserve">(4) in the event of the cure or waiver of an Event of Default of the type described in Section 6.01(7), the Trustee shall have received an Officers Certificate and an Opinion of Counsel that such Event of Default has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Trustee Dealings with the Issuer</w:t>
      </w:r>
      <w:r>
        <w:rPr>
          <w:rFonts w:ascii="Times New Roman" w:hAnsi="Times New Roman"/>
          <w:sz w:val="20"/>
        </w:rPr>
        <w:t xml:space="preserve">. The Trustee, in its individual or any other capacity, may make loans to, accept deposits from and perform services for the Issuer or its Affiliates, and may otherwise deal with the Issuer or its Affiliates, as if it were not Trustee.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Recourse Against Others</w:t>
      </w:r>
      <w:r>
        <w:rPr>
          <w:rFonts w:ascii="Times New Roman" w:hAnsi="Times New Roman"/>
          <w:sz w:val="20"/>
        </w:rPr>
        <w:t xml:space="preserve">.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Discharge</w:t>
      </w:r>
      <w:r>
        <w:rPr>
          <w:rFonts w:ascii="Times New Roman" w:hAnsi="Times New Roman"/>
          <w:sz w:val="20"/>
        </w:rPr>
        <w:t xml:space="preserve">.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Guarantees</w:t>
      </w:r>
      <w:r>
        <w:rPr>
          <w:rFonts w:ascii="Times New Roman" w:hAnsi="Times New Roman"/>
          <w:sz w:val="20"/>
        </w:rPr>
        <w:t xml:space="preserve">.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Authentication</w:t>
      </w:r>
      <w:r>
        <w:rPr>
          <w:rFonts w:ascii="Times New Roman" w:hAnsi="Times New Roman"/>
          <w:sz w:val="20"/>
        </w:rPr>
        <w:t xml:space="preserve">. This Note shall not be valid until the Trustee signs the certificate of authentication on the other side of this Note.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THIS NOTE SHALL BE GOVERNED BY AND CONSTRUED IN ACCORDANCE WITH THE LAWS OF THE STATE OF NEW YORK, BUT WITHOUT GIVING EFFECT TO APPLICABLE PRINCIPLES OF CONFLICTS OF LAW TO THE EXTENT THAT THE APPLICATION OF THE LAW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22. 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0" w:after="0"/>
        <w:jc w:val="left"/>
        <w:rPr>
          <w:rFonts w:ascii="Times New Roman" w:hAnsi="Times New Roman"/>
          <w:sz w:val="20"/>
        </w:rPr>
      </w:pPr>
      <w:r>
        <w:rPr>
          <w:rFonts w:ascii="Times New Roman" w:hAnsi="Times New Roman"/>
          <w:sz w:val="20"/>
        </w:rPr>
        <w:t xml:space="preserve">France </w:t>
      </w:r>
    </w:p>
    <w:p>
      <w:pPr>
        <w:pStyle w:val="TextBody"/>
        <w:bidi w:val="0"/>
        <w:spacing w:before="0" w:after="0"/>
        <w:jc w:val="left"/>
        <w:rPr>
          <w:rFonts w:ascii="Times New Roman" w:hAnsi="Times New Roman"/>
          <w:sz w:val="20"/>
        </w:rPr>
      </w:pPr>
      <w:r>
        <w:rPr>
          <w:rFonts w:ascii="Times New Roman" w:hAnsi="Times New Roman"/>
          <w:sz w:val="20"/>
        </w:rPr>
        <w:t xml:space="preserve">Attn: Timothy Donahue </w:t>
      </w:r>
    </w:p>
    <w:p>
      <w:pPr>
        <w:pStyle w:val="TextBody"/>
        <w:bidi w:val="0"/>
        <w:spacing w:before="0" w:after="0"/>
        <w:jc w:val="left"/>
        <w:rPr>
          <w:rFonts w:ascii="Times New Roman" w:hAnsi="Times New Roman"/>
          <w:sz w:val="20"/>
        </w:rPr>
      </w:pPr>
      <w:r>
        <w:rPr>
          <w:rFonts w:ascii="Times New Roman" w:hAnsi="Times New Roman"/>
          <w:sz w:val="20"/>
        </w:rPr>
        <w:t xml:space="preserve">Telephone: 33 1 4918 4000 </w:t>
      </w:r>
    </w:p>
    <w:p>
      <w:pPr>
        <w:pStyle w:val="TextBody"/>
        <w:bidi w:val="0"/>
        <w:spacing w:before="0" w:after="0"/>
        <w:jc w:val="left"/>
        <w:rPr>
          <w:rFonts w:ascii="Times New Roman" w:hAnsi="Times New Roman"/>
          <w:sz w:val="20"/>
        </w:rPr>
      </w:pPr>
      <w:r>
        <w:rPr>
          <w:rFonts w:ascii="Times New Roman" w:hAnsi="Times New Roman"/>
          <w:sz w:val="20"/>
        </w:rPr>
        <w:t xml:space="preserve">Facsimile: 33 1 4918 4001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social security or tax I.D. number)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Agent to transfer this Note on the books of the Issuer.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2"/>
        <w:gridCol w:w="104"/>
        <w:gridCol w:w="1475"/>
        <w:gridCol w:w="104"/>
        <w:gridCol w:w="3880"/>
      </w:tblGrid>
      <w:tr>
        <w:trPr/>
        <w:tc>
          <w:tcPr>
            <w:tcW w:w="464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4642" w:type="dxa"/>
            <w:tcBorders/>
            <w:vAlign w:val="bottom"/>
          </w:tcPr>
          <w:p>
            <w:pPr>
              <w:pStyle w:val="TableContents"/>
              <w:bidi w:val="0"/>
              <w:spacing w:before="0" w:after="283"/>
              <w:jc w:val="left"/>
              <w:rPr/>
            </w:pPr>
            <w:r>
              <w:rPr/>
              <w:t xml:space="preserve">Date: </w:t>
            </w:r>
            <w:r>
              <w:rPr>
                <w:u w:val="single"/>
              </w:rPr>
              <w:t>            </w:t>
            </w:r>
          </w:p>
        </w:tc>
        <w:tc>
          <w:tcPr>
            <w:tcW w:w="104"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pPr>
            <w:r>
              <w:rPr/>
              <w:t>Your Signature:</w:t>
            </w:r>
          </w:p>
        </w:tc>
        <w:tc>
          <w:tcPr>
            <w:tcW w:w="104" w:type="dxa"/>
            <w:tcBorders/>
            <w:vAlign w:val="bottom"/>
          </w:tcPr>
          <w:p>
            <w:pPr>
              <w:pStyle w:val="TableContents"/>
              <w:bidi w:val="0"/>
              <w:spacing w:before="0" w:after="283"/>
              <w:jc w:val="left"/>
              <w:rPr/>
            </w:pPr>
            <w:r>
              <w:rPr/>
              <w:t> </w:t>
            </w:r>
          </w:p>
        </w:tc>
        <w:tc>
          <w:tcPr>
            <w:tcW w:w="3880" w:type="dxa"/>
            <w:tcBorders/>
            <w:vAlign w:val="bottom"/>
          </w:tcPr>
          <w:p>
            <w:pPr>
              <w:pStyle w:val="TableContents"/>
              <w:pBdr>
                <w:bottom w:val="single" w:sz="2" w:space="1" w:color="000000"/>
              </w:pBdr>
              <w:bidi w:val="0"/>
              <w:spacing w:before="0" w:after="20"/>
              <w:jc w:val="left"/>
              <w:rPr/>
            </w:pPr>
            <w:r>
              <w:rPr/>
              <w:t> </w:t>
            </w:r>
          </w:p>
        </w:tc>
      </w:tr>
      <w:tr>
        <w:trPr/>
        <w:tc>
          <w:tcPr>
            <w:tcW w:w="464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880" w:type="dxa"/>
            <w:tcBorders/>
            <w:vAlign w:val="bottom"/>
          </w:tcPr>
          <w:p>
            <w:pPr>
              <w:pStyle w:val="TableContents"/>
              <w:bidi w:val="0"/>
              <w:spacing w:before="0" w:after="283"/>
              <w:jc w:val="left"/>
              <w:rPr/>
            </w:pPr>
            <w:r>
              <w:rPr/>
              <w:t>(Sign exactly as your name appears on the other side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 </w:t>
      </w:r>
    </w:p>
    <w:p>
      <w:pPr>
        <w:pStyle w:val="TextBody"/>
        <w:bidi w:val="0"/>
        <w:spacing w:before="480" w:after="0"/>
        <w:jc w:val="center"/>
        <w:rPr>
          <w:rFonts w:ascii="Times New Roman" w:hAnsi="Times New Roman"/>
          <w:sz w:val="20"/>
        </w:rPr>
      </w:pPr>
      <w:r>
        <w:rPr>
          <w:rFonts w:ascii="Times New Roman" w:hAnsi="Times New Roman"/>
          <w:sz w:val="20"/>
        </w:rPr>
        <w:t xml:space="preserve">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all or any part of this Note purchased by the Issuer pursuant to Section 4.08 of the Indenture, check the appropriate box: </w:t>
      </w:r>
    </w:p>
    <w:p>
      <w:pPr>
        <w:pStyle w:val="TextBody"/>
        <w:bidi w:val="0"/>
        <w:spacing w:before="120" w:after="0"/>
        <w:jc w:val="left"/>
        <w:rPr/>
      </w:pPr>
      <w:r>
        <w:rPr/>
        <w:t xml:space="preserve">☐ </w:t>
      </w:r>
      <w:r>
        <w:rPr>
          <w:rFonts w:ascii="Times New Roman" w:hAnsi="Times New Roman"/>
          <w:sz w:val="20"/>
        </w:rPr>
        <w:t xml:space="preserve">Section 4.08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have only part of the Note purchased by the Issuer pursuant to Section 4.08 of the Indenture, state the amount you elect to have purchased: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(1,000 or any integral multiple </w:t>
      </w:r>
    </w:p>
    <w:p>
      <w:pPr>
        <w:pStyle w:val="TextBody"/>
        <w:bidi w:val="0"/>
        <w:spacing w:before="0" w:after="0"/>
        <w:jc w:val="left"/>
        <w:rPr>
          <w:rFonts w:ascii="Times New Roman" w:hAnsi="Times New Roman"/>
          <w:sz w:val="20"/>
        </w:rPr>
      </w:pPr>
      <w:r>
        <w:rPr>
          <w:rFonts w:ascii="Times New Roman" w:hAnsi="Times New Roman"/>
          <w:sz w:val="20"/>
        </w:rPr>
        <w:t xml:space="preserve">thereof; </w:t>
      </w:r>
      <w:r>
        <w:rPr>
          <w:rFonts w:ascii="Times New Roman" w:hAnsi="Times New Roman"/>
          <w:sz w:val="20"/>
          <w:u w:val="single"/>
        </w:rPr>
        <w:t>provided</w:t>
      </w:r>
      <w:r>
        <w:rPr>
          <w:rFonts w:ascii="Times New Roman" w:hAnsi="Times New Roman"/>
          <w:sz w:val="20"/>
        </w:rPr>
        <w:t xml:space="preserve"> that the part not </w:t>
      </w:r>
    </w:p>
    <w:p>
      <w:pPr>
        <w:pStyle w:val="TextBody"/>
        <w:bidi w:val="0"/>
        <w:spacing w:before="0" w:after="0"/>
        <w:jc w:val="left"/>
        <w:rPr>
          <w:rFonts w:ascii="Times New Roman" w:hAnsi="Times New Roman"/>
          <w:sz w:val="20"/>
        </w:rPr>
      </w:pPr>
      <w:r>
        <w:rPr>
          <w:rFonts w:ascii="Times New Roman" w:hAnsi="Times New Roman"/>
          <w:sz w:val="20"/>
        </w:rPr>
        <w:t xml:space="preserve">purchased must be at least 100,000)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6"/>
        <w:gridCol w:w="106"/>
        <w:gridCol w:w="1266"/>
        <w:gridCol w:w="106"/>
        <w:gridCol w:w="4581"/>
      </w:tblGrid>
      <w:tr>
        <w:trPr/>
        <w:tc>
          <w:tcPr>
            <w:tcW w:w="414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581" w:type="dxa"/>
            <w:tcBorders/>
            <w:vAlign w:val="center"/>
          </w:tcPr>
          <w:p>
            <w:pPr>
              <w:pStyle w:val="TableContents"/>
              <w:bidi w:val="0"/>
              <w:spacing w:before="0" w:after="283"/>
              <w:jc w:val="left"/>
              <w:rPr>
                <w:sz w:val="4"/>
                <w:szCs w:val="4"/>
              </w:rPr>
            </w:pPr>
            <w:r>
              <w:rPr>
                <w:sz w:val="4"/>
                <w:szCs w:val="4"/>
              </w:rPr>
            </w:r>
          </w:p>
        </w:tc>
      </w:tr>
      <w:tr>
        <w:trPr/>
        <w:tc>
          <w:tcPr>
            <w:tcW w:w="41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p>
        </w:tc>
        <w:tc>
          <w:tcPr>
            <w:tcW w:w="106"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81" w:type="dxa"/>
            <w:tcBorders/>
          </w:tcPr>
          <w:p>
            <w:pPr>
              <w:pStyle w:val="TableContents"/>
              <w:bidi w:val="0"/>
              <w:spacing w:before="0" w:after="283"/>
              <w:jc w:val="left"/>
              <w:rPr>
                <w:sz w:val="4"/>
                <w:szCs w:val="4"/>
              </w:rPr>
            </w:pPr>
            <w:r>
              <w:rPr>
                <w:sz w:val="4"/>
                <w:szCs w:val="4"/>
              </w:rPr>
            </w:r>
          </w:p>
        </w:tc>
      </w:tr>
      <w:tr>
        <w:trPr/>
        <w:tc>
          <w:tcPr>
            <w:tcW w:w="414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tc>
        <w:tc>
          <w:tcPr>
            <w:tcW w:w="106" w:type="dxa"/>
            <w:tcBorders/>
            <w:vAlign w:val="bottom"/>
          </w:tcPr>
          <w:p>
            <w:pPr>
              <w:pStyle w:val="TableContents"/>
              <w:bidi w:val="0"/>
              <w:spacing w:before="0" w:after="283"/>
              <w:jc w:val="left"/>
              <w:rPr/>
            </w:pPr>
            <w:r>
              <w:rPr/>
              <w:t> </w:t>
            </w:r>
          </w:p>
        </w:tc>
        <w:tc>
          <w:tcPr>
            <w:tcW w:w="4581" w:type="dxa"/>
            <w:tcBorders/>
          </w:tcPr>
          <w:p>
            <w:pPr>
              <w:pStyle w:val="TableContents"/>
              <w:pBdr>
                <w:bottom w:val="single" w:sz="2" w:space="1" w:color="000000"/>
              </w:pBdr>
              <w:bidi w:val="0"/>
              <w:spacing w:before="0" w:after="20"/>
              <w:jc w:val="left"/>
              <w:rPr/>
            </w:pPr>
            <w:r>
              <w:rPr/>
              <w:t> </w:t>
            </w:r>
          </w:p>
        </w:tc>
      </w:tr>
      <w:tr>
        <w:trPr/>
        <w:tc>
          <w:tcPr>
            <w:tcW w:w="414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581" w:type="dxa"/>
            <w:tcBorders/>
          </w:tcPr>
          <w:p>
            <w:pPr>
              <w:pStyle w:val="TableContents"/>
              <w:bidi w:val="0"/>
              <w:spacing w:before="0" w:after="0"/>
              <w:jc w:val="left"/>
              <w:rPr/>
            </w:pPr>
            <w:r>
              <w:rPr/>
              <w:t> </w:t>
            </w:r>
            <w:r>
              <w:rPr>
                <w:rFonts w:ascii="Times New Roman" w:hAnsi="Times New Roman"/>
                <w:sz w:val="20"/>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center"/>
              <w:rPr/>
            </w:pPr>
            <w:r>
              <w:rPr/>
              <w:t>Signature Guaranteed</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Physical Note, or exchanges of a part of another Global Note or Physical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2"/>
        <w:gridCol w:w="121"/>
        <w:gridCol w:w="2019"/>
        <w:gridCol w:w="121"/>
        <w:gridCol w:w="2019"/>
        <w:gridCol w:w="285"/>
        <w:gridCol w:w="1346"/>
        <w:gridCol w:w="121"/>
        <w:gridCol w:w="1701"/>
      </w:tblGrid>
      <w:tr>
        <w:trPr/>
        <w:tc>
          <w:tcPr>
            <w:tcW w:w="24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2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Exchange</w:t>
            </w:r>
          </w:p>
        </w:tc>
        <w:tc>
          <w:tcPr>
            <w:tcW w:w="121" w:type="dxa"/>
            <w:tcBorders/>
            <w:vAlign w:val="bottom"/>
          </w:tcPr>
          <w:p>
            <w:pPr>
              <w:pStyle w:val="TableContents"/>
              <w:bidi w:val="0"/>
              <w:spacing w:before="0" w:after="283"/>
              <w:jc w:val="left"/>
              <w:rPr/>
            </w:pPr>
            <w:r>
              <w:rPr/>
              <w:t>  </w:t>
            </w:r>
          </w:p>
        </w:tc>
        <w:tc>
          <w:tcPr>
            <w:tcW w:w="20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1" w:type="dxa"/>
            <w:tcBorders/>
            <w:vAlign w:val="bottom"/>
          </w:tcPr>
          <w:p>
            <w:pPr>
              <w:pStyle w:val="TableContents"/>
              <w:bidi w:val="0"/>
              <w:spacing w:before="0" w:after="283"/>
              <w:jc w:val="left"/>
              <w:rPr/>
            </w:pPr>
            <w:r>
              <w:rPr/>
              <w:t>  </w:t>
            </w:r>
          </w:p>
        </w:tc>
        <w:tc>
          <w:tcPr>
            <w:tcW w:w="20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285"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 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bidi w:val="0"/>
              <w:spacing w:before="0" w:after="20"/>
              <w:jc w:val="center"/>
              <w:rPr>
                <w:rFonts w:ascii="Times New Roman" w:hAnsi="Times New Roman"/>
                <w:sz w:val="16"/>
              </w:rPr>
            </w:pPr>
            <w:r>
              <w:rPr>
                <w:rFonts w:ascii="Times New Roman" w:hAnsi="Times New Roman"/>
                <w:sz w:val="16"/>
              </w:rPr>
              <w:t>(or increase)</w:t>
            </w:r>
          </w:p>
        </w:tc>
        <w:tc>
          <w:tcPr>
            <w:tcW w:w="121" w:type="dxa"/>
            <w:tcBorders/>
            <w:vAlign w:val="bottom"/>
          </w:tcPr>
          <w:p>
            <w:pPr>
              <w:pStyle w:val="TableContents"/>
              <w:bidi w:val="0"/>
              <w:spacing w:before="0" w:after="283"/>
              <w:jc w:val="left"/>
              <w:rPr/>
            </w:pPr>
            <w:r>
              <w:rPr/>
              <w:t>  </w:t>
            </w:r>
          </w:p>
        </w:tc>
        <w:tc>
          <w:tcPr>
            <w:tcW w:w="17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 authorized</w:t>
            </w:r>
          </w:p>
          <w:p>
            <w:pPr>
              <w:pStyle w:val="TableContents"/>
              <w:bidi w:val="0"/>
              <w:spacing w:before="0" w:after="20"/>
              <w:jc w:val="center"/>
              <w:rPr>
                <w:rFonts w:ascii="Times New Roman" w:hAnsi="Times New Roman"/>
                <w:sz w:val="16"/>
              </w:rPr>
            </w:pPr>
            <w:r>
              <w:rPr>
                <w:rFonts w:ascii="Times New Roman" w:hAnsi="Times New Roman"/>
                <w:sz w:val="16"/>
              </w:rPr>
              <w:t>signatory of Trustee</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Securities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LEGEND FOR RESTRICTED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Restricted Note authenticated and delivered hereunder shall bear a legend (which would be in addition to any other legends required in the case of a Global Note)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 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 (D) OUTSIDE THE UNITED STATES IN AN OFFSHORE TRANSACTION IN COMPLIANCE WITH RULE 904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 (G) 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LEGEND FOR GLOBAL NOTE] </w:t>
      </w:r>
    </w:p>
    <w:p>
      <w:pPr>
        <w:pStyle w:val="TextBody"/>
        <w:bidi w:val="0"/>
        <w:spacing w:before="240" w:after="0"/>
        <w:jc w:val="left"/>
        <w:rPr>
          <w:rFonts w:ascii="Times New Roman" w:hAnsi="Times New Roman"/>
          <w:sz w:val="20"/>
        </w:rPr>
      </w:pPr>
      <w:r>
        <w:rPr>
          <w:rFonts w:ascii="Times New Roman" w:hAnsi="Times New Roman"/>
          <w:sz w:val="20"/>
        </w:rPr>
        <w:t xml:space="preserve">Any Global Note authenticated and delivered hereunder shall bear a legend (which would be in addition to any other legends required in the case of a Restricted Note)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NOTE IS A GLOBAL NOTE WITHIN THE MEANING OF THE INDENTURE HEREINAFTER REFERRED TO AND IS REGISTERED IN THE NAME OF A COMMON DEPOSITARY OR A NOMINEE OF A COMMON DEPOSITARY. THIS NOTE IS NOT EXCHANGEABLE FOR NOTES REGISTERED IN THE NAME OF A PERSON OTHER THAN THE COMMON DEPOSITARY OR ITS NOMINEE EXCEPT IN THE LIMITED CIRCUMSTANCES DESCRIBED IN THE INDENTURE, AND NO TRANSFER OF THIS NOTE (OTHER THAN A TRANSFER OF THIS NOTE AS A WHOLE BY THE COMMON DEPOSITARY TO A NOMINEE OF THE COMMON DEPOSITARY OR BY A NOMINEE OF THE COMMON DEPOSITARY TO THE COMMON DEPOSITARY OR ANOTHER NOMINEE OF THE COMMON DEPOSITARY) MAY BE REGISTERED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ELAVON FINANCIAL SERVICES DAC (THE COMMON DEPOSITARY) TO THE ISSUER OR ITS AGENT FOR REGISTRATION OF TRANSFER, EXCHANGE, OR PAYMENT, AND ANY CERTIFICATE ISSUED IS REGISTERED IN THE NAME OF USB NOMINEES (UK) LIMITED OR IN SUCH OTHER NAME AS IS REQUESTED BY AN AUTHORIZED REPRESENTATIVE OF THE COMMON DEPOSITARY (AND ANY PAYMENT IS MADE TO USB NOMINEES (UK) LIMITED OR SUCH OTHER ENTITY AS IS REQUESTED BY AN AUTHORIZED REPRESENTATIVE OF THE COMMON DEPOSITARY), ANY TRANSFER, PLEDGE OR OTHER USE HEREOF FOR VALUE OR OTHERWISE BY OR TO ANY PERSON IS WRONGFUL INASMUCH AS THE REGISTERED OWNER HEREOF, USB NOMINEES (UK) LIMITED,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LEGEND FOR NOTE ISSUED WITH OID] </w:t>
      </w:r>
    </w:p>
    <w:p>
      <w:pPr>
        <w:pStyle w:val="TextBody"/>
        <w:bidi w:val="0"/>
        <w:spacing w:before="240" w:after="0"/>
        <w:jc w:val="left"/>
        <w:rPr>
          <w:rFonts w:ascii="Times New Roman" w:hAnsi="Times New Roman"/>
          <w:sz w:val="20"/>
        </w:rPr>
      </w:pPr>
      <w:r>
        <w:rPr>
          <w:rFonts w:ascii="Times New Roman" w:hAnsi="Times New Roman"/>
          <w:sz w:val="20"/>
        </w:rPr>
        <w:t xml:space="preserve">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7 RUE EMMY NOETHER, 93400 SAINT-OUEN, FRANCE, 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240" w:after="0"/>
        <w:jc w:val="left"/>
        <w:rPr>
          <w:rFonts w:ascii="Times New Roman" w:hAnsi="Times New Roman"/>
          <w:sz w:val="20"/>
        </w:rPr>
      </w:pPr>
      <w:r>
        <w:rPr>
          <w:rFonts w:ascii="Times New Roman" w:hAnsi="Times New Roman"/>
          <w:sz w:val="20"/>
        </w:rPr>
        <w:t xml:space="preserve">Elavon Financial Services DAC, as Transfer Agent </w:t>
      </w:r>
    </w:p>
    <w:p>
      <w:pPr>
        <w:pStyle w:val="TextBody"/>
        <w:bidi w:val="0"/>
        <w:spacing w:before="0" w:after="0"/>
        <w:jc w:val="left"/>
        <w:rPr>
          <w:rFonts w:ascii="Times New Roman" w:hAnsi="Times New Roman"/>
          <w:sz w:val="20"/>
        </w:rPr>
      </w:pPr>
      <w:r>
        <w:rPr>
          <w:rFonts w:ascii="Times New Roman" w:hAnsi="Times New Roman"/>
          <w:sz w:val="20"/>
        </w:rPr>
        <w:t xml:space="preserve">Block F1, Cherrywood Business Park </w:t>
      </w:r>
    </w:p>
    <w:p>
      <w:pPr>
        <w:pStyle w:val="TextBody"/>
        <w:bidi w:val="0"/>
        <w:spacing w:before="0" w:after="0"/>
        <w:jc w:val="left"/>
        <w:rPr>
          <w:rFonts w:ascii="Times New Roman" w:hAnsi="Times New Roman"/>
          <w:sz w:val="20"/>
        </w:rPr>
      </w:pPr>
      <w:r>
        <w:rPr>
          <w:rFonts w:ascii="Times New Roman" w:hAnsi="Times New Roman"/>
          <w:sz w:val="20"/>
        </w:rPr>
        <w:t xml:space="preserve">Cherrywood, Dublin 18 </w:t>
      </w:r>
    </w:p>
    <w:p>
      <w:pPr>
        <w:pStyle w:val="TextBody"/>
        <w:bidi w:val="0"/>
        <w:spacing w:before="0" w:after="0"/>
        <w:jc w:val="left"/>
        <w:rPr>
          <w:rFonts w:ascii="Times New Roman" w:hAnsi="Times New Roman"/>
          <w:sz w:val="20"/>
        </w:rPr>
      </w:pPr>
      <w:r>
        <w:rPr>
          <w:rFonts w:ascii="Times New Roman" w:hAnsi="Times New Roman"/>
          <w:sz w:val="20"/>
        </w:rPr>
        <w:t xml:space="preserve">D18 W2X7, Ireland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240" w:after="0"/>
        <w:jc w:val="left"/>
        <w:rPr>
          <w:rFonts w:ascii="Times New Roman" w:hAnsi="Times New Roman"/>
          <w:sz w:val="20"/>
        </w:rPr>
      </w:pPr>
      <w:r>
        <w:rPr>
          <w:rFonts w:ascii="Times New Roman" w:hAnsi="Times New Roman"/>
          <w:sz w:val="20"/>
        </w:rPr>
        <w:t xml:space="preserve">re: Crown European Holdings 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407"/>
        <w:gridCol w:w="7553"/>
      </w:tblGrid>
      <w:tr>
        <w:trPr/>
        <w:tc>
          <w:tcPr>
            <w:tcW w:w="224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Re:</w:t>
            </w:r>
          </w:p>
        </w:tc>
        <w:tc>
          <w:tcPr>
            <w:tcW w:w="7553" w:type="dxa"/>
            <w:tcBorders/>
          </w:tcPr>
          <w:p>
            <w:pPr>
              <w:pStyle w:val="TableContents"/>
              <w:bidi w:val="0"/>
              <w:spacing w:before="0" w:after="0"/>
              <w:jc w:val="left"/>
              <w:rPr/>
            </w:pPr>
            <w:r>
              <w:rPr/>
              <w:t xml:space="preserve">❑  </w:t>
            </w:r>
            <w:r>
              <w:rPr>
                <w:rFonts w:ascii="Times New Roman" w:hAnsi="Times New Roman"/>
                <w:sz w:val="20"/>
              </w:rPr>
              <w:t xml:space="preserve">4.500% Senior Notes due 2030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(CUSIP _____________) </w:t>
      </w:r>
    </w:p>
    <w:p>
      <w:pPr>
        <w:pStyle w:val="TextBody"/>
        <w:bidi w:val="0"/>
        <w:spacing w:before="0" w:after="0"/>
        <w:jc w:val="left"/>
        <w:rPr>
          <w:rFonts w:ascii="Times New Roman" w:hAnsi="Times New Roman"/>
          <w:sz w:val="20"/>
        </w:rPr>
      </w:pPr>
      <w:r>
        <w:rPr>
          <w:rFonts w:ascii="Times New Roman" w:hAnsi="Times New Roman"/>
          <w:sz w:val="20"/>
        </w:rPr>
        <w:t xml:space="preserve">(ISIN _______________) </w:t>
      </w:r>
    </w:p>
    <w:p>
      <w:pPr>
        <w:pStyle w:val="TextBody"/>
        <w:bidi w:val="0"/>
        <w:spacing w:before="0" w:after="0"/>
        <w:jc w:val="left"/>
        <w:rPr>
          <w:rFonts w:ascii="Times New Roman" w:hAnsi="Times New Roman"/>
          <w:sz w:val="20"/>
        </w:rPr>
      </w:pPr>
      <w:r>
        <w:rPr>
          <w:rFonts w:ascii="Times New Roman" w:hAnsi="Times New Roman"/>
          <w:sz w:val="20"/>
        </w:rPr>
        <w:t xml:space="preserve">(Common Code _______)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August 8, 2024 (the </w:t>
      </w:r>
      <w:r>
        <w:rPr>
          <w:rFonts w:ascii="Times New Roman" w:hAnsi="Times New Roman"/>
          <w:sz w:val="20"/>
          <w:u w:val="single"/>
        </w:rPr>
        <w:t>Indenture</w:t>
      </w:r>
      <w:r>
        <w:rPr>
          <w:rFonts w:ascii="Times New Roman" w:hAnsi="Times New Roman"/>
          <w:sz w:val="20"/>
        </w:rPr>
        <w:t>), by and among Crown European Holdings S.A., as issuer (the </w:t>
      </w:r>
      <w:r>
        <w:rPr>
          <w:rFonts w:ascii="Times New Roman" w:hAnsi="Times New Roman"/>
          <w:sz w:val="20"/>
          <w:u w:val="single"/>
        </w:rPr>
        <w:t>Issuer</w:t>
      </w:r>
      <w:r>
        <w:rPr>
          <w:rFonts w:ascii="Times New Roman" w:hAnsi="Times New Roman"/>
          <w:sz w:val="20"/>
        </w:rPr>
        <w:t xml:space="preserve">), the Guarantors, U.S. Bank Trust Company, National Association, as trustee, Elavon Financial Services DAC, as paying agent, registrar and transfer agent.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______________ (the </w:t>
      </w:r>
      <w:r>
        <w:rPr>
          <w:rFonts w:ascii="Times New Roman" w:hAnsi="Times New Roman"/>
          <w:sz w:val="20"/>
          <w:u w:val="single"/>
        </w:rPr>
        <w:t>Transferor</w:t>
      </w:r>
      <w:r>
        <w:rPr>
          <w:rFonts w:ascii="Times New Roman" w:hAnsi="Times New Roman"/>
          <w:sz w:val="20"/>
        </w:rPr>
        <w:t>) owns and proposes to transfer the Note[s] or interest in such Note[s] specified in Annex A hereto, in the principal amount of ___________ in such Note[s] or interests (the </w:t>
      </w:r>
      <w:r>
        <w:rPr>
          <w:rFonts w:ascii="Times New Roman" w:hAnsi="Times New Roman"/>
          <w:sz w:val="20"/>
          <w:u w:val="single"/>
        </w:rPr>
        <w:t>Transfer</w:t>
      </w:r>
      <w:r>
        <w:rPr>
          <w:rFonts w:ascii="Times New Roman" w:hAnsi="Times New Roman"/>
          <w:sz w:val="20"/>
        </w:rPr>
        <w:t>), to __________ (the </w:t>
      </w:r>
      <w:r>
        <w:rPr>
          <w:rFonts w:ascii="Times New Roman" w:hAnsi="Times New Roman"/>
          <w:sz w:val="20"/>
          <w:u w:val="single"/>
        </w:rPr>
        <w:t>Transferee</w:t>
      </w:r>
      <w:r>
        <w:rPr>
          <w:rFonts w:ascii="Times New Roman" w:hAnsi="Times New Roman"/>
          <w:sz w:val="20"/>
        </w:rPr>
        <w:t xml:space="preserve">), as further specified in Annex A hereto. In connection with the Transfer, the Transferor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[CHECK ALL THAT APPLY] </w:t>
      </w:r>
    </w:p>
    <w:p>
      <w:pPr>
        <w:pStyle w:val="TextBody"/>
        <w:bidi w:val="0"/>
        <w:spacing w:before="240" w:after="0"/>
        <w:jc w:val="left"/>
        <w:rPr>
          <w:rFonts w:ascii="Times New Roman" w:hAnsi="Times New Roman"/>
          <w:sz w:val="20"/>
        </w:rPr>
      </w:pPr>
      <w:r>
        <w:rPr>
          <w:rFonts w:ascii="Times New Roman" w:hAnsi="Times New Roman"/>
          <w:sz w:val="20"/>
        </w:rPr>
        <w:t xml:space="preserve">1. ☐ </w:t>
      </w:r>
      <w:r>
        <w:rPr>
          <w:rFonts w:ascii="Times New Roman" w:hAnsi="Times New Roman"/>
          <w:b/>
          <w:sz w:val="20"/>
          <w:u w:val="single"/>
        </w:rPr>
        <w:t>Check if Transferee will take delivery of a beneficial interest in a Rule 144A Global Note or a Physical Note pursuant to Rule 144A</w:t>
      </w:r>
      <w:r>
        <w:rPr>
          <w:rFonts w:ascii="Times New Roman" w:hAnsi="Times New Roman"/>
          <w:b/>
          <w:sz w:val="20"/>
        </w:rPr>
        <w:t>.</w:t>
      </w:r>
      <w:r>
        <w:rPr>
          <w:rFonts w:ascii="Times New Roman" w:hAnsi="Times New Roman"/>
          <w:sz w:val="20"/>
        </w:rPr>
        <w:t xml:space="preserve"> The Transfer is being effected pursuant to and in accordance with Rule 144A under the United States Securities Act of 1933, as amended (the </w:t>
      </w:r>
      <w:r>
        <w:rPr>
          <w:rFonts w:ascii="Times New Roman" w:hAnsi="Times New Roman"/>
          <w:sz w:val="20"/>
          <w:u w:val="single"/>
        </w:rPr>
        <w:t>Securities Act</w:t>
      </w:r>
      <w:r>
        <w:rPr>
          <w:rFonts w:ascii="Times New Roman" w:hAnsi="Times New Roman"/>
          <w:sz w:val="20"/>
        </w:rPr>
        <w:t xml:space="preserve">),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 ☐ </w:t>
      </w:r>
      <w:r>
        <w:rPr>
          <w:rFonts w:ascii="Times New Roman" w:hAnsi="Times New Roman"/>
          <w:b/>
          <w:sz w:val="20"/>
          <w:u w:val="single"/>
        </w:rPr>
        <w:t>Check if Transferee will take delivery of a beneficial interest in a Regulation</w:t>
      </w:r>
      <w:r>
        <w:rPr>
          <w:rFonts w:ascii="Times New Roman" w:hAnsi="Times New Roman"/>
          <w:sz w:val="20"/>
          <w:u w:val="single"/>
        </w:rPr>
        <w:t> </w:t>
      </w:r>
      <w:r>
        <w:rPr>
          <w:rFonts w:ascii="Times New Roman" w:hAnsi="Times New Roman"/>
          <w:b/>
          <w:sz w:val="20"/>
          <w:u w:val="single"/>
        </w:rPr>
        <w:t>S Global Note or a Physical Note pursuant to Regulation S</w:t>
      </w:r>
      <w:r>
        <w:rPr>
          <w:rFonts w:ascii="Times New Roman" w:hAnsi="Times New Roman"/>
          <w:b/>
          <w:sz w:val="20"/>
        </w:rPr>
        <w:t>.</w:t>
      </w:r>
      <w:r>
        <w:rPr>
          <w:rFonts w:ascii="Times New Roman" w:hAnsi="Times New Roman"/>
          <w:sz w:val="20"/>
        </w:rPr>
        <w:t xml:space="preserve">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 ☐ </w:t>
      </w:r>
      <w:r>
        <w:rPr>
          <w:rFonts w:ascii="Times New Roman" w:hAnsi="Times New Roman"/>
          <w:b/>
          <w:sz w:val="20"/>
          <w:u w:val="single"/>
        </w:rPr>
        <w:t>Check and complete if Transferee will take delivery of a beneficial interest in the Global Note or a Physical Note pursuant to any provision of the Securities Act other than Rule 144A or Regulation S</w:t>
      </w:r>
      <w:r>
        <w:rPr>
          <w:rFonts w:ascii="Times New Roman" w:hAnsi="Times New Roman"/>
          <w:b/>
          <w:sz w:val="20"/>
        </w:rPr>
        <w:t>.</w:t>
      </w:r>
      <w:r>
        <w:rPr>
          <w:rFonts w:ascii="Times New Roman" w:hAnsi="Times New Roman"/>
          <w:sz w:val="20"/>
        </w:rPr>
        <w:t xml:space="preserve"> The Transfer is being effected in compliance with the transfer restrictions applicable to 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 </w:t>
      </w:r>
    </w:p>
    <w:p>
      <w:pPr>
        <w:pStyle w:val="TextBody"/>
        <w:bidi w:val="0"/>
        <w:spacing w:before="120" w:after="0"/>
        <w:jc w:val="left"/>
        <w:rPr>
          <w:rFonts w:ascii="Times New Roman" w:hAnsi="Times New Roman"/>
          <w:sz w:val="20"/>
        </w:rPr>
      </w:pPr>
      <w:r>
        <w:rPr>
          <w:rFonts w:ascii="Times New Roman" w:hAnsi="Times New Roman"/>
          <w:sz w:val="20"/>
        </w:rPr>
        <w:t xml:space="preserve">(a) ☐ such Transfer is being effected pursuant to and in accordance with Rule 144 under the Securities Act; </w:t>
      </w:r>
    </w:p>
    <w:p>
      <w:pPr>
        <w:pStyle w:val="TextBody"/>
        <w:bidi w:val="0"/>
        <w:spacing w:before="120" w:after="0"/>
        <w:jc w:val="center"/>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 xml:space="preserve">(b) ☐ such Transfer is being effected to the Issuer or a Subsidiary thereof; </w:t>
      </w:r>
    </w:p>
    <w:p>
      <w:pPr>
        <w:pStyle w:val="TextBody"/>
        <w:bidi w:val="0"/>
        <w:spacing w:before="120" w:after="0"/>
        <w:jc w:val="center"/>
        <w:rPr>
          <w:rFonts w:ascii="Times New Roman" w:hAnsi="Times New Roman"/>
          <w:sz w:val="20"/>
        </w:rPr>
      </w:pPr>
      <w:r>
        <w:rPr>
          <w:rFonts w:ascii="Times New Roman" w:hAnsi="Times New Roman"/>
          <w:sz w:val="20"/>
        </w:rPr>
        <w:t xml:space="preserve">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 such Transfer is being effected pursuant to an effective registration statement under the Securities Act and in compliance with the prospectus delivery requirements of the Securities Act; </w:t>
      </w:r>
    </w:p>
    <w:p>
      <w:pPr>
        <w:pStyle w:val="TextBody"/>
        <w:bidi w:val="0"/>
        <w:spacing w:before="120" w:after="0"/>
        <w:jc w:val="center"/>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 xml:space="preserve">(d) ☐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Times New Roman" w:hAnsi="Times New Roman"/>
          <w:sz w:val="20"/>
          <w:u w:val="single"/>
        </w:rPr>
        <w:t>Exhibit H</w:t>
      </w:r>
      <w:r>
        <w:rPr>
          <w:rFonts w:ascii="Times New Roman" w:hAnsi="Times New Roman"/>
          <w:sz w:val="20"/>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 ☐ </w:t>
      </w:r>
      <w:r>
        <w:rPr>
          <w:rFonts w:ascii="Times New Roman" w:hAnsi="Times New Roman"/>
          <w:b/>
          <w:sz w:val="20"/>
        </w:rPr>
        <w:t>Check if Transferee will take delivery of a beneficial interest in an Unrestricted Global Note or an Unrestricted Physical Note.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rPr>
        <w:t xml:space="preserve">Check if Transfer is pursuant to Rule 144. </w:t>
      </w:r>
      <w:r>
        <w:rPr>
          <w:rFonts w:ascii="Times New Roman" w:hAnsi="Times New Roman"/>
          <w:sz w:val="20"/>
        </w:rPr>
        <w:t xml:space="preserve">(i)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rPr>
        <w:t xml:space="preserve">Check if Transfer is pursuant to Regulation S. </w:t>
      </w:r>
      <w:r>
        <w:rPr>
          <w:rFonts w:ascii="Times New Roman" w:hAnsi="Times New Roman"/>
          <w:sz w:val="20"/>
        </w:rPr>
        <w:t xml:space="preserve">(i)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 </w:t>
      </w:r>
      <w:r>
        <w:rPr>
          <w:rFonts w:ascii="Times New Roman" w:hAnsi="Times New Roman"/>
          <w:b/>
          <w:sz w:val="20"/>
        </w:rPr>
        <w:t xml:space="preserve">Check if Transfer is pursuant to Other Exemption. </w:t>
      </w:r>
      <w:r>
        <w:rPr>
          <w:rFonts w:ascii="Times New Roman" w:hAnsi="Times New Roman"/>
          <w:sz w:val="20"/>
        </w:rPr>
        <w:t xml:space="preserve">(i)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 </w:t>
      </w:r>
      <w:r>
        <w:rPr>
          <w:rFonts w:ascii="Times New Roman" w:hAnsi="Times New Roman"/>
          <w:b/>
          <w:sz w:val="20"/>
        </w:rPr>
        <w:t>Check if Transfer is pursuant to an Effective Registration Statement.</w:t>
      </w:r>
      <w:r>
        <w:rPr>
          <w:rFonts w:ascii="Times New Roman" w:hAnsi="Times New Roman"/>
          <w:sz w:val="20"/>
        </w:rPr>
        <w:t xml:space="preserve"> (i) The Transfer is being effected pursuant to and in 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Issuer.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[Insert Name of Transferor]</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TO CERTIFICATE OF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Transferor owns and proposes to transfer the following: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beneficial interest in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Rule 144A Global Note (CUSIP ______) (ISIN ______) (Common Code _______________),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Regulation S Global Note (CUSIP ______) (ISIN ______) (Common Code _______________),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a Restricted Physical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Transfer the Transferee will hold: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Rule 144A Global Note (CUSIP _______) (ISIN ______) (Common Code _______________),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Regulation S Global Note (CUSIP ______)(ISIN ______) (Common Code _______________),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Unrestricted Global Note (CUSIP ______) (ISIN ______) (Common Code _______________),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a Restricted Physical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pPr>
            <w:r>
              <w:rPr/>
              <w:t xml:space="preserve">☐ </w:t>
            </w:r>
            <w:r>
              <w:rPr>
                <w:rFonts w:ascii="Times New Roman" w:hAnsi="Times New Roman"/>
                <w:sz w:val="20"/>
              </w:rPr>
              <w:t xml:space="preserve">an Unrestricted Physical Note,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240" w:after="0"/>
        <w:jc w:val="left"/>
        <w:rPr>
          <w:rFonts w:ascii="Times New Roman" w:hAnsi="Times New Roman"/>
          <w:sz w:val="20"/>
        </w:rPr>
      </w:pPr>
      <w:r>
        <w:rPr>
          <w:rFonts w:ascii="Times New Roman" w:hAnsi="Times New Roman"/>
          <w:sz w:val="20"/>
        </w:rPr>
        <w:t xml:space="preserve">Elavon Financial Services DAC, as Transfer Agent </w:t>
      </w:r>
    </w:p>
    <w:p>
      <w:pPr>
        <w:pStyle w:val="TextBody"/>
        <w:bidi w:val="0"/>
        <w:spacing w:before="0" w:after="0"/>
        <w:jc w:val="left"/>
        <w:rPr>
          <w:rFonts w:ascii="Times New Roman" w:hAnsi="Times New Roman"/>
          <w:sz w:val="20"/>
        </w:rPr>
      </w:pPr>
      <w:r>
        <w:rPr>
          <w:rFonts w:ascii="Times New Roman" w:hAnsi="Times New Roman"/>
          <w:sz w:val="20"/>
        </w:rPr>
        <w:t xml:space="preserve">Block F1, Cherrywood Business Park </w:t>
      </w:r>
    </w:p>
    <w:p>
      <w:pPr>
        <w:pStyle w:val="TextBody"/>
        <w:bidi w:val="0"/>
        <w:spacing w:before="0" w:after="0"/>
        <w:jc w:val="left"/>
        <w:rPr>
          <w:rFonts w:ascii="Times New Roman" w:hAnsi="Times New Roman"/>
          <w:sz w:val="20"/>
        </w:rPr>
      </w:pPr>
      <w:r>
        <w:rPr>
          <w:rFonts w:ascii="Times New Roman" w:hAnsi="Times New Roman"/>
          <w:sz w:val="20"/>
        </w:rPr>
        <w:t xml:space="preserve">Cherrywood, Dublin 18 </w:t>
      </w:r>
    </w:p>
    <w:p>
      <w:pPr>
        <w:pStyle w:val="TextBody"/>
        <w:bidi w:val="0"/>
        <w:spacing w:before="0" w:after="0"/>
        <w:jc w:val="left"/>
        <w:rPr>
          <w:rFonts w:ascii="Times New Roman" w:hAnsi="Times New Roman"/>
          <w:sz w:val="20"/>
        </w:rPr>
      </w:pPr>
      <w:r>
        <w:rPr>
          <w:rFonts w:ascii="Times New Roman" w:hAnsi="Times New Roman"/>
          <w:sz w:val="20"/>
        </w:rPr>
        <w:t xml:space="preserve">D18 W2X7, Ireland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240" w:after="0"/>
        <w:jc w:val="left"/>
        <w:rPr>
          <w:rFonts w:ascii="Times New Roman" w:hAnsi="Times New Roman"/>
          <w:sz w:val="20"/>
        </w:rPr>
      </w:pPr>
      <w:r>
        <w:rPr>
          <w:rFonts w:ascii="Times New Roman" w:hAnsi="Times New Roman"/>
          <w:sz w:val="20"/>
        </w:rPr>
        <w:t xml:space="preserve">re: Crown European Holdings 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407"/>
        <w:gridCol w:w="7553"/>
      </w:tblGrid>
      <w:tr>
        <w:trPr/>
        <w:tc>
          <w:tcPr>
            <w:tcW w:w="224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Re:</w:t>
            </w:r>
          </w:p>
        </w:tc>
        <w:tc>
          <w:tcPr>
            <w:tcW w:w="7553" w:type="dxa"/>
            <w:tcBorders/>
          </w:tcPr>
          <w:p>
            <w:pPr>
              <w:pStyle w:val="TableContents"/>
              <w:bidi w:val="0"/>
              <w:spacing w:before="0" w:after="0"/>
              <w:jc w:val="left"/>
              <w:rPr/>
            </w:pPr>
            <w:r>
              <w:rPr/>
              <w:t xml:space="preserve">❑  </w:t>
            </w:r>
            <w:r>
              <w:rPr>
                <w:rFonts w:ascii="Times New Roman" w:hAnsi="Times New Roman"/>
                <w:sz w:val="20"/>
              </w:rPr>
              <w:t xml:space="preserve">4.500% Senior Notes due 2030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(CUSIP _____________) </w:t>
      </w:r>
    </w:p>
    <w:p>
      <w:pPr>
        <w:pStyle w:val="TextBody"/>
        <w:bidi w:val="0"/>
        <w:spacing w:before="0" w:after="0"/>
        <w:jc w:val="left"/>
        <w:rPr>
          <w:rFonts w:ascii="Times New Roman" w:hAnsi="Times New Roman"/>
          <w:sz w:val="20"/>
        </w:rPr>
      </w:pPr>
      <w:r>
        <w:rPr>
          <w:rFonts w:ascii="Times New Roman" w:hAnsi="Times New Roman"/>
          <w:sz w:val="20"/>
        </w:rPr>
        <w:t xml:space="preserve">(ISIN _______________) </w:t>
      </w:r>
    </w:p>
    <w:p>
      <w:pPr>
        <w:pStyle w:val="TextBody"/>
        <w:bidi w:val="0"/>
        <w:spacing w:before="0" w:after="0"/>
        <w:jc w:val="left"/>
        <w:rPr>
          <w:rFonts w:ascii="Times New Roman" w:hAnsi="Times New Roman"/>
          <w:sz w:val="20"/>
        </w:rPr>
      </w:pPr>
      <w:r>
        <w:rPr>
          <w:rFonts w:ascii="Times New Roman" w:hAnsi="Times New Roman"/>
          <w:sz w:val="20"/>
        </w:rPr>
        <w:t xml:space="preserve">(Common Code _______)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August 8, 2024 (the </w:t>
      </w:r>
      <w:r>
        <w:rPr>
          <w:rFonts w:ascii="Times New Roman" w:hAnsi="Times New Roman"/>
          <w:sz w:val="20"/>
          <w:u w:val="single"/>
        </w:rPr>
        <w:t>Indenture</w:t>
      </w:r>
      <w:r>
        <w:rPr>
          <w:rFonts w:ascii="Times New Roman" w:hAnsi="Times New Roman"/>
          <w:sz w:val="20"/>
        </w:rPr>
        <w:t>), by and among Crown European Holdings S.A., as issuer (the </w:t>
      </w:r>
      <w:r>
        <w:rPr>
          <w:rFonts w:ascii="Times New Roman" w:hAnsi="Times New Roman"/>
          <w:sz w:val="20"/>
          <w:u w:val="single"/>
        </w:rPr>
        <w:t>Issuer</w:t>
      </w:r>
      <w:r>
        <w:rPr>
          <w:rFonts w:ascii="Times New Roman" w:hAnsi="Times New Roman"/>
          <w:sz w:val="20"/>
        </w:rPr>
        <w:t xml:space="preserve">), the Guarantors, U.S. Bank Trust Company, National Association, as trustee, Elavon Financial Services DAC, as paying agent, registrar and transfer agent.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____________ (the </w:t>
      </w:r>
      <w:r>
        <w:rPr>
          <w:rFonts w:ascii="Times New Roman" w:hAnsi="Times New Roman"/>
          <w:sz w:val="20"/>
          <w:u w:val="single"/>
        </w:rPr>
        <w:t>Owner</w:t>
      </w:r>
      <w:r>
        <w:rPr>
          <w:rFonts w:ascii="Times New Roman" w:hAnsi="Times New Roman"/>
          <w:sz w:val="20"/>
        </w:rPr>
        <w:t>) owns and proposes to exchange the Note[s] or interest in such Note[s] specified herein, in the principal amount of ____________ in such Note[s] or interests (the </w:t>
      </w:r>
      <w:r>
        <w:rPr>
          <w:rFonts w:ascii="Times New Roman" w:hAnsi="Times New Roman"/>
          <w:sz w:val="20"/>
          <w:u w:val="single"/>
        </w:rPr>
        <w:t>Exchange</w:t>
      </w:r>
      <w:r>
        <w:rPr>
          <w:rFonts w:ascii="Times New Roman" w:hAnsi="Times New Roman"/>
          <w:sz w:val="20"/>
        </w:rPr>
        <w:t xml:space="preserve">). In connection with the Exchange, the Owner hereby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Exchange of Restricted Physical Notes or Beneficial Interests in a Restricted Global Note for Unrestricted Physical Notes or Beneficial Interests in an Unrestricted Global Note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u w:val="single"/>
        </w:rPr>
        <w:t>Check if Exchange is from beneficial interest in a Restricted Global Note to beneficial interest in an Unrestricted Global Note</w:t>
      </w:r>
      <w:r>
        <w:rPr>
          <w:rFonts w:ascii="Times New Roman" w:hAnsi="Times New Roman"/>
          <w:b/>
          <w:sz w:val="20"/>
        </w:rPr>
        <w:t>.</w:t>
      </w:r>
      <w:r>
        <w:rPr>
          <w:rFonts w:ascii="Times New Roman" w:hAnsi="Times New Roman"/>
          <w:sz w:val="20"/>
        </w:rPr>
        <w:t xml:space="preserv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to the Global Notes and pursuant to and in accordance with the United States Securities Act of 1933, as amended (the </w:t>
      </w:r>
      <w:r>
        <w:rPr>
          <w:rFonts w:ascii="Times New Roman" w:hAnsi="Times New Roman"/>
          <w:sz w:val="20"/>
          <w:u w:val="single"/>
        </w:rPr>
        <w:t>Securities Act</w:t>
      </w:r>
      <w:r>
        <w:rPr>
          <w:rFonts w:ascii="Times New Roman" w:hAnsi="Times New Roman"/>
          <w:sz w:val="20"/>
        </w:rPr>
        <w:t xml:space="preserve">),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u w:val="single"/>
        </w:rPr>
        <w:t>Check if Exchange is from Restricted Physical Note to beneficial interest in an Unrestricted Global Note</w:t>
      </w:r>
      <w:r>
        <w:rPr>
          <w:rFonts w:ascii="Times New Roman" w:hAnsi="Times New Roman"/>
          <w:b/>
          <w:sz w:val="20"/>
        </w:rPr>
        <w:t>.</w:t>
      </w:r>
      <w:r>
        <w:rPr>
          <w:rFonts w:ascii="Times New Roman" w:hAnsi="Times New Roman"/>
          <w:sz w:val="20"/>
        </w:rPr>
        <w:t xml:space="preserve"> In connection with 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 </w:t>
      </w:r>
      <w:r>
        <w:rPr>
          <w:rFonts w:ascii="Times New Roman" w:hAnsi="Times New Roman"/>
          <w:b/>
          <w:sz w:val="20"/>
          <w:u w:val="single"/>
        </w:rPr>
        <w:t>Check if Exchange is from Restricted Physical Note to Unrestricted Physical Note</w:t>
      </w:r>
      <w:r>
        <w:rPr>
          <w:rFonts w:ascii="Times New Roman" w:hAnsi="Times New Roman"/>
          <w:b/>
          <w:sz w:val="20"/>
        </w:rPr>
        <w:t>.</w:t>
      </w:r>
      <w:r>
        <w:rPr>
          <w:rFonts w:ascii="Times New Roman" w:hAnsi="Times New Roman"/>
          <w:sz w:val="20"/>
        </w:rPr>
        <w:t xml:space="preserve"> In connection with the Owners Exchange of 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Exchange of Restricted Physical Notes for Restricted Physical Notes or Beneficial Interests in Restricted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u w:val="single"/>
        </w:rPr>
        <w:t>Check if Exchange is from Restricted Physical Note to beneficial interest in a Restricted Global Note</w:t>
      </w:r>
      <w:r>
        <w:rPr>
          <w:rFonts w:ascii="Times New Roman" w:hAnsi="Times New Roman"/>
          <w:sz w:val="20"/>
        </w:rPr>
        <w:t xml:space="preserve">. In connection with the 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Issuer.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center"/>
              <w:rPr/>
            </w:pPr>
            <w:r>
              <w:rPr/>
              <w:t>[Insert Name of Owner]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H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FROM </w:t>
      </w:r>
    </w:p>
    <w:p>
      <w:pPr>
        <w:pStyle w:val="TextBody"/>
        <w:bidi w:val="0"/>
        <w:spacing w:before="0" w:after="0"/>
        <w:jc w:val="center"/>
        <w:rPr>
          <w:rFonts w:ascii="Times New Roman" w:hAnsi="Times New Roman"/>
          <w:b/>
          <w:sz w:val="20"/>
        </w:rPr>
      </w:pPr>
      <w:r>
        <w:rPr>
          <w:rFonts w:ascii="Times New Roman" w:hAnsi="Times New Roman"/>
          <w:b/>
          <w:sz w:val="20"/>
        </w:rPr>
        <w:t xml:space="preserve">ACQUIRING INSTITUTIONAL ACCREDITED INVESTOR </w:t>
      </w:r>
    </w:p>
    <w:p>
      <w:pPr>
        <w:pStyle w:val="TextBody"/>
        <w:bidi w:val="0"/>
        <w:spacing w:before="240" w:after="0"/>
        <w:jc w:val="left"/>
        <w:rPr>
          <w:rFonts w:ascii="Times New Roman" w:hAnsi="Times New Roman"/>
          <w:sz w:val="20"/>
        </w:rPr>
      </w:pPr>
      <w:r>
        <w:rPr>
          <w:rFonts w:ascii="Times New Roman" w:hAnsi="Times New Roman"/>
          <w:sz w:val="20"/>
        </w:rPr>
        <w:t xml:space="preserve">Crown European Holdings S.A. </w:t>
      </w:r>
    </w:p>
    <w:p>
      <w:pPr>
        <w:pStyle w:val="TextBody"/>
        <w:bidi w:val="0"/>
        <w:spacing w:before="0" w:after="0"/>
        <w:jc w:val="left"/>
        <w:rPr>
          <w:rFonts w:ascii="Times New Roman" w:hAnsi="Times New Roman"/>
          <w:sz w:val="20"/>
        </w:rPr>
      </w:pPr>
      <w:r>
        <w:rPr>
          <w:rFonts w:ascii="Times New Roman" w:hAnsi="Times New Roman"/>
          <w:sz w:val="20"/>
        </w:rPr>
        <w:t xml:space="preserve">7 Rue Emmy Noether </w:t>
      </w:r>
    </w:p>
    <w:p>
      <w:pPr>
        <w:pStyle w:val="TextBody"/>
        <w:bidi w:val="0"/>
        <w:spacing w:before="0" w:after="0"/>
        <w:jc w:val="left"/>
        <w:rPr>
          <w:rFonts w:ascii="Times New Roman" w:hAnsi="Times New Roman"/>
          <w:sz w:val="20"/>
        </w:rPr>
      </w:pPr>
      <w:r>
        <w:rPr>
          <w:rFonts w:ascii="Times New Roman" w:hAnsi="Times New Roman"/>
          <w:sz w:val="20"/>
        </w:rPr>
        <w:t xml:space="preserve">93400 Saint-Ouen, France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Two Liberty Place </w:t>
      </w:r>
    </w:p>
    <w:p>
      <w:pPr>
        <w:pStyle w:val="TextBody"/>
        <w:bidi w:val="0"/>
        <w:spacing w:before="0" w:after="0"/>
        <w:jc w:val="left"/>
        <w:rPr>
          <w:rFonts w:ascii="Times New Roman" w:hAnsi="Times New Roman"/>
          <w:sz w:val="20"/>
        </w:rPr>
      </w:pPr>
      <w:r>
        <w:rPr>
          <w:rFonts w:ascii="Times New Roman" w:hAnsi="Times New Roman"/>
          <w:sz w:val="20"/>
        </w:rPr>
        <w:t xml:space="preserve">50 South 16th Street, Suite 2000 </w:t>
      </w:r>
    </w:p>
    <w:p>
      <w:pPr>
        <w:pStyle w:val="TextBody"/>
        <w:bidi w:val="0"/>
        <w:spacing w:before="0" w:after="0"/>
        <w:jc w:val="left"/>
        <w:rPr>
          <w:rFonts w:ascii="Times New Roman" w:hAnsi="Times New Roman"/>
          <w:sz w:val="20"/>
        </w:rPr>
      </w:pPr>
      <w:r>
        <w:rPr>
          <w:rFonts w:ascii="Times New Roman" w:hAnsi="Times New Roman"/>
          <w:sz w:val="20"/>
        </w:rPr>
        <w:t xml:space="preserve">Mail Station: EX-PA-WBSP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19102 </w:t>
      </w:r>
    </w:p>
    <w:p>
      <w:pPr>
        <w:pStyle w:val="TextBody"/>
        <w:bidi w:val="0"/>
        <w:spacing w:before="240" w:after="0"/>
        <w:jc w:val="left"/>
        <w:rPr>
          <w:rFonts w:ascii="Times New Roman" w:hAnsi="Times New Roman"/>
          <w:sz w:val="20"/>
        </w:rPr>
      </w:pPr>
      <w:r>
        <w:rPr>
          <w:rFonts w:ascii="Times New Roman" w:hAnsi="Times New Roman"/>
          <w:sz w:val="20"/>
        </w:rPr>
        <w:t xml:space="preserve">Attention:  Trustee Administration Manager </w:t>
      </w:r>
    </w:p>
    <w:p>
      <w:pPr>
        <w:pStyle w:val="TextBody"/>
        <w:bidi w:val="0"/>
        <w:spacing w:before="0" w:after="0"/>
        <w:jc w:val="left"/>
        <w:rPr/>
      </w:pPr>
      <w:r>
        <w:rPr/>
        <w:t> </w:t>
      </w:r>
      <w:r>
        <w:rPr>
          <w:rFonts w:ascii="Times New Roman" w:hAnsi="Times New Roman"/>
          <w:sz w:val="20"/>
        </w:rPr>
        <w:t xml:space="preserve">re: Crown European Holdings S.A. </w:t>
      </w:r>
    </w:p>
    <w:p>
      <w:pPr>
        <w:pStyle w:val="TextBody"/>
        <w:bidi w:val="0"/>
        <w:spacing w:before="240" w:after="0"/>
        <w:jc w:val="center"/>
        <w:rPr>
          <w:rFonts w:ascii="Times New Roman" w:hAnsi="Times New Roman"/>
          <w:sz w:val="20"/>
        </w:rPr>
      </w:pPr>
      <w:r>
        <w:rPr>
          <w:rFonts w:ascii="Times New Roman" w:hAnsi="Times New Roman"/>
          <w:sz w:val="20"/>
        </w:rPr>
        <w:t xml:space="preserve">Re:  ❑  4.500% Senior Notes due 2030 </w:t>
      </w:r>
    </w:p>
    <w:p>
      <w:pPr>
        <w:pStyle w:val="TextBody"/>
        <w:bidi w:val="0"/>
        <w:spacing w:before="240" w:after="0"/>
        <w:jc w:val="center"/>
        <w:rPr>
          <w:rFonts w:ascii="Times New Roman" w:hAnsi="Times New Roman"/>
          <w:sz w:val="20"/>
        </w:rPr>
      </w:pPr>
      <w:r>
        <w:rPr>
          <w:rFonts w:ascii="Times New Roman" w:hAnsi="Times New Roman"/>
          <w:sz w:val="20"/>
        </w:rPr>
        <w:t xml:space="preserve">(CUSIP _____________) </w:t>
      </w:r>
    </w:p>
    <w:p>
      <w:pPr>
        <w:pStyle w:val="TextBody"/>
        <w:bidi w:val="0"/>
        <w:spacing w:before="0" w:after="0"/>
        <w:jc w:val="center"/>
        <w:rPr>
          <w:rFonts w:ascii="Times New Roman" w:hAnsi="Times New Roman"/>
          <w:sz w:val="20"/>
        </w:rPr>
      </w:pPr>
      <w:r>
        <w:rPr>
          <w:rFonts w:ascii="Times New Roman" w:hAnsi="Times New Roman"/>
          <w:sz w:val="20"/>
        </w:rPr>
        <w:t xml:space="preserve">(ISIN _______________) </w:t>
      </w:r>
    </w:p>
    <w:p>
      <w:pPr>
        <w:pStyle w:val="TextBody"/>
        <w:bidi w:val="0"/>
        <w:spacing w:before="0" w:after="0"/>
        <w:jc w:val="center"/>
        <w:rPr>
          <w:rFonts w:ascii="Times New Roman" w:hAnsi="Times New Roman"/>
          <w:sz w:val="20"/>
        </w:rPr>
      </w:pPr>
      <w:r>
        <w:rPr>
          <w:rFonts w:ascii="Times New Roman" w:hAnsi="Times New Roman"/>
          <w:sz w:val="20"/>
        </w:rPr>
        <w:t xml:space="preserve">(Common Code _______)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August 8, 2024 (the </w:t>
      </w:r>
      <w:r>
        <w:rPr>
          <w:rFonts w:ascii="Times New Roman" w:hAnsi="Times New Roman"/>
          <w:sz w:val="20"/>
          <w:u w:val="single"/>
        </w:rPr>
        <w:t>Indenture</w:t>
      </w:r>
      <w:r>
        <w:rPr>
          <w:rFonts w:ascii="Times New Roman" w:hAnsi="Times New Roman"/>
          <w:sz w:val="20"/>
        </w:rPr>
        <w:t>), by and among Crown European Holdings S.A., as issuer (the </w:t>
      </w:r>
      <w:r>
        <w:rPr>
          <w:rFonts w:ascii="Times New Roman" w:hAnsi="Times New Roman"/>
          <w:sz w:val="20"/>
          <w:u w:val="single"/>
        </w:rPr>
        <w:t>Issuer</w:t>
      </w:r>
      <w:r>
        <w:rPr>
          <w:rFonts w:ascii="Times New Roman" w:hAnsi="Times New Roman"/>
          <w:sz w:val="20"/>
        </w:rPr>
        <w:t xml:space="preserve">), the Guarantors, U.S. Bank Trust Company, National Association, as trustee, Elavon Financial Services DAC, as paying agent, registrar and transfer agent. Capitalized terms used but not defined herein shall have the meanings given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proposed purchase of ____________ aggregate principal amount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a beneficial interest in a Global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a Physical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confirm that: </w:t>
      </w:r>
    </w:p>
    <w:p>
      <w:pPr>
        <w:pStyle w:val="TextBody"/>
        <w:bidi w:val="0"/>
        <w:spacing w:before="120" w:after="0"/>
        <w:jc w:val="left"/>
        <w:rPr>
          <w:rFonts w:ascii="Times New Roman" w:hAnsi="Times New Roman"/>
          <w:sz w:val="20"/>
        </w:rPr>
      </w:pPr>
      <w:r>
        <w:rPr>
          <w:rFonts w:ascii="Times New Roman" w:hAnsi="Times New Roman"/>
          <w:sz w:val="20"/>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Times New Roman" w:hAnsi="Times New Roman"/>
          <w:sz w:val="20"/>
          <w:u w:val="single"/>
        </w:rPr>
        <w:t>Securities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 </w:t>
      </w:r>
    </w:p>
    <w:p>
      <w:pPr>
        <w:pStyle w:val="TextBody"/>
        <w:bidi w:val="0"/>
        <w:spacing w:before="240" w:after="0"/>
        <w:jc w:val="left"/>
        <w:rPr>
          <w:rFonts w:ascii="Times New Roman" w:hAnsi="Times New Roman"/>
          <w:sz w:val="20"/>
        </w:rPr>
      </w:pPr>
      <w:r>
        <w:rPr>
          <w:rFonts w:ascii="Times New Roman" w:hAnsi="Times New Roman"/>
          <w:sz w:val="20"/>
        </w:rPr>
        <w:t xml:space="preserve">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5. We are acquiring the Notes or beneficial interest therein purchased by us for our own account or for one or more accounts (each of which is an institutional accredited investor) as to each of which we exercise sole investment discretion. </w:t>
      </w:r>
    </w:p>
    <w:p>
      <w:pPr>
        <w:pStyle w:val="TextBody"/>
        <w:bidi w:val="0"/>
        <w:spacing w:before="240" w:after="0"/>
        <w:jc w:val="left"/>
        <w:rPr>
          <w:rFonts w:ascii="Times New Roman" w:hAnsi="Times New Roman"/>
          <w:sz w:val="20"/>
        </w:rPr>
      </w:pPr>
      <w:r>
        <w:rPr>
          <w:rFonts w:ascii="Times New Roman" w:hAnsi="Times New Roman"/>
          <w:sz w:val="20"/>
        </w:rPr>
        <w:t xml:space="preserve">You and the Issuer are entitled to rely upon this letter and are irrevocably authorized to produce this letter or a copy hereof to any interested party in any administrative or legal proceedings or official inquiry with respect to the matters covered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[Insert Name of Accredited Owner]</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vAlign w:val="bottom"/>
          </w:tcPr>
          <w:p>
            <w:pPr>
              <w:pStyle w:val="TableContents"/>
              <w:bidi w:val="0"/>
              <w:spacing w:before="0" w:after="283"/>
              <w:jc w:val="left"/>
              <w:rPr/>
            </w:pPr>
            <w:r>
              <w:rPr/>
              <w:t>Name:</w:t>
            </w:r>
          </w:p>
        </w:tc>
      </w:tr>
      <w:tr>
        <w:trPr/>
        <w:tc>
          <w:tcPr>
            <w:tcW w:w="40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Each of the undersigned (the </w:t>
      </w:r>
      <w:r>
        <w:rPr>
          <w:rFonts w:ascii="Times New Roman" w:hAnsi="Times New Roman"/>
          <w:sz w:val="20"/>
          <w:u w:val="single"/>
        </w:rPr>
        <w:t>Guarantors</w:t>
      </w:r>
      <w:r>
        <w:rPr>
          <w:rFonts w:ascii="Times New Roman" w:hAnsi="Times New Roman"/>
          <w:sz w:val="20"/>
        </w:rPr>
        <w:t>) hereby jointly and severally unconditionally guarantees, to the extent set forth in the Indenture, dated as of August 8, 2024 (the </w:t>
      </w:r>
      <w:r>
        <w:rPr>
          <w:rFonts w:ascii="Times New Roman" w:hAnsi="Times New Roman"/>
          <w:sz w:val="20"/>
          <w:u w:val="single"/>
        </w:rPr>
        <w:t>Indenture</w:t>
      </w:r>
      <w:r>
        <w:rPr>
          <w:rFonts w:ascii="Times New Roman" w:hAnsi="Times New Roman"/>
          <w:sz w:val="20"/>
        </w:rPr>
        <w:t>), by and among Crown European Holdings S.A., as issuer (the </w:t>
      </w:r>
      <w:r>
        <w:rPr>
          <w:rFonts w:ascii="Times New Roman" w:hAnsi="Times New Roman"/>
          <w:sz w:val="20"/>
          <w:u w:val="single"/>
        </w:rPr>
        <w:t>Issuer</w:t>
      </w:r>
      <w:r>
        <w:rPr>
          <w:rFonts w:ascii="Times New Roman" w:hAnsi="Times New Roman"/>
          <w:sz w:val="20"/>
        </w:rPr>
        <w:t>), the Guarantors, U.S. Bank Trust Company, National Association, as trustee, Elavon Financial Services DAC, as paying agent, registrar and transfer agent (as amended, restated or supplemented from time to time, the </w:t>
      </w:r>
      <w:r>
        <w:rPr>
          <w:rFonts w:ascii="Times New Roman" w:hAnsi="Times New Roman"/>
          <w:sz w:val="20"/>
          <w:u w:val="single"/>
        </w:rPr>
        <w:t>Indenture</w:t>
      </w:r>
      <w:r>
        <w:rPr>
          <w:rFonts w:ascii="Times New Roman" w:hAnsi="Times New Roman"/>
          <w:sz w:val="20"/>
        </w:rPr>
        <w:t xml:space="preserve">), and subject to the Indenture, (a) 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Guarantee shall be governed by and construed in accordance with the laws of the State of New York, but without giving effect to applicable principles of conflicts of law to the extent that the application of the law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the Indenture, the Notes and this Guarantee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(i) above and (iii) agrees that service of process upon CT Corporation System and written notice of said service to the Issuer in accordance with this Guarantee shall be deemed in every respect effective service of process upon the Issuer or any Guarantor, if any, in any such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the Indenture shall be in full force and effect or any of the Notes shall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Issuer or any Guarantor may, by written notice to the Trustee, designate such additional or alternative agent for service of process under this Guarantee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Guarantee. Such notice shall identify the name and address of such agent for process in the Borough of Manhattan, The City of New York,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the Indenture, the Notes and this Guarantee. In addition, the Issuer and each Guarantor irrevocably waives and agrees not to assert, by way of motion, as a defense, or otherwise in any such suit, action or proceeding, any claim that it is not personally subject to the jurisdiction of the courts mentioned above for any reason whatsoever, that such suit, action or proceeding is brought in an inconvenient forum or that the venue for such suit is improper, or that the Indenture, the Notes or this Guarantee or the subject matter hereof or thereof may not be enforced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Guarantee shall affect the right of the Trustee to serve legal process in any other manner permitted by law or affect the right of the Trustee to bring any action or proceeding against the Issuer or any Guarantor or its property in the courts of any other jurisdictions.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Guarantors has caused this Guarantee to be signed by a duly authorized officer.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HOLDINGS, INC.</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0" w:type="dxa"/>
            <w:tcBorders>
              <w:bottom w:val="single" w:sz="2" w:space="0" w:color="000000"/>
            </w:tcBorders>
            <w:tcMar>
              <w:bottom w:w="28" w:type="dxa"/>
            </w:tcMar>
          </w:tcPr>
          <w:p>
            <w:pPr>
              <w:pStyle w:val="TableContents"/>
              <w:bidi w:val="0"/>
              <w:spacing w:before="0" w:after="283"/>
              <w:jc w:val="left"/>
              <w:rPr/>
            </w:pPr>
            <w:r>
              <w:rPr/>
              <w:t> </w:t>
            </w:r>
          </w:p>
        </w:tc>
      </w:tr>
      <w:tr>
        <w:trPr/>
        <w:tc>
          <w:tcPr>
            <w:tcW w:w="65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pPr>
            <w:r>
              <w:rPr/>
              <w:t>Kevin C. Clothier</w:t>
            </w:r>
          </w:p>
        </w:tc>
      </w:tr>
      <w:tr>
        <w:trPr/>
        <w:tc>
          <w:tcPr>
            <w:tcW w:w="65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pPr>
            <w:r>
              <w:rPr/>
              <w:t>Senior Vice President &amp;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AMERICAS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 </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David A. Beaver</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3"/>
        <w:gridCol w:w="60"/>
        <w:gridCol w:w="3379"/>
      </w:tblGrid>
      <w:tr>
        <w:trPr/>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 USA, INC.</w:t>
            </w:r>
          </w:p>
        </w:tc>
      </w:tr>
      <w:tr>
        <w:trPr/>
        <w:tc>
          <w:tcPr>
            <w:tcW w:w="4082" w:type="dxa"/>
            <w:gridSpan w:val="3"/>
            <w:tcBorders/>
            <w:vAlign w:val="bottom"/>
          </w:tcPr>
          <w:p>
            <w:pPr>
              <w:pStyle w:val="TableContents"/>
              <w:bidi w:val="0"/>
              <w:spacing w:before="0" w:after="283"/>
              <w:jc w:val="left"/>
              <w:rPr/>
            </w:pPr>
            <w:r>
              <w:rPr/>
              <w:t>CROWN BEVERAGE PACKAGING PUERTO RICO, INC.</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Christy L. Kalaus</w:t>
            </w:r>
          </w:p>
        </w:tc>
      </w:tr>
      <w:tr>
        <w:trPr/>
        <w:tc>
          <w:tcPr>
            <w:tcW w:w="64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Vice President &amp; Controller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CONSULTANTS, INC.</w:t>
            </w:r>
          </w:p>
        </w:tc>
      </w:tr>
      <w:tr>
        <w:trPr/>
        <w:tc>
          <w:tcPr>
            <w:tcW w:w="4082" w:type="dxa"/>
            <w:gridSpan w:val="3"/>
            <w:tcBorders/>
            <w:vAlign w:val="bottom"/>
          </w:tcPr>
          <w:p>
            <w:pPr>
              <w:pStyle w:val="TableContents"/>
              <w:bidi w:val="0"/>
              <w:spacing w:before="0" w:after="283"/>
              <w:jc w:val="left"/>
              <w:rPr/>
            </w:pPr>
            <w:r>
              <w:rPr/>
              <w:t>CROWN FINANCIAL CORPORATION</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Kevin C. Clothier</w:t>
            </w:r>
          </w:p>
        </w:tc>
      </w:tr>
      <w:tr>
        <w:trPr/>
        <w:tc>
          <w:tcPr>
            <w:tcW w:w="64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CORK &amp; SEAL COMPANY (DE), LLC</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Kevin C. Clothier</w:t>
            </w:r>
          </w:p>
        </w:tc>
      </w:tr>
      <w:tr>
        <w:trPr/>
        <w:tc>
          <w:tcPr>
            <w:tcW w:w="64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CORK &amp; SEAL USA,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Assistant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INDUSTRIAL GROUP US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FOREIGN MANUFACTURERS FINANCE CORPORATION</w:t>
            </w:r>
          </w:p>
        </w:tc>
      </w:tr>
      <w:tr>
        <w:trPr/>
        <w:tc>
          <w:tcPr>
            <w:tcW w:w="4082" w:type="dxa"/>
            <w:gridSpan w:val="3"/>
            <w:tcBorders/>
            <w:vAlign w:val="bottom"/>
          </w:tcPr>
          <w:p>
            <w:pPr>
              <w:pStyle w:val="TableContents"/>
              <w:bidi w:val="0"/>
              <w:spacing w:before="0" w:after="283"/>
              <w:jc w:val="left"/>
              <w:rPr/>
            </w:pPr>
            <w:r>
              <w:rPr/>
              <w:t>CROWN CORK &amp; SEAL COMPANY, INC.</w:t>
            </w:r>
          </w:p>
        </w:tc>
      </w:tr>
      <w:tr>
        <w:trPr/>
        <w:tc>
          <w:tcPr>
            <w:tcW w:w="4082" w:type="dxa"/>
            <w:gridSpan w:val="3"/>
            <w:tcBorders/>
            <w:vAlign w:val="bottom"/>
          </w:tcPr>
          <w:p>
            <w:pPr>
              <w:pStyle w:val="TableContents"/>
              <w:bidi w:val="0"/>
              <w:spacing w:before="0" w:after="283"/>
              <w:jc w:val="left"/>
              <w:rPr/>
            </w:pPr>
            <w:r>
              <w:rPr/>
              <w:t>CROWN INTERNATIONAL HOLDINGS, INC.</w:t>
            </w:r>
          </w:p>
        </w:tc>
      </w:tr>
      <w:tr>
        <w:trPr/>
        <w:tc>
          <w:tcPr>
            <w:tcW w:w="4082" w:type="dxa"/>
            <w:gridSpan w:val="3"/>
            <w:tcBorders/>
            <w:vAlign w:val="bottom"/>
          </w:tcPr>
          <w:p>
            <w:pPr>
              <w:pStyle w:val="TableContents"/>
              <w:bidi w:val="0"/>
              <w:spacing w:before="0" w:after="283"/>
              <w:jc w:val="left"/>
              <w:rPr/>
            </w:pPr>
            <w:r>
              <w:rPr/>
              <w:t>CROWN PACKAGING TECHNOLOGY,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BEVERAGE PACKAGING, LLC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BEVERAGE HOLDINGS,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David A. Beaver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INDUSTRIAL GROUP LLC</w:t>
            </w:r>
          </w:p>
        </w:tc>
      </w:tr>
      <w:tr>
        <w:trPr/>
        <w:tc>
          <w:tcPr>
            <w:tcW w:w="4082" w:type="dxa"/>
            <w:gridSpan w:val="3"/>
            <w:tcBorders/>
            <w:vAlign w:val="bottom"/>
          </w:tcPr>
          <w:p>
            <w:pPr>
              <w:pStyle w:val="TableContents"/>
              <w:bidi w:val="0"/>
              <w:spacing w:before="0" w:after="283"/>
              <w:jc w:val="left"/>
              <w:rPr/>
            </w:pPr>
            <w:r>
              <w:rPr/>
              <w:t>SIGNODE PICKLING HOLDING LLC</w:t>
            </w:r>
          </w:p>
        </w:tc>
      </w:tr>
      <w:tr>
        <w:trPr/>
        <w:tc>
          <w:tcPr>
            <w:tcW w:w="4082" w:type="dxa"/>
            <w:gridSpan w:val="3"/>
            <w:tcBorders/>
            <w:vAlign w:val="bottom"/>
          </w:tcPr>
          <w:p>
            <w:pPr>
              <w:pStyle w:val="TableContents"/>
              <w:bidi w:val="0"/>
              <w:spacing w:before="0" w:after="283"/>
              <w:jc w:val="left"/>
              <w:rPr/>
            </w:pPr>
            <w:r>
              <w:rPr/>
              <w:t>SIGNODE US IP HOLDINGS LLC</w:t>
            </w:r>
          </w:p>
        </w:tc>
      </w:tr>
      <w:tr>
        <w:trPr/>
        <w:tc>
          <w:tcPr>
            <w:tcW w:w="4082" w:type="dxa"/>
            <w:gridSpan w:val="3"/>
            <w:tcBorders/>
            <w:vAlign w:val="bottom"/>
          </w:tcPr>
          <w:p>
            <w:pPr>
              <w:pStyle w:val="TableContents"/>
              <w:bidi w:val="0"/>
              <w:spacing w:before="0" w:after="283"/>
              <w:jc w:val="left"/>
              <w:rPr/>
            </w:pPr>
            <w:r>
              <w:rPr/>
              <w:t>SIGNODE INDUSTRIAL GROUP</w:t>
            </w:r>
          </w:p>
        </w:tc>
      </w:tr>
      <w:tr>
        <w:trPr/>
        <w:tc>
          <w:tcPr>
            <w:tcW w:w="4082" w:type="dxa"/>
            <w:gridSpan w:val="3"/>
            <w:tcBorders/>
            <w:vAlign w:val="bottom"/>
          </w:tcPr>
          <w:p>
            <w:pPr>
              <w:pStyle w:val="TableContents"/>
              <w:bidi w:val="0"/>
              <w:spacing w:before="0" w:after="283"/>
              <w:jc w:val="left"/>
              <w:rPr/>
            </w:pPr>
            <w:r>
              <w:rPr/>
              <w:t>HOLDINGS US INC.</w:t>
            </w:r>
          </w:p>
        </w:tc>
      </w:tr>
      <w:tr>
        <w:trPr/>
        <w:tc>
          <w:tcPr>
            <w:tcW w:w="4082" w:type="dxa"/>
            <w:gridSpan w:val="3"/>
            <w:tcBorders/>
            <w:vAlign w:val="bottom"/>
          </w:tcPr>
          <w:p>
            <w:pPr>
              <w:pStyle w:val="TableContents"/>
              <w:bidi w:val="0"/>
              <w:spacing w:before="0" w:after="283"/>
              <w:jc w:val="left"/>
              <w:rPr/>
            </w:pPr>
            <w:r>
              <w:rPr/>
              <w:t>SIGNODE INTERNATIONAL IP</w:t>
            </w:r>
          </w:p>
        </w:tc>
      </w:tr>
      <w:tr>
        <w:trPr/>
        <w:tc>
          <w:tcPr>
            <w:tcW w:w="4082" w:type="dxa"/>
            <w:gridSpan w:val="3"/>
            <w:tcBorders/>
            <w:vAlign w:val="bottom"/>
          </w:tcPr>
          <w:p>
            <w:pPr>
              <w:pStyle w:val="TableContents"/>
              <w:bidi w:val="0"/>
              <w:spacing w:before="0" w:after="283"/>
              <w:jc w:val="left"/>
              <w:rPr/>
            </w:pPr>
            <w:r>
              <w:rPr/>
              <w:t>HOLDINGS LLC</w:t>
            </w:r>
          </w:p>
        </w:tc>
      </w:tr>
      <w:tr>
        <w:trPr/>
        <w:tc>
          <w:tcPr>
            <w:tcW w:w="4082" w:type="dxa"/>
            <w:gridSpan w:val="3"/>
            <w:tcBorders/>
            <w:vAlign w:val="bottom"/>
          </w:tcPr>
          <w:p>
            <w:pPr>
              <w:pStyle w:val="TableContents"/>
              <w:bidi w:val="0"/>
              <w:spacing w:before="0" w:after="283"/>
              <w:jc w:val="left"/>
              <w:rPr/>
            </w:pPr>
            <w:r>
              <w:rPr/>
              <w:t>SIMPLIMATIC ENGINEERING HOLDINGS LLC</w:t>
            </w:r>
          </w:p>
        </w:tc>
      </w:tr>
      <w:tr>
        <w:trPr/>
        <w:tc>
          <w:tcPr>
            <w:tcW w:w="4082" w:type="dxa"/>
            <w:gridSpan w:val="3"/>
            <w:tcBorders/>
            <w:vAlign w:val="bottom"/>
          </w:tcPr>
          <w:p>
            <w:pPr>
              <w:pStyle w:val="TableContents"/>
              <w:bidi w:val="0"/>
              <w:spacing w:before="0" w:after="283"/>
              <w:jc w:val="left"/>
              <w:rPr/>
            </w:pPr>
            <w:r>
              <w:rPr/>
              <w:t>SIMPLIMTIC AUTOMATION LLC SEH REAL ESTATE HOLDINGS LLC</w:t>
            </w:r>
          </w:p>
        </w:tc>
      </w:tr>
      <w:tr>
        <w:trPr/>
        <w:tc>
          <w:tcPr>
            <w:tcW w:w="4082" w:type="dxa"/>
            <w:gridSpan w:val="3"/>
            <w:tcBorders/>
            <w:vAlign w:val="bottom"/>
          </w:tcPr>
          <w:p>
            <w:pPr>
              <w:pStyle w:val="TableContents"/>
              <w:bidi w:val="0"/>
              <w:spacing w:before="0" w:after="283"/>
              <w:jc w:val="left"/>
              <w:rPr/>
            </w:pPr>
            <w:r>
              <w:rPr/>
              <w:t>SE INTERNATIONAL HOLDINGS LLC</w:t>
            </w:r>
          </w:p>
        </w:tc>
      </w:tr>
      <w:tr>
        <w:trPr/>
        <w:tc>
          <w:tcPr>
            <w:tcW w:w="4082" w:type="dxa"/>
            <w:gridSpan w:val="3"/>
            <w:tcBorders/>
            <w:vAlign w:val="bottom"/>
          </w:tcPr>
          <w:p>
            <w:pPr>
              <w:pStyle w:val="TableContents"/>
              <w:bidi w:val="0"/>
              <w:spacing w:before="0" w:after="283"/>
              <w:jc w:val="left"/>
              <w:rPr/>
            </w:pPr>
            <w:r>
              <w:rPr/>
              <w:t>SE INTERNATIONAL HOLDINGS II LLC</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David A. Beaver</w:t>
            </w:r>
          </w:p>
        </w:tc>
      </w:tr>
      <w:tr>
        <w:trPr/>
        <w:tc>
          <w:tcPr>
            <w:tcW w:w="64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Vice President &amp;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3079939 NOVA SCOTIA</w:t>
            </w:r>
          </w:p>
          <w:p>
            <w:pPr>
              <w:pStyle w:val="TableContents"/>
              <w:bidi w:val="0"/>
              <w:spacing w:before="0" w:after="0"/>
              <w:jc w:val="left"/>
              <w:rPr>
                <w:rFonts w:ascii="Times New Roman" w:hAnsi="Times New Roman"/>
                <w:sz w:val="20"/>
              </w:rPr>
            </w:pPr>
            <w:r>
              <w:rPr>
                <w:rFonts w:ascii="Times New Roman" w:hAnsi="Times New Roman"/>
                <w:sz w:val="20"/>
              </w:rPr>
              <w:t>COMPANY/3079939 COMPAGNIE DE LA</w:t>
            </w:r>
          </w:p>
          <w:p>
            <w:pPr>
              <w:pStyle w:val="TableContents"/>
              <w:bidi w:val="0"/>
              <w:spacing w:before="0" w:after="0"/>
              <w:jc w:val="left"/>
              <w:rPr>
                <w:rFonts w:ascii="Times New Roman" w:hAnsi="Times New Roman"/>
                <w:sz w:val="20"/>
              </w:rPr>
            </w:pPr>
            <w:r>
              <w:rPr>
                <w:rFonts w:ascii="Times New Roman" w:hAnsi="Times New Roman"/>
                <w:sz w:val="20"/>
              </w:rPr>
              <w:t>NOUVELLE ECOSSE</w:t>
            </w:r>
          </w:p>
          <w:p>
            <w:pPr>
              <w:pStyle w:val="TableContents"/>
              <w:bidi w:val="0"/>
              <w:spacing w:before="0" w:after="20"/>
              <w:jc w:val="left"/>
              <w:rPr>
                <w:rFonts w:ascii="Times New Roman" w:hAnsi="Times New Roman"/>
                <w:sz w:val="20"/>
              </w:rPr>
            </w:pPr>
            <w:r>
              <w:rPr>
                <w:rFonts w:ascii="Times New Roman" w:hAnsi="Times New Roman"/>
                <w:sz w:val="20"/>
              </w:rPr>
              <w:t>889273 ONTARIO INC.</w:t>
            </w:r>
          </w:p>
        </w:tc>
      </w:tr>
      <w:tr>
        <w:trPr/>
        <w:tc>
          <w:tcPr>
            <w:tcW w:w="4082" w:type="dxa"/>
            <w:gridSpan w:val="3"/>
            <w:tcBorders/>
            <w:vAlign w:val="bottom"/>
          </w:tcPr>
          <w:p>
            <w:pPr>
              <w:pStyle w:val="TableContents"/>
              <w:bidi w:val="0"/>
              <w:spacing w:before="0" w:after="283"/>
              <w:jc w:val="left"/>
              <w:rPr/>
            </w:pPr>
            <w:r>
              <w:rPr/>
              <w:t>CROWN CANADIAN HOLDINGS ULC</w:t>
            </w:r>
          </w:p>
        </w:tc>
      </w:tr>
      <w:tr>
        <w:trPr/>
        <w:tc>
          <w:tcPr>
            <w:tcW w:w="4082" w:type="dxa"/>
            <w:gridSpan w:val="3"/>
            <w:tcBorders/>
            <w:vAlign w:val="bottom"/>
          </w:tcPr>
          <w:p>
            <w:pPr>
              <w:pStyle w:val="TableContents"/>
              <w:bidi w:val="0"/>
              <w:spacing w:before="0" w:after="283"/>
              <w:jc w:val="left"/>
              <w:rPr/>
            </w:pPr>
            <w:r>
              <w:rPr/>
              <w:t>CROWN METAL PACKAGING CANADA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SIGNODE CANADA ULC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Peter Abraham</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CROWN METAL PACKAGING CANADA LP</w:t>
            </w:r>
          </w:p>
        </w:tc>
      </w:tr>
      <w:tr>
        <w:trPr/>
        <w:tc>
          <w:tcPr>
            <w:tcW w:w="64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Crown Metal Packaging Canada Inc., its General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0"/>
        <w:gridCol w:w="60"/>
        <w:gridCol w:w="3282"/>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BEVCAN FRANCE SAS</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2" w:type="dxa"/>
            <w:tcBorders>
              <w:bottom w:val="single" w:sz="2" w:space="0" w:color="000000"/>
            </w:tcBorders>
            <w:tcMar>
              <w:bottom w:w="28" w:type="dxa"/>
            </w:tcMar>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Paul Browett</w:t>
            </w:r>
          </w:p>
        </w:tc>
      </w:tr>
      <w:tr>
        <w:trPr/>
        <w:tc>
          <w:tcPr>
            <w:tcW w:w="7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DÉVELOPPEMENT</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2" w:type="dxa"/>
            <w:tcBorders>
              <w:bottom w:val="single" w:sz="2" w:space="0" w:color="000000"/>
            </w:tcBorders>
            <w:tcMar>
              <w:bottom w:w="28" w:type="dxa"/>
            </w:tcMar>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Kevin C. Clothier</w:t>
            </w:r>
          </w:p>
        </w:tc>
      </w:tr>
      <w:tr>
        <w:trPr/>
        <w:tc>
          <w:tcPr>
            <w:tcW w:w="7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Directeur Général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EUROPE SAS</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2" w:type="dxa"/>
            <w:tcBorders>
              <w:bottom w:val="single" w:sz="2" w:space="0" w:color="000000"/>
            </w:tcBorders>
            <w:tcMar>
              <w:bottom w:w="28" w:type="dxa"/>
            </w:tcMar>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Jean-Francois Lelouch</w:t>
            </w:r>
          </w:p>
        </w:tc>
      </w:tr>
      <w:tr>
        <w:trPr/>
        <w:tc>
          <w:tcPr>
            <w:tcW w:w="7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Président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814"/>
        <w:gridCol w:w="63"/>
        <w:gridCol w:w="3205"/>
      </w:tblGrid>
      <w:tr>
        <w:trPr/>
        <w:tc>
          <w:tcPr>
            <w:tcW w:w="81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SOCIÉTÉ CIVILE IMMOBILIÉRE DES BACQUETS</w:t>
            </w:r>
          </w:p>
          <w:p>
            <w:pPr>
              <w:pStyle w:val="TableContents"/>
              <w:bidi w:val="0"/>
              <w:spacing w:before="0" w:after="20"/>
              <w:jc w:val="left"/>
              <w:rPr>
                <w:rFonts w:ascii="Times New Roman" w:hAnsi="Times New Roman"/>
                <w:sz w:val="20"/>
              </w:rPr>
            </w:pPr>
            <w:r>
              <w:rPr>
                <w:rFonts w:ascii="Times New Roman" w:hAnsi="Times New Roman"/>
                <w:sz w:val="20"/>
              </w:rPr>
              <w:t>SOCIÉTÉ CIVILE IMMOBILIÉRE ROUSSEAU IVRY</w:t>
            </w:r>
          </w:p>
        </w:tc>
      </w:tr>
      <w:tr>
        <w:trPr>
          <w:trHeight w:val="240" w:hRule="atLeast"/>
        </w:trPr>
        <w:tc>
          <w:tcPr>
            <w:tcW w:w="814" w:type="dxa"/>
            <w:tcBorders/>
            <w:vAlign w:val="center"/>
          </w:tcPr>
          <w:p>
            <w:pPr>
              <w:pStyle w:val="TableContents"/>
              <w:bidi w:val="0"/>
              <w:spacing w:before="0" w:after="283"/>
              <w:jc w:val="left"/>
              <w:rPr>
                <w:sz w:val="4"/>
                <w:szCs w:val="4"/>
              </w:rPr>
            </w:pPr>
            <w:r>
              <w:rPr>
                <w:sz w:val="4"/>
                <w:szCs w:val="4"/>
              </w:rPr>
            </w:r>
          </w:p>
        </w:tc>
        <w:tc>
          <w:tcPr>
            <w:tcW w:w="3268"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05" w:type="dxa"/>
            <w:tcBorders>
              <w:bottom w:val="single" w:sz="2" w:space="0" w:color="000000"/>
            </w:tcBorders>
            <w:tcMar>
              <w:bottom w:w="28" w:type="dxa"/>
            </w:tcMar>
          </w:tcPr>
          <w:p>
            <w:pPr>
              <w:pStyle w:val="TableContents"/>
              <w:bidi w:val="0"/>
              <w:spacing w:before="0" w:after="283"/>
              <w:jc w:val="left"/>
              <w:rPr/>
            </w:pPr>
            <w:r>
              <w:rPr/>
              <w:t> </w:t>
            </w:r>
          </w:p>
        </w:tc>
      </w:tr>
      <w:tr>
        <w:trPr/>
        <w:tc>
          <w:tcPr>
            <w:tcW w:w="814" w:type="dxa"/>
            <w:tcBorders/>
          </w:tcPr>
          <w:p>
            <w:pPr>
              <w:pStyle w:val="TableContents"/>
              <w:bidi w:val="0"/>
              <w:spacing w:before="0" w:after="283"/>
              <w:jc w:val="left"/>
              <w:rPr/>
            </w:pPr>
            <w:r>
              <w:rPr/>
              <w:t>Name: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Olaf Roth</w:t>
            </w:r>
          </w:p>
        </w:tc>
      </w:tr>
      <w:tr>
        <w:trPr/>
        <w:tc>
          <w:tcPr>
            <w:tcW w:w="814" w:type="dxa"/>
            <w:tcBorders/>
          </w:tcPr>
          <w:p>
            <w:pPr>
              <w:pStyle w:val="TableContents"/>
              <w:bidi w:val="0"/>
              <w:spacing w:before="0" w:after="283"/>
              <w:jc w:val="left"/>
              <w:rPr/>
            </w:pPr>
            <w:r>
              <w:rPr/>
              <w:t>Title: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SPG FRANCE HOLDINGS SAS</w:t>
            </w:r>
          </w:p>
          <w:p>
            <w:pPr>
              <w:pStyle w:val="TableContents"/>
              <w:bidi w:val="0"/>
              <w:spacing w:before="0" w:after="20"/>
              <w:jc w:val="left"/>
              <w:rPr>
                <w:rFonts w:ascii="Times New Roman" w:hAnsi="Times New Roman"/>
                <w:sz w:val="20"/>
              </w:rPr>
            </w:pPr>
            <w:r>
              <w:rPr>
                <w:rFonts w:ascii="Times New Roman" w:hAnsi="Times New Roman"/>
                <w:sz w:val="20"/>
              </w:rPr>
              <w:t>SIGNODE FRANCE SAS</w:t>
            </w:r>
          </w:p>
        </w:tc>
      </w:tr>
      <w:tr>
        <w:trPr>
          <w:trHeight w:val="240" w:hRule="atLeast"/>
        </w:trPr>
        <w:tc>
          <w:tcPr>
            <w:tcW w:w="814" w:type="dxa"/>
            <w:tcBorders/>
            <w:vAlign w:val="center"/>
          </w:tcPr>
          <w:p>
            <w:pPr>
              <w:pStyle w:val="TableContents"/>
              <w:bidi w:val="0"/>
              <w:spacing w:before="0" w:after="283"/>
              <w:jc w:val="left"/>
              <w:rPr>
                <w:sz w:val="4"/>
                <w:szCs w:val="4"/>
              </w:rPr>
            </w:pPr>
            <w:r>
              <w:rPr>
                <w:sz w:val="4"/>
                <w:szCs w:val="4"/>
              </w:rPr>
            </w:r>
          </w:p>
        </w:tc>
        <w:tc>
          <w:tcPr>
            <w:tcW w:w="3268"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05" w:type="dxa"/>
            <w:tcBorders>
              <w:bottom w:val="single" w:sz="2" w:space="0" w:color="000000"/>
            </w:tcBorders>
            <w:tcMar>
              <w:bottom w:w="28" w:type="dxa"/>
            </w:tcMar>
          </w:tcPr>
          <w:p>
            <w:pPr>
              <w:pStyle w:val="TableContents"/>
              <w:bidi w:val="0"/>
              <w:spacing w:before="0" w:after="283"/>
              <w:jc w:val="left"/>
              <w:rPr/>
            </w:pPr>
            <w:r>
              <w:rPr/>
              <w:t> </w:t>
            </w:r>
          </w:p>
        </w:tc>
      </w:tr>
      <w:tr>
        <w:trPr/>
        <w:tc>
          <w:tcPr>
            <w:tcW w:w="814" w:type="dxa"/>
            <w:tcBorders/>
          </w:tcPr>
          <w:p>
            <w:pPr>
              <w:pStyle w:val="TableContents"/>
              <w:bidi w:val="0"/>
              <w:spacing w:before="0" w:after="283"/>
              <w:jc w:val="left"/>
              <w:rPr/>
            </w:pPr>
            <w:r>
              <w:rPr/>
              <w:t>Name: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Olaf Roth</w:t>
            </w:r>
          </w:p>
        </w:tc>
      </w:tr>
      <w:tr>
        <w:trPr/>
        <w:tc>
          <w:tcPr>
            <w:tcW w:w="814" w:type="dxa"/>
            <w:tcBorders/>
          </w:tcPr>
          <w:p>
            <w:pPr>
              <w:pStyle w:val="TableContents"/>
              <w:bidi w:val="0"/>
              <w:spacing w:before="0" w:after="283"/>
              <w:jc w:val="left"/>
              <w:rPr/>
            </w:pPr>
            <w:r>
              <w:rPr/>
              <w:t>Title: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DEUTSCHLAND HOLDINGS GMBH</w:t>
            </w:r>
          </w:p>
        </w:tc>
      </w:tr>
      <w:tr>
        <w:trPr>
          <w:trHeight w:val="240" w:hRule="atLeast"/>
        </w:trPr>
        <w:tc>
          <w:tcPr>
            <w:tcW w:w="814" w:type="dxa"/>
            <w:tcBorders/>
            <w:vAlign w:val="center"/>
          </w:tcPr>
          <w:p>
            <w:pPr>
              <w:pStyle w:val="TableContents"/>
              <w:bidi w:val="0"/>
              <w:spacing w:before="0" w:after="283"/>
              <w:jc w:val="left"/>
              <w:rPr>
                <w:sz w:val="4"/>
                <w:szCs w:val="4"/>
              </w:rPr>
            </w:pPr>
            <w:r>
              <w:rPr>
                <w:sz w:val="4"/>
                <w:szCs w:val="4"/>
              </w:rPr>
            </w:r>
          </w:p>
        </w:tc>
        <w:tc>
          <w:tcPr>
            <w:tcW w:w="3268"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05" w:type="dxa"/>
            <w:tcBorders>
              <w:bottom w:val="single" w:sz="2" w:space="0" w:color="000000"/>
            </w:tcBorders>
            <w:tcMar>
              <w:bottom w:w="28" w:type="dxa"/>
            </w:tcMar>
          </w:tcPr>
          <w:p>
            <w:pPr>
              <w:pStyle w:val="TableContents"/>
              <w:bidi w:val="0"/>
              <w:spacing w:before="0" w:after="283"/>
              <w:jc w:val="left"/>
              <w:rPr/>
            </w:pPr>
            <w:r>
              <w:rPr/>
              <w:t> </w:t>
            </w:r>
          </w:p>
        </w:tc>
      </w:tr>
      <w:tr>
        <w:trPr/>
        <w:tc>
          <w:tcPr>
            <w:tcW w:w="814" w:type="dxa"/>
            <w:tcBorders/>
          </w:tcPr>
          <w:p>
            <w:pPr>
              <w:pStyle w:val="TableContents"/>
              <w:bidi w:val="0"/>
              <w:spacing w:before="0" w:after="283"/>
              <w:jc w:val="left"/>
              <w:rPr/>
            </w:pPr>
            <w:r>
              <w:rPr/>
              <w:t>Name: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Jochen Linzenich</w:t>
            </w:r>
          </w:p>
        </w:tc>
      </w:tr>
      <w:tr>
        <w:trPr/>
        <w:tc>
          <w:tcPr>
            <w:tcW w:w="814" w:type="dxa"/>
            <w:tcBorders/>
          </w:tcPr>
          <w:p>
            <w:pPr>
              <w:pStyle w:val="TableContents"/>
              <w:bidi w:val="0"/>
              <w:spacing w:before="0" w:after="283"/>
              <w:jc w:val="left"/>
              <w:rPr/>
            </w:pPr>
            <w:r>
              <w:rPr/>
              <w:t>Title:</w:t>
            </w:r>
          </w:p>
        </w:tc>
        <w:tc>
          <w:tcPr>
            <w:tcW w:w="63"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1"/>
        <w:gridCol w:w="3257"/>
      </w:tblGrid>
      <w:tr>
        <w:trPr/>
        <w:tc>
          <w:tcPr>
            <w:tcW w:w="76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SIGNODE PACKAGING SYSTEMS GMBH</w:t>
            </w:r>
          </w:p>
          <w:p>
            <w:pPr>
              <w:pStyle w:val="TableContents"/>
              <w:bidi w:val="0"/>
              <w:spacing w:before="0" w:after="0"/>
              <w:jc w:val="left"/>
              <w:rPr>
                <w:rFonts w:ascii="Times New Roman" w:hAnsi="Times New Roman"/>
                <w:sz w:val="20"/>
              </w:rPr>
            </w:pPr>
            <w:r>
              <w:rPr>
                <w:rFonts w:ascii="Times New Roman" w:hAnsi="Times New Roman"/>
                <w:sz w:val="20"/>
              </w:rPr>
              <w:t>MEZGER HEFTSYSTEME GMBH</w:t>
            </w:r>
          </w:p>
          <w:p>
            <w:pPr>
              <w:pStyle w:val="TableContents"/>
              <w:bidi w:val="0"/>
              <w:spacing w:before="0" w:after="0"/>
              <w:jc w:val="left"/>
              <w:rPr>
                <w:rFonts w:ascii="Times New Roman" w:hAnsi="Times New Roman"/>
                <w:sz w:val="20"/>
              </w:rPr>
            </w:pPr>
            <w:r>
              <w:rPr>
                <w:rFonts w:ascii="Times New Roman" w:hAnsi="Times New Roman"/>
                <w:sz w:val="20"/>
              </w:rPr>
              <w:t>SMP SCHWEDE MASCHINENBAU</w:t>
            </w:r>
          </w:p>
          <w:p>
            <w:pPr>
              <w:pStyle w:val="TableContents"/>
              <w:bidi w:val="0"/>
              <w:spacing w:before="0" w:after="20"/>
              <w:jc w:val="left"/>
              <w:rPr>
                <w:rFonts w:ascii="Times New Roman" w:hAnsi="Times New Roman"/>
                <w:sz w:val="20"/>
              </w:rPr>
            </w:pPr>
            <w:r>
              <w:rPr>
                <w:rFonts w:ascii="Times New Roman" w:hAnsi="Times New Roman"/>
                <w:sz w:val="20"/>
              </w:rPr>
              <w:t>WEISCHLITZ GMBH</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57" w:type="dxa"/>
            <w:tcBorders>
              <w:bottom w:val="single" w:sz="2" w:space="0" w:color="000000"/>
            </w:tcBorders>
            <w:tcMar>
              <w:bottom w:w="28" w:type="dxa"/>
            </w:tcMar>
          </w:tcPr>
          <w:p>
            <w:pPr>
              <w:pStyle w:val="TableContents"/>
              <w:bidi w:val="0"/>
              <w:spacing w:before="0" w:after="283"/>
              <w:jc w:val="left"/>
              <w:rPr/>
            </w:pPr>
            <w:r>
              <w:rPr/>
              <w:t> </w:t>
            </w:r>
          </w:p>
        </w:tc>
      </w:tr>
      <w:tr>
        <w:trPr/>
        <w:tc>
          <w:tcPr>
            <w:tcW w:w="764"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Ellen Fleischmann</w:t>
            </w:r>
          </w:p>
        </w:tc>
      </w:tr>
      <w:tr>
        <w:trPr/>
        <w:tc>
          <w:tcPr>
            <w:tcW w:w="76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SYSTEM GMBH</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57" w:type="dxa"/>
            <w:tcBorders>
              <w:bottom w:val="single" w:sz="2" w:space="0" w:color="000000"/>
            </w:tcBorders>
            <w:tcMar>
              <w:bottom w:w="28" w:type="dxa"/>
            </w:tcMar>
          </w:tcPr>
          <w:p>
            <w:pPr>
              <w:pStyle w:val="TableContents"/>
              <w:bidi w:val="0"/>
              <w:spacing w:before="0" w:after="283"/>
              <w:jc w:val="left"/>
              <w:rPr/>
            </w:pPr>
            <w:r>
              <w:rPr/>
              <w:t> </w:t>
            </w:r>
          </w:p>
        </w:tc>
      </w:tr>
      <w:tr>
        <w:trPr/>
        <w:tc>
          <w:tcPr>
            <w:tcW w:w="764"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Peter Aloys Buderath</w:t>
            </w:r>
          </w:p>
        </w:tc>
      </w:tr>
      <w:tr>
        <w:trPr/>
        <w:tc>
          <w:tcPr>
            <w:tcW w:w="76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SPG GERMANY SERVICE</w:t>
            </w:r>
          </w:p>
          <w:p>
            <w:pPr>
              <w:pStyle w:val="TableContents"/>
              <w:bidi w:val="0"/>
              <w:spacing w:before="0" w:after="20"/>
              <w:jc w:val="left"/>
              <w:rPr>
                <w:rFonts w:ascii="Times New Roman" w:hAnsi="Times New Roman"/>
                <w:sz w:val="20"/>
              </w:rPr>
            </w:pPr>
            <w:r>
              <w:rPr>
                <w:rFonts w:ascii="Times New Roman" w:hAnsi="Times New Roman"/>
                <w:sz w:val="20"/>
              </w:rPr>
              <w:t>MANAGEMENT GMBH</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57" w:type="dxa"/>
            <w:tcBorders>
              <w:bottom w:val="single" w:sz="2" w:space="0" w:color="000000"/>
            </w:tcBorders>
            <w:tcMar>
              <w:bottom w:w="28" w:type="dxa"/>
            </w:tcMar>
          </w:tcPr>
          <w:p>
            <w:pPr>
              <w:pStyle w:val="TableContents"/>
              <w:bidi w:val="0"/>
              <w:spacing w:before="0" w:after="283"/>
              <w:jc w:val="left"/>
              <w:rPr/>
            </w:pPr>
            <w:r>
              <w:rPr/>
              <w:t> </w:t>
            </w:r>
          </w:p>
        </w:tc>
      </w:tr>
      <w:tr>
        <w:trPr/>
        <w:tc>
          <w:tcPr>
            <w:tcW w:w="764"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Olaf Roth</w:t>
            </w:r>
          </w:p>
        </w:tc>
      </w:tr>
      <w:tr>
        <w:trPr/>
        <w:tc>
          <w:tcPr>
            <w:tcW w:w="76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LUX III, S.À.R.L.</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 </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Paul Browett</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Manager A</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 </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Pierre Neu</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Manager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SPG INDUSTRIAL PACKAGING S.À.R.L.</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 </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Olaf Roth</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Manager A</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 </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Pierre Neu</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Manager 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06"/>
        <w:gridCol w:w="66"/>
        <w:gridCol w:w="3110"/>
      </w:tblGrid>
      <w:tr>
        <w:trPr/>
        <w:tc>
          <w:tcPr>
            <w:tcW w:w="90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INDUSTRIAL GROUP LUX S.A.</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 </w:t>
            </w:r>
          </w:p>
        </w:tc>
      </w:tr>
      <w:tr>
        <w:trPr/>
        <w:tc>
          <w:tcPr>
            <w:tcW w:w="906" w:type="dxa"/>
            <w:tcBorders/>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Olaf Roth</w:t>
            </w:r>
          </w:p>
        </w:tc>
      </w:tr>
      <w:tr>
        <w:trPr/>
        <w:tc>
          <w:tcPr>
            <w:tcW w:w="906" w:type="dxa"/>
            <w:tcBorders/>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Director A</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 </w:t>
            </w:r>
          </w:p>
        </w:tc>
      </w:tr>
      <w:tr>
        <w:trPr/>
        <w:tc>
          <w:tcPr>
            <w:tcW w:w="906" w:type="dxa"/>
            <w:tcBorders/>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Pierre Neu</w:t>
            </w:r>
          </w:p>
        </w:tc>
      </w:tr>
      <w:tr>
        <w:trPr/>
        <w:tc>
          <w:tcPr>
            <w:tcW w:w="906" w:type="dxa"/>
            <w:tcBorders/>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Director 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LUXEMBOURG S.À.R.L.</w:t>
            </w:r>
          </w:p>
        </w:tc>
      </w:tr>
      <w:tr>
        <w:trPr>
          <w:trHeight w:val="240" w:hRule="atLeast"/>
        </w:trPr>
        <w:tc>
          <w:tcPr>
            <w:tcW w:w="906" w:type="dxa"/>
            <w:tcBorders/>
            <w:vAlign w:val="center"/>
          </w:tcPr>
          <w:p>
            <w:pPr>
              <w:pStyle w:val="TableContents"/>
              <w:bidi w:val="0"/>
              <w:spacing w:before="0" w:after="283"/>
              <w:jc w:val="left"/>
              <w:rPr>
                <w:sz w:val="4"/>
                <w:szCs w:val="4"/>
              </w:rPr>
            </w:pPr>
            <w:r>
              <w:rPr>
                <w:sz w:val="4"/>
                <w:szCs w:val="4"/>
              </w:rPr>
            </w:r>
          </w:p>
        </w:tc>
        <w:tc>
          <w:tcPr>
            <w:tcW w:w="3176"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tcBorders>
            <w:tcMar>
              <w:bottom w:w="28" w:type="dxa"/>
            </w:tcMar>
          </w:tcPr>
          <w:p>
            <w:pPr>
              <w:pStyle w:val="TableContents"/>
              <w:bidi w:val="0"/>
              <w:spacing w:before="0" w:after="283"/>
              <w:jc w:val="left"/>
              <w:rPr/>
            </w:pPr>
            <w:r>
              <w:rPr/>
              <w:t> </w:t>
            </w:r>
          </w:p>
        </w:tc>
      </w:tr>
      <w:tr>
        <w:trPr/>
        <w:tc>
          <w:tcPr>
            <w:tcW w:w="906" w:type="dxa"/>
            <w:tcBorders/>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Olaf Roth</w:t>
            </w:r>
          </w:p>
        </w:tc>
      </w:tr>
      <w:tr>
        <w:trPr/>
        <w:tc>
          <w:tcPr>
            <w:tcW w:w="906" w:type="dxa"/>
            <w:tcBorders/>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10"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CROWN ENVASES MEXICO, S.A. DE C.V.</w:t>
            </w:r>
          </w:p>
          <w:p>
            <w:pPr>
              <w:pStyle w:val="TableContents"/>
              <w:bidi w:val="0"/>
              <w:spacing w:before="0" w:after="0"/>
              <w:jc w:val="left"/>
              <w:rPr>
                <w:rFonts w:ascii="Times New Roman" w:hAnsi="Times New Roman"/>
                <w:sz w:val="20"/>
              </w:rPr>
            </w:pPr>
            <w:r>
              <w:rPr>
                <w:rFonts w:ascii="Times New Roman" w:hAnsi="Times New Roman"/>
                <w:sz w:val="20"/>
              </w:rPr>
              <w:t>FÁBRICAS MONTERREY, S.A. DE C.V.</w:t>
            </w:r>
          </w:p>
          <w:p>
            <w:pPr>
              <w:pStyle w:val="TableContents"/>
              <w:bidi w:val="0"/>
              <w:spacing w:before="0" w:after="0"/>
              <w:jc w:val="left"/>
              <w:rPr>
                <w:rFonts w:ascii="Times New Roman" w:hAnsi="Times New Roman"/>
                <w:sz w:val="20"/>
              </w:rPr>
            </w:pPr>
            <w:r>
              <w:rPr>
                <w:rFonts w:ascii="Times New Roman" w:hAnsi="Times New Roman"/>
                <w:sz w:val="20"/>
              </w:rPr>
              <w:t>CROWN FAMOSA, S.A. DE C.V.</w:t>
            </w:r>
          </w:p>
          <w:p>
            <w:pPr>
              <w:pStyle w:val="TableContents"/>
              <w:bidi w:val="0"/>
              <w:spacing w:before="0" w:after="0"/>
              <w:jc w:val="left"/>
              <w:rPr>
                <w:rFonts w:ascii="Times New Roman" w:hAnsi="Times New Roman"/>
                <w:sz w:val="20"/>
              </w:rPr>
            </w:pPr>
            <w:r>
              <w:rPr>
                <w:rFonts w:ascii="Times New Roman" w:hAnsi="Times New Roman"/>
                <w:sz w:val="20"/>
              </w:rPr>
              <w:t>SILICES DE VERACRUZ, S.A. DE C.V.</w:t>
            </w:r>
          </w:p>
          <w:p>
            <w:pPr>
              <w:pStyle w:val="TableContents"/>
              <w:bidi w:val="0"/>
              <w:spacing w:before="0" w:after="0"/>
              <w:jc w:val="left"/>
              <w:rPr>
                <w:rFonts w:ascii="Times New Roman" w:hAnsi="Times New Roman"/>
                <w:sz w:val="20"/>
              </w:rPr>
            </w:pPr>
            <w:r>
              <w:rPr>
                <w:rFonts w:ascii="Times New Roman" w:hAnsi="Times New Roman"/>
                <w:sz w:val="20"/>
              </w:rPr>
              <w:t>SILICE DEL ISTMO, S.A. DE C.V</w:t>
            </w:r>
          </w:p>
          <w:p>
            <w:pPr>
              <w:pStyle w:val="TableContents"/>
              <w:bidi w:val="0"/>
              <w:spacing w:before="0" w:after="20"/>
              <w:jc w:val="left"/>
              <w:rPr>
                <w:rFonts w:ascii="Times New Roman" w:hAnsi="Times New Roman"/>
                <w:sz w:val="20"/>
              </w:rPr>
            </w:pPr>
            <w:r>
              <w:rPr>
                <w:rFonts w:ascii="Times New Roman" w:hAnsi="Times New Roman"/>
                <w:sz w:val="20"/>
              </w:rPr>
              <w:t>VICHISA, S.A. DE C.V.</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David A. Beaver</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SIGNODE MEXICO S. DE R.L. DE C.V.</w:t>
            </w:r>
          </w:p>
          <w:p>
            <w:pPr>
              <w:pStyle w:val="TableContents"/>
              <w:bidi w:val="0"/>
              <w:spacing w:before="0" w:after="20"/>
              <w:jc w:val="left"/>
              <w:rPr>
                <w:rFonts w:ascii="Times New Roman" w:hAnsi="Times New Roman"/>
                <w:sz w:val="20"/>
              </w:rPr>
            </w:pPr>
            <w:r>
              <w:rPr>
                <w:rFonts w:ascii="Times New Roman" w:hAnsi="Times New Roman"/>
                <w:sz w:val="20"/>
              </w:rPr>
              <w:t>SIMPLIMATIC AUTOMATION DE MEXICO, S. DE R.L. DE C.V.</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 </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Maria Evelia Hernandez Rodriguez</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FAMOSA B.V.</w:t>
            </w:r>
          </w:p>
          <w:p>
            <w:pPr>
              <w:pStyle w:val="TableContents"/>
              <w:bidi w:val="0"/>
              <w:spacing w:before="0" w:after="0"/>
              <w:jc w:val="left"/>
              <w:rPr>
                <w:rFonts w:ascii="Times New Roman" w:hAnsi="Times New Roman"/>
                <w:sz w:val="20"/>
              </w:rPr>
            </w:pPr>
            <w:r>
              <w:rPr>
                <w:rFonts w:ascii="Times New Roman" w:hAnsi="Times New Roman"/>
                <w:sz w:val="20"/>
              </w:rPr>
              <w:t>SIVESA B.V.</w:t>
            </w:r>
          </w:p>
          <w:p>
            <w:pPr>
              <w:pStyle w:val="TableContents"/>
              <w:bidi w:val="0"/>
              <w:spacing w:before="0" w:after="20"/>
              <w:jc w:val="left"/>
              <w:rPr>
                <w:rFonts w:ascii="Times New Roman" w:hAnsi="Times New Roman"/>
                <w:sz w:val="20"/>
              </w:rPr>
            </w:pPr>
            <w:r>
              <w:rPr>
                <w:rFonts w:ascii="Times New Roman" w:hAnsi="Times New Roman"/>
                <w:sz w:val="20"/>
              </w:rPr>
              <w:t>SISA MEXICO B.V.</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 </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Paul Browett</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NETHERLANDS B.V.</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 </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Jochen Linzenich</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CROWN PACKAGING EUROPEAN</w:t>
            </w:r>
          </w:p>
          <w:p>
            <w:pPr>
              <w:pStyle w:val="TableContents"/>
              <w:bidi w:val="0"/>
              <w:spacing w:before="0" w:after="20"/>
              <w:jc w:val="left"/>
              <w:rPr>
                <w:rFonts w:ascii="Times New Roman" w:hAnsi="Times New Roman"/>
                <w:sz w:val="20"/>
              </w:rPr>
            </w:pPr>
            <w:r>
              <w:rPr>
                <w:rFonts w:ascii="Times New Roman" w:hAnsi="Times New Roman"/>
                <w:sz w:val="20"/>
              </w:rPr>
              <w:t>DIVISION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Andrea Vavassori</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CROWN PACKAGING EUROPEAN</w:t>
            </w:r>
          </w:p>
          <w:p>
            <w:pPr>
              <w:pStyle w:val="TableContents"/>
              <w:bidi w:val="0"/>
              <w:spacing w:before="0" w:after="20"/>
              <w:jc w:val="left"/>
              <w:rPr>
                <w:rFonts w:ascii="Times New Roman" w:hAnsi="Times New Roman"/>
                <w:sz w:val="20"/>
              </w:rPr>
            </w:pPr>
            <w:r>
              <w:rPr>
                <w:rFonts w:ascii="Times New Roman" w:hAnsi="Times New Roman"/>
                <w:sz w:val="20"/>
              </w:rPr>
              <w:t>HOLDINGS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Andrea Vavassori</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President of the Management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SWITZERLAND GMBH</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 </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Olaf Roth</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CARNAUDMETALBOX</w:t>
            </w:r>
          </w:p>
          <w:p>
            <w:pPr>
              <w:pStyle w:val="TableContents"/>
              <w:bidi w:val="0"/>
              <w:spacing w:before="0" w:after="0"/>
              <w:jc w:val="left"/>
              <w:rPr>
                <w:rFonts w:ascii="Times New Roman" w:hAnsi="Times New Roman"/>
                <w:sz w:val="20"/>
              </w:rPr>
            </w:pPr>
            <w:r>
              <w:rPr>
                <w:rFonts w:ascii="Times New Roman" w:hAnsi="Times New Roman"/>
                <w:sz w:val="20"/>
              </w:rPr>
              <w:t>ENGINEERING LIMITED</w:t>
            </w:r>
          </w:p>
          <w:p>
            <w:pPr>
              <w:pStyle w:val="TableContents"/>
              <w:bidi w:val="0"/>
              <w:spacing w:before="0" w:after="0"/>
              <w:jc w:val="left"/>
              <w:rPr>
                <w:rFonts w:ascii="Times New Roman" w:hAnsi="Times New Roman"/>
                <w:sz w:val="20"/>
              </w:rPr>
            </w:pPr>
            <w:r>
              <w:rPr>
                <w:rFonts w:ascii="Times New Roman" w:hAnsi="Times New Roman"/>
                <w:sz w:val="20"/>
              </w:rPr>
              <w:t>CARNAUDMETALBOX GROUP UK LTD.</w:t>
            </w:r>
          </w:p>
          <w:p>
            <w:pPr>
              <w:pStyle w:val="TableContents"/>
              <w:bidi w:val="0"/>
              <w:spacing w:before="0" w:after="0"/>
              <w:jc w:val="left"/>
              <w:rPr>
                <w:rFonts w:ascii="Times New Roman" w:hAnsi="Times New Roman"/>
                <w:sz w:val="20"/>
              </w:rPr>
            </w:pPr>
            <w:r>
              <w:rPr>
                <w:rFonts w:ascii="Times New Roman" w:hAnsi="Times New Roman"/>
                <w:sz w:val="20"/>
              </w:rPr>
              <w:t>CARNAUDMETALBOX OVERSEAS LTD.</w:t>
            </w:r>
          </w:p>
          <w:p>
            <w:pPr>
              <w:pStyle w:val="TableContents"/>
              <w:bidi w:val="0"/>
              <w:spacing w:before="0" w:after="0"/>
              <w:jc w:val="left"/>
              <w:rPr>
                <w:rFonts w:ascii="Times New Roman" w:hAnsi="Times New Roman"/>
                <w:sz w:val="20"/>
              </w:rPr>
            </w:pPr>
            <w:r>
              <w:rPr>
                <w:rFonts w:ascii="Times New Roman" w:hAnsi="Times New Roman"/>
                <w:sz w:val="20"/>
              </w:rPr>
              <w:t>CROWN PACKAGING MANUFACTURING UK LIMITED</w:t>
            </w:r>
          </w:p>
          <w:p>
            <w:pPr>
              <w:pStyle w:val="TableContents"/>
              <w:bidi w:val="0"/>
              <w:spacing w:before="0" w:after="20"/>
              <w:jc w:val="left"/>
              <w:rPr>
                <w:rFonts w:ascii="Times New Roman" w:hAnsi="Times New Roman"/>
                <w:sz w:val="20"/>
              </w:rPr>
            </w:pPr>
            <w:r>
              <w:rPr>
                <w:rFonts w:ascii="Times New Roman" w:hAnsi="Times New Roman"/>
                <w:sz w:val="20"/>
              </w:rPr>
              <w:t>CROWN PACKING SERVICES EMEA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 </w:t>
            </w:r>
          </w:p>
        </w:tc>
      </w:tr>
      <w:tr>
        <w:trPr/>
        <w:tc>
          <w:tcPr>
            <w:tcW w:w="69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Paul Browett</w:t>
            </w:r>
          </w:p>
        </w:tc>
      </w:tr>
      <w:tr>
        <w:trPr/>
        <w:tc>
          <w:tcPr>
            <w:tcW w:w="69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PACKAGING DISTRIBUTION UK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 </w:t>
            </w:r>
          </w:p>
        </w:tc>
      </w:tr>
      <w:tr>
        <w:trPr/>
        <w:tc>
          <w:tcPr>
            <w:tcW w:w="69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Tim Conybeare</w:t>
            </w:r>
          </w:p>
        </w:tc>
      </w:tr>
      <w:tr>
        <w:trPr/>
        <w:tc>
          <w:tcPr>
            <w:tcW w:w="69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UK HOLDINGS LIMITED</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 </w:t>
            </w:r>
          </w:p>
        </w:tc>
      </w:tr>
      <w:tr>
        <w:trPr/>
        <w:tc>
          <w:tcPr>
            <w:tcW w:w="69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Kevin C. Clothier</w:t>
            </w:r>
          </w:p>
        </w:tc>
      </w:tr>
      <w:tr>
        <w:trPr/>
        <w:tc>
          <w:tcPr>
            <w:tcW w:w="69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06"/>
        <w:gridCol w:w="108"/>
        <w:gridCol w:w="2868"/>
      </w:tblGrid>
      <w:tr>
        <w:trPr/>
        <w:tc>
          <w:tcPr>
            <w:tcW w:w="11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SIGNODE UK LTD.</w:t>
            </w:r>
          </w:p>
        </w:tc>
      </w:tr>
      <w:tr>
        <w:trPr>
          <w:trHeight w:val="240" w:hRule="atLeast"/>
        </w:trPr>
        <w:tc>
          <w:tcPr>
            <w:tcW w:w="1106"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2868" w:type="dxa"/>
            <w:tcBorders>
              <w:bottom w:val="single" w:sz="2" w:space="0" w:color="000000"/>
            </w:tcBorders>
            <w:tcMar>
              <w:bottom w:w="28" w:type="dxa"/>
            </w:tcMar>
          </w:tcPr>
          <w:p>
            <w:pPr>
              <w:pStyle w:val="TableContents"/>
              <w:bidi w:val="0"/>
              <w:spacing w:before="0" w:after="283"/>
              <w:jc w:val="left"/>
              <w:rPr/>
            </w:pPr>
            <w:r>
              <w:rPr/>
              <w:t> </w:t>
            </w:r>
          </w:p>
        </w:tc>
      </w:tr>
      <w:tr>
        <w:trPr/>
        <w:tc>
          <w:tcPr>
            <w:tcW w:w="110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2868" w:type="dxa"/>
            <w:tcBorders/>
          </w:tcPr>
          <w:p>
            <w:pPr>
              <w:pStyle w:val="TableContents"/>
              <w:bidi w:val="0"/>
              <w:spacing w:before="0" w:after="283"/>
              <w:jc w:val="left"/>
              <w:rPr/>
            </w:pPr>
            <w:r>
              <w:rPr/>
              <w:t>Olaf Roth</w:t>
            </w:r>
          </w:p>
        </w:tc>
      </w:tr>
      <w:tr>
        <w:trPr/>
        <w:tc>
          <w:tcPr>
            <w:tcW w:w="1106"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2868"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CARNAUDMETALBOX MEC-A-TEC SERVICES LIMITED</w:t>
            </w:r>
          </w:p>
        </w:tc>
      </w:tr>
      <w:tr>
        <w:trPr>
          <w:trHeight w:val="240" w:hRule="atLeast"/>
        </w:trPr>
        <w:tc>
          <w:tcPr>
            <w:tcW w:w="1106"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2868" w:type="dxa"/>
            <w:tcBorders>
              <w:bottom w:val="single" w:sz="2" w:space="0" w:color="000000"/>
            </w:tcBorders>
            <w:tcMar>
              <w:bottom w:w="28" w:type="dxa"/>
            </w:tcMar>
          </w:tcPr>
          <w:p>
            <w:pPr>
              <w:pStyle w:val="TableContents"/>
              <w:bidi w:val="0"/>
              <w:spacing w:before="0" w:after="283"/>
              <w:jc w:val="left"/>
              <w:rPr/>
            </w:pPr>
            <w:r>
              <w:rPr/>
              <w:t> </w:t>
            </w:r>
          </w:p>
        </w:tc>
      </w:tr>
      <w:tr>
        <w:trPr/>
        <w:tc>
          <w:tcPr>
            <w:tcW w:w="110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2868" w:type="dxa"/>
            <w:tcBorders/>
          </w:tcPr>
          <w:p>
            <w:pPr>
              <w:pStyle w:val="TableContents"/>
              <w:bidi w:val="0"/>
              <w:spacing w:before="0" w:after="283"/>
              <w:jc w:val="left"/>
              <w:rPr/>
            </w:pPr>
            <w:r>
              <w:rPr/>
              <w:t>David A. Beaver</w:t>
            </w:r>
          </w:p>
        </w:tc>
      </w:tr>
      <w:tr>
        <w:trPr/>
        <w:tc>
          <w:tcPr>
            <w:tcW w:w="1106"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2868"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59543</Words>
  <Characters>298400</Characters>
  <CharactersWithSpaces>357396</CharactersWithSpaces>
  <Paragraphs>4053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