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9" w:lineRule="exact"/>
        <w:rPr>
          <w:sz w:val="24"/>
          <w:szCs w:val="24"/>
          <w:color w:val="auto"/>
        </w:rPr>
      </w:pPr>
    </w:p>
    <w:p>
      <w:pPr>
        <w:ind w:left="460" w:right="280" w:hanging="434"/>
        <w:spacing w:after="0" w:line="235"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March 31, 2023</w:t>
      </w:r>
    </w:p>
    <w:p>
      <w:pPr>
        <w:spacing w:after="0" w:line="233" w:lineRule="exact"/>
        <w:rPr>
          <w:sz w:val="24"/>
          <w:szCs w:val="24"/>
          <w:color w:val="auto"/>
        </w:rPr>
      </w:pPr>
    </w:p>
    <w:p>
      <w:pPr>
        <w:ind w:left="460" w:right="280" w:hanging="434"/>
        <w:spacing w:after="0" w:line="23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9"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FOR THE TRANSITION PERIOD FROM ____ TO ____</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000-50189</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CROWN HOLDINGS,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020" w:type="dxa"/>
            <w:vAlign w:val="bottom"/>
          </w:tcPr>
          <w:p>
            <w:pPr>
              <w:jc w:val="center"/>
              <w:ind w:left="1160"/>
              <w:spacing w:after="0"/>
              <w:rPr>
                <w:sz w:val="20"/>
                <w:szCs w:val="20"/>
                <w:color w:val="auto"/>
              </w:rPr>
            </w:pPr>
            <w:r>
              <w:rPr>
                <w:rFonts w:ascii="Arial" w:cs="Arial" w:eastAsia="Arial" w:hAnsi="Arial"/>
                <w:sz w:val="18"/>
                <w:szCs w:val="18"/>
                <w:b w:val="1"/>
                <w:bCs w:val="1"/>
                <w:color w:val="auto"/>
                <w:w w:val="88"/>
              </w:rPr>
              <w:t>Pennsylvania</w:t>
            </w: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980" w:type="dxa"/>
            <w:vAlign w:val="bottom"/>
          </w:tcPr>
          <w:p>
            <w:pPr>
              <w:jc w:val="right"/>
              <w:ind w:right="521"/>
              <w:spacing w:after="0"/>
              <w:rPr>
                <w:sz w:val="20"/>
                <w:szCs w:val="20"/>
                <w:color w:val="auto"/>
              </w:rPr>
            </w:pPr>
            <w:r>
              <w:rPr>
                <w:rFonts w:ascii="Arial" w:cs="Arial" w:eastAsia="Arial" w:hAnsi="Arial"/>
                <w:sz w:val="18"/>
                <w:szCs w:val="18"/>
                <w:b w:val="1"/>
                <w:bCs w:val="1"/>
                <w:color w:val="auto"/>
              </w:rPr>
              <w:t>75-3099507</w:t>
            </w:r>
          </w:p>
        </w:tc>
      </w:tr>
      <w:tr>
        <w:trPr>
          <w:trHeight w:val="144"/>
        </w:trPr>
        <w:tc>
          <w:tcPr>
            <w:tcW w:w="3020" w:type="dxa"/>
            <w:vAlign w:val="bottom"/>
          </w:tcPr>
          <w:p>
            <w:pPr>
              <w:jc w:val="center"/>
              <w:ind w:left="114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980" w:type="dxa"/>
            <w:vAlign w:val="bottom"/>
          </w:tcPr>
          <w:p>
            <w:pPr>
              <w:jc w:val="center"/>
              <w:ind w:right="21"/>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7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98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Identification No.)</w:t>
            </w:r>
          </w:p>
        </w:tc>
      </w:tr>
      <w:tr>
        <w:trPr>
          <w:trHeight w:val="507"/>
        </w:trPr>
        <w:tc>
          <w:tcPr>
            <w:tcW w:w="4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14025 Riveredge Drive, Suite 300</w:t>
            </w:r>
          </w:p>
        </w:tc>
        <w:tc>
          <w:tcPr>
            <w:tcW w:w="760" w:type="dxa"/>
            <w:vAlign w:val="bottom"/>
          </w:tcPr>
          <w:p>
            <w:pPr>
              <w:ind w:left="160"/>
              <w:spacing w:after="0"/>
              <w:rPr>
                <w:sz w:val="20"/>
                <w:szCs w:val="20"/>
                <w:color w:val="auto"/>
              </w:rPr>
            </w:pPr>
            <w:r>
              <w:rPr>
                <w:rFonts w:ascii="Arial" w:cs="Arial" w:eastAsia="Arial" w:hAnsi="Arial"/>
                <w:sz w:val="18"/>
                <w:szCs w:val="18"/>
                <w:b w:val="1"/>
                <w:bCs w:val="1"/>
                <w:color w:val="auto"/>
                <w:w w:val="99"/>
              </w:rPr>
              <w:t>Tampa</w:t>
            </w:r>
          </w:p>
        </w:tc>
        <w:tc>
          <w:tcPr>
            <w:tcW w:w="2740" w:type="dxa"/>
            <w:vAlign w:val="bottom"/>
          </w:tcPr>
          <w:p>
            <w:pPr>
              <w:ind w:left="660"/>
              <w:spacing w:after="0"/>
              <w:rPr>
                <w:sz w:val="20"/>
                <w:szCs w:val="20"/>
                <w:color w:val="auto"/>
              </w:rPr>
            </w:pPr>
            <w:r>
              <w:rPr>
                <w:rFonts w:ascii="Arial" w:cs="Arial" w:eastAsia="Arial" w:hAnsi="Arial"/>
                <w:sz w:val="18"/>
                <w:szCs w:val="18"/>
                <w:b w:val="1"/>
                <w:bCs w:val="1"/>
                <w:color w:val="auto"/>
              </w:rPr>
              <w:t>FL</w:t>
            </w:r>
          </w:p>
        </w:tc>
        <w:tc>
          <w:tcPr>
            <w:tcW w:w="1980" w:type="dxa"/>
            <w:vAlign w:val="bottom"/>
          </w:tcPr>
          <w:p>
            <w:pPr>
              <w:jc w:val="right"/>
              <w:ind w:right="741"/>
              <w:spacing w:after="0"/>
              <w:rPr>
                <w:sz w:val="20"/>
                <w:szCs w:val="20"/>
                <w:color w:val="auto"/>
              </w:rPr>
            </w:pPr>
            <w:r>
              <w:rPr>
                <w:rFonts w:ascii="Arial" w:cs="Arial" w:eastAsia="Arial" w:hAnsi="Arial"/>
                <w:sz w:val="18"/>
                <w:szCs w:val="18"/>
                <w:b w:val="1"/>
                <w:bCs w:val="1"/>
                <w:color w:val="auto"/>
              </w:rPr>
              <w:t>33637</w:t>
            </w:r>
          </w:p>
        </w:tc>
      </w:tr>
      <w:tr>
        <w:trPr>
          <w:trHeight w:val="186"/>
        </w:trPr>
        <w:tc>
          <w:tcPr>
            <w:tcW w:w="4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7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98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(Zip Code)</w:t>
            </w:r>
          </w:p>
        </w:tc>
      </w:tr>
      <w:tr>
        <w:trPr>
          <w:trHeight w:val="381"/>
        </w:trPr>
        <w:tc>
          <w:tcPr>
            <w:tcW w:w="3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40" w:type="dxa"/>
            <w:vAlign w:val="bottom"/>
          </w:tcPr>
          <w:p>
            <w:pPr>
              <w:jc w:val="right"/>
              <w:ind w:right="1550"/>
              <w:spacing w:after="0"/>
              <w:rPr>
                <w:sz w:val="20"/>
                <w:szCs w:val="20"/>
                <w:color w:val="auto"/>
              </w:rPr>
            </w:pPr>
            <w:r>
              <w:rPr>
                <w:rFonts w:ascii="Arial" w:cs="Arial" w:eastAsia="Arial" w:hAnsi="Arial"/>
                <w:sz w:val="18"/>
                <w:szCs w:val="18"/>
                <w:b w:val="1"/>
                <w:bCs w:val="1"/>
                <w:color w:val="auto"/>
                <w:w w:val="96"/>
              </w:rPr>
              <w:t>215-698-5100</w:t>
            </w:r>
          </w:p>
        </w:tc>
        <w:tc>
          <w:tcPr>
            <w:tcW w:w="1980" w:type="dxa"/>
            <w:vAlign w:val="bottom"/>
          </w:tcPr>
          <w:p>
            <w:pPr>
              <w:spacing w:after="0"/>
              <w:rPr>
                <w:sz w:val="24"/>
                <w:szCs w:val="24"/>
                <w:color w:val="auto"/>
              </w:rPr>
            </w:pPr>
          </w:p>
        </w:tc>
      </w:tr>
      <w:tr>
        <w:trPr>
          <w:trHeight w:val="166"/>
        </w:trPr>
        <w:tc>
          <w:tcPr>
            <w:tcW w:w="3020" w:type="dxa"/>
            <w:vAlign w:val="bottom"/>
          </w:tcPr>
          <w:p>
            <w:pPr>
              <w:spacing w:after="0"/>
              <w:rPr>
                <w:sz w:val="14"/>
                <w:szCs w:val="14"/>
                <w:color w:val="auto"/>
              </w:rPr>
            </w:pPr>
          </w:p>
        </w:tc>
        <w:tc>
          <w:tcPr>
            <w:tcW w:w="4760" w:type="dxa"/>
            <w:vAlign w:val="bottom"/>
            <w:gridSpan w:val="3"/>
          </w:tcPr>
          <w:p>
            <w:pPr>
              <w:ind w:left="100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980" w:type="dxa"/>
            <w:vAlign w:val="bottom"/>
          </w:tcPr>
          <w:p>
            <w:pPr>
              <w:spacing w:after="0"/>
              <w:rPr>
                <w:sz w:val="14"/>
                <w:szCs w:val="14"/>
                <w:color w:val="auto"/>
              </w:rPr>
            </w:pPr>
          </w:p>
        </w:tc>
      </w:tr>
      <w:tr>
        <w:trPr>
          <w:trHeight w:val="182"/>
        </w:trPr>
        <w:tc>
          <w:tcPr>
            <w:tcW w:w="3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500" w:type="dxa"/>
            <w:vAlign w:val="bottom"/>
            <w:gridSpan w:val="2"/>
          </w:tcPr>
          <w:p>
            <w:pPr>
              <w:jc w:val="right"/>
              <w:ind w:right="1350"/>
              <w:spacing w:after="0"/>
              <w:rPr>
                <w:sz w:val="20"/>
                <w:szCs w:val="20"/>
                <w:color w:val="auto"/>
              </w:rPr>
            </w:pPr>
            <w:r>
              <w:rPr>
                <w:rFonts w:ascii="Arial" w:cs="Arial" w:eastAsia="Arial" w:hAnsi="Arial"/>
                <w:sz w:val="14"/>
                <w:szCs w:val="14"/>
                <w:color w:val="auto"/>
              </w:rPr>
              <w:t>____________________</w:t>
            </w:r>
          </w:p>
        </w:tc>
        <w:tc>
          <w:tcPr>
            <w:tcW w:w="1980" w:type="dxa"/>
            <w:vAlign w:val="bottom"/>
          </w:tcPr>
          <w:p>
            <w:pPr>
              <w:spacing w:after="0"/>
              <w:rPr>
                <w:sz w:val="15"/>
                <w:szCs w:val="15"/>
                <w:color w:val="auto"/>
              </w:rPr>
            </w:pPr>
          </w:p>
        </w:tc>
      </w:tr>
      <w:tr>
        <w:trPr>
          <w:trHeight w:val="303"/>
        </w:trPr>
        <w:tc>
          <w:tcPr>
            <w:tcW w:w="7780" w:type="dxa"/>
            <w:vAlign w:val="bottom"/>
            <w:gridSpan w:val="4"/>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1980" w:type="dxa"/>
            <w:vAlign w:val="bottom"/>
          </w:tcPr>
          <w:p>
            <w:pPr>
              <w:spacing w:after="0"/>
              <w:rPr>
                <w:sz w:val="24"/>
                <w:szCs w:val="24"/>
                <w:color w:val="auto"/>
              </w:rPr>
            </w:pPr>
          </w:p>
        </w:tc>
      </w:tr>
      <w:tr>
        <w:trPr>
          <w:trHeight w:val="327"/>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1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Trading Symbols</w:t>
            </w:r>
          </w:p>
        </w:tc>
        <w:tc>
          <w:tcPr>
            <w:tcW w:w="350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color w:val="auto"/>
              </w:rPr>
              <w:t>Name of each exchange on which registered</w:t>
            </w:r>
          </w:p>
        </w:tc>
        <w:tc>
          <w:tcPr>
            <w:tcW w:w="1980" w:type="dxa"/>
            <w:vAlign w:val="bottom"/>
            <w:tcBorders>
              <w:bottom w:val="single" w:sz="8" w:color="auto"/>
            </w:tcBorders>
          </w:tcPr>
          <w:p>
            <w:pPr>
              <w:spacing w:after="0"/>
              <w:rPr>
                <w:sz w:val="24"/>
                <w:szCs w:val="24"/>
                <w:color w:val="auto"/>
              </w:rPr>
            </w:pPr>
          </w:p>
        </w:tc>
      </w:tr>
      <w:tr>
        <w:trPr>
          <w:trHeight w:val="206"/>
        </w:trPr>
        <w:tc>
          <w:tcPr>
            <w:tcW w:w="302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1260" w:type="dxa"/>
            <w:vAlign w:val="bottom"/>
          </w:tcPr>
          <w:p>
            <w:pPr>
              <w:spacing w:after="0"/>
              <w:rPr>
                <w:sz w:val="20"/>
                <w:szCs w:val="20"/>
                <w:color w:val="auto"/>
              </w:rPr>
            </w:pPr>
            <w:r>
              <w:rPr>
                <w:rFonts w:ascii="Arial" w:cs="Arial" w:eastAsia="Arial" w:hAnsi="Arial"/>
                <w:sz w:val="16"/>
                <w:szCs w:val="16"/>
                <w:color w:val="auto"/>
              </w:rPr>
              <w:t>CCK</w:t>
            </w:r>
          </w:p>
        </w:tc>
        <w:tc>
          <w:tcPr>
            <w:tcW w:w="3500" w:type="dxa"/>
            <w:vAlign w:val="bottom"/>
            <w:gridSpan w:val="2"/>
          </w:tcPr>
          <w:p>
            <w:pPr>
              <w:ind w:left="24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7"/>
                <w:szCs w:val="17"/>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1260" w:type="dxa"/>
            <w:vAlign w:val="bottom"/>
          </w:tcPr>
          <w:p>
            <w:pPr>
              <w:spacing w:after="0"/>
              <w:rPr>
                <w:sz w:val="20"/>
                <w:szCs w:val="20"/>
                <w:color w:val="auto"/>
              </w:rPr>
            </w:pPr>
            <w:r>
              <w:rPr>
                <w:rFonts w:ascii="Arial" w:cs="Arial" w:eastAsia="Arial" w:hAnsi="Arial"/>
                <w:sz w:val="16"/>
                <w:szCs w:val="16"/>
                <w:color w:val="auto"/>
              </w:rPr>
              <w:t>CCK26</w:t>
            </w:r>
          </w:p>
        </w:tc>
        <w:tc>
          <w:tcPr>
            <w:tcW w:w="3500" w:type="dxa"/>
            <w:vAlign w:val="bottom"/>
            <w:gridSpan w:val="2"/>
          </w:tcPr>
          <w:p>
            <w:pPr>
              <w:ind w:left="24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8"/>
                <w:szCs w:val="18"/>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1260" w:type="dxa"/>
            <w:vAlign w:val="bottom"/>
          </w:tcPr>
          <w:p>
            <w:pPr>
              <w:spacing w:after="0"/>
              <w:rPr>
                <w:sz w:val="20"/>
                <w:szCs w:val="20"/>
                <w:color w:val="auto"/>
              </w:rPr>
            </w:pPr>
            <w:r>
              <w:rPr>
                <w:rFonts w:ascii="Arial" w:cs="Arial" w:eastAsia="Arial" w:hAnsi="Arial"/>
                <w:sz w:val="16"/>
                <w:szCs w:val="16"/>
                <w:color w:val="auto"/>
              </w:rPr>
              <w:t>CCK96</w:t>
            </w:r>
          </w:p>
        </w:tc>
        <w:tc>
          <w:tcPr>
            <w:tcW w:w="3500" w:type="dxa"/>
            <w:vAlign w:val="bottom"/>
            <w:gridSpan w:val="2"/>
          </w:tcPr>
          <w:p>
            <w:pPr>
              <w:ind w:left="24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8"/>
                <w:szCs w:val="18"/>
                <w:color w:val="auto"/>
              </w:rPr>
            </w:pPr>
          </w:p>
        </w:tc>
      </w:tr>
    </w:tbl>
    <w:p>
      <w:pPr>
        <w:spacing w:after="0" w:line="104" w:lineRule="exact"/>
        <w:rPr>
          <w:sz w:val="24"/>
          <w:szCs w:val="24"/>
          <w:color w:val="auto"/>
        </w:rPr>
      </w:pPr>
    </w:p>
    <w:p>
      <w:pPr>
        <w:spacing w:after="0" w:line="27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ectPr>
          <w:pgSz w:w="11900" w:h="16838" w:orient="portrait"/>
          <w:cols w:equalWidth="0" w:num="1">
            <w:col w:w="11240"/>
          </w:cols>
          <w:pgMar w:left="320" w:top="1003" w:right="339" w:bottom="1440" w:gutter="0" w:footer="0" w:header="0"/>
        </w:sectPr>
      </w:pPr>
    </w:p>
    <w:p>
      <w:pPr>
        <w:spacing w:after="0"/>
        <w:rPr>
          <w:sz w:val="20"/>
          <w:szCs w:val="20"/>
          <w:color w:val="auto"/>
        </w:rPr>
      </w:pPr>
      <w:r>
        <w:rPr>
          <w:rFonts w:ascii="Arial" w:cs="Arial" w:eastAsia="Arial" w:hAnsi="Arial"/>
          <w:sz w:val="14"/>
          <w:szCs w:val="14"/>
          <w:color w:val="auto"/>
        </w:rPr>
        <w:t>days.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87" w:lineRule="exact"/>
        <w:rPr>
          <w:sz w:val="24"/>
          <w:szCs w:val="24"/>
          <w:color w:val="auto"/>
        </w:rPr>
      </w:pPr>
    </w:p>
    <w:p>
      <w:pPr>
        <w:sectPr>
          <w:pgSz w:w="11900" w:h="16838" w:orient="portrait"/>
          <w:cols w:equalWidth="0" w:num="5">
            <w:col w:w="340" w:space="160"/>
            <w:col w:w="240" w:space="80"/>
            <w:col w:w="140" w:space="160"/>
            <w:col w:w="200" w:space="80"/>
            <w:col w:w="9840"/>
          </w:cols>
          <w:pgMar w:left="320" w:top="1003" w:right="339" w:bottom="1440" w:gutter="0" w:footer="0" w:header="0"/>
          <w:type w:val="continuous"/>
        </w:sectPr>
      </w:pPr>
    </w:p>
    <w:p>
      <w:pPr>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and posted pursuant to Rule 405 of Regulation S-T (§ 232.405 of this chapter) during the preceding 12 months (or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ectPr>
          <w:pgSz w:w="11900" w:h="16838" w:orient="portrait"/>
          <w:cols w:equalWidth="0" w:num="1">
            <w:col w:w="11240"/>
          </w:cols>
          <w:pgMar w:left="320" w:top="1003" w:right="339" w:bottom="1440" w:gutter="0" w:footer="0" w:header="0"/>
          <w:type w:val="continuous"/>
        </w:sectPr>
      </w:pPr>
    </w:p>
    <w:p>
      <w:pPr>
        <w:spacing w:after="0" w:line="141" w:lineRule="exact"/>
        <w:rPr>
          <w:sz w:val="24"/>
          <w:szCs w:val="24"/>
          <w:color w:val="auto"/>
        </w:rPr>
      </w:pPr>
    </w:p>
    <w:p>
      <w:pPr>
        <w:jc w:val="both"/>
        <w:spacing w:after="0" w:line="25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003" w:right="339" w:bottom="1440" w:gutter="0" w:footer="0" w:header="0"/>
          <w:type w:val="continuous"/>
        </w:sectPr>
      </w:pPr>
    </w:p>
    <w:p>
      <w:pPr>
        <w:spacing w:after="0" w:line="25"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4">
            <w:col w:w="1560" w:space="620"/>
            <w:col w:w="4660" w:space="720"/>
            <w:col w:w="2500" w:space="720"/>
            <w:col w:w="460"/>
          </w:cols>
          <w:pgMar w:left="320" w:top="1003" w:right="339" w:bottom="1440" w:gutter="0" w:footer="0" w:header="0"/>
          <w:type w:val="continuous"/>
        </w:sectPr>
      </w:pPr>
    </w:p>
    <w:p>
      <w:pPr>
        <w:spacing w:after="0" w:line="30" w:lineRule="exact"/>
        <w:rPr>
          <w:sz w:val="24"/>
          <w:szCs w:val="24"/>
          <w:color w:val="auto"/>
        </w:r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1460" w:space="720"/>
            <w:col w:w="4660" w:space="720"/>
            <w:col w:w="2500" w:space="720"/>
            <w:col w:w="460"/>
          </w:cols>
          <w:pgMar w:left="320" w:top="1003" w:right="3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49" w:lineRule="exact"/>
        <w:rPr>
          <w:sz w:val="24"/>
          <w:szCs w:val="24"/>
          <w:color w:val="auto"/>
        </w:rPr>
      </w:pPr>
    </w:p>
    <w:p>
      <w:pPr>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080" w:val="left"/>
          <w:tab w:leader="none" w:pos="7720" w:val="left"/>
        </w:tabs>
        <w:rPr>
          <w:sz w:val="20"/>
          <w:szCs w:val="20"/>
          <w:color w:val="auto"/>
        </w:rPr>
      </w:pPr>
      <w:r>
        <w:rPr>
          <w:rFonts w:ascii="Arial" w:cs="Arial" w:eastAsia="Arial" w:hAnsi="Arial"/>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There were 120,100,110 shares of Common Stock outstanding as of April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562610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40" w:type="dxa"/>
            <w:vAlign w:val="bottom"/>
            <w:gridSpan w:val="18"/>
          </w:tcPr>
          <w:p>
            <w:pPr>
              <w:ind w:left="160"/>
              <w:spacing w:after="0"/>
              <w:rPr>
                <w:sz w:val="20"/>
                <w:szCs w:val="20"/>
                <w:color w:val="auto"/>
              </w:rPr>
            </w:pPr>
            <w:r>
              <w:rPr>
                <w:rFonts w:ascii="Arial" w:cs="Arial" w:eastAsia="Arial" w:hAnsi="Arial"/>
                <w:sz w:val="18"/>
                <w:szCs w:val="18"/>
                <w:color w:val="auto"/>
              </w:rPr>
              <w:t>TABLE OF CONTENTS</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86"/>
              </w:rPr>
              <w:t>Page Number</w:t>
            </w: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PART I.</w:t>
            </w:r>
          </w:p>
        </w:tc>
        <w:tc>
          <w:tcPr>
            <w:tcW w:w="9060" w:type="dxa"/>
            <w:vAlign w:val="bottom"/>
            <w:gridSpan w:val="34"/>
          </w:tcPr>
          <w:p>
            <w:pPr>
              <w:spacing w:after="0"/>
              <w:rPr>
                <w:sz w:val="20"/>
                <w:szCs w:val="20"/>
                <w:color w:val="auto"/>
              </w:rPr>
            </w:pPr>
            <w:r>
              <w:rPr>
                <w:rFonts w:ascii="Arial" w:cs="Arial" w:eastAsia="Arial" w:hAnsi="Arial"/>
                <w:sz w:val="18"/>
                <w:szCs w:val="18"/>
                <w:color w:val="0000FF"/>
              </w:rPr>
              <w:t>Financial Information</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1.</w:t>
            </w:r>
          </w:p>
        </w:tc>
        <w:tc>
          <w:tcPr>
            <w:tcW w:w="320" w:type="dxa"/>
            <w:vAlign w:val="bottom"/>
          </w:tcPr>
          <w:p>
            <w:pPr>
              <w:spacing w:after="0"/>
              <w:rPr>
                <w:sz w:val="18"/>
                <w:szCs w:val="18"/>
                <w:color w:val="auto"/>
              </w:rPr>
            </w:pPr>
          </w:p>
        </w:tc>
        <w:tc>
          <w:tcPr>
            <w:tcW w:w="8740" w:type="dxa"/>
            <w:vAlign w:val="bottom"/>
            <w:gridSpan w:val="33"/>
          </w:tcPr>
          <w:p>
            <w:pPr>
              <w:spacing w:after="0"/>
              <w:rPr>
                <w:sz w:val="20"/>
                <w:szCs w:val="20"/>
                <w:color w:val="auto"/>
              </w:rPr>
            </w:pPr>
            <w:r>
              <w:rPr>
                <w:rFonts w:ascii="Arial" w:cs="Arial" w:eastAsia="Arial" w:hAnsi="Arial"/>
                <w:sz w:val="18"/>
                <w:szCs w:val="18"/>
                <w:color w:val="0000FF"/>
              </w:rPr>
              <w:t>Financial Statements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20" w:type="dxa"/>
            <w:vAlign w:val="bottom"/>
            <w:gridSpan w:val="32"/>
          </w:tcPr>
          <w:p>
            <w:pPr>
              <w:spacing w:after="0"/>
              <w:rPr>
                <w:sz w:val="20"/>
                <w:szCs w:val="20"/>
                <w:color w:val="auto"/>
              </w:rPr>
            </w:pPr>
            <w:r>
              <w:rPr>
                <w:rFonts w:ascii="Arial" w:cs="Arial" w:eastAsia="Arial" w:hAnsi="Arial"/>
                <w:sz w:val="18"/>
                <w:szCs w:val="18"/>
                <w:color w:val="0000FF"/>
              </w:rPr>
              <w:t>Consolidated Statements of Operations for the three months ended March 31, 2023 and 2022</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20" w:type="dxa"/>
            <w:vAlign w:val="bottom"/>
            <w:tcBorders>
              <w:bottom w:val="single" w:sz="8" w:color="0000FF"/>
            </w:tcBorders>
            <w:gridSpan w:val="30"/>
          </w:tcPr>
          <w:p>
            <w:pPr>
              <w:spacing w:after="0"/>
              <w:rPr>
                <w:sz w:val="20"/>
                <w:szCs w:val="20"/>
                <w:color w:val="auto"/>
              </w:rPr>
            </w:pPr>
            <w:r>
              <w:rPr>
                <w:rFonts w:ascii="Arial" w:cs="Arial" w:eastAsia="Arial" w:hAnsi="Arial"/>
                <w:sz w:val="18"/>
                <w:szCs w:val="18"/>
                <w:color w:val="0000FF"/>
                <w:w w:val="89"/>
              </w:rPr>
              <w:t>Consolidated Statements of Comprehensive Income for the three months ended March 31, 2023 and 2022</w:t>
            </w:r>
          </w:p>
        </w:tc>
        <w:tc>
          <w:tcPr>
            <w:tcW w:w="800" w:type="dxa"/>
            <w:vAlign w:val="bottom"/>
            <w:gridSpan w:val="2"/>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4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89"/>
              </w:rPr>
              <w:t>Consolidated Balance Sheets as of March 31, 2023 and December 31, 2022</w:t>
            </w:r>
          </w:p>
        </w:tc>
        <w:tc>
          <w:tcPr>
            <w:tcW w:w="2980" w:type="dxa"/>
            <w:vAlign w:val="bottom"/>
            <w:gridSpan w:val="7"/>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20" w:type="dxa"/>
            <w:vAlign w:val="bottom"/>
            <w:gridSpan w:val="32"/>
          </w:tcPr>
          <w:p>
            <w:pPr>
              <w:spacing w:after="0"/>
              <w:rPr>
                <w:sz w:val="20"/>
                <w:szCs w:val="20"/>
                <w:color w:val="auto"/>
              </w:rPr>
            </w:pPr>
            <w:r>
              <w:rPr>
                <w:rFonts w:ascii="Arial" w:cs="Arial" w:eastAsia="Arial" w:hAnsi="Arial"/>
                <w:sz w:val="18"/>
                <w:szCs w:val="18"/>
                <w:color w:val="0000FF"/>
              </w:rPr>
              <w:t>Consolidated Statements of Cash Flows for the three months ended March 31, 2023 and 2022</w:t>
            </w: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20" w:type="dxa"/>
            <w:vAlign w:val="bottom"/>
            <w:gridSpan w:val="32"/>
          </w:tcPr>
          <w:p>
            <w:pPr>
              <w:spacing w:after="0"/>
              <w:rPr>
                <w:sz w:val="20"/>
                <w:szCs w:val="20"/>
                <w:color w:val="auto"/>
              </w:rPr>
            </w:pPr>
            <w:r>
              <w:rPr>
                <w:rFonts w:ascii="Arial" w:cs="Arial" w:eastAsia="Arial" w:hAnsi="Arial"/>
                <w:sz w:val="18"/>
                <w:szCs w:val="18"/>
                <w:color w:val="0000FF"/>
                <w:w w:val="91"/>
              </w:rPr>
              <w:t>Consolidated Statements of Changes in Shareholders' Equity for the three months ended March 31, 2023 and 2022</w:t>
            </w: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40" w:type="dxa"/>
            <w:vAlign w:val="bottom"/>
            <w:tcBorders>
              <w:top w:val="single" w:sz="8" w:color="0000FF"/>
            </w:tcBorders>
            <w:gridSpan w:val="31"/>
          </w:tcPr>
          <w:p>
            <w:pPr>
              <w:spacing w:after="0"/>
              <w:rPr>
                <w:sz w:val="20"/>
                <w:szCs w:val="20"/>
                <w:color w:val="auto"/>
              </w:rPr>
            </w:pPr>
            <w:r>
              <w:rPr>
                <w:rFonts w:ascii="Arial" w:cs="Arial" w:eastAsia="Arial" w:hAnsi="Arial"/>
                <w:sz w:val="18"/>
                <w:szCs w:val="18"/>
                <w:color w:val="0000FF"/>
              </w:rPr>
              <w:t>Notes to Consolidated Financial Statements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1"/>
              </w:rPr>
              <w:t>Note A. Statement of Information Furnished</w:t>
            </w:r>
          </w:p>
        </w:tc>
        <w:tc>
          <w:tcPr>
            <w:tcW w:w="4780" w:type="dxa"/>
            <w:vAlign w:val="bottom"/>
            <w:gridSpan w:val="15"/>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0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0"/>
              </w:rPr>
              <w:t>Note B. Recent Accounting and Reporting Pronouncements</w:t>
            </w:r>
          </w:p>
        </w:tc>
        <w:tc>
          <w:tcPr>
            <w:tcW w:w="3680" w:type="dxa"/>
            <w:vAlign w:val="bottom"/>
            <w:gridSpan w:val="9"/>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4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88"/>
              </w:rPr>
              <w:t>Note C. Cash, Cash Equivalents, and Restricted Cash</w:t>
            </w:r>
          </w:p>
        </w:tc>
        <w:tc>
          <w:tcPr>
            <w:tcW w:w="4140" w:type="dxa"/>
            <w:vAlign w:val="bottom"/>
            <w:gridSpan w:val="10"/>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Note D. Receivables</w:t>
            </w:r>
          </w:p>
        </w:tc>
        <w:tc>
          <w:tcPr>
            <w:tcW w:w="6500" w:type="dxa"/>
            <w:vAlign w:val="bottom"/>
            <w:gridSpan w:val="23"/>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0"/>
              </w:rPr>
              <w:t>Note E. Inventories</w:t>
            </w:r>
          </w:p>
        </w:tc>
        <w:tc>
          <w:tcPr>
            <w:tcW w:w="6580" w:type="dxa"/>
            <w:vAlign w:val="bottom"/>
            <w:gridSpan w:val="24"/>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980" w:type="dxa"/>
            <w:vAlign w:val="bottom"/>
            <w:gridSpan w:val="31"/>
          </w:tcPr>
          <w:p>
            <w:pPr>
              <w:spacing w:after="0"/>
              <w:rPr>
                <w:sz w:val="20"/>
                <w:szCs w:val="20"/>
                <w:color w:val="auto"/>
              </w:rPr>
            </w:pPr>
            <w:r>
              <w:rPr>
                <w:rFonts w:ascii="Arial" w:cs="Arial" w:eastAsia="Arial" w:hAnsi="Arial"/>
                <w:sz w:val="18"/>
                <w:szCs w:val="18"/>
                <w:color w:val="0000FF"/>
              </w:rPr>
              <w:t>Note F. Intangible Assets</w:t>
            </w: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980" w:type="dxa"/>
            <w:vAlign w:val="bottom"/>
            <w:gridSpan w:val="31"/>
          </w:tcPr>
          <w:p>
            <w:pPr>
              <w:spacing w:after="0"/>
              <w:rPr>
                <w:sz w:val="20"/>
                <w:szCs w:val="20"/>
                <w:color w:val="auto"/>
              </w:rPr>
            </w:pPr>
            <w:r>
              <w:rPr>
                <w:rFonts w:ascii="Arial" w:cs="Arial" w:eastAsia="Arial" w:hAnsi="Arial"/>
                <w:sz w:val="18"/>
                <w:szCs w:val="18"/>
                <w:color w:val="0000FF"/>
              </w:rPr>
              <w:t>Note G. Restructuring and Other</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980" w:type="dxa"/>
            <w:vAlign w:val="bottom"/>
            <w:gridSpan w:val="31"/>
          </w:tcPr>
          <w:p>
            <w:pPr>
              <w:spacing w:after="0"/>
              <w:rPr>
                <w:sz w:val="20"/>
                <w:szCs w:val="20"/>
                <w:color w:val="auto"/>
              </w:rPr>
            </w:pPr>
            <w:r>
              <w:rPr>
                <w:rFonts w:ascii="Arial" w:cs="Arial" w:eastAsia="Arial" w:hAnsi="Arial"/>
                <w:sz w:val="18"/>
                <w:szCs w:val="18"/>
                <w:color w:val="0000FF"/>
              </w:rPr>
              <w:t>Note H. Asbestos-Related Liabilities</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980" w:type="dxa"/>
            <w:vAlign w:val="bottom"/>
            <w:gridSpan w:val="31"/>
          </w:tcPr>
          <w:p>
            <w:pPr>
              <w:spacing w:after="0"/>
              <w:rPr>
                <w:sz w:val="20"/>
                <w:szCs w:val="20"/>
                <w:color w:val="auto"/>
              </w:rPr>
            </w:pPr>
            <w:r>
              <w:rPr>
                <w:rFonts w:ascii="Arial" w:cs="Arial" w:eastAsia="Arial" w:hAnsi="Arial"/>
                <w:sz w:val="18"/>
                <w:szCs w:val="18"/>
                <w:color w:val="0000FF"/>
              </w:rPr>
              <w:t>Note I. Commitments and Contingent Liabilities</w:t>
            </w: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0"/>
              </w:rPr>
              <w:t>Note J. Derivative and Other Financial Instruments</w:t>
            </w:r>
          </w:p>
        </w:tc>
        <w:tc>
          <w:tcPr>
            <w:tcW w:w="4300" w:type="dxa"/>
            <w:vAlign w:val="bottom"/>
            <w:gridSpan w:val="11"/>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Note K. Debt</w:t>
            </w:r>
          </w:p>
        </w:tc>
        <w:tc>
          <w:tcPr>
            <w:tcW w:w="7020" w:type="dxa"/>
            <w:vAlign w:val="bottom"/>
            <w:gridSpan w:val="27"/>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9"/>
              </w:rPr>
              <w:t>Note L. Pension and Other Postretirement Benefits</w:t>
            </w:r>
          </w:p>
        </w:tc>
        <w:tc>
          <w:tcPr>
            <w:tcW w:w="4320" w:type="dxa"/>
            <w:vAlign w:val="bottom"/>
            <w:gridSpan w:val="12"/>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Note M. Capital Stock</w:t>
            </w:r>
          </w:p>
        </w:tc>
        <w:tc>
          <w:tcPr>
            <w:tcW w:w="6360" w:type="dxa"/>
            <w:vAlign w:val="bottom"/>
            <w:gridSpan w:val="22"/>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1"/>
              </w:rPr>
              <w:t>Note N. Accumulated Other Comprehensive Loss Attributable to Crown Holdings</w:t>
            </w:r>
          </w:p>
        </w:tc>
        <w:tc>
          <w:tcPr>
            <w:tcW w:w="2060" w:type="dxa"/>
            <w:vAlign w:val="bottom"/>
            <w:gridSpan w:val="5"/>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7"/>
              </w:rPr>
              <w:t>Note O. Revenue</w:t>
            </w:r>
          </w:p>
        </w:tc>
        <w:tc>
          <w:tcPr>
            <w:tcW w:w="6740" w:type="dxa"/>
            <w:vAlign w:val="bottom"/>
            <w:gridSpan w:val="25"/>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6"/>
              </w:rPr>
              <w:t>Note P. Earnings Per Share</w:t>
            </w:r>
          </w:p>
        </w:tc>
        <w:tc>
          <w:tcPr>
            <w:tcW w:w="6040" w:type="dxa"/>
            <w:vAlign w:val="bottom"/>
            <w:gridSpan w:val="20"/>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980" w:type="dxa"/>
            <w:vAlign w:val="bottom"/>
            <w:gridSpan w:val="31"/>
          </w:tcPr>
          <w:p>
            <w:pPr>
              <w:spacing w:after="0"/>
              <w:rPr>
                <w:sz w:val="20"/>
                <w:szCs w:val="20"/>
                <w:color w:val="auto"/>
              </w:rPr>
            </w:pPr>
            <w:r>
              <w:rPr>
                <w:rFonts w:ascii="Arial" w:cs="Arial" w:eastAsia="Arial" w:hAnsi="Arial"/>
                <w:sz w:val="18"/>
                <w:szCs w:val="18"/>
                <w:color w:val="0000FF"/>
              </w:rPr>
              <w:t>Note Q. Segment Information</w:t>
            </w: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140" w:type="dxa"/>
            <w:vAlign w:val="bottom"/>
            <w:gridSpan w:val="7"/>
            <w:shd w:val="clear" w:color="auto" w:fill="0000FF"/>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320" w:type="dxa"/>
            <w:vAlign w:val="bottom"/>
          </w:tcPr>
          <w:p>
            <w:pPr>
              <w:spacing w:after="0"/>
              <w:rPr>
                <w:sz w:val="18"/>
                <w:szCs w:val="18"/>
                <w:color w:val="auto"/>
              </w:rPr>
            </w:pPr>
          </w:p>
        </w:tc>
        <w:tc>
          <w:tcPr>
            <w:tcW w:w="644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300" w:type="dxa"/>
            <w:vAlign w:val="bottom"/>
            <w:gridSpan w:val="6"/>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320" w:type="dxa"/>
            <w:vAlign w:val="bottom"/>
          </w:tcPr>
          <w:p>
            <w:pPr>
              <w:spacing w:after="0"/>
              <w:rPr>
                <w:sz w:val="18"/>
                <w:szCs w:val="18"/>
                <w:color w:val="auto"/>
              </w:rPr>
            </w:pPr>
          </w:p>
        </w:tc>
        <w:tc>
          <w:tcPr>
            <w:tcW w:w="8740" w:type="dxa"/>
            <w:vAlign w:val="bottom"/>
            <w:gridSpan w:val="3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320" w:type="dxa"/>
            <w:vAlign w:val="bottom"/>
          </w:tcPr>
          <w:p>
            <w:pPr>
              <w:spacing w:after="0"/>
              <w:rPr>
                <w:sz w:val="18"/>
                <w:szCs w:val="18"/>
                <w:color w:val="auto"/>
              </w:rPr>
            </w:pPr>
          </w:p>
        </w:tc>
        <w:tc>
          <w:tcPr>
            <w:tcW w:w="430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0000FF"/>
              </w:rPr>
              <w:t>Controls and Procedures</w:t>
            </w:r>
          </w:p>
        </w:tc>
        <w:tc>
          <w:tcPr>
            <w:tcW w:w="4440" w:type="dxa"/>
            <w:vAlign w:val="bottom"/>
            <w:gridSpan w:val="13"/>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6980" w:type="dxa"/>
            <w:vAlign w:val="bottom"/>
            <w:gridSpan w:val="26"/>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140" w:type="dxa"/>
            <w:vAlign w:val="bottom"/>
          </w:tcPr>
          <w:p>
            <w:pPr>
              <w:ind w:left="20"/>
              <w:spacing w:after="0"/>
              <w:rPr>
                <w:sz w:val="20"/>
                <w:szCs w:val="20"/>
                <w:color w:val="auto"/>
              </w:rPr>
            </w:pPr>
            <w:r>
              <w:rPr>
                <w:rFonts w:ascii="Arial" w:cs="Arial" w:eastAsia="Arial" w:hAnsi="Arial"/>
                <w:sz w:val="18"/>
                <w:szCs w:val="18"/>
                <w:color w:val="auto"/>
              </w:rPr>
              <w:t>PART II.</w:t>
            </w:r>
          </w:p>
        </w:tc>
        <w:tc>
          <w:tcPr>
            <w:tcW w:w="9060" w:type="dxa"/>
            <w:vAlign w:val="bottom"/>
            <w:gridSpan w:val="34"/>
          </w:tcPr>
          <w:p>
            <w:pPr>
              <w:spacing w:after="0"/>
              <w:rPr>
                <w:sz w:val="20"/>
                <w:szCs w:val="20"/>
                <w:color w:val="auto"/>
              </w:rPr>
            </w:pPr>
            <w:r>
              <w:rPr>
                <w:rFonts w:ascii="Arial" w:cs="Arial" w:eastAsia="Arial" w:hAnsi="Arial"/>
                <w:sz w:val="18"/>
                <w:szCs w:val="18"/>
                <w:color w:val="0000FF"/>
              </w:rPr>
              <w:t>Other Information</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243"/>
        </w:trPr>
        <w:tc>
          <w:tcPr>
            <w:tcW w:w="114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48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480" w:type="dxa"/>
        <w:tblCellMar>
          <w:top w:w="0" w:type="dxa"/>
          <w:left w:w="0" w:type="dxa"/>
          <w:bottom w:w="0" w:type="dxa"/>
          <w:right w:w="0" w:type="dxa"/>
        </w:tblCellMar>
      </w:tblPr>
      <w:tr>
        <w:trPr>
          <w:trHeight w:val="234"/>
        </w:trPr>
        <w:tc>
          <w:tcPr>
            <w:tcW w:w="6000" w:type="dxa"/>
            <w:vAlign w:val="bottom"/>
          </w:tcPr>
          <w:p>
            <w:pPr>
              <w:jc w:val="center"/>
              <w:ind w:left="2190"/>
              <w:spacing w:after="0"/>
              <w:rPr>
                <w:sz w:val="20"/>
                <w:szCs w:val="20"/>
                <w:color w:val="auto"/>
              </w:rPr>
            </w:pPr>
            <w:r>
              <w:rPr>
                <w:rFonts w:ascii="Arial" w:cs="Arial" w:eastAsia="Arial" w:hAnsi="Arial"/>
                <w:sz w:val="18"/>
                <w:szCs w:val="18"/>
                <w:b w:val="1"/>
                <w:bCs w:val="1"/>
                <w:color w:val="auto"/>
              </w:rPr>
              <w:t>PART I – FINANCIAL INFORMATION</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280" w:type="dxa"/>
            <w:vAlign w:val="bottom"/>
            <w:gridSpan w:val="2"/>
          </w:tcPr>
          <w:p>
            <w:pPr>
              <w:jc w:val="center"/>
              <w:ind w:left="191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0" w:type="dxa"/>
            <w:vAlign w:val="bottom"/>
          </w:tcPr>
          <w:p>
            <w:pPr>
              <w:jc w:val="center"/>
              <w:ind w:left="2190"/>
              <w:spacing w:after="0"/>
              <w:rPr>
                <w:sz w:val="20"/>
                <w:szCs w:val="20"/>
                <w:color w:val="auto"/>
              </w:rPr>
            </w:pPr>
            <w:r>
              <w:rPr>
                <w:rFonts w:ascii="Arial" w:cs="Arial" w:eastAsia="Arial" w:hAnsi="Arial"/>
                <w:sz w:val="18"/>
                <w:szCs w:val="18"/>
                <w:b w:val="1"/>
                <w:bCs w:val="1"/>
                <w:color w:val="auto"/>
                <w:w w:val="90"/>
              </w:rPr>
              <w:t>(In millions except per share data)</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0" w:type="dxa"/>
            <w:vAlign w:val="bottom"/>
          </w:tcPr>
          <w:p>
            <w:pPr>
              <w:jc w:val="center"/>
              <w:ind w:left="219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3"/>
              </w:rPr>
              <w:t>Three Months Ended</w:t>
            </w: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2023</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23"/>
        </w:trPr>
        <w:tc>
          <w:tcPr>
            <w:tcW w:w="6000" w:type="dxa"/>
            <w:vAlign w:val="bottom"/>
          </w:tcPr>
          <w:p>
            <w:pPr>
              <w:ind w:left="340"/>
              <w:spacing w:after="0"/>
              <w:rPr>
                <w:sz w:val="20"/>
                <w:szCs w:val="20"/>
                <w:color w:val="auto"/>
              </w:rPr>
            </w:pPr>
            <w:r>
              <w:rPr>
                <w:rFonts w:ascii="Arial" w:cs="Arial" w:eastAsia="Arial" w:hAnsi="Arial"/>
                <w:sz w:val="18"/>
                <w:szCs w:val="18"/>
                <w:color w:val="auto"/>
              </w:rPr>
              <w:t>Cost of products sold, excluding depreciation and amortization</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2,411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6000" w:type="dxa"/>
            <w:vAlign w:val="bottom"/>
          </w:tcPr>
          <w:p>
            <w:pPr>
              <w:ind w:left="340"/>
              <w:spacing w:after="0"/>
              <w:rPr>
                <w:sz w:val="20"/>
                <w:szCs w:val="20"/>
                <w:color w:val="auto"/>
              </w:rPr>
            </w:pPr>
            <w:r>
              <w:rPr>
                <w:rFonts w:ascii="Arial" w:cs="Arial" w:eastAsia="Arial" w:hAnsi="Arial"/>
                <w:sz w:val="18"/>
                <w:szCs w:val="18"/>
                <w:color w:val="auto"/>
              </w:rPr>
              <w:t>Selling and administrative expense</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net</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pension and postretirement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0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 exchange</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taxes and equity in net earnings of affiliates</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9"/>
        </w:trPr>
        <w:tc>
          <w:tcPr>
            <w:tcW w:w="600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earnings of affiliates</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Earnings per common share attributable to Crown Holdings:</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0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0.86</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0.85</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ind w:left="48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1480" w:type="dxa"/>
        <w:tblCellMar>
          <w:top w:w="0" w:type="dxa"/>
          <w:left w:w="0" w:type="dxa"/>
          <w:bottom w:w="0" w:type="dxa"/>
          <w:right w:w="0" w:type="dxa"/>
        </w:tblCellMar>
      </w:tblPr>
      <w:tr>
        <w:trPr>
          <w:trHeight w:val="230"/>
        </w:trPr>
        <w:tc>
          <w:tcPr>
            <w:tcW w:w="6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7"/>
              </w:rPr>
              <w:t>Three Months Ended</w:t>
            </w:r>
          </w:p>
        </w:tc>
      </w:tr>
      <w:tr>
        <w:trPr>
          <w:trHeight w:val="234"/>
        </w:trPr>
        <w:tc>
          <w:tcPr>
            <w:tcW w:w="6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2022</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50"/>
        </w:trPr>
        <w:tc>
          <w:tcPr>
            <w:tcW w:w="6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 (loss), net of tax:</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and other postretirement benefits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6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Derivatives qualifying as hedges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60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50"/>
        </w:trPr>
        <w:tc>
          <w:tcPr>
            <w:tcW w:w="6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adjustments attributable to noncontrolling interests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Derivatives qualifying as hedges attributable to noncontrolling interests</w:t>
            </w:r>
          </w:p>
        </w:tc>
        <w:tc>
          <w:tcPr>
            <w:tcW w:w="2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 w:name="page5"/>
    <w:bookmarkEnd w:id="4"/>
    <w:p>
      <w:pPr>
        <w:ind w:left="48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BALANCE SHEETS (Condensed)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r>
      <w:tr>
        <w:trPr>
          <w:trHeight w:val="239"/>
        </w:trPr>
        <w:tc>
          <w:tcPr>
            <w:tcW w:w="29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7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14"/>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14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1,957</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1,843</w:t>
            </w:r>
          </w:p>
        </w:tc>
      </w:tr>
      <w:tr>
        <w:trPr>
          <w:trHeight w:val="229"/>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r>
      <w:tr>
        <w:trPr>
          <w:trHeight w:val="230"/>
        </w:trPr>
        <w:tc>
          <w:tcPr>
            <w:tcW w:w="714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23"/>
        </w:trPr>
        <w:tc>
          <w:tcPr>
            <w:tcW w:w="7140" w:type="dxa"/>
            <w:vAlign w:val="bottom"/>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r>
      <w:tr>
        <w:trPr>
          <w:trHeight w:val="250"/>
        </w:trPr>
        <w:tc>
          <w:tcPr>
            <w:tcW w:w="2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r>
      <w:tr>
        <w:trPr>
          <w:trHeight w:val="229"/>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1,337</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1,358</w:t>
            </w:r>
          </w:p>
        </w:tc>
      </w:tr>
      <w:tr>
        <w:trPr>
          <w:trHeight w:val="229"/>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r>
      <w:tr>
        <w:trPr>
          <w:trHeight w:val="230"/>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Operating lease right-of-use assets,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29"/>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23"/>
        </w:trPr>
        <w:tc>
          <w:tcPr>
            <w:tcW w:w="7140" w:type="dxa"/>
            <w:vAlign w:val="bottom"/>
            <w:gridSpan w:val="3"/>
          </w:tcPr>
          <w:p>
            <w:pPr>
              <w:ind w:left="68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14,412</w:t>
            </w:r>
          </w:p>
        </w:tc>
        <w:tc>
          <w:tcPr>
            <w:tcW w:w="4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14,301</w:t>
            </w: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140" w:type="dxa"/>
            <w:vAlign w:val="bottom"/>
            <w:gridSpan w:val="3"/>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Short-term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163</w:t>
            </w:r>
          </w:p>
        </w:tc>
        <w:tc>
          <w:tcPr>
            <w:tcW w:w="4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r>
      <w:tr>
        <w:trPr>
          <w:trHeight w:val="230"/>
        </w:trPr>
        <w:tc>
          <w:tcPr>
            <w:tcW w:w="714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r>
      <w:tr>
        <w:trPr>
          <w:trHeight w:val="223"/>
        </w:trPr>
        <w:tc>
          <w:tcPr>
            <w:tcW w:w="7140" w:type="dxa"/>
            <w:vAlign w:val="bottom"/>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r>
      <w:tr>
        <w:trPr>
          <w:trHeight w:val="250"/>
        </w:trPr>
        <w:tc>
          <w:tcPr>
            <w:tcW w:w="2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r>
      <w:tr>
        <w:trPr>
          <w:trHeight w:val="230"/>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Pension and postretirement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398</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29"/>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Non-current portion of operating lease liabilities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723</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712</w:t>
            </w:r>
          </w:p>
        </w:tc>
      </w:tr>
      <w:tr>
        <w:trPr>
          <w:trHeight w:val="210"/>
        </w:trPr>
        <w:tc>
          <w:tcPr>
            <w:tcW w:w="714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 xml:space="preserve">Commitments and contingent liabilities </w:t>
            </w:r>
            <w:r>
              <w:rPr>
                <w:rFonts w:ascii="Arial" w:cs="Arial" w:eastAsia="Arial" w:hAnsi="Arial"/>
                <w:sz w:val="18"/>
                <w:szCs w:val="18"/>
                <w:i w:val="1"/>
                <w:iCs w:val="1"/>
                <w:color w:val="auto"/>
              </w:rPr>
              <w:t>(</w:t>
            </w:r>
            <w:r>
              <w:rPr>
                <w:rFonts w:ascii="Arial" w:cs="Arial" w:eastAsia="Arial" w:hAnsi="Arial"/>
                <w:sz w:val="18"/>
                <w:szCs w:val="18"/>
                <w:i w:val="1"/>
                <w:iCs w:val="1"/>
                <w:color w:val="0000FF"/>
              </w:rPr>
              <w:t>Note I</w:t>
            </w:r>
            <w:r>
              <w:rPr>
                <w:rFonts w:ascii="Arial" w:cs="Arial" w:eastAsia="Arial" w:hAnsi="Arial"/>
                <w:sz w:val="18"/>
                <w:szCs w:val="18"/>
                <w:i w:val="1"/>
                <w:iCs w:val="1"/>
                <w:color w:val="auto"/>
              </w:rPr>
              <w: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29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440" w:type="dxa"/>
            <w:vAlign w:val="bottom"/>
            <w:tcBorders>
              <w:top w:val="single" w:sz="8" w:color="0000FF"/>
            </w:tcBorders>
          </w:tcPr>
          <w:p>
            <w:pPr>
              <w:spacing w:after="0"/>
              <w:rPr>
                <w:sz w:val="19"/>
                <w:szCs w:val="19"/>
                <w:color w:val="auto"/>
              </w:rPr>
            </w:pPr>
          </w:p>
        </w:tc>
        <w:tc>
          <w:tcPr>
            <w:tcW w:w="37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452</w:t>
            </w:r>
          </w:p>
        </w:tc>
        <w:tc>
          <w:tcPr>
            <w:tcW w:w="4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438</w:t>
            </w:r>
          </w:p>
        </w:tc>
      </w:tr>
      <w:tr>
        <w:trPr>
          <w:trHeight w:val="229"/>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Crown Holdings shareholders’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r>
      <w:tr>
        <w:trPr>
          <w:trHeight w:val="223"/>
        </w:trPr>
        <w:tc>
          <w:tcPr>
            <w:tcW w:w="7140" w:type="dxa"/>
            <w:vAlign w:val="bottom"/>
            <w:tcBorders>
              <w:bottom w:val="single" w:sz="8" w:color="CCEEFF"/>
            </w:tcBorders>
            <w:gridSpan w:val="3"/>
          </w:tcPr>
          <w:p>
            <w:pPr>
              <w:ind w:left="680"/>
              <w:spacing w:after="0"/>
              <w:rPr>
                <w:sz w:val="20"/>
                <w:szCs w:val="20"/>
                <w:color w:val="auto"/>
              </w:rPr>
            </w:pPr>
            <w:r>
              <w:rPr>
                <w:rFonts w:ascii="Arial" w:cs="Arial" w:eastAsia="Arial" w:hAnsi="Arial"/>
                <w:sz w:val="18"/>
                <w:szCs w:val="18"/>
                <w:b w:val="1"/>
                <w:bCs w:val="1"/>
                <w:color w:val="auto"/>
              </w:rPr>
              <w:t>Total equity</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r>
      <w:tr>
        <w:trPr>
          <w:trHeight w:val="248"/>
        </w:trPr>
        <w:tc>
          <w:tcPr>
            <w:tcW w:w="7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14,412</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14,301</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(Condensed)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8200" w:type="dxa"/>
            <w:vAlign w:val="bottom"/>
          </w:tcPr>
          <w:p>
            <w:pPr>
              <w:spacing w:after="0"/>
              <w:rPr>
                <w:sz w:val="19"/>
                <w:szCs w:val="19"/>
                <w:color w:val="auto"/>
              </w:rPr>
            </w:pPr>
          </w:p>
        </w:tc>
        <w:tc>
          <w:tcPr>
            <w:tcW w:w="24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r>
      <w:tr>
        <w:trPr>
          <w:trHeight w:val="234"/>
        </w:trPr>
        <w:tc>
          <w:tcPr>
            <w:tcW w:w="82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March 31,</w:t>
            </w:r>
          </w:p>
        </w:tc>
        <w:tc>
          <w:tcPr>
            <w:tcW w:w="420" w:type="dxa"/>
            <w:vAlign w:val="bottom"/>
            <w:tcBorders>
              <w:bottom w:val="single" w:sz="8" w:color="auto"/>
            </w:tcBorders>
          </w:tcPr>
          <w:p>
            <w:pPr>
              <w:spacing w:after="0"/>
              <w:rPr>
                <w:sz w:val="20"/>
                <w:szCs w:val="20"/>
                <w:color w:val="auto"/>
              </w:rPr>
            </w:pPr>
          </w:p>
        </w:tc>
      </w:tr>
      <w:tr>
        <w:trPr>
          <w:trHeight w:val="223"/>
        </w:trPr>
        <w:tc>
          <w:tcPr>
            <w:tcW w:w="82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r>
      <w:tr>
        <w:trPr>
          <w:trHeight w:val="20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122</w:t>
            </w:r>
          </w:p>
        </w:tc>
        <w:tc>
          <w:tcPr>
            <w:tcW w:w="440" w:type="dxa"/>
            <w:vAlign w:val="bottom"/>
          </w:tcPr>
          <w:p>
            <w:pPr>
              <w:spacing w:after="0"/>
              <w:rPr>
                <w:sz w:val="19"/>
                <w:szCs w:val="19"/>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123</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Restructuring and other, net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Pension expense</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Pension contributions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Equity earnings, net of distributions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82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Working capital changes and other</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(545)</w:t>
            </w:r>
          </w:p>
        </w:tc>
        <w:tc>
          <w:tcPr>
            <w:tcW w:w="4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(685)</w:t>
            </w:r>
          </w:p>
        </w:tc>
      </w:tr>
      <w:tr>
        <w:trPr>
          <w:trHeight w:val="223"/>
        </w:trPr>
        <w:tc>
          <w:tcPr>
            <w:tcW w:w="820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used for operating activities</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(235)</w:t>
            </w:r>
          </w:p>
        </w:tc>
        <w:tc>
          <w:tcPr>
            <w:tcW w:w="44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(301)</w:t>
            </w:r>
          </w:p>
        </w:tc>
      </w:tr>
      <w:tr>
        <w:trPr>
          <w:trHeight w:val="209"/>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Capital expenditures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(233)</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Net investment hedge</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sale of business, net of cash</w:t>
            </w:r>
          </w:p>
        </w:tc>
        <w:tc>
          <w:tcPr>
            <w:tcW w:w="7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Proceeds from sale of property, plant and equipment</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Acquisitions of business, net of cash</w:t>
            </w:r>
          </w:p>
        </w:tc>
        <w:tc>
          <w:tcPr>
            <w:tcW w:w="7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Distribution from equity method investment</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8200" w:type="dxa"/>
            <w:vAlign w:val="bottom"/>
            <w:tcBorders>
              <w:bottom w:val="single" w:sz="8" w:color="CCEEFF"/>
            </w:tcBorders>
          </w:tcPr>
          <w:p>
            <w:pPr>
              <w:ind w:left="1440"/>
              <w:spacing w:after="0"/>
              <w:rPr>
                <w:sz w:val="20"/>
                <w:szCs w:val="20"/>
                <w:color w:val="auto"/>
              </w:rPr>
            </w:pPr>
            <w:r>
              <w:rPr>
                <w:rFonts w:ascii="Arial" w:cs="Arial" w:eastAsia="Arial" w:hAnsi="Arial"/>
                <w:sz w:val="18"/>
                <w:szCs w:val="18"/>
                <w:b w:val="1"/>
                <w:bCs w:val="1"/>
                <w:color w:val="auto"/>
              </w:rPr>
              <w:t>Net cash used for investing activities</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(161)</w:t>
            </w:r>
          </w:p>
        </w:tc>
        <w:tc>
          <w:tcPr>
            <w:tcW w:w="4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(117)</w:t>
            </w:r>
          </w:p>
        </w:tc>
      </w:tr>
      <w:tr>
        <w:trPr>
          <w:trHeight w:val="21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Net change in revolving credit facility and short-term debt</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331</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long-term debt</w:t>
            </w:r>
          </w:p>
        </w:tc>
        <w:tc>
          <w:tcPr>
            <w:tcW w:w="7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Payments of long-term debt</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Debt issuance costs</w:t>
            </w:r>
          </w:p>
        </w:tc>
        <w:tc>
          <w:tcPr>
            <w:tcW w:w="7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Foreign exchange derivatives related to debt</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Payments of finance leases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Dividends paid to noncontrolling interests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Dividends paid to shareholders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2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Common stock repurchased</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(350)</w:t>
            </w:r>
          </w:p>
        </w:tc>
      </w:tr>
      <w:tr>
        <w:trPr>
          <w:trHeight w:val="223"/>
        </w:trPr>
        <w:tc>
          <w:tcPr>
            <w:tcW w:w="820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provided by financing activities</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4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2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(137)</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(133)</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January 1</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4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March 31</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 w:name="page7"/>
    <w:bookmarkEnd w:id="6"/>
    <w:p>
      <w:pPr>
        <w:jc w:val="center"/>
        <w:ind w:right="-4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7" w:lineRule="exact"/>
        <w:rPr>
          <w:sz w:val="20"/>
          <w:szCs w:val="20"/>
          <w:color w:val="auto"/>
        </w:rPr>
      </w:pPr>
    </w:p>
    <w:tbl>
      <w:tblPr>
        <w:tblLayout w:type="fixed"/>
        <w:tblInd w:w="420" w:type="dxa"/>
        <w:tblCellMar>
          <w:top w:w="0" w:type="dxa"/>
          <w:left w:w="0" w:type="dxa"/>
          <w:bottom w:w="0" w:type="dxa"/>
          <w:right w:w="0" w:type="dxa"/>
        </w:tblCellMar>
      </w:tblPr>
      <w:tr>
        <w:trPr>
          <w:trHeight w:val="133"/>
        </w:trPr>
        <w:tc>
          <w:tcPr>
            <w:tcW w:w="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jc w:val="center"/>
              <w:ind w:right="6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2"/>
                <w:szCs w:val="12"/>
                <w:color w:val="auto"/>
              </w:rPr>
            </w:pPr>
          </w:p>
        </w:tc>
        <w:tc>
          <w:tcPr>
            <w:tcW w:w="9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Noncontrolling</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10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6"/>
              </w:rPr>
              <w:t>Crown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7"/>
                <w:szCs w:val="17"/>
                <w:color w:val="auto"/>
              </w:rPr>
            </w:pPr>
          </w:p>
        </w:tc>
        <w:tc>
          <w:tcPr>
            <w:tcW w:w="900" w:type="dxa"/>
            <w:vAlign w:val="bottom"/>
            <w:gridSpan w:val="4"/>
          </w:tcPr>
          <w:p>
            <w:pPr>
              <w:ind w:left="10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Interests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2023</w:t>
            </w: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(1,892)</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Dividends declared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awarded</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2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(1,789)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Dividends declared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awarded</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Statement of Information Furnished</w:t>
      </w:r>
    </w:p>
    <w:p>
      <w:pPr>
        <w:spacing w:after="0" w:line="256" w:lineRule="exact"/>
        <w:rPr>
          <w:rFonts w:ascii="Arial" w:cs="Arial" w:eastAsia="Arial" w:hAnsi="Arial"/>
          <w:sz w:val="18"/>
          <w:szCs w:val="18"/>
          <w:b w:val="1"/>
          <w:bCs w:val="1"/>
          <w:color w:val="auto"/>
        </w:rPr>
      </w:pPr>
    </w:p>
    <w:p>
      <w:pPr>
        <w:jc w:val="both"/>
        <w:ind w:left="6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condensed consolidated financial statements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March 31, 2023 and the results of its operations for the three months ended March 31, 2023 and 2022 and of its cash flows for the three months ended March 31, 2023 and 2022. The results reported in these consolidated financial statements are not necessarily indicative of the results that may be expected for the entire year. These results have been determined on the basis of accounting principles generally accepted in the United States of America (“GAAP”), the application of which requires management’s utilization of estimates, and actual results may differ materially from the estimates utilized.</w:t>
      </w:r>
    </w:p>
    <w:p>
      <w:pPr>
        <w:spacing w:after="0" w:line="192"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2022.</w:t>
      </w:r>
    </w:p>
    <w:p>
      <w:pPr>
        <w:spacing w:after="0" w:line="200" w:lineRule="exact"/>
        <w:rPr>
          <w:rFonts w:ascii="Arial" w:cs="Arial" w:eastAsia="Arial" w:hAnsi="Arial"/>
          <w:sz w:val="18"/>
          <w:szCs w:val="18"/>
          <w:b w:val="1"/>
          <w:bCs w:val="1"/>
          <w:color w:val="auto"/>
        </w:rPr>
      </w:pPr>
    </w:p>
    <w:p>
      <w:pPr>
        <w:spacing w:after="0" w:line="237" w:lineRule="exact"/>
        <w:rPr>
          <w:rFonts w:ascii="Arial" w:cs="Arial" w:eastAsia="Arial" w:hAnsi="Arial"/>
          <w:sz w:val="18"/>
          <w:szCs w:val="18"/>
          <w:b w:val="1"/>
          <w:bCs w:val="1"/>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 Accounting and Reporting Pronouncements</w:t>
      </w:r>
    </w:p>
    <w:p>
      <w:pPr>
        <w:spacing w:after="0" w:line="256"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September 2022, the Financial Accounting Standards Board issued new guidance which requires enhanced disclosures of supplier finance programs. The guidance requires buyers in a supplier finance program to disclose sufficient information about the program’s nature, activity during the period, changes from period to period, and potential magnitude. The guidance became effective for the Company on January 1, 2023, except for the disclosure of rollforward information, which is effective for fiscal years beginning after December 15, 2023.</w:t>
      </w:r>
    </w:p>
    <w:p>
      <w:pPr>
        <w:spacing w:after="0" w:line="198" w:lineRule="exact"/>
        <w:rPr>
          <w:rFonts w:ascii="Arial" w:cs="Arial" w:eastAsia="Arial" w:hAnsi="Arial"/>
          <w:sz w:val="18"/>
          <w:szCs w:val="18"/>
          <w:b w:val="1"/>
          <w:bCs w:val="1"/>
          <w:color w:val="auto"/>
        </w:rPr>
      </w:pPr>
    </w:p>
    <w:p>
      <w:pPr>
        <w:jc w:val="both"/>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 has various supplier finance programs under which the Company agrees to pay banks the stated amount of confirmed invoices from its designated suppliers on the original maturity dates of the invoices. Suppliers, at their sole discretion, have the opportunity to sell their receivables due from the Company earlier than contracted payment terms. The Company or the banks may terminate the agreements upon at least 30 days' notice. The Company does not have assets pledged as collateral for supplier finance programs. The supplier invoices that have been confirmed as valid under the programs typically have payment terms of 150 days or less, consistent with the commercial terms and conditions as agreed upon with suppliers. The Company had $810 and $1,037 confirmed obligations outstanding under these supplier finance programs as of March 31, 2023 and December 31, 2022 included in Accounts Payable.</w:t>
      </w:r>
    </w:p>
    <w:p>
      <w:pPr>
        <w:spacing w:after="0" w:line="200" w:lineRule="exact"/>
        <w:rPr>
          <w:rFonts w:ascii="Arial" w:cs="Arial" w:eastAsia="Arial" w:hAnsi="Arial"/>
          <w:sz w:val="18"/>
          <w:szCs w:val="18"/>
          <w:b w:val="1"/>
          <w:bCs w:val="1"/>
          <w:color w:val="auto"/>
        </w:rPr>
      </w:pPr>
    </w:p>
    <w:p>
      <w:pPr>
        <w:spacing w:after="0" w:line="243" w:lineRule="exact"/>
        <w:rPr>
          <w:rFonts w:ascii="Arial" w:cs="Arial" w:eastAsia="Arial" w:hAnsi="Arial"/>
          <w:sz w:val="18"/>
          <w:szCs w:val="18"/>
          <w:b w:val="1"/>
          <w:bCs w:val="1"/>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Cash Equivalents, and Restricted Cash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cash equivalents, and restricted cash included in the Company's Consolidated Balance Sheets and Statement of Cash Flows were as follows:</w:t>
      </w:r>
    </w:p>
    <w:p>
      <w:pPr>
        <w:spacing w:after="0" w:line="31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color w:val="auto"/>
              </w:rPr>
              <w:t>March 31, 2023</w:t>
            </w:r>
          </w:p>
        </w:tc>
        <w:tc>
          <w:tcPr>
            <w:tcW w:w="180" w:type="dxa"/>
            <w:vAlign w:val="bottom"/>
          </w:tcPr>
          <w:p>
            <w:pPr>
              <w:spacing w:after="0"/>
              <w:rPr>
                <w:sz w:val="20"/>
                <w:szCs w:val="20"/>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color w:val="auto"/>
                <w:w w:val="91"/>
              </w:rPr>
              <w:t>December 31, 2022</w:t>
            </w: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Amounts included in restricted cash primarily represent amounts required to be segregated by certain of the Company's receivables securitization agreements.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4"/>
          </w:tcPr>
          <w:p>
            <w:pPr>
              <w:spacing w:after="0"/>
              <w:rPr>
                <w:sz w:val="20"/>
                <w:szCs w:val="20"/>
                <w:color w:val="auto"/>
              </w:rPr>
            </w:pPr>
            <w:r>
              <w:rPr>
                <w:rFonts w:ascii="Arial" w:cs="Arial" w:eastAsia="Arial" w:hAnsi="Arial"/>
                <w:sz w:val="18"/>
                <w:szCs w:val="18"/>
                <w:b w:val="1"/>
                <w:bCs w:val="1"/>
                <w:color w:val="auto"/>
              </w:rPr>
              <w:t>D.  Receivables</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520"/>
        </w:trPr>
        <w:tc>
          <w:tcPr>
            <w:tcW w:w="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March 31, 2023</w:t>
            </w:r>
          </w:p>
        </w:tc>
        <w:tc>
          <w:tcPr>
            <w:tcW w:w="160" w:type="dxa"/>
            <w:vAlign w:val="bottom"/>
          </w:tcPr>
          <w:p>
            <w:pPr>
              <w:spacing w:after="0"/>
              <w:rPr>
                <w:sz w:val="24"/>
                <w:szCs w:val="24"/>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color w:val="auto"/>
                <w:w w:val="92"/>
              </w:rPr>
              <w:t>December 31, 2022</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7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allowance for credit losses</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7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trade receivables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29"/>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Unbilled receivables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437</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Miscellaneous receivables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7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Receivables,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7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r>
      <w:tr>
        <w:trPr>
          <w:trHeight w:val="21"/>
        </w:trPr>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Accounts receivable as of March 31, 2023 includes approximately $60 due from a customer in the Company's Americas Beverage segment that filed for bankruptcy in March 2023. The Company possesses a security interest related to the supply agreement which was considered in the Company's allowance for credit losses.</w:t>
      </w:r>
    </w:p>
    <w:p>
      <w:pPr>
        <w:spacing w:after="0" w:line="21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December 2021, the Company's Bowling Green plant sustained tornado damage, resulting in curtailment of operations. The Company resumed operations in March 2022. However, it continued to incur incremental costs, including freight and warehousing expenses, to meet customer demand as the plant returned to full operational capacity. As of December 31, 2022 the Company had an insurance receivable, within miscellaneous receivables, of $23 for incremental expenses incurred. During the three months ended March 31, 2023, the Company received insurance proceeds of $22 for incremental expenses and $1 for property damage.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gridSpan w:val="4"/>
          </w:tcPr>
          <w:p>
            <w:pPr>
              <w:spacing w:after="0"/>
              <w:rPr>
                <w:sz w:val="20"/>
                <w:szCs w:val="20"/>
                <w:color w:val="auto"/>
              </w:rPr>
            </w:pPr>
            <w:r>
              <w:rPr>
                <w:rFonts w:ascii="Arial" w:cs="Arial" w:eastAsia="Arial" w:hAnsi="Arial"/>
                <w:sz w:val="18"/>
                <w:szCs w:val="18"/>
                <w:b w:val="1"/>
                <w:bCs w:val="1"/>
                <w:color w:val="auto"/>
              </w:rPr>
              <w:t>E.  Inventories</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520"/>
        </w:trPr>
        <w:tc>
          <w:tcPr>
            <w:tcW w:w="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2"/>
          </w:tcPr>
          <w:p>
            <w:pPr>
              <w:ind w:left="80"/>
              <w:spacing w:after="0"/>
              <w:rPr>
                <w:sz w:val="20"/>
                <w:szCs w:val="20"/>
                <w:color w:val="auto"/>
              </w:rPr>
            </w:pPr>
            <w:r>
              <w:rPr>
                <w:rFonts w:ascii="Arial" w:cs="Arial" w:eastAsia="Arial" w:hAnsi="Arial"/>
                <w:sz w:val="18"/>
                <w:szCs w:val="18"/>
                <w:color w:val="auto"/>
              </w:rPr>
              <w:t>March 31, 2023</w:t>
            </w:r>
          </w:p>
        </w:tc>
        <w:tc>
          <w:tcPr>
            <w:tcW w:w="14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2022</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6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175</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6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6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r>
      <w:tr>
        <w:trPr>
          <w:trHeight w:val="20"/>
        </w:trPr>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carrying amounts and accumulated amortization of finite-lived intangible assets by major class were as follows:</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92"/>
              </w:rPr>
              <w:t>March 31, 2023</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89"/>
              </w:rPr>
              <w:t>December 31, 2022</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182"/>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380"/>
              <w:spacing w:after="0" w:line="182" w:lineRule="exact"/>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380"/>
              <w:spacing w:after="0" w:line="182" w:lineRule="exact"/>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30"/>
        </w:trPr>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Gross</w:t>
            </w:r>
          </w:p>
        </w:tc>
        <w:tc>
          <w:tcPr>
            <w:tcW w:w="14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amortization</w:t>
            </w: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Gross</w:t>
            </w:r>
          </w:p>
        </w:tc>
        <w:tc>
          <w:tcPr>
            <w:tcW w:w="18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amortization</w:t>
            </w:r>
          </w:p>
        </w:tc>
        <w:tc>
          <w:tcPr>
            <w:tcW w:w="18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color w:val="auto"/>
              </w:rPr>
              <w:t>Net</w:t>
            </w:r>
          </w:p>
        </w:tc>
      </w:tr>
      <w:tr>
        <w:trPr>
          <w:trHeight w:val="223"/>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3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Long term supply contracts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5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r>
      <w:tr>
        <w:trPr>
          <w:trHeight w:val="20"/>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was $40 for the three months ended March 31, 2023 and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and Other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restructuring and other items as follows:</w:t>
      </w:r>
    </w:p>
    <w:p>
      <w:pPr>
        <w:spacing w:after="0" w:line="50"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2120" w:type="dxa"/>
            <w:vAlign w:val="bottom"/>
            <w:gridSpan w:val="4"/>
          </w:tcPr>
          <w:p>
            <w:pPr>
              <w:jc w:val="right"/>
              <w:ind w:right="7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19"/>
                <w:szCs w:val="19"/>
                <w:color w:val="auto"/>
              </w:rPr>
            </w:pPr>
          </w:p>
        </w:tc>
      </w:tr>
      <w:tr>
        <w:trPr>
          <w:trHeight w:val="230"/>
        </w:trPr>
        <w:tc>
          <w:tcPr>
            <w:tcW w:w="46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w w:val="97"/>
              </w:rPr>
              <w:t>March 31,</w:t>
            </w:r>
          </w:p>
        </w:tc>
        <w:tc>
          <w:tcPr>
            <w:tcW w:w="300" w:type="dxa"/>
            <w:vAlign w:val="bottom"/>
            <w:tcBorders>
              <w:bottom w:val="single" w:sz="8" w:color="auto"/>
            </w:tcBorders>
          </w:tcPr>
          <w:p>
            <w:pPr>
              <w:spacing w:after="0"/>
              <w:rPr>
                <w:sz w:val="20"/>
                <w:szCs w:val="20"/>
                <w:color w:val="auto"/>
              </w:rPr>
            </w:pPr>
          </w:p>
        </w:tc>
      </w:tr>
      <w:tr>
        <w:trPr>
          <w:trHeight w:val="223"/>
        </w:trPr>
        <w:tc>
          <w:tcPr>
            <w:tcW w:w="46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tcPr>
          <w:p>
            <w:pPr>
              <w:spacing w:after="0"/>
              <w:rPr>
                <w:sz w:val="19"/>
                <w:szCs w:val="19"/>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sales and impairments</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costs</w:t>
            </w:r>
          </w:p>
        </w:tc>
        <w:tc>
          <w:tcPr>
            <w:tcW w:w="7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23"/>
        </w:trPr>
        <w:tc>
          <w:tcPr>
            <w:tcW w:w="46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0"/>
        </w:trPr>
        <w:tc>
          <w:tcPr>
            <w:tcW w:w="4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three months ended March 31, 2023, restructuring primarily included headcount reductions in the Company's European Beverage and Other segments.</w:t>
      </w:r>
    </w:p>
    <w:p>
      <w:pPr>
        <w:spacing w:after="0" w:line="197"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For the three months ended March 31, 2022, asset sales and impairments related to various land and building sales in the Company's Asia Pacific segment which were closed as part of prior restructuring actions.</w:t>
      </w:r>
    </w:p>
    <w:p>
      <w:pPr>
        <w:spacing w:after="0" w:line="197"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At March 31, 2023, the Company had a restructuring accrual of $25, primarily related to the actions referenced above and $16 related to an overhead cost reduction program initiated by the Company's Transit Packaging segment in 2022. The Company recorded a restructuring charge of $29 in 2022 and made severance payments of $5 in the three months ended March 31, 2023 related to this program. The Company continues to review its costs structure and may record additional restructuring charges in the future.</w:t>
      </w:r>
    </w:p>
    <w:p>
      <w:pPr>
        <w:spacing w:after="0" w:line="200" w:lineRule="exact"/>
        <w:rPr>
          <w:sz w:val="20"/>
          <w:szCs w:val="20"/>
          <w:color w:val="auto"/>
        </w:rPr>
      </w:pPr>
    </w:p>
    <w:p>
      <w:pPr>
        <w:spacing w:after="0" w:line="237"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Asbestos-Related Liabilities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21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211"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191"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184"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states of Alabama, Arizona, Arkansas, Florida, Georgia, Idaho, Indiana, Iowa, Kansas, Michigan, Mississippi, Nebraska, North Carolina, North Dakota, Ohio, Oklahoma, South Carolina, South Dakota, Tennessee, Utah, West Virginia, Wisconsin and Wyoming have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at the time of enactment,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 The Company cautions, however, that the legislation may be challenged and there can be no assurance regarding the ultimate effect of the legislation on Crown Cork.</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2023, the Company paid $4 to settle asbestos claims and pay related legal and defense costs and had claims activity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claims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New claims</w:t>
            </w:r>
          </w:p>
        </w:tc>
        <w:tc>
          <w:tcPr>
            <w:tcW w:w="13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or dismissals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Ending claims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57,600</w:t>
            </w:r>
          </w:p>
        </w:tc>
      </w:tr>
      <w:tr>
        <w:trPr>
          <w:trHeight w:val="21"/>
        </w:trPr>
        <w:tc>
          <w:tcPr>
            <w:tcW w:w="8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each year, the Company performs an analysis of outstanding claims and categorizes these claims by year of exposure and state filed. As of December 31, 2022, the Company's outstanding claims were: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Claimants alleging first exposure after 1964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Claimants alleging first exposure before or during 1964 filed in:</w:t>
            </w:r>
          </w:p>
        </w:tc>
        <w:tc>
          <w:tcPr>
            <w:tcW w:w="1360" w:type="dxa"/>
            <w:vAlign w:val="bottom"/>
          </w:tcPr>
          <w:p>
            <w:pPr>
              <w:spacing w:after="0"/>
              <w:rPr>
                <w:sz w:val="19"/>
                <w:szCs w:val="19"/>
                <w:color w:val="auto"/>
              </w:rPr>
            </w:pPr>
          </w:p>
        </w:tc>
      </w:tr>
      <w:tr>
        <w:trPr>
          <w:trHeight w:val="230"/>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Texas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29"/>
        </w:trPr>
        <w:tc>
          <w:tcPr>
            <w:tcW w:w="8360" w:type="dxa"/>
            <w:vAlign w:val="bottom"/>
          </w:tcPr>
          <w:p>
            <w:pPr>
              <w:ind w:left="340"/>
              <w:spacing w:after="0"/>
              <w:rPr>
                <w:sz w:val="20"/>
                <w:szCs w:val="20"/>
                <w:color w:val="auto"/>
              </w:rPr>
            </w:pPr>
            <w:r>
              <w:rPr>
                <w:rFonts w:ascii="Arial" w:cs="Arial" w:eastAsia="Arial" w:hAnsi="Arial"/>
                <w:sz w:val="18"/>
                <w:szCs w:val="18"/>
                <w:color w:val="auto"/>
              </w:rPr>
              <w:t>Pennsylvania</w:t>
            </w:r>
          </w:p>
        </w:tc>
        <w:tc>
          <w:tcPr>
            <w:tcW w:w="13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states that have enacted asbestos legislation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8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states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outstanding</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and 2021, the percentage of outstanding claims related to claimants alleging serious diseases (primarily mesothelioma and other malignancies)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claims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5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Pre-1965 claims in states without asbestos legislation</w:t>
            </w:r>
          </w:p>
        </w:tc>
        <w:tc>
          <w:tcPr>
            <w:tcW w:w="1460" w:type="dxa"/>
            <w:vAlign w:val="bottom"/>
          </w:tcPr>
          <w:p>
            <w:pPr>
              <w:jc w:val="right"/>
              <w:spacing w:after="0"/>
              <w:rPr>
                <w:sz w:val="20"/>
                <w:szCs w:val="20"/>
                <w:color w:val="auto"/>
              </w:rPr>
            </w:pPr>
            <w:r>
              <w:rPr>
                <w:rFonts w:ascii="Arial" w:cs="Arial" w:eastAsia="Arial" w:hAnsi="Arial"/>
                <w:sz w:val="18"/>
                <w:szCs w:val="18"/>
                <w:color w:val="auto"/>
              </w:rPr>
              <w:t>43 %</w:t>
            </w:r>
          </w:p>
        </w:tc>
        <w:tc>
          <w:tcPr>
            <w:tcW w:w="5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42 %</w:t>
            </w:r>
          </w:p>
        </w:tc>
      </w:tr>
    </w:tbl>
    <w:p>
      <w:pPr>
        <w:spacing w:after="0" w:line="200" w:lineRule="exact"/>
        <w:rPr>
          <w:sz w:val="20"/>
          <w:szCs w:val="20"/>
          <w:color w:val="auto"/>
        </w:rPr>
      </w:pP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March 31, 2023.</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March 31, 2023, the Company’s accrual for pending and future asbestos-related claims and related legal costs was $216, including $172 for unasserted claims. The Company determines its accrual without limitation to a specific time period.</w:t>
      </w:r>
    </w:p>
    <w:p>
      <w:pPr>
        <w:spacing w:after="0" w:line="197"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82% of the claims outstanding at the end of 2022),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200" w:lineRule="exact"/>
        <w:rPr>
          <w:sz w:val="20"/>
          <w:szCs w:val="20"/>
          <w:color w:val="auto"/>
        </w:rPr>
      </w:pPr>
    </w:p>
    <w:p>
      <w:pPr>
        <w:spacing w:after="0" w:line="234"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The Company, along with others in most cases, has been identified by the EPA or a comparable state environmental agency as a Potentially Responsible Party (“PRP”) at a number of sites and has recorded aggregate accruals of $12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19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has also recorded aggregate accruals of $8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215" w:lineRule="exact"/>
        <w:rPr>
          <w:sz w:val="20"/>
          <w:szCs w:val="20"/>
          <w:color w:val="auto"/>
        </w:rPr>
      </w:pPr>
    </w:p>
    <w:p>
      <w:pPr>
        <w:jc w:val="both"/>
        <w:ind w:left="660"/>
        <w:spacing w:after="0" w:line="268" w:lineRule="auto"/>
        <w:rPr>
          <w:sz w:val="20"/>
          <w:szCs w:val="20"/>
          <w:color w:val="auto"/>
        </w:rPr>
      </w:pPr>
      <w:r>
        <w:rPr>
          <w:rFonts w:ascii="Arial" w:cs="Arial" w:eastAsia="Arial" w:hAnsi="Arial"/>
          <w:sz w:val="17"/>
          <w:szCs w:val="17"/>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U.K. The Company cooperated with the Commission and submitted a leniency application with the Commission with respect to the findings of its internal investigation in Germany. In July 2022, the Company reached a settlement with the Commission relating to the Commission’s investigation, pursuant to which the Company agreed to pay a fine in the amount of $8. Fining decisions based on settlements can be appealed under EU law. The Company is seeking annulment of the Commission’s fining decision on the basis that the referral of the case from the FCO to the Commission was unjustified. There can be no assurance regarding the outcome of such appeal.</w:t>
      </w:r>
    </w:p>
    <w:p>
      <w:pPr>
        <w:spacing w:after="0" w:line="213"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March 2017, U.S. Customs and Border Protection (“CBP”) at the Port of Milwaukee issued a penalty notification alleging that certain of the Company’s subsidiaries intentionally misclassified the importation of certain goods into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 during the period 2004 -2009. CBP initially assessed a penalty of $18. The Company has acknowledged to CBP that the goods were misclassified and has paid all related duties, which CBP does not dispute. The Company has asserted that the misclassification was unintentional and disputes the penalty assessment by CBP. CBP has brought suit in the U.S. Court of International Trade seeking enforcement of the initial penalty against the Company. At the present time, based on the information available, the Company does not believe that a loss for the alleged intentional misclassification is probable. However, there can be no assurance that the Company will be successful in contesting the assessed penalty.</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October 7, 2021, the French Autorité de la concurrence (the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Articles 101 of the Treaty on the Functioning of the European Union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If the FCA finds that the Company or its subsidiaries violated competition law, the FCA may levy fines. Proceedings with respect to this matter are ongoing and the Company is unable to predict the ultimate outcome including the amount of fines, if any, that may be levied by the FCA. The Company intends to vigorously defend against the allegations in the statement of objections.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and its subsidiaries are also subject to various other lawsuits and claims with respect to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 At times, the Company guarantees the obligations of subsidiaries under certain of these contracts and is liable for such arrangements only if the subsidiary fails to perform its obligations under the contract.</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basic raw materials for its products are aluminum and steel,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2023,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right="7520" w:hanging="652"/>
        <w:spacing w:after="0" w:line="566" w:lineRule="auto"/>
        <w:tabs>
          <w:tab w:leader="none" w:pos="327"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Derivative and Other Financial Instruments </w:t>
      </w:r>
      <w:r>
        <w:rPr>
          <w:rFonts w:ascii="Arial" w:cs="Arial" w:eastAsia="Arial" w:hAnsi="Arial"/>
          <w:sz w:val="17"/>
          <w:szCs w:val="17"/>
          <w:u w:val="single" w:color="auto"/>
          <w:color w:val="auto"/>
        </w:rPr>
        <w:t>Fair Value Measurements</w:t>
      </w:r>
    </w:p>
    <w:p>
      <w:pPr>
        <w:jc w:val="both"/>
        <w:ind w:left="660"/>
        <w:spacing w:after="0" w:line="275" w:lineRule="auto"/>
        <w:rPr>
          <w:sz w:val="20"/>
          <w:szCs w:val="20"/>
          <w:color w:val="auto"/>
        </w:rPr>
      </w:pPr>
      <w:r>
        <w:rPr>
          <w:rFonts w:ascii="Arial" w:cs="Arial" w:eastAsia="Arial" w:hAnsi="Arial"/>
          <w:sz w:val="17"/>
          <w:szCs w:val="17"/>
          <w:color w:val="auto"/>
        </w:rPr>
        <w:t>Under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203"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21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21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 xml:space="preserve">Fair value disclosures for financial assets and liabilities that were accounted for at fair value on a recurring basis are provided later in this note. In addition, see </w:t>
      </w:r>
      <w:r>
        <w:rPr>
          <w:rFonts w:ascii="Arial" w:cs="Arial" w:eastAsia="Arial" w:hAnsi="Arial"/>
          <w:sz w:val="18"/>
          <w:szCs w:val="18"/>
          <w:u w:val="single" w:color="auto"/>
          <w:color w:val="0000FF"/>
        </w:rPr>
        <w:t>Note K</w:t>
      </w:r>
      <w:r>
        <w:rPr>
          <w:rFonts w:ascii="Arial" w:cs="Arial" w:eastAsia="Arial" w:hAnsi="Arial"/>
          <w:sz w:val="18"/>
          <w:szCs w:val="18"/>
          <w:color w:val="auto"/>
        </w:rPr>
        <w:t xml:space="preserve"> for fair value disclosures related to debt.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52"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19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215"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forecasted transaction is reasonably possible, but not probable of occurring, the hedge no longer qualifies for hedge accounting and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 or when the forecasted transaction becomes probable of not occurring.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Cash Flow Hedges</w:t>
      </w:r>
    </w:p>
    <w:p>
      <w:pPr>
        <w:spacing w:after="0" w:line="252"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comprehensive income is the same as that of the underlying exposure. Contracts outstanding at March 31, 2023 mature between one and twenty-one months.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uses commodity forward contracts to hedge anticipated purchases of various commodities, primarily aluminum, and these exposures are hedged by a central treasury unit.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designates certain foreign exchange contracts as cash flow hedges of anticipated foreign currency denominated sales or purchases. The Company manages these risks at the operating unit level. Often, foreign currency risk is hedged together with the related commodity price risk.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also use interest rate swaps to convert interest on floating rate debt to a fixed-rate.</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following tables set forth financial information about the impact on other comprehensive income ("OCI"), accumulated other comprehensive income ("AOCI") and earnings from changes in the fair value of derivative instruments.</w:t>
      </w:r>
    </w:p>
    <w:p>
      <w:pPr>
        <w:jc w:val="center"/>
        <w:ind w:right="2880"/>
        <w:spacing w:after="0" w:line="223" w:lineRule="auto"/>
        <w:rPr>
          <w:sz w:val="20"/>
          <w:szCs w:val="20"/>
          <w:color w:val="auto"/>
        </w:rPr>
      </w:pPr>
      <w:r>
        <w:rPr>
          <w:rFonts w:ascii="Arial" w:cs="Arial" w:eastAsia="Arial" w:hAnsi="Arial"/>
          <w:sz w:val="18"/>
          <w:szCs w:val="18"/>
          <w:color w:val="auto"/>
        </w:rPr>
        <w:t>Amount of gain/(loss)</w:t>
      </w:r>
    </w:p>
    <w:p>
      <w:pPr>
        <w:spacing w:after="0" w:line="1" w:lineRule="exact"/>
        <w:rPr>
          <w:sz w:val="20"/>
          <w:szCs w:val="20"/>
          <w:color w:val="auto"/>
        </w:rPr>
      </w:pPr>
    </w:p>
    <w:p>
      <w:pPr>
        <w:jc w:val="center"/>
        <w:ind w:right="2880"/>
        <w:spacing w:after="0"/>
        <w:rPr>
          <w:sz w:val="20"/>
          <w:szCs w:val="20"/>
          <w:color w:val="auto"/>
        </w:rPr>
      </w:pPr>
      <w:r>
        <w:rPr>
          <w:rFonts w:ascii="Arial" w:cs="Arial" w:eastAsia="Arial" w:hAnsi="Arial"/>
          <w:sz w:val="18"/>
          <w:szCs w:val="18"/>
          <w:color w:val="auto"/>
        </w:rPr>
        <w:t>recognized in 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13335</wp:posOffset>
            </wp:positionV>
            <wp:extent cx="13627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jc w:val="center"/>
        <w:ind w:right="2880"/>
        <w:spacing w:after="0"/>
        <w:rPr>
          <w:sz w:val="20"/>
          <w:szCs w:val="20"/>
          <w:color w:val="auto"/>
        </w:rPr>
      </w:pPr>
      <w:r>
        <w:rPr>
          <w:rFonts w:ascii="Arial" w:cs="Arial" w:eastAsia="Arial" w:hAnsi="Arial"/>
          <w:sz w:val="18"/>
          <w:szCs w:val="18"/>
          <w:color w:val="auto"/>
        </w:rPr>
        <w:t>Three Months Ended March</w:t>
      </w:r>
    </w:p>
    <w:p>
      <w:pPr>
        <w:jc w:val="center"/>
        <w:ind w:right="2880"/>
        <w:spacing w:after="0"/>
        <w:rPr>
          <w:sz w:val="20"/>
          <w:szCs w:val="20"/>
          <w:color w:val="auto"/>
        </w:rPr>
      </w:pPr>
      <w:r>
        <w:rPr>
          <w:rFonts w:ascii="Arial" w:cs="Arial" w:eastAsia="Arial" w:hAnsi="Arial"/>
          <w:sz w:val="18"/>
          <w:szCs w:val="18"/>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hedges</w:t>
            </w: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2022</w:t>
            </w: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223"/>
        </w:trPr>
        <w:tc>
          <w:tcPr>
            <w:tcW w:w="2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4820" w:type="dxa"/>
            <w:vAlign w:val="bottom"/>
          </w:tcPr>
          <w:p>
            <w:pPr>
              <w:spacing w:after="0"/>
              <w:rPr>
                <w:sz w:val="19"/>
                <w:szCs w:val="19"/>
                <w:color w:val="auto"/>
              </w:rPr>
            </w:pPr>
          </w:p>
        </w:tc>
      </w:tr>
      <w:tr>
        <w:trPr>
          <w:trHeight w:val="230"/>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Commodities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4820" w:type="dxa"/>
            <w:vAlign w:val="bottom"/>
          </w:tcPr>
          <w:p>
            <w:pPr>
              <w:spacing w:after="0"/>
              <w:rPr>
                <w:sz w:val="19"/>
                <w:szCs w:val="19"/>
                <w:color w:val="auto"/>
              </w:rPr>
            </w:pPr>
          </w:p>
        </w:tc>
      </w:tr>
      <w:tr>
        <w:trPr>
          <w:trHeight w:val="248"/>
        </w:trPr>
        <w:tc>
          <w:tcPr>
            <w:tcW w:w="2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4820" w:type="dxa"/>
            <w:vAlign w:val="bottom"/>
          </w:tcPr>
          <w:p>
            <w:pPr>
              <w:spacing w:after="0"/>
              <w:rPr>
                <w:sz w:val="21"/>
                <w:szCs w:val="2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285"/>
        </w:trPr>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8"/>
                <w:szCs w:val="18"/>
                <w:color w:val="auto"/>
                <w:w w:val="92"/>
              </w:rPr>
              <w:t>Amount of gain/(loss)</w:t>
            </w:r>
          </w:p>
        </w:tc>
        <w:tc>
          <w:tcPr>
            <w:tcW w:w="4820" w:type="dxa"/>
            <w:vAlign w:val="bottom"/>
          </w:tcPr>
          <w:p>
            <w:pPr>
              <w:spacing w:after="0"/>
              <w:rPr>
                <w:sz w:val="24"/>
                <w:szCs w:val="24"/>
                <w:color w:val="auto"/>
              </w:rPr>
            </w:pPr>
          </w:p>
        </w:tc>
      </w:tr>
      <w:tr>
        <w:trPr>
          <w:trHeight w:val="188"/>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6"/>
          </w:tcPr>
          <w:p>
            <w:pPr>
              <w:jc w:val="center"/>
              <w:ind w:right="120"/>
              <w:spacing w:after="0" w:line="189" w:lineRule="exact"/>
              <w:rPr>
                <w:sz w:val="20"/>
                <w:szCs w:val="20"/>
                <w:color w:val="auto"/>
              </w:rPr>
            </w:pPr>
            <w:r>
              <w:rPr>
                <w:rFonts w:ascii="Arial" w:cs="Arial" w:eastAsia="Arial" w:hAnsi="Arial"/>
                <w:sz w:val="18"/>
                <w:szCs w:val="18"/>
                <w:color w:val="auto"/>
                <w:w w:val="94"/>
              </w:rPr>
              <w:t>reclassified from AOCI into</w:t>
            </w:r>
          </w:p>
        </w:tc>
        <w:tc>
          <w:tcPr>
            <w:tcW w:w="4820" w:type="dxa"/>
            <w:vAlign w:val="bottom"/>
          </w:tcPr>
          <w:p>
            <w:pPr>
              <w:spacing w:after="0"/>
              <w:rPr>
                <w:sz w:val="16"/>
                <w:szCs w:val="16"/>
                <w:color w:val="auto"/>
              </w:rPr>
            </w:pPr>
          </w:p>
        </w:tc>
      </w:tr>
      <w:tr>
        <w:trPr>
          <w:trHeight w:val="230"/>
        </w:trPr>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92"/>
              </w:rPr>
              <w:t>income</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169"/>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center"/>
              <w:spacing w:after="0" w:line="169" w:lineRule="exact"/>
              <w:rPr>
                <w:sz w:val="20"/>
                <w:szCs w:val="20"/>
                <w:color w:val="auto"/>
              </w:rPr>
            </w:pPr>
            <w:r>
              <w:rPr>
                <w:rFonts w:ascii="Arial" w:cs="Arial" w:eastAsia="Arial" w:hAnsi="Arial"/>
                <w:sz w:val="18"/>
                <w:szCs w:val="18"/>
                <w:color w:val="auto"/>
                <w:w w:val="90"/>
              </w:rPr>
              <w:t>Three Months Ended March</w:t>
            </w:r>
          </w:p>
        </w:tc>
        <w:tc>
          <w:tcPr>
            <w:tcW w:w="12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237"/>
        </w:trPr>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7"/>
              </w:rPr>
              <w:t>31,</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229"/>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hedges</w:t>
            </w:r>
          </w:p>
        </w:tc>
        <w:tc>
          <w:tcPr>
            <w:tcW w:w="20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w w:val="99"/>
              </w:rPr>
              <w:t>2022</w:t>
            </w:r>
          </w:p>
        </w:tc>
        <w:tc>
          <w:tcPr>
            <w:tcW w:w="120" w:type="dxa"/>
            <w:vAlign w:val="bottom"/>
          </w:tcPr>
          <w:p>
            <w:pPr>
              <w:spacing w:after="0"/>
              <w:rPr>
                <w:sz w:val="19"/>
                <w:szCs w:val="19"/>
                <w:color w:val="auto"/>
              </w:rPr>
            </w:pPr>
          </w:p>
        </w:tc>
        <w:tc>
          <w:tcPr>
            <w:tcW w:w="4820" w:type="dxa"/>
            <w:vAlign w:val="bottom"/>
          </w:tcPr>
          <w:p>
            <w:pPr>
              <w:ind w:left="600"/>
              <w:spacing w:after="0"/>
              <w:rPr>
                <w:sz w:val="20"/>
                <w:szCs w:val="20"/>
                <w:color w:val="auto"/>
              </w:rPr>
            </w:pPr>
            <w:r>
              <w:rPr>
                <w:rFonts w:ascii="Arial" w:cs="Arial" w:eastAsia="Arial" w:hAnsi="Arial"/>
                <w:sz w:val="18"/>
                <w:szCs w:val="18"/>
                <w:color w:val="auto"/>
              </w:rPr>
              <w:t>Affected line items in the Statement of Operations</w:t>
            </w:r>
          </w:p>
        </w:tc>
      </w:tr>
      <w:tr>
        <w:trPr>
          <w:trHeight w:val="223"/>
        </w:trPr>
        <w:tc>
          <w:tcPr>
            <w:tcW w:w="2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r>
      <w:tr>
        <w:trPr>
          <w:trHeight w:val="230"/>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Commodities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sales</w:t>
            </w:r>
          </w:p>
        </w:tc>
      </w:tr>
      <w:tr>
        <w:trPr>
          <w:trHeight w:val="23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6"/>
              </w:rPr>
              <w:t>Cost of products sold, excluding depreciation and amortization</w:t>
            </w:r>
          </w:p>
        </w:tc>
      </w:tr>
      <w:tr>
        <w:trPr>
          <w:trHeight w:val="230"/>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Commodities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Cost of products sold, excluding depreciation and amortization</w:t>
            </w:r>
          </w:p>
        </w:tc>
      </w:tr>
      <w:tr>
        <w:trPr>
          <w:trHeight w:val="223"/>
        </w:trPr>
        <w:tc>
          <w:tcPr>
            <w:tcW w:w="2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and equity in net earnings of affiliates</w:t>
            </w:r>
          </w:p>
        </w:tc>
      </w:tr>
      <w:tr>
        <w:trPr>
          <w:trHeight w:val="223"/>
        </w:trPr>
        <w:tc>
          <w:tcPr>
            <w:tcW w:w="2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r>
      <w:tr>
        <w:trPr>
          <w:trHeight w:val="223"/>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Reclassified</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twelve-month period ending March 31, 2024, a net loss of $10 ($8, net of tax) is expected to be reclassified to earnings for commodity and foreign exchange contracts. No material amounts were reclassified during the three months ended March 31, 2023 and 2022 in connection with anticipated transactions that were considered probable of not occurring.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and Contracts Not Designated as Hedges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three months ended March 31, 2023 and 2022, the Company recorded losses of $5 and $21, respectively, from foreign exchange contracts designated as fair value hedges. These adjustments were reported within foreign exchange in the Consolidated Statements of Operations.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derivative financial instruments, including foreign exchange contracts related to intercompany debt, were not designated or did not quality for hedge accounting; however, they are effective economic hedges as the changes in their fair value, except for time value, are offset by changes arising from re-measurement of the related hedged items. The</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15" w:name="page16"/>
    <w:bookmarkEnd w:id="15"/>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impact on earnings from derivatives not designated as hedges.</w:t>
      </w:r>
    </w:p>
    <w:p>
      <w:pPr>
        <w:spacing w:after="0" w:line="277" w:lineRule="exact"/>
        <w:rPr>
          <w:sz w:val="20"/>
          <w:szCs w:val="20"/>
          <w:color w:val="auto"/>
        </w:rPr>
      </w:pPr>
    </w:p>
    <w:p>
      <w:pPr>
        <w:jc w:val="center"/>
        <w:ind w:right="2140"/>
        <w:spacing w:after="0"/>
        <w:rPr>
          <w:sz w:val="20"/>
          <w:szCs w:val="20"/>
          <w:color w:val="auto"/>
        </w:rPr>
      </w:pPr>
      <w:r>
        <w:rPr>
          <w:rFonts w:ascii="Arial" w:cs="Arial" w:eastAsia="Arial" w:hAnsi="Arial"/>
          <w:sz w:val="18"/>
          <w:szCs w:val="18"/>
          <w:color w:val="auto"/>
        </w:rPr>
        <w:t>Pre-tax amounts of</w:t>
      </w:r>
    </w:p>
    <w:p>
      <w:pPr>
        <w:jc w:val="center"/>
        <w:ind w:right="2140"/>
        <w:spacing w:after="0" w:line="219" w:lineRule="auto"/>
        <w:rPr>
          <w:sz w:val="20"/>
          <w:szCs w:val="20"/>
          <w:color w:val="auto"/>
        </w:rPr>
      </w:pPr>
      <w:r>
        <w:rPr>
          <w:rFonts w:ascii="Arial" w:cs="Arial" w:eastAsia="Arial" w:hAnsi="Arial"/>
          <w:sz w:val="18"/>
          <w:szCs w:val="18"/>
          <w:color w:val="auto"/>
        </w:rPr>
        <w:t>gain/(loss) recognized in</w:t>
      </w:r>
    </w:p>
    <w:p>
      <w:pPr>
        <w:ind w:left="3960"/>
        <w:spacing w:after="0"/>
        <w:rPr>
          <w:sz w:val="20"/>
          <w:szCs w:val="20"/>
          <w:color w:val="auto"/>
        </w:rPr>
      </w:pPr>
      <w:r>
        <w:rPr>
          <w:rFonts w:ascii="Arial" w:cs="Arial" w:eastAsia="Arial" w:hAnsi="Arial"/>
          <w:sz w:val="18"/>
          <w:szCs w:val="18"/>
          <w:color w:val="auto"/>
        </w:rPr>
        <w:t>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4445</wp:posOffset>
            </wp:positionV>
            <wp:extent cx="13798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ind w:left="3200"/>
        <w:spacing w:after="0"/>
        <w:rPr>
          <w:sz w:val="20"/>
          <w:szCs w:val="20"/>
          <w:color w:val="auto"/>
        </w:rPr>
      </w:pPr>
      <w:r>
        <w:rPr>
          <w:rFonts w:ascii="Arial" w:cs="Arial" w:eastAsia="Arial" w:hAnsi="Arial"/>
          <w:sz w:val="18"/>
          <w:szCs w:val="18"/>
          <w:color w:val="auto"/>
        </w:rPr>
        <w:t>Three Months Ended March</w:t>
      </w:r>
    </w:p>
    <w:p>
      <w:pPr>
        <w:ind w:left="4100"/>
        <w:spacing w:after="0"/>
        <w:rPr>
          <w:sz w:val="20"/>
          <w:szCs w:val="20"/>
          <w:color w:val="auto"/>
        </w:rPr>
      </w:pPr>
      <w:r>
        <w:rPr>
          <w:rFonts w:ascii="Arial" w:cs="Arial" w:eastAsia="Arial" w:hAnsi="Arial"/>
          <w:sz w:val="18"/>
          <w:szCs w:val="18"/>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Derivatives not designated as hedges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4420" w:type="dxa"/>
            <w:vAlign w:val="bottom"/>
          </w:tcPr>
          <w:p>
            <w:pPr>
              <w:ind w:left="440"/>
              <w:spacing w:after="0"/>
              <w:rPr>
                <w:sz w:val="20"/>
                <w:szCs w:val="20"/>
                <w:color w:val="auto"/>
              </w:rPr>
            </w:pPr>
            <w:r>
              <w:rPr>
                <w:rFonts w:ascii="Arial" w:cs="Arial" w:eastAsia="Arial" w:hAnsi="Arial"/>
                <w:sz w:val="18"/>
                <w:szCs w:val="18"/>
                <w:color w:val="auto"/>
              </w:rPr>
              <w:t>Affected line item in the Statement of Operations</w:t>
            </w:r>
          </w:p>
        </w:tc>
      </w:tr>
      <w:tr>
        <w:trPr>
          <w:trHeight w:val="223"/>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4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r>
      <w:tr>
        <w:trPr>
          <w:trHeight w:val="175"/>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20" w:type="dxa"/>
            <w:vAlign w:val="bottom"/>
          </w:tcPr>
          <w:p>
            <w:pPr>
              <w:ind w:left="20"/>
              <w:spacing w:after="0" w:line="176" w:lineRule="exact"/>
              <w:rPr>
                <w:sz w:val="20"/>
                <w:szCs w:val="20"/>
                <w:color w:val="auto"/>
              </w:rPr>
            </w:pPr>
            <w:r>
              <w:rPr>
                <w:rFonts w:ascii="Arial" w:cs="Arial" w:eastAsia="Arial" w:hAnsi="Arial"/>
                <w:sz w:val="18"/>
                <w:szCs w:val="18"/>
                <w:color w:val="auto"/>
              </w:rPr>
              <w:t>Cost of products sold, excluding depreciation and</w:t>
            </w: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amortization</w:t>
            </w:r>
          </w:p>
        </w:tc>
      </w:tr>
      <w:tr>
        <w:trPr>
          <w:trHeight w:val="22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r>
      <w:tr>
        <w:trPr>
          <w:trHeight w:val="223"/>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42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March 31, 2023, the Company recorded a loss of $16 ($14, net of tax) in other comprehensive income for certain debt instruments that are designated as hedges of its net investment in a euro-based subsidiary. During the three months ended March 31, 2022, the Company recorded a gain of $17 ($10, net of tax) in other comprehensive income for these net investment hedges. As of March 31, 2023 and December 31, 2022, cumulative gains of $85 ($97, net of tax) and $101 ($111, net of tax), respectively, were recognized in accumulated other comprehensive income related to these net investment hedges and the carrying amount of the hedging instruments were €948 ($1,029) at March 31, 2023.</w:t>
      </w:r>
    </w:p>
    <w:p>
      <w:pPr>
        <w:spacing w:after="0" w:line="219" w:lineRule="exact"/>
        <w:rPr>
          <w:sz w:val="20"/>
          <w:szCs w:val="20"/>
          <w:color w:val="auto"/>
        </w:rPr>
      </w:pPr>
    </w:p>
    <w:p>
      <w:pPr>
        <w:ind w:left="4680" w:right="200" w:hanging="4684"/>
        <w:spacing w:after="0" w:line="259" w:lineRule="auto"/>
        <w:rPr>
          <w:sz w:val="20"/>
          <w:szCs w:val="20"/>
          <w:color w:val="auto"/>
        </w:rPr>
      </w:pPr>
      <w:r>
        <w:rPr>
          <w:rFonts w:ascii="Arial" w:cs="Arial" w:eastAsia="Arial" w:hAnsi="Arial"/>
          <w:sz w:val="18"/>
          <w:szCs w:val="18"/>
          <w:color w:val="auto"/>
        </w:rPr>
        <w:t>The following tables set forth the impact on AOCI from changes in the fair value of derivative instruments designated as net investment hedges. Amount of gain / (loss) recognized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486918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69180" cy="265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color w:val="auto"/>
                <w:w w:val="99"/>
              </w:rPr>
              <w:t>AOCI</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8"/>
                <w:szCs w:val="18"/>
                <w:color w:val="auto"/>
                <w:w w:val="89"/>
              </w:rPr>
              <w:t>Three Months ended March 31,</w:t>
            </w:r>
          </w:p>
        </w:tc>
        <w:tc>
          <w:tcPr>
            <w:tcW w:w="100" w:type="dxa"/>
            <w:vAlign w:val="bottom"/>
            <w:tcBorders>
              <w:bottom w:val="single" w:sz="8" w:color="CCEEFF"/>
            </w:tcBorders>
          </w:tcPr>
          <w:p>
            <w:pPr>
              <w:spacing w:after="0"/>
              <w:rPr>
                <w:sz w:val="19"/>
                <w:szCs w:val="19"/>
                <w:color w:val="auto"/>
              </w:rPr>
            </w:pPr>
          </w:p>
        </w:tc>
      </w:tr>
      <w:tr>
        <w:trPr>
          <w:trHeight w:val="22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r>
      <w:tr>
        <w:trPr>
          <w:trHeight w:val="224"/>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Foreign exchange</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bl>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Gains or losses on net investment hedges remain in accumulated other comprehensive income until disposal of the underlying assets.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Derivative Financial Instruments and Valuation Hierarchy</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 as of March 31, 2023 and December 31, 2022, respectively. The fair values of these financial instruments were reported under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6" w:name="page17"/>
    <w:bookmarkEnd w:id="16"/>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1940" w:type="dxa"/>
            <w:vAlign w:val="bottom"/>
            <w:gridSpan w:val="2"/>
          </w:tcPr>
          <w:p>
            <w:pPr>
              <w:ind w:left="400"/>
              <w:spacing w:after="0"/>
              <w:rPr>
                <w:sz w:val="20"/>
                <w:szCs w:val="20"/>
                <w:color w:val="auto"/>
              </w:rPr>
            </w:pPr>
            <w:r>
              <w:rPr>
                <w:rFonts w:ascii="Arial" w:cs="Arial" w:eastAsia="Arial" w:hAnsi="Arial"/>
                <w:sz w:val="18"/>
                <w:szCs w:val="18"/>
                <w:color w:val="auto"/>
              </w:rPr>
              <w:t>Balance Sheet</w:t>
            </w: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March 31,</w:t>
            </w:r>
          </w:p>
        </w:tc>
        <w:tc>
          <w:tcPr>
            <w:tcW w:w="120" w:type="dxa"/>
            <w:vAlign w:val="bottom"/>
          </w:tcPr>
          <w:p>
            <w:pPr>
              <w:spacing w:after="0"/>
              <w:rPr>
                <w:sz w:val="17"/>
                <w:szCs w:val="17"/>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89"/>
              </w:rPr>
              <w:t>December</w:t>
            </w:r>
          </w:p>
        </w:tc>
        <w:tc>
          <w:tcPr>
            <w:tcW w:w="100" w:type="dxa"/>
            <w:vAlign w:val="bottom"/>
          </w:tcPr>
          <w:p>
            <w:pPr>
              <w:spacing w:after="0"/>
              <w:rPr>
                <w:sz w:val="17"/>
                <w:szCs w:val="17"/>
                <w:color w:val="auto"/>
              </w:rPr>
            </w:pPr>
          </w:p>
        </w:tc>
        <w:tc>
          <w:tcPr>
            <w:tcW w:w="1500" w:type="dxa"/>
            <w:vAlign w:val="bottom"/>
            <w:gridSpan w:val="2"/>
          </w:tcPr>
          <w:p>
            <w:pPr>
              <w:ind w:left="280"/>
              <w:spacing w:after="0"/>
              <w:rPr>
                <w:sz w:val="20"/>
                <w:szCs w:val="20"/>
                <w:color w:val="auto"/>
              </w:rPr>
            </w:pPr>
            <w:r>
              <w:rPr>
                <w:rFonts w:ascii="Arial" w:cs="Arial" w:eastAsia="Arial" w:hAnsi="Arial"/>
                <w:sz w:val="18"/>
                <w:szCs w:val="18"/>
                <w:color w:val="auto"/>
              </w:rPr>
              <w:t>Balance Sheet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4"/>
          </w:tcPr>
          <w:p>
            <w:pPr>
              <w:jc w:val="center"/>
              <w:ind w:right="80"/>
              <w:spacing w:after="0"/>
              <w:rPr>
                <w:sz w:val="20"/>
                <w:szCs w:val="20"/>
                <w:color w:val="auto"/>
              </w:rPr>
            </w:pPr>
            <w:r>
              <w:rPr>
                <w:rFonts w:ascii="Arial" w:cs="Arial" w:eastAsia="Arial" w:hAnsi="Arial"/>
                <w:sz w:val="18"/>
                <w:szCs w:val="18"/>
                <w:color w:val="auto"/>
                <w:w w:val="92"/>
              </w:rPr>
              <w:t>March 31,</w:t>
            </w:r>
          </w:p>
        </w:tc>
        <w:tc>
          <w:tcPr>
            <w:tcW w:w="120" w:type="dxa"/>
            <w:vAlign w:val="bottom"/>
          </w:tcPr>
          <w:p>
            <w:pPr>
              <w:spacing w:after="0"/>
              <w:rPr>
                <w:sz w:val="17"/>
                <w:szCs w:val="17"/>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w w:val="88"/>
              </w:rPr>
              <w:t>December 31,</w:t>
            </w:r>
          </w:p>
        </w:tc>
      </w:tr>
      <w:tr>
        <w:trPr>
          <w:trHeight w:val="237"/>
        </w:trPr>
        <w:tc>
          <w:tcPr>
            <w:tcW w:w="1660" w:type="dxa"/>
            <w:vAlign w:val="bottom"/>
          </w:tcPr>
          <w:p>
            <w:pPr>
              <w:spacing w:after="0"/>
              <w:rPr>
                <w:sz w:val="20"/>
                <w:szCs w:val="20"/>
                <w:color w:val="auto"/>
              </w:rPr>
            </w:pPr>
          </w:p>
        </w:tc>
        <w:tc>
          <w:tcPr>
            <w:tcW w:w="1940" w:type="dxa"/>
            <w:vAlign w:val="bottom"/>
            <w:gridSpan w:val="2"/>
          </w:tcPr>
          <w:p>
            <w:pPr>
              <w:ind w:left="440"/>
              <w:spacing w:after="0"/>
              <w:rPr>
                <w:sz w:val="20"/>
                <w:szCs w:val="20"/>
                <w:color w:val="auto"/>
              </w:rPr>
            </w:pPr>
            <w:r>
              <w:rPr>
                <w:rFonts w:ascii="Arial" w:cs="Arial" w:eastAsia="Arial" w:hAnsi="Arial"/>
                <w:sz w:val="18"/>
                <w:szCs w:val="18"/>
                <w:color w:val="auto"/>
              </w:rPr>
              <w:t>classification</w:t>
            </w:r>
          </w:p>
        </w:tc>
        <w:tc>
          <w:tcPr>
            <w:tcW w:w="12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w w:val="96"/>
              </w:rPr>
              <w:t>31, 2022</w:t>
            </w:r>
          </w:p>
        </w:tc>
        <w:tc>
          <w:tcPr>
            <w:tcW w:w="100" w:type="dxa"/>
            <w:vAlign w:val="bottom"/>
          </w:tcPr>
          <w:p>
            <w:pPr>
              <w:spacing w:after="0"/>
              <w:rPr>
                <w:sz w:val="20"/>
                <w:szCs w:val="20"/>
                <w:color w:val="auto"/>
              </w:rPr>
            </w:pPr>
          </w:p>
        </w:tc>
        <w:tc>
          <w:tcPr>
            <w:tcW w:w="1500" w:type="dxa"/>
            <w:vAlign w:val="bottom"/>
            <w:gridSpan w:val="2"/>
          </w:tcPr>
          <w:p>
            <w:pPr>
              <w:ind w:left="320"/>
              <w:spacing w:after="0"/>
              <w:rPr>
                <w:sz w:val="20"/>
                <w:szCs w:val="20"/>
                <w:color w:val="auto"/>
              </w:rPr>
            </w:pPr>
            <w:r>
              <w:rPr>
                <w:rFonts w:ascii="Arial" w:cs="Arial" w:eastAsia="Arial" w:hAnsi="Arial"/>
                <w:sz w:val="18"/>
                <w:szCs w:val="18"/>
                <w:color w:val="auto"/>
              </w:rPr>
              <w:t>classification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0"/>
                <w:szCs w:val="20"/>
                <w:color w:val="auto"/>
              </w:rPr>
            </w:pPr>
          </w:p>
        </w:tc>
      </w:tr>
      <w:tr>
        <w:trPr>
          <w:trHeight w:val="216"/>
        </w:trPr>
        <w:tc>
          <w:tcPr>
            <w:tcW w:w="16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Derivatives designated</w:t>
            </w:r>
          </w:p>
        </w:tc>
        <w:tc>
          <w:tcPr>
            <w:tcW w:w="18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5"/>
              </w:rPr>
              <w:t>as hedging instruments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r>
      <w:tr>
        <w:trPr>
          <w:trHeight w:val="169"/>
        </w:trPr>
        <w:tc>
          <w:tcPr>
            <w:tcW w:w="1660" w:type="dxa"/>
            <w:vAlign w:val="bottom"/>
          </w:tcPr>
          <w:p>
            <w:pPr>
              <w:ind w:left="20"/>
              <w:spacing w:after="0" w:line="169" w:lineRule="exact"/>
              <w:rPr>
                <w:sz w:val="20"/>
                <w:szCs w:val="20"/>
                <w:color w:val="auto"/>
              </w:rPr>
            </w:pPr>
            <w:r>
              <w:rPr>
                <w:rFonts w:ascii="Arial" w:cs="Arial" w:eastAsia="Arial" w:hAnsi="Arial"/>
                <w:sz w:val="18"/>
                <w:szCs w:val="18"/>
                <w:color w:val="auto"/>
              </w:rPr>
              <w:t>Foreign exchange</w:t>
            </w:r>
          </w:p>
        </w:tc>
        <w:tc>
          <w:tcPr>
            <w:tcW w:w="1840" w:type="dxa"/>
            <w:vAlign w:val="bottom"/>
          </w:tcPr>
          <w:p>
            <w:pPr>
              <w:ind w:left="20"/>
              <w:spacing w:after="0" w:line="169" w:lineRule="exact"/>
              <w:rPr>
                <w:sz w:val="20"/>
                <w:szCs w:val="20"/>
                <w:color w:val="auto"/>
              </w:rPr>
            </w:pPr>
            <w:r>
              <w:rPr>
                <w:rFonts w:ascii="Arial" w:cs="Arial" w:eastAsia="Arial" w:hAnsi="Arial"/>
                <w:sz w:val="18"/>
                <w:szCs w:val="18"/>
                <w:color w:val="auto"/>
              </w:rPr>
              <w:t>Prepaid expenses and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43"/>
        </w:trPr>
        <w:tc>
          <w:tcPr>
            <w:tcW w:w="1660" w:type="dxa"/>
            <w:vAlign w:val="bottom"/>
          </w:tcPr>
          <w:p>
            <w:pPr>
              <w:ind w:left="20"/>
              <w:spacing w:after="0"/>
              <w:rPr>
                <w:sz w:val="20"/>
                <w:szCs w:val="20"/>
                <w:color w:val="auto"/>
              </w:rPr>
            </w:pPr>
            <w:r>
              <w:rPr>
                <w:rFonts w:ascii="Arial" w:cs="Arial" w:eastAsia="Arial" w:hAnsi="Arial"/>
                <w:sz w:val="18"/>
                <w:szCs w:val="18"/>
                <w:color w:val="auto"/>
              </w:rPr>
              <w:t>contracts cash flow</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176"/>
        </w:trPr>
        <w:tc>
          <w:tcPr>
            <w:tcW w:w="16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r>
      <w:tr>
        <w:trPr>
          <w:trHeight w:val="243"/>
        </w:trPr>
        <w:tc>
          <w:tcPr>
            <w:tcW w:w="166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Other non-current assets</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1660" w:type="dxa"/>
            <w:vAlign w:val="bottom"/>
          </w:tcPr>
          <w:p>
            <w:pPr>
              <w:ind w:left="20"/>
              <w:spacing w:after="0" w:line="176" w:lineRule="exact"/>
              <w:rPr>
                <w:sz w:val="20"/>
                <w:szCs w:val="20"/>
                <w:color w:val="auto"/>
              </w:rPr>
            </w:pPr>
            <w:r>
              <w:rPr>
                <w:rFonts w:ascii="Arial" w:cs="Arial" w:eastAsia="Arial" w:hAnsi="Arial"/>
                <w:sz w:val="18"/>
                <w:szCs w:val="18"/>
                <w:color w:val="auto"/>
              </w:rPr>
              <w:t>Foreign exchange</w:t>
            </w: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Prepaid expenses and</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43"/>
        </w:trPr>
        <w:tc>
          <w:tcPr>
            <w:tcW w:w="1660" w:type="dxa"/>
            <w:vAlign w:val="bottom"/>
          </w:tcPr>
          <w:p>
            <w:pPr>
              <w:ind w:left="20"/>
              <w:spacing w:after="0"/>
              <w:rPr>
                <w:sz w:val="20"/>
                <w:szCs w:val="20"/>
                <w:color w:val="auto"/>
              </w:rPr>
            </w:pPr>
            <w:r>
              <w:rPr>
                <w:rFonts w:ascii="Arial" w:cs="Arial" w:eastAsia="Arial" w:hAnsi="Arial"/>
                <w:sz w:val="18"/>
                <w:szCs w:val="18"/>
                <w:color w:val="auto"/>
              </w:rPr>
              <w:t>contracts fair value</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175"/>
        </w:trPr>
        <w:tc>
          <w:tcPr>
            <w:tcW w:w="1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Commodities</w:t>
            </w: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Prepaid expenses and</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r>
      <w:tr>
        <w:trPr>
          <w:trHeight w:val="243"/>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cash flow</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175"/>
        </w:trPr>
        <w:tc>
          <w:tcPr>
            <w:tcW w:w="1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43"/>
        </w:trPr>
        <w:tc>
          <w:tcPr>
            <w:tcW w:w="1660" w:type="dxa"/>
            <w:vAlign w:val="bottom"/>
          </w:tcPr>
          <w:p>
            <w:pPr>
              <w:spacing w:after="0"/>
              <w:rPr>
                <w:sz w:val="21"/>
                <w:szCs w:val="21"/>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color w:val="auto"/>
                <w:w w:val="95"/>
              </w:rPr>
              <w:t>Other non-current assets</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1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Net investment hedge</w:t>
            </w: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r>
      <w:tr>
        <w:trPr>
          <w:trHeight w:val="243"/>
        </w:trPr>
        <w:tc>
          <w:tcPr>
            <w:tcW w:w="166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Other non-current assets</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6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w:t>
            </w:r>
          </w:p>
        </w:tc>
      </w:tr>
      <w:tr>
        <w:trPr>
          <w:trHeight w:val="155"/>
        </w:trPr>
        <w:tc>
          <w:tcPr>
            <w:tcW w:w="360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8"/>
                <w:szCs w:val="18"/>
                <w:color w:val="auto"/>
              </w:rPr>
              <w:t>Derivatives not designated as hedging</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243"/>
        </w:trPr>
        <w:tc>
          <w:tcPr>
            <w:tcW w:w="1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18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169"/>
        </w:trPr>
        <w:tc>
          <w:tcPr>
            <w:tcW w:w="1660" w:type="dxa"/>
            <w:vAlign w:val="bottom"/>
          </w:tcPr>
          <w:p>
            <w:pPr>
              <w:ind w:left="20"/>
              <w:spacing w:after="0" w:line="169" w:lineRule="exact"/>
              <w:rPr>
                <w:sz w:val="20"/>
                <w:szCs w:val="20"/>
                <w:color w:val="auto"/>
              </w:rPr>
            </w:pPr>
            <w:r>
              <w:rPr>
                <w:rFonts w:ascii="Arial" w:cs="Arial" w:eastAsia="Arial" w:hAnsi="Arial"/>
                <w:sz w:val="18"/>
                <w:szCs w:val="18"/>
                <w:color w:val="auto"/>
              </w:rPr>
              <w:t>Foreign exchange</w:t>
            </w:r>
          </w:p>
        </w:tc>
        <w:tc>
          <w:tcPr>
            <w:tcW w:w="1840" w:type="dxa"/>
            <w:vAlign w:val="bottom"/>
          </w:tcPr>
          <w:p>
            <w:pPr>
              <w:ind w:left="20"/>
              <w:spacing w:after="0" w:line="169" w:lineRule="exact"/>
              <w:rPr>
                <w:sz w:val="20"/>
                <w:szCs w:val="20"/>
                <w:color w:val="auto"/>
              </w:rPr>
            </w:pPr>
            <w:r>
              <w:rPr>
                <w:rFonts w:ascii="Arial" w:cs="Arial" w:eastAsia="Arial" w:hAnsi="Arial"/>
                <w:sz w:val="18"/>
                <w:szCs w:val="18"/>
                <w:color w:val="auto"/>
              </w:rPr>
              <w:t>Prepaid expenses and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43"/>
        </w:trPr>
        <w:tc>
          <w:tcPr>
            <w:tcW w:w="1660" w:type="dxa"/>
            <w:vAlign w:val="bottom"/>
          </w:tcPr>
          <w:p>
            <w:pPr>
              <w:ind w:left="20"/>
              <w:spacing w:after="0"/>
              <w:rPr>
                <w:sz w:val="20"/>
                <w:szCs w:val="20"/>
                <w:color w:val="auto"/>
              </w:rPr>
            </w:pPr>
            <w:r>
              <w:rPr>
                <w:rFonts w:ascii="Arial" w:cs="Arial" w:eastAsia="Arial" w:hAnsi="Arial"/>
                <w:sz w:val="18"/>
                <w:szCs w:val="18"/>
                <w:color w:val="auto"/>
              </w:rPr>
              <w:t>contracts</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1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18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1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80" w:type="dxa"/>
            <w:vAlign w:val="bottom"/>
            <w:gridSpan w:val="10"/>
          </w:tcPr>
          <w:p>
            <w:pPr>
              <w:jc w:val="center"/>
              <w:ind w:right="190"/>
              <w:spacing w:after="0"/>
              <w:rPr>
                <w:sz w:val="20"/>
                <w:szCs w:val="20"/>
                <w:color w:val="auto"/>
              </w:rPr>
            </w:pPr>
            <w:r>
              <w:rPr>
                <w:rFonts w:ascii="Arial" w:cs="Arial" w:eastAsia="Arial" w:hAnsi="Arial"/>
                <w:sz w:val="18"/>
                <w:szCs w:val="18"/>
                <w:color w:val="auto"/>
                <w:w w:val="88"/>
              </w:rPr>
              <w:t>Carrying amount of the hedged assets /</w:t>
            </w:r>
          </w:p>
        </w:tc>
      </w:tr>
      <w:tr>
        <w:trPr>
          <w:trHeight w:val="237"/>
        </w:trPr>
        <w:tc>
          <w:tcPr>
            <w:tcW w:w="1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color w:val="auto"/>
                <w:w w:val="96"/>
              </w:rPr>
              <w:t>liabilities</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175"/>
        </w:trPr>
        <w:tc>
          <w:tcPr>
            <w:tcW w:w="1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40" w:type="dxa"/>
            <w:vAlign w:val="bottom"/>
            <w:gridSpan w:val="4"/>
          </w:tcPr>
          <w:p>
            <w:pPr>
              <w:jc w:val="center"/>
              <w:spacing w:after="0" w:line="176" w:lineRule="exact"/>
              <w:rPr>
                <w:sz w:val="20"/>
                <w:szCs w:val="20"/>
                <w:color w:val="auto"/>
              </w:rPr>
            </w:pPr>
            <w:r>
              <w:rPr>
                <w:rFonts w:ascii="Arial" w:cs="Arial" w:eastAsia="Arial" w:hAnsi="Arial"/>
                <w:sz w:val="18"/>
                <w:szCs w:val="18"/>
                <w:color w:val="auto"/>
                <w:w w:val="92"/>
              </w:rPr>
              <w:t>March 31,</w:t>
            </w:r>
          </w:p>
        </w:tc>
        <w:tc>
          <w:tcPr>
            <w:tcW w:w="520" w:type="dxa"/>
            <w:vAlign w:val="bottom"/>
          </w:tcPr>
          <w:p>
            <w:pPr>
              <w:spacing w:after="0"/>
              <w:rPr>
                <w:sz w:val="15"/>
                <w:szCs w:val="15"/>
                <w:color w:val="auto"/>
              </w:rPr>
            </w:pPr>
          </w:p>
        </w:tc>
        <w:tc>
          <w:tcPr>
            <w:tcW w:w="1320" w:type="dxa"/>
            <w:vAlign w:val="bottom"/>
            <w:gridSpan w:val="4"/>
          </w:tcPr>
          <w:p>
            <w:pPr>
              <w:jc w:val="right"/>
              <w:ind w:right="70"/>
              <w:spacing w:after="0" w:line="176" w:lineRule="exact"/>
              <w:rPr>
                <w:sz w:val="20"/>
                <w:szCs w:val="20"/>
                <w:color w:val="auto"/>
              </w:rPr>
            </w:pPr>
            <w:r>
              <w:rPr>
                <w:rFonts w:ascii="Arial" w:cs="Arial" w:eastAsia="Arial" w:hAnsi="Arial"/>
                <w:sz w:val="18"/>
                <w:szCs w:val="18"/>
                <w:color w:val="auto"/>
              </w:rPr>
              <w:t>December 31,</w:t>
            </w:r>
          </w:p>
        </w:tc>
        <w:tc>
          <w:tcPr>
            <w:tcW w:w="300" w:type="dxa"/>
            <w:vAlign w:val="bottom"/>
          </w:tcPr>
          <w:p>
            <w:pPr>
              <w:spacing w:after="0"/>
              <w:rPr>
                <w:sz w:val="15"/>
                <w:szCs w:val="15"/>
                <w:color w:val="auto"/>
              </w:rPr>
            </w:pPr>
          </w:p>
        </w:tc>
      </w:tr>
      <w:tr>
        <w:trPr>
          <w:trHeight w:val="243"/>
        </w:trPr>
        <w:tc>
          <w:tcPr>
            <w:tcW w:w="570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color w:val="auto"/>
              </w:rPr>
              <w:t>Line item in the Balance Sheet in which the hedged item is included</w:t>
            </w: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2022</w:t>
            </w:r>
          </w:p>
        </w:tc>
        <w:tc>
          <w:tcPr>
            <w:tcW w:w="300" w:type="dxa"/>
            <w:vAlign w:val="bottom"/>
          </w:tcPr>
          <w:p>
            <w:pPr>
              <w:spacing w:after="0"/>
              <w:rPr>
                <w:sz w:val="21"/>
                <w:szCs w:val="21"/>
                <w:color w:val="auto"/>
              </w:rPr>
            </w:pPr>
          </w:p>
        </w:tc>
      </w:tr>
      <w:tr>
        <w:trPr>
          <w:trHeight w:val="223"/>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r>
      <w:tr>
        <w:trPr>
          <w:trHeight w:val="230"/>
        </w:trPr>
        <w:tc>
          <w:tcPr>
            <w:tcW w:w="166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r>
      <w:tr>
        <w:trPr>
          <w:trHeight w:val="230"/>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9"/>
                <w:szCs w:val="19"/>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2023 and December 31, 2022, the cumulative amounts of fair value hedging adjustments included in the carrying amount of the hedged assets and liabilities were a net gains of $3 and $1,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Offsetting of Derivative Assets and Liabilities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within the statement of financial position. In the table below, the aggregate fair values of the Company's derivative assets and liabilities are presented on both a gross and net basis, where appropriate.</w:t>
      </w: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780" w:type="dxa"/>
            <w:vAlign w:val="bottom"/>
          </w:tcPr>
          <w:p>
            <w:pPr>
              <w:jc w:val="center"/>
              <w:ind w:left="410"/>
              <w:spacing w:after="0" w:line="200" w:lineRule="exact"/>
              <w:rPr>
                <w:sz w:val="20"/>
                <w:szCs w:val="20"/>
                <w:color w:val="auto"/>
              </w:rPr>
            </w:pPr>
            <w:r>
              <w:rPr>
                <w:rFonts w:ascii="Arial" w:cs="Arial" w:eastAsia="Arial" w:hAnsi="Arial"/>
                <w:sz w:val="18"/>
                <w:szCs w:val="18"/>
                <w:color w:val="auto"/>
                <w:w w:val="88"/>
              </w:rPr>
              <w:t>Gross amounts recognized in</w:t>
            </w:r>
          </w:p>
        </w:tc>
        <w:tc>
          <w:tcPr>
            <w:tcW w:w="2540" w:type="dxa"/>
            <w:vAlign w:val="bottom"/>
          </w:tcPr>
          <w:p>
            <w:pPr>
              <w:jc w:val="center"/>
              <w:ind w:right="30"/>
              <w:spacing w:after="0" w:line="200" w:lineRule="exact"/>
              <w:rPr>
                <w:sz w:val="20"/>
                <w:szCs w:val="20"/>
                <w:color w:val="auto"/>
              </w:rPr>
            </w:pPr>
            <w:r>
              <w:rPr>
                <w:rFonts w:ascii="Arial" w:cs="Arial" w:eastAsia="Arial" w:hAnsi="Arial"/>
                <w:sz w:val="18"/>
                <w:szCs w:val="18"/>
                <w:color w:val="auto"/>
                <w:w w:val="90"/>
              </w:rPr>
              <w:t>Gross amounts not offset in the</w:t>
            </w:r>
          </w:p>
        </w:tc>
        <w:tc>
          <w:tcPr>
            <w:tcW w:w="1420" w:type="dxa"/>
            <w:vAlign w:val="bottom"/>
          </w:tcPr>
          <w:p>
            <w:pPr>
              <w:spacing w:after="0"/>
              <w:rPr>
                <w:sz w:val="17"/>
                <w:szCs w:val="17"/>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86"/>
              </w:rPr>
              <w:t>the Balance Sheet</w:t>
            </w:r>
          </w:p>
        </w:tc>
        <w:tc>
          <w:tcPr>
            <w:tcW w:w="25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Balance Sheet</w:t>
            </w:r>
          </w:p>
        </w:tc>
        <w:tc>
          <w:tcPr>
            <w:tcW w:w="1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amount</w:t>
            </w:r>
          </w:p>
        </w:tc>
      </w:tr>
      <w:tr>
        <w:trPr>
          <w:trHeight w:val="183"/>
        </w:trPr>
        <w:tc>
          <w:tcPr>
            <w:tcW w:w="20" w:type="dxa"/>
            <w:vAlign w:val="bottom"/>
          </w:tcPr>
          <w:p>
            <w:pPr>
              <w:spacing w:after="0"/>
              <w:rPr>
                <w:sz w:val="15"/>
                <w:szCs w:val="15"/>
                <w:color w:val="auto"/>
              </w:rPr>
            </w:pPr>
          </w:p>
        </w:tc>
        <w:tc>
          <w:tcPr>
            <w:tcW w:w="2800" w:type="dxa"/>
            <w:vAlign w:val="bottom"/>
            <w:gridSpan w:val="3"/>
          </w:tcPr>
          <w:p>
            <w:pPr>
              <w:spacing w:after="0" w:line="182" w:lineRule="exact"/>
              <w:rPr>
                <w:sz w:val="20"/>
                <w:szCs w:val="20"/>
                <w:color w:val="auto"/>
              </w:rPr>
            </w:pPr>
            <w:r>
              <w:rPr>
                <w:rFonts w:ascii="Arial" w:cs="Arial" w:eastAsia="Arial" w:hAnsi="Arial"/>
                <w:sz w:val="18"/>
                <w:szCs w:val="18"/>
                <w:color w:val="auto"/>
              </w:rPr>
              <w:t>Balance at March 31, 2023</w:t>
            </w:r>
          </w:p>
        </w:tc>
        <w:tc>
          <w:tcPr>
            <w:tcW w:w="27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7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9"/>
              </w:rPr>
              <w:t>$106</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6"/>
              </w:rPr>
              <w:t>$27</w:t>
            </w:r>
          </w:p>
        </w:tc>
        <w:tc>
          <w:tcPr>
            <w:tcW w:w="14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3"/>
              </w:rPr>
              <w:t>$79</w:t>
            </w:r>
          </w:p>
        </w:tc>
      </w:tr>
      <w:tr>
        <w:trPr>
          <w:trHeight w:val="230"/>
        </w:trPr>
        <w:tc>
          <w:tcPr>
            <w:tcW w:w="20" w:type="dxa"/>
            <w:vAlign w:val="bottom"/>
          </w:tcPr>
          <w:p>
            <w:pPr>
              <w:spacing w:after="0"/>
              <w:rPr>
                <w:sz w:val="19"/>
                <w:szCs w:val="19"/>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780" w:type="dxa"/>
            <w:vAlign w:val="bottom"/>
          </w:tcPr>
          <w:p>
            <w:pPr>
              <w:jc w:val="center"/>
              <w:ind w:left="390"/>
              <w:spacing w:after="0"/>
              <w:rPr>
                <w:sz w:val="20"/>
                <w:szCs w:val="20"/>
                <w:color w:val="auto"/>
              </w:rPr>
            </w:pPr>
            <w:r>
              <w:rPr>
                <w:rFonts w:ascii="Arial" w:cs="Arial" w:eastAsia="Arial" w:hAnsi="Arial"/>
                <w:sz w:val="18"/>
                <w:szCs w:val="18"/>
                <w:color w:val="auto"/>
                <w:w w:val="89"/>
              </w:rPr>
              <w:t>31</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9"/>
              </w:rPr>
              <w:t>27</w:t>
            </w: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79"/>
              </w:rPr>
              <w:t>4</w:t>
            </w:r>
          </w:p>
        </w:tc>
      </w:tr>
      <w:tr>
        <w:trPr>
          <w:trHeight w:val="270"/>
        </w:trPr>
        <w:tc>
          <w:tcPr>
            <w:tcW w:w="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78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2800" w:type="dxa"/>
            <w:vAlign w:val="bottom"/>
            <w:gridSpan w:val="3"/>
          </w:tcPr>
          <w:p>
            <w:pPr>
              <w:spacing w:after="0" w:line="189" w:lineRule="exact"/>
              <w:rPr>
                <w:sz w:val="20"/>
                <w:szCs w:val="20"/>
                <w:color w:val="auto"/>
              </w:rPr>
            </w:pPr>
            <w:r>
              <w:rPr>
                <w:rFonts w:ascii="Arial" w:cs="Arial" w:eastAsia="Arial" w:hAnsi="Arial"/>
                <w:sz w:val="18"/>
                <w:szCs w:val="18"/>
                <w:color w:val="auto"/>
              </w:rPr>
              <w:t>Balance at December 31, 2022</w:t>
            </w:r>
          </w:p>
        </w:tc>
        <w:tc>
          <w:tcPr>
            <w:tcW w:w="2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78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6"/>
              </w:rPr>
              <w:t>117</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13</w:t>
            </w:r>
          </w:p>
        </w:tc>
        <w:tc>
          <w:tcPr>
            <w:tcW w:w="14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3"/>
              </w:rPr>
              <w:t>104</w:t>
            </w:r>
          </w:p>
        </w:tc>
      </w:tr>
      <w:tr>
        <w:trPr>
          <w:trHeight w:val="230"/>
        </w:trPr>
        <w:tc>
          <w:tcPr>
            <w:tcW w:w="20" w:type="dxa"/>
            <w:vAlign w:val="bottom"/>
          </w:tcPr>
          <w:p>
            <w:pPr>
              <w:spacing w:after="0"/>
              <w:rPr>
                <w:sz w:val="20"/>
                <w:szCs w:val="20"/>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780" w:type="dxa"/>
            <w:vAlign w:val="bottom"/>
          </w:tcPr>
          <w:p>
            <w:pPr>
              <w:jc w:val="center"/>
              <w:ind w:left="390"/>
              <w:spacing w:after="0"/>
              <w:rPr>
                <w:sz w:val="20"/>
                <w:szCs w:val="20"/>
                <w:color w:val="auto"/>
              </w:rPr>
            </w:pPr>
            <w:r>
              <w:rPr>
                <w:rFonts w:ascii="Arial" w:cs="Arial" w:eastAsia="Arial" w:hAnsi="Arial"/>
                <w:sz w:val="18"/>
                <w:szCs w:val="18"/>
                <w:color w:val="auto"/>
                <w:w w:val="89"/>
              </w:rPr>
              <w:t>35</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9"/>
              </w:rPr>
              <w:t>13</w:t>
            </w: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89"/>
              </w:rPr>
              <w:t>22</w:t>
            </w:r>
          </w:p>
        </w:tc>
      </w:tr>
    </w:tbl>
    <w:p>
      <w:pPr>
        <w:spacing w:after="0" w:line="200" w:lineRule="exact"/>
        <w:rPr>
          <w:sz w:val="20"/>
          <w:szCs w:val="20"/>
          <w:color w:val="auto"/>
        </w:rPr>
      </w:pP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Notional Values of Outstanding Derivative Instruments</w:t>
      </w:r>
    </w:p>
    <w:p>
      <w:pPr>
        <w:spacing w:after="0" w:line="252"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The aggregate U.S. dollar-equivalent notional values of outstanding derivative instruments in the Consolidated Balance Sheets at March 31, 2023 and December 31, 2022 were: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2"/>
          </w:tcPr>
          <w:p>
            <w:pPr>
              <w:ind w:left="100"/>
              <w:spacing w:after="0"/>
              <w:rPr>
                <w:sz w:val="20"/>
                <w:szCs w:val="20"/>
                <w:color w:val="auto"/>
              </w:rPr>
            </w:pPr>
            <w:r>
              <w:rPr>
                <w:rFonts w:ascii="Arial" w:cs="Arial" w:eastAsia="Arial" w:hAnsi="Arial"/>
                <w:sz w:val="18"/>
                <w:szCs w:val="18"/>
                <w:color w:val="auto"/>
              </w:rPr>
              <w:t>March 31, 2023</w:t>
            </w:r>
          </w:p>
        </w:tc>
        <w:tc>
          <w:tcPr>
            <w:tcW w:w="120" w:type="dxa"/>
            <w:vAlign w:val="bottom"/>
          </w:tcPr>
          <w:p>
            <w:pPr>
              <w:spacing w:after="0"/>
              <w:rPr>
                <w:sz w:val="20"/>
                <w:szCs w:val="20"/>
                <w:color w:val="auto"/>
              </w:rPr>
            </w:pPr>
          </w:p>
        </w:tc>
        <w:tc>
          <w:tcPr>
            <w:tcW w:w="2600" w:type="dxa"/>
            <w:vAlign w:val="bottom"/>
            <w:gridSpan w:val="2"/>
          </w:tcPr>
          <w:p>
            <w:pPr>
              <w:ind w:left="40"/>
              <w:spacing w:after="0"/>
              <w:rPr>
                <w:sz w:val="20"/>
                <w:szCs w:val="20"/>
                <w:color w:val="auto"/>
              </w:rPr>
            </w:pPr>
            <w:r>
              <w:rPr>
                <w:rFonts w:ascii="Arial" w:cs="Arial" w:eastAsia="Arial" w:hAnsi="Arial"/>
                <w:sz w:val="18"/>
                <w:szCs w:val="18"/>
                <w:color w:val="auto"/>
              </w:rPr>
              <w:t>December 31, 2022</w:t>
            </w:r>
          </w:p>
        </w:tc>
      </w:tr>
      <w:tr>
        <w:trPr>
          <w:trHeight w:val="209"/>
        </w:trPr>
        <w:tc>
          <w:tcPr>
            <w:tcW w:w="66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cash flow hedges:</w:t>
            </w: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Foreign exchange</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84</w:t>
            </w:r>
          </w:p>
        </w:tc>
        <w:tc>
          <w:tcPr>
            <w:tcW w:w="9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287</w:t>
            </w:r>
          </w:p>
        </w:tc>
        <w:tc>
          <w:tcPr>
            <w:tcW w:w="100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Commodities</w:t>
            </w: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Derivatives designated as fair value hedges: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Derivatives not designated as hedges: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0" w:type="dxa"/>
            <w:vAlign w:val="bottom"/>
          </w:tcPr>
          <w:p>
            <w:pPr>
              <w:spacing w:after="0"/>
              <w:rPr>
                <w:sz w:val="19"/>
                <w:szCs w:val="19"/>
                <w:color w:val="auto"/>
              </w:rPr>
            </w:pPr>
          </w:p>
        </w:tc>
      </w:tr>
      <w:tr>
        <w:trPr>
          <w:trHeight w:val="864"/>
        </w:trPr>
        <w:tc>
          <w:tcPr>
            <w:tcW w:w="6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gridSpan w:val="4"/>
          </w:tcPr>
          <w:p>
            <w:pPr>
              <w:spacing w:after="0"/>
              <w:rPr>
                <w:sz w:val="20"/>
                <w:szCs w:val="20"/>
                <w:color w:val="auto"/>
              </w:rPr>
            </w:pPr>
            <w:r>
              <w:rPr>
                <w:rFonts w:ascii="Arial" w:cs="Arial" w:eastAsia="Arial" w:hAnsi="Arial"/>
                <w:sz w:val="18"/>
                <w:szCs w:val="18"/>
                <w:b w:val="1"/>
                <w:bCs w:val="1"/>
                <w:color w:val="auto"/>
              </w:rPr>
              <w:t>K.  Debt</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520"/>
        </w:trPr>
        <w:tc>
          <w:tcPr>
            <w:tcW w:w="3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ind w:left="500"/>
              <w:spacing w:after="0"/>
              <w:rPr>
                <w:sz w:val="20"/>
                <w:szCs w:val="20"/>
                <w:color w:val="auto"/>
              </w:rPr>
            </w:pPr>
            <w:r>
              <w:rPr>
                <w:rFonts w:ascii="Arial" w:cs="Arial" w:eastAsia="Arial" w:hAnsi="Arial"/>
                <w:sz w:val="18"/>
                <w:szCs w:val="18"/>
                <w:color w:val="auto"/>
              </w:rPr>
              <w:t>March 31, 2023</w:t>
            </w:r>
          </w:p>
        </w:tc>
        <w:tc>
          <w:tcPr>
            <w:tcW w:w="120" w:type="dxa"/>
            <w:vAlign w:val="bottom"/>
          </w:tcPr>
          <w:p>
            <w:pPr>
              <w:spacing w:after="0"/>
              <w:rPr>
                <w:sz w:val="24"/>
                <w:szCs w:val="24"/>
                <w:color w:val="auto"/>
              </w:rPr>
            </w:pPr>
          </w:p>
        </w:tc>
        <w:tc>
          <w:tcPr>
            <w:tcW w:w="2280" w:type="dxa"/>
            <w:vAlign w:val="bottom"/>
            <w:gridSpan w:val="4"/>
          </w:tcPr>
          <w:p>
            <w:pPr>
              <w:jc w:val="right"/>
              <w:ind w:right="410"/>
              <w:spacing w:after="0"/>
              <w:rPr>
                <w:sz w:val="20"/>
                <w:szCs w:val="20"/>
                <w:color w:val="auto"/>
              </w:rPr>
            </w:pPr>
            <w:r>
              <w:rPr>
                <w:rFonts w:ascii="Arial" w:cs="Arial" w:eastAsia="Arial" w:hAnsi="Arial"/>
                <w:sz w:val="18"/>
                <w:szCs w:val="18"/>
                <w:color w:val="auto"/>
              </w:rPr>
              <w:t>December 31, 2022</w:t>
            </w:r>
          </w:p>
        </w:tc>
      </w:tr>
      <w:tr>
        <w:trPr>
          <w:trHeight w:val="222"/>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2"/>
              </w:rPr>
              <w:t>Principal</w:t>
            </w: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4"/>
              </w:rPr>
              <w:t>Carrying</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2"/>
              </w:rPr>
              <w:t>Principal</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Carrying</w:t>
            </w:r>
          </w:p>
        </w:tc>
      </w:tr>
      <w:tr>
        <w:trPr>
          <w:trHeight w:val="230"/>
        </w:trPr>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outstanding</w:t>
            </w:r>
          </w:p>
        </w:tc>
        <w:tc>
          <w:tcPr>
            <w:tcW w:w="160" w:type="dxa"/>
            <w:vAlign w:val="bottom"/>
          </w:tcPr>
          <w:p>
            <w:pPr>
              <w:spacing w:after="0"/>
              <w:rPr>
                <w:sz w:val="20"/>
                <w:szCs w:val="20"/>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amount</w:t>
            </w: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outstanding</w:t>
            </w:r>
          </w:p>
        </w:tc>
        <w:tc>
          <w:tcPr>
            <w:tcW w:w="14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amount</w:t>
            </w:r>
          </w:p>
        </w:tc>
      </w:tr>
      <w:tr>
        <w:trPr>
          <w:trHeight w:val="203"/>
        </w:trPr>
        <w:tc>
          <w:tcPr>
            <w:tcW w:w="380" w:type="dxa"/>
            <w:vAlign w:val="bottom"/>
          </w:tcPr>
          <w:p>
            <w:pPr>
              <w:spacing w:after="0"/>
              <w:rPr>
                <w:sz w:val="17"/>
                <w:szCs w:val="17"/>
                <w:color w:val="auto"/>
              </w:rPr>
            </w:pPr>
          </w:p>
        </w:tc>
        <w:tc>
          <w:tcPr>
            <w:tcW w:w="360" w:type="dxa"/>
            <w:vAlign w:val="bottom"/>
            <w:tcBorders>
              <w:right w:val="single" w:sz="8" w:color="CCEEFF"/>
            </w:tcBorders>
          </w:tcPr>
          <w:p>
            <w:pPr>
              <w:spacing w:after="0"/>
              <w:rPr>
                <w:sz w:val="17"/>
                <w:szCs w:val="17"/>
                <w:color w:val="auto"/>
              </w:rPr>
            </w:pPr>
          </w:p>
        </w:tc>
        <w:tc>
          <w:tcPr>
            <w:tcW w:w="4520" w:type="dxa"/>
            <w:vAlign w:val="bottom"/>
            <w:tcBorders>
              <w:top w:val="single" w:sz="8" w:color="CCEEFF"/>
            </w:tcBorders>
            <w:gridSpan w:val="2"/>
            <w:shd w:val="clear" w:color="auto" w:fill="CCEEFF"/>
          </w:tcPr>
          <w:p>
            <w:pPr>
              <w:spacing w:after="0" w:line="149" w:lineRule="exact"/>
              <w:rPr>
                <w:sz w:val="20"/>
                <w:szCs w:val="20"/>
                <w:color w:val="auto"/>
              </w:rPr>
            </w:pPr>
            <w:r>
              <w:rPr>
                <w:rFonts w:ascii="Arial" w:cs="Arial" w:eastAsia="Arial" w:hAnsi="Arial"/>
                <w:sz w:val="17"/>
                <w:szCs w:val="17"/>
                <w:color w:val="auto"/>
              </w:rPr>
              <w:t>Short-term debt</w:t>
            </w: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163</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163</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76</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76</w:t>
            </w:r>
          </w:p>
        </w:tc>
      </w:tr>
      <w:tr>
        <w:trPr>
          <w:trHeight w:val="257"/>
        </w:trPr>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34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r>
      <w:tr>
        <w:trPr>
          <w:trHeight w:val="209"/>
        </w:trPr>
        <w:tc>
          <w:tcPr>
            <w:tcW w:w="380" w:type="dxa"/>
            <w:vAlign w:val="bottom"/>
          </w:tcPr>
          <w:p>
            <w:pPr>
              <w:spacing w:after="0"/>
              <w:rPr>
                <w:sz w:val="18"/>
                <w:szCs w:val="18"/>
                <w:color w:val="auto"/>
              </w:rPr>
            </w:pPr>
          </w:p>
        </w:tc>
        <w:tc>
          <w:tcPr>
            <w:tcW w:w="360" w:type="dxa"/>
            <w:vAlign w:val="bottom"/>
            <w:tcBorders>
              <w:right w:val="single" w:sz="8" w:color="CCEEFF"/>
            </w:tcBorders>
          </w:tcPr>
          <w:p>
            <w:pPr>
              <w:spacing w:after="0"/>
              <w:rPr>
                <w:sz w:val="18"/>
                <w:szCs w:val="18"/>
                <w:color w:val="auto"/>
              </w:rPr>
            </w:pPr>
          </w:p>
        </w:tc>
        <w:tc>
          <w:tcPr>
            <w:tcW w:w="10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5"/>
              </w:rPr>
              <w:t>Long-term debt</w:t>
            </w:r>
          </w:p>
        </w:tc>
        <w:tc>
          <w:tcPr>
            <w:tcW w:w="3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30"/>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Senior secured borrowings: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4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Revolving credit facilities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Term loan facilities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45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U.S. dollar due 2027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20" w:type="dxa"/>
            <w:vAlign w:val="bottom"/>
            <w:gridSpan w:val="2"/>
          </w:tcPr>
          <w:p>
            <w:pPr>
              <w:ind w:left="580"/>
              <w:spacing w:after="0" w:line="230" w:lineRule="exact"/>
              <w:rPr>
                <w:sz w:val="20"/>
                <w:szCs w:val="20"/>
                <w:color w:val="auto"/>
              </w:rPr>
            </w:pPr>
            <w:r>
              <w:rPr>
                <w:rFonts w:ascii="Arial" w:cs="Arial" w:eastAsia="Arial" w:hAnsi="Arial"/>
                <w:sz w:val="18"/>
                <w:szCs w:val="18"/>
                <w:color w:val="auto"/>
              </w:rPr>
              <w:t>Euro due 2027</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586</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30"/>
        </w:trPr>
        <w:tc>
          <w:tcPr>
            <w:tcW w:w="38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€600 at 2.625% due 2024</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29"/>
        </w:trPr>
        <w:tc>
          <w:tcPr>
            <w:tcW w:w="38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4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€600 at 3.375% due 2025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30"/>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U.S. dollar at 4.25% due 2026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29"/>
        </w:trPr>
        <w:tc>
          <w:tcPr>
            <w:tcW w:w="38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4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U.S. dollar at 4.75% due 2026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30"/>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U.S. dollar at 7.375% due 2026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29"/>
        </w:trPr>
        <w:tc>
          <w:tcPr>
            <w:tcW w:w="38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4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€500 at 2.875% due 2026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U.S. dollar at 5.25% due 2030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30"/>
        </w:trPr>
        <w:tc>
          <w:tcPr>
            <w:tcW w:w="38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4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U.S. dollar at 7.50% due 2096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indebtedness in various currencies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r>
      <w:tr>
        <w:trPr>
          <w:trHeight w:val="223"/>
        </w:trPr>
        <w:tc>
          <w:tcPr>
            <w:tcW w:w="38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45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Total long-term debt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7,170</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r>
      <w:tr>
        <w:trPr>
          <w:trHeight w:val="230"/>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maturities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48"/>
        </w:trPr>
        <w:tc>
          <w:tcPr>
            <w:tcW w:w="380" w:type="dxa"/>
            <w:vAlign w:val="bottom"/>
          </w:tcPr>
          <w:p>
            <w:pPr>
              <w:spacing w:after="0"/>
              <w:rPr>
                <w:sz w:val="21"/>
                <w:szCs w:val="21"/>
                <w:color w:val="auto"/>
              </w:rPr>
            </w:pPr>
          </w:p>
        </w:tc>
        <w:tc>
          <w:tcPr>
            <w:tcW w:w="360" w:type="dxa"/>
            <w:vAlign w:val="bottom"/>
            <w:tcBorders>
              <w:right w:val="single" w:sz="8" w:color="CCEEFF"/>
            </w:tcBorders>
          </w:tcPr>
          <w:p>
            <w:pPr>
              <w:spacing w:after="0"/>
              <w:rPr>
                <w:sz w:val="21"/>
                <w:szCs w:val="21"/>
                <w:color w:val="auto"/>
              </w:rPr>
            </w:pPr>
          </w:p>
        </w:tc>
        <w:tc>
          <w:tcPr>
            <w:tcW w:w="45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Total long-term debt, less current maturities</w:t>
            </w: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6,792</w:t>
            </w:r>
          </w:p>
        </w:tc>
      </w:tr>
      <w:tr>
        <w:trPr>
          <w:trHeight w:val="20"/>
        </w:trPr>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€540 at March 31, 2023 and December 31, 2022.</w:t>
      </w:r>
    </w:p>
    <w:p>
      <w:pPr>
        <w:spacing w:after="0" w:line="23"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color w:val="auto"/>
        </w:rPr>
        <w:t>The estimated fair value of the Company’s long-term borrowings, using a market approach incorporating Level 2 inputs such as quoted market prices for the same or similar issues, was $7,271 at March 31, 2023 and $6,922 at December 31, 2022.</w:t>
      </w:r>
    </w:p>
    <w:p>
      <w:pPr>
        <w:spacing w:after="0" w:line="21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U.S. dollar term loan interest rate was SOFR plus 1.35% and the Euro term loan interest rate was EURIBOR plus 1.25% at March 31, 2023 and at December 31, 2022.</w:t>
      </w:r>
    </w:p>
    <w:p>
      <w:pPr>
        <w:spacing w:after="0" w:line="200" w:lineRule="exact"/>
        <w:rPr>
          <w:sz w:val="20"/>
          <w:szCs w:val="20"/>
          <w:color w:val="auto"/>
        </w:rPr>
      </w:pPr>
    </w:p>
    <w:p>
      <w:pPr>
        <w:spacing w:after="0" w:line="236"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components of net periodic pension and other postretirement benefits costs for the three months ended March 31, 2023 and 2022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180" w:type="dxa"/>
            <w:vAlign w:val="bottom"/>
            <w:gridSpan w:val="5"/>
          </w:tcPr>
          <w:p>
            <w:pPr>
              <w:ind w:left="2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760" w:type="dxa"/>
            <w:vAlign w:val="bottom"/>
            <w:tcBorders>
              <w:bottom w:val="single" w:sz="8" w:color="auto"/>
            </w:tcBorders>
          </w:tcPr>
          <w:p>
            <w:pPr>
              <w:spacing w:after="0"/>
              <w:rPr>
                <w:sz w:val="20"/>
                <w:szCs w:val="20"/>
                <w:color w:val="auto"/>
              </w:rPr>
            </w:pP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3520" w:type="dxa"/>
            <w:vAlign w:val="bottom"/>
            <w:gridSpan w:val="2"/>
          </w:tcPr>
          <w:p>
            <w:pPr>
              <w:spacing w:after="0" w:line="182" w:lineRule="exact"/>
              <w:rPr>
                <w:sz w:val="20"/>
                <w:szCs w:val="20"/>
                <w:color w:val="auto"/>
              </w:rPr>
            </w:pPr>
            <w:r>
              <w:rPr>
                <w:rFonts w:ascii="Arial" w:cs="Arial" w:eastAsia="Arial" w:hAnsi="Arial"/>
                <w:sz w:val="18"/>
                <w:szCs w:val="18"/>
                <w:color w:val="auto"/>
              </w:rPr>
              <w:t>Pension benefits – U.S. plans</w:t>
            </w:r>
          </w:p>
        </w:tc>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2023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ind w:right="270"/>
              <w:spacing w:after="0" w:line="182" w:lineRule="exact"/>
              <w:rPr>
                <w:sz w:val="20"/>
                <w:szCs w:val="20"/>
                <w:color w:val="auto"/>
              </w:rPr>
            </w:pPr>
            <w:r>
              <w:rPr>
                <w:rFonts w:ascii="Arial" w:cs="Arial" w:eastAsia="Arial" w:hAnsi="Arial"/>
                <w:sz w:val="18"/>
                <w:szCs w:val="18"/>
                <w:color w:val="auto"/>
                <w:w w:val="94"/>
              </w:rPr>
              <w:t>2022</w:t>
            </w: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80" w:type="dxa"/>
            <w:vAlign w:val="bottom"/>
            <w:tcBorders>
              <w:right w:val="single" w:sz="8" w:color="CCEEFF"/>
            </w:tcBorders>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Borders>
              <w:right w:val="single" w:sz="8" w:color="CCEEFF"/>
            </w:tcBorders>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3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Recognized net loss</w:t>
            </w:r>
          </w:p>
        </w:tc>
        <w:tc>
          <w:tcPr>
            <w:tcW w:w="1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80" w:type="dxa"/>
            <w:vAlign w:val="bottom"/>
            <w:tcBorders>
              <w:right w:val="single" w:sz="8" w:color="CCEEFF"/>
            </w:tcBorders>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1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7"/>
          </w:tcPr>
          <w:p>
            <w:pPr>
              <w:ind w:left="180"/>
              <w:spacing w:after="0"/>
              <w:rPr>
                <w:sz w:val="20"/>
                <w:szCs w:val="20"/>
                <w:color w:val="auto"/>
              </w:rPr>
            </w:pPr>
            <w:r>
              <w:rPr>
                <w:rFonts w:ascii="Arial" w:cs="Arial" w:eastAsia="Arial" w:hAnsi="Arial"/>
                <w:sz w:val="18"/>
                <w:szCs w:val="18"/>
                <w:color w:val="auto"/>
              </w:rPr>
              <w:t>Three Months Ended</w:t>
            </w: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March 31,</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140" w:type="dxa"/>
            <w:vAlign w:val="bottom"/>
            <w:gridSpan w:val="3"/>
          </w:tcPr>
          <w:p>
            <w:pPr>
              <w:spacing w:after="0" w:line="182" w:lineRule="exact"/>
              <w:rPr>
                <w:sz w:val="20"/>
                <w:szCs w:val="20"/>
                <w:color w:val="auto"/>
              </w:rPr>
            </w:pPr>
            <w:r>
              <w:rPr>
                <w:rFonts w:ascii="Arial" w:cs="Arial" w:eastAsia="Arial" w:hAnsi="Arial"/>
                <w:sz w:val="18"/>
                <w:szCs w:val="18"/>
                <w:color w:val="auto"/>
              </w:rPr>
              <w:t>Pension benefits – Non-U.S. plans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2023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ind w:right="270"/>
              <w:spacing w:after="0" w:line="182" w:lineRule="exact"/>
              <w:rPr>
                <w:sz w:val="20"/>
                <w:szCs w:val="20"/>
                <w:color w:val="auto"/>
              </w:rPr>
            </w:pPr>
            <w:r>
              <w:rPr>
                <w:rFonts w:ascii="Arial" w:cs="Arial" w:eastAsia="Arial" w:hAnsi="Arial"/>
                <w:sz w:val="18"/>
                <w:szCs w:val="18"/>
                <w:color w:val="auto"/>
                <w:w w:val="94"/>
              </w:rPr>
              <w:t>2022</w:t>
            </w:r>
          </w:p>
        </w:tc>
        <w:tc>
          <w:tcPr>
            <w:tcW w:w="2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79"/>
              </w:rPr>
              <w:t>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ind w:left="490"/>
              <w:spacing w:after="0"/>
              <w:rPr>
                <w:sz w:val="20"/>
                <w:szCs w:val="20"/>
                <w:color w:val="auto"/>
              </w:rPr>
            </w:pPr>
            <w:r>
              <w:rPr>
                <w:rFonts w:ascii="Arial" w:cs="Arial" w:eastAsia="Arial" w:hAnsi="Arial"/>
                <w:sz w:val="18"/>
                <w:szCs w:val="18"/>
                <w:color w:val="auto"/>
                <w:w w:val="79"/>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center"/>
              <w:ind w:left="450"/>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0"/>
              </w:rPr>
              <w:t>(5)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Recognized net loss</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79"/>
              </w:rPr>
              <w:t>1</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79"/>
              </w:rPr>
              <w:t>4</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1"/>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7"/>
          </w:tcPr>
          <w:p>
            <w:pPr>
              <w:ind w:left="200"/>
              <w:spacing w:after="0"/>
              <w:rPr>
                <w:sz w:val="20"/>
                <w:szCs w:val="20"/>
                <w:color w:val="auto"/>
              </w:rPr>
            </w:pPr>
            <w:r>
              <w:rPr>
                <w:rFonts w:ascii="Arial" w:cs="Arial" w:eastAsia="Arial" w:hAnsi="Arial"/>
                <w:sz w:val="18"/>
                <w:szCs w:val="18"/>
                <w:color w:val="auto"/>
              </w:rPr>
              <w:t>Three Months Ended</w:t>
            </w: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March 31,</w:t>
            </w: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140" w:type="dxa"/>
            <w:vAlign w:val="bottom"/>
            <w:gridSpan w:val="3"/>
          </w:tcPr>
          <w:p>
            <w:pPr>
              <w:spacing w:after="0" w:line="182" w:lineRule="exact"/>
              <w:rPr>
                <w:sz w:val="20"/>
                <w:szCs w:val="20"/>
                <w:color w:val="auto"/>
              </w:rPr>
            </w:pPr>
            <w:r>
              <w:rPr>
                <w:rFonts w:ascii="Arial" w:cs="Arial" w:eastAsia="Arial" w:hAnsi="Arial"/>
                <w:sz w:val="18"/>
                <w:szCs w:val="18"/>
                <w:color w:val="auto"/>
              </w:rPr>
              <w:t>Other postretirement benefits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2023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ind w:right="250"/>
              <w:spacing w:after="0" w:line="182" w:lineRule="exact"/>
              <w:rPr>
                <w:sz w:val="20"/>
                <w:szCs w:val="20"/>
                <w:color w:val="auto"/>
              </w:rPr>
            </w:pPr>
            <w:r>
              <w:rPr>
                <w:rFonts w:ascii="Arial" w:cs="Arial" w:eastAsia="Arial" w:hAnsi="Arial"/>
                <w:sz w:val="18"/>
                <w:szCs w:val="18"/>
                <w:color w:val="auto"/>
                <w:w w:val="99"/>
              </w:rPr>
              <w:t>2022</w:t>
            </w:r>
          </w:p>
        </w:tc>
        <w:tc>
          <w:tcPr>
            <w:tcW w:w="2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Recognized prior service credit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(5)</w:t>
            </w: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Recognized net loss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Net periodic cost / (benefit)</w:t>
            </w: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gridSpan w:val="2"/>
          </w:tcPr>
          <w:p>
            <w:pPr>
              <w:jc w:val="center"/>
              <w:ind w:left="450"/>
              <w:spacing w:after="0"/>
              <w:rPr>
                <w:sz w:val="20"/>
                <w:szCs w:val="20"/>
                <w:color w:val="auto"/>
              </w:rPr>
            </w:pPr>
            <w:r>
              <w:rPr>
                <w:rFonts w:ascii="Arial" w:cs="Arial" w:eastAsia="Arial" w:hAnsi="Arial"/>
                <w:sz w:val="18"/>
                <w:szCs w:val="18"/>
                <w:color w:val="auto"/>
                <w:w w:val="90"/>
              </w:rPr>
              <w:t>(3)</w:t>
            </w: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components of net periodic cost / (benefit) other than the service cost component are included in other pension and postretirement in the Consolidated Statements of Operations.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amounts reclassified from accumulated other comprehensive income.</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4"/>
          </w:tcPr>
          <w:p>
            <w:pPr>
              <w:jc w:val="right"/>
              <w:ind w:right="15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Details about accumulated other</w:t>
            </w: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March 31,</w:t>
            </w:r>
          </w:p>
        </w:tc>
        <w:tc>
          <w:tcPr>
            <w:tcW w:w="140" w:type="dxa"/>
            <w:vAlign w:val="bottom"/>
          </w:tcPr>
          <w:p>
            <w:pPr>
              <w:spacing w:after="0"/>
              <w:rPr>
                <w:sz w:val="20"/>
                <w:szCs w:val="20"/>
                <w:color w:val="auto"/>
              </w:rPr>
            </w:pPr>
          </w:p>
        </w:tc>
        <w:tc>
          <w:tcPr>
            <w:tcW w:w="4200" w:type="dxa"/>
            <w:vAlign w:val="bottom"/>
            <w:vMerge w:val="restart"/>
          </w:tcPr>
          <w:p>
            <w:pPr>
              <w:ind w:left="320"/>
              <w:spacing w:after="0"/>
              <w:rPr>
                <w:sz w:val="20"/>
                <w:szCs w:val="20"/>
                <w:color w:val="auto"/>
              </w:rPr>
            </w:pPr>
            <w:r>
              <w:rPr>
                <w:rFonts w:ascii="Arial" w:cs="Arial" w:eastAsia="Arial" w:hAnsi="Arial"/>
                <w:sz w:val="18"/>
                <w:szCs w:val="18"/>
                <w:color w:val="auto"/>
                <w:w w:val="99"/>
              </w:rPr>
              <w:t>Affected line items in the statement of operations</w:t>
            </w:r>
          </w:p>
        </w:tc>
        <w:tc>
          <w:tcPr>
            <w:tcW w:w="0" w:type="dxa"/>
            <w:vAlign w:val="bottom"/>
          </w:tcPr>
          <w:p>
            <w:pPr>
              <w:spacing w:after="0"/>
              <w:rPr>
                <w:sz w:val="1"/>
                <w:szCs w:val="1"/>
                <w:color w:val="auto"/>
              </w:rPr>
            </w:pPr>
          </w:p>
        </w:tc>
      </w:tr>
      <w:tr>
        <w:trPr>
          <w:trHeight w:val="168"/>
        </w:trPr>
        <w:tc>
          <w:tcPr>
            <w:tcW w:w="3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comprehensive income components</w:t>
            </w:r>
          </w:p>
        </w:tc>
        <w:tc>
          <w:tcPr>
            <w:tcW w:w="180" w:type="dxa"/>
            <w:vAlign w:val="bottom"/>
          </w:tcPr>
          <w:p>
            <w:pPr>
              <w:spacing w:after="0"/>
              <w:rPr>
                <w:sz w:val="20"/>
                <w:szCs w:val="20"/>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Actuarial losses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CEEFF"/>
            </w:tcBorders>
            <w:shd w:val="clear" w:color="auto" w:fill="CCEEFF"/>
          </w:tcPr>
          <w:p>
            <w:pPr>
              <w:spacing w:after="0"/>
              <w:rPr>
                <w:sz w:val="19"/>
                <w:szCs w:val="19"/>
                <w:color w:val="auto"/>
              </w:rPr>
            </w:pPr>
          </w:p>
        </w:tc>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pension and postretirement</w:t>
            </w:r>
          </w:p>
        </w:tc>
        <w:tc>
          <w:tcPr>
            <w:tcW w:w="0" w:type="dxa"/>
            <w:vAlign w:val="bottom"/>
          </w:tcPr>
          <w:p>
            <w:pPr>
              <w:spacing w:after="0"/>
              <w:rPr>
                <w:sz w:val="1"/>
                <w:szCs w:val="1"/>
                <w:color w:val="auto"/>
              </w:rPr>
            </w:pPr>
          </w:p>
        </w:tc>
      </w:tr>
      <w:tr>
        <w:trPr>
          <w:trHeight w:val="229"/>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Prior service credit</w:t>
            </w:r>
          </w:p>
        </w:tc>
        <w:tc>
          <w:tcPr>
            <w:tcW w:w="18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CEEFF"/>
            </w:tcBorders>
            <w:shd w:val="clear" w:color="auto" w:fill="CCEEFF"/>
          </w:tcPr>
          <w:p>
            <w:pPr>
              <w:spacing w:after="0"/>
              <w:rPr>
                <w:sz w:val="19"/>
                <w:szCs w:val="19"/>
                <w:color w:val="auto"/>
              </w:rPr>
            </w:pPr>
          </w:p>
        </w:tc>
        <w:tc>
          <w:tcPr>
            <w:tcW w:w="4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reclassified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Stock</w:t>
      </w:r>
    </w:p>
    <w:p>
      <w:pPr>
        <w:spacing w:after="0" w:line="256"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color w:val="auto"/>
        </w:rPr>
        <w:t>On December 9, 2021, the Company's Board of Directors authorized the repurchase of an aggregate amount of $3,000 of Company common stock through the end of 2024. Share repurchases under the Company's program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The Company has remaining Board authorization to repurchase an additional $2,300 of the Company's common stock under the program as of March 31, 2023.</w:t>
      </w:r>
    </w:p>
    <w:p>
      <w:pPr>
        <w:spacing w:after="0" w:line="188"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For the three months ended March 31, 2023 and 2022, the Company declared and paid cash dividends of $0.24 and $0.22 per share, respectively. Additionally, on April 27, 2023, the Company's Board of Directors declared a dividend of $0.24 per share payable on May 25, 2023 to shareholders of record as of May 11,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Loss Attributable to Crown Holdings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the changes in each component of accumulated other comprehensive income/(loss).</w:t>
      </w:r>
    </w:p>
    <w:p>
      <w:pPr>
        <w:spacing w:after="0" w:line="1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Defined</w:t>
            </w:r>
          </w:p>
        </w:tc>
        <w:tc>
          <w:tcPr>
            <w:tcW w:w="140" w:type="dxa"/>
            <w:vAlign w:val="bottom"/>
          </w:tcPr>
          <w:p>
            <w:pPr>
              <w:spacing w:after="0"/>
              <w:rPr>
                <w:sz w:val="17"/>
                <w:szCs w:val="17"/>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1"/>
              </w:rPr>
              <w:t>Foreign</w:t>
            </w:r>
          </w:p>
        </w:tc>
        <w:tc>
          <w:tcPr>
            <w:tcW w:w="14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Gains and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86"/>
              </w:rPr>
              <w:t>losses on</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300"/>
              <w:spacing w:after="0" w:line="189" w:lineRule="exact"/>
              <w:rPr>
                <w:sz w:val="20"/>
                <w:szCs w:val="20"/>
                <w:color w:val="auto"/>
              </w:rPr>
            </w:pPr>
            <w:r>
              <w:rPr>
                <w:rFonts w:ascii="Arial" w:cs="Arial" w:eastAsia="Arial" w:hAnsi="Arial"/>
                <w:sz w:val="18"/>
                <w:szCs w:val="18"/>
                <w:color w:val="auto"/>
                <w:w w:val="92"/>
              </w:rPr>
              <w:t>benefit</w:t>
            </w: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89" w:lineRule="exact"/>
              <w:rPr>
                <w:sz w:val="20"/>
                <w:szCs w:val="20"/>
                <w:color w:val="auto"/>
              </w:rPr>
            </w:pPr>
            <w:r>
              <w:rPr>
                <w:rFonts w:ascii="Arial" w:cs="Arial" w:eastAsia="Arial" w:hAnsi="Arial"/>
                <w:sz w:val="18"/>
                <w:szCs w:val="18"/>
                <w:color w:val="auto"/>
                <w:w w:val="92"/>
              </w:rPr>
              <w:t>currency</w:t>
            </w:r>
          </w:p>
        </w:tc>
        <w:tc>
          <w:tcPr>
            <w:tcW w:w="140" w:type="dxa"/>
            <w:vAlign w:val="bottom"/>
          </w:tcPr>
          <w:p>
            <w:pPr>
              <w:spacing w:after="0"/>
              <w:rPr>
                <w:sz w:val="16"/>
                <w:szCs w:val="16"/>
                <w:color w:val="auto"/>
              </w:rPr>
            </w:pPr>
          </w:p>
        </w:tc>
        <w:tc>
          <w:tcPr>
            <w:tcW w:w="1120" w:type="dxa"/>
            <w:vAlign w:val="bottom"/>
            <w:gridSpan w:val="2"/>
          </w:tcPr>
          <w:p>
            <w:pPr>
              <w:jc w:val="center"/>
              <w:ind w:right="340"/>
              <w:spacing w:after="0" w:line="189" w:lineRule="exact"/>
              <w:rPr>
                <w:sz w:val="20"/>
                <w:szCs w:val="20"/>
                <w:color w:val="auto"/>
              </w:rPr>
            </w:pPr>
            <w:r>
              <w:rPr>
                <w:rFonts w:ascii="Arial" w:cs="Arial" w:eastAsia="Arial" w:hAnsi="Arial"/>
                <w:sz w:val="18"/>
                <w:szCs w:val="18"/>
                <w:color w:val="auto"/>
                <w:w w:val="93"/>
              </w:rPr>
              <w:t>cash flow</w:t>
            </w:r>
          </w:p>
        </w:tc>
        <w:tc>
          <w:tcPr>
            <w:tcW w:w="200" w:type="dxa"/>
            <w:vAlign w:val="bottom"/>
          </w:tcPr>
          <w:p>
            <w:pPr>
              <w:spacing w:after="0"/>
              <w:rPr>
                <w:sz w:val="16"/>
                <w:szCs w:val="16"/>
                <w:color w:val="auto"/>
              </w:rPr>
            </w:pPr>
          </w:p>
        </w:tc>
        <w:tc>
          <w:tcPr>
            <w:tcW w:w="740" w:type="dxa"/>
            <w:vAlign w:val="bottom"/>
            <w:vMerge w:val="restart"/>
          </w:tcPr>
          <w:p>
            <w:pPr>
              <w:jc w:val="right"/>
              <w:ind w:right="2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plans</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translation</w:t>
            </w:r>
          </w:p>
        </w:tc>
        <w:tc>
          <w:tcPr>
            <w:tcW w:w="1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hedges</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J</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L</w:t>
      </w:r>
      <w:r>
        <w:rPr>
          <w:rFonts w:ascii="Arial" w:cs="Arial" w:eastAsia="Arial" w:hAnsi="Arial"/>
          <w:sz w:val="18"/>
          <w:szCs w:val="18"/>
          <w:color w:val="auto"/>
        </w:rPr>
        <w:t xml:space="preserve"> for further details of amounts related to cash flow hedges and defined benefit plans.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4"/>
          </w:tcPr>
          <w:p>
            <w:pPr>
              <w:spacing w:after="0"/>
              <w:rPr>
                <w:sz w:val="20"/>
                <w:szCs w:val="20"/>
                <w:color w:val="auto"/>
              </w:rPr>
            </w:pPr>
            <w:r>
              <w:rPr>
                <w:rFonts w:ascii="Arial" w:cs="Arial" w:eastAsia="Arial" w:hAnsi="Arial"/>
                <w:sz w:val="18"/>
                <w:szCs w:val="18"/>
                <w:b w:val="1"/>
                <w:bCs w:val="1"/>
                <w:color w:val="auto"/>
              </w:rPr>
              <w:t>O.   Revenue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80"/>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The Company recognized revenue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1"/>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4"/>
          </w:tcPr>
          <w:p>
            <w:pPr>
              <w:jc w:val="right"/>
              <w:ind w:right="370"/>
              <w:spacing w:after="0"/>
              <w:rPr>
                <w:sz w:val="20"/>
                <w:szCs w:val="20"/>
                <w:color w:val="auto"/>
              </w:rPr>
            </w:pPr>
            <w:r>
              <w:rPr>
                <w:rFonts w:ascii="Arial" w:cs="Arial" w:eastAsia="Arial" w:hAnsi="Arial"/>
                <w:sz w:val="18"/>
                <w:szCs w:val="18"/>
                <w:color w:val="auto"/>
              </w:rPr>
              <w:t>Three Months Ended</w:t>
            </w:r>
          </w:p>
        </w:tc>
      </w:tr>
      <w:tr>
        <w:trPr>
          <w:trHeight w:val="230"/>
        </w:trPr>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780" w:type="dxa"/>
            <w:vAlign w:val="bottom"/>
            <w:tcBorders>
              <w:bottom w:val="single" w:sz="8" w:color="auto"/>
            </w:tcBorders>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2022</w:t>
            </w:r>
          </w:p>
        </w:tc>
      </w:tr>
      <w:tr>
        <w:trPr>
          <w:trHeight w:val="223"/>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r>
      <w:tr>
        <w:trPr>
          <w:trHeight w:val="230"/>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Revenue recognized at a point in time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r>
      <w:tr>
        <w:trPr>
          <w:trHeight w:val="248"/>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Q</w:t>
      </w:r>
      <w:r>
        <w:rPr>
          <w:rFonts w:ascii="Arial" w:cs="Arial" w:eastAsia="Arial" w:hAnsi="Arial"/>
          <w:sz w:val="18"/>
          <w:szCs w:val="18"/>
          <w:color w:val="auto"/>
        </w:rPr>
        <w:t xml:space="preserve"> for further disaggregation of the Company's revenue.</w:t>
      </w:r>
    </w:p>
    <w:p>
      <w:pPr>
        <w:spacing w:after="0" w:line="18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Company has applied the practical expedient to exclude disclosure of remaining performance obligations as its binding orders typically have a term of one year or less.</w:t>
      </w:r>
    </w:p>
    <w:p>
      <w:pPr>
        <w:spacing w:after="0" w:line="13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Contract assets are typically recognized for work in process related to the Company's three-piece printed products and equipment business. Contract assets and liabilities are reported in a net position on a contract-by-contract basis. The Company had net contract assets of $30 and $18 as of March 31, 2023 and December 31, 2022, respectively, included in prepaid and other current assets. During the three months ended March 31, 2023, the Company satisfied performance obligations related to contract assets at December 31, 2022 and also recorded new contract assets primarily related to work in process for the equipment business.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computations of basic and diluted earnings per share attributable to the Company.</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4"/>
          </w:tcPr>
          <w:p>
            <w:pPr>
              <w:jc w:val="right"/>
              <w:ind w:right="330"/>
              <w:spacing w:after="0"/>
              <w:rPr>
                <w:sz w:val="20"/>
                <w:szCs w:val="20"/>
                <w:color w:val="auto"/>
              </w:rPr>
            </w:pPr>
            <w:r>
              <w:rPr>
                <w:rFonts w:ascii="Arial" w:cs="Arial" w:eastAsia="Arial" w:hAnsi="Arial"/>
                <w:sz w:val="18"/>
                <w:szCs w:val="18"/>
                <w:color w:val="auto"/>
                <w:w w:val="99"/>
              </w:rPr>
              <w:t>Three Months Ended</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4"/>
              </w:rPr>
              <w:t>2022</w:t>
            </w:r>
          </w:p>
        </w:tc>
        <w:tc>
          <w:tcPr>
            <w:tcW w:w="0" w:type="dxa"/>
            <w:vAlign w:val="bottom"/>
          </w:tcPr>
          <w:p>
            <w:pPr>
              <w:spacing w:after="0"/>
              <w:rPr>
                <w:sz w:val="1"/>
                <w:szCs w:val="1"/>
                <w:color w:val="auto"/>
              </w:rPr>
            </w:pPr>
          </w:p>
        </w:tc>
      </w:tr>
      <w:tr>
        <w:trPr>
          <w:trHeight w:val="221"/>
        </w:trPr>
        <w:tc>
          <w:tcPr>
            <w:tcW w:w="65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attributable to Crown Holdings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29"/>
        </w:trPr>
        <w:tc>
          <w:tcPr>
            <w:tcW w:w="6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Dilutive restricted stock</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For the three months ended March 31, 2023 and 2022, 0.08 million and 0.1 million contingently issuable common shares were excluded from the computation of diluted earnings per share because the effect would be anti-dilutive.</w:t>
      </w:r>
    </w:p>
    <w:p>
      <w:pPr>
        <w:spacing w:after="0" w:line="200" w:lineRule="exact"/>
        <w:rPr>
          <w:sz w:val="20"/>
          <w:szCs w:val="20"/>
          <w:color w:val="auto"/>
        </w:rPr>
      </w:pPr>
    </w:p>
    <w:p>
      <w:pPr>
        <w:spacing w:after="0" w:line="236"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evaluates performance and allocates resources based on segment income, which is not a defined term under GAAP. The Company defines segment income as income from operations adjusted to exclude intangibles amortization charges and provisions for restructuring and other. Segment income should not be considered in isolation or as a substitute for net income prepared in accordance with GAAP and may not be comparable to calculations of similarly titled measures by other companies.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present information about the Company's operating segments.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color w:val="auto"/>
                <w:w w:val="89"/>
              </w:rPr>
              <w:t>External Sales</w:t>
            </w:r>
          </w:p>
        </w:tc>
      </w:tr>
      <w:tr>
        <w:trPr>
          <w:trHeight w:val="222"/>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4"/>
          </w:tcPr>
          <w:p>
            <w:pPr>
              <w:jc w:val="center"/>
              <w:ind w:right="13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4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2"/>
              </w:rPr>
              <w:t>March 31,</w:t>
            </w:r>
          </w:p>
        </w:tc>
        <w:tc>
          <w:tcPr>
            <w:tcW w:w="760" w:type="dxa"/>
            <w:vAlign w:val="bottom"/>
            <w:tcBorders>
              <w:bottom w:val="single" w:sz="8" w:color="auto"/>
            </w:tcBorders>
          </w:tcPr>
          <w:p>
            <w:pPr>
              <w:spacing w:after="0"/>
              <w:rPr>
                <w:sz w:val="20"/>
                <w:szCs w:val="20"/>
                <w:color w:val="auto"/>
              </w:rPr>
            </w:pPr>
          </w:p>
        </w:tc>
      </w:tr>
      <w:tr>
        <w:trPr>
          <w:trHeight w:val="223"/>
        </w:trPr>
        <w:tc>
          <w:tcPr>
            <w:tcW w:w="47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2022</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Transit Packaging</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2,974</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primary sources of revenue included in Other are the Company's food can, aerosol can, and closures businesses in North America, and beverage tooling and equipment operations in the U.S. and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100" w:type="dxa"/>
            <w:vAlign w:val="bottom"/>
            <w:tcBorders>
              <w:bottom w:val="single" w:sz="8" w:color="auto"/>
            </w:tcBorders>
            <w:gridSpan w:val="4"/>
          </w:tcPr>
          <w:p>
            <w:pPr>
              <w:jc w:val="center"/>
              <w:ind w:left="210"/>
              <w:spacing w:after="0"/>
              <w:rPr>
                <w:sz w:val="20"/>
                <w:szCs w:val="20"/>
                <w:color w:val="auto"/>
              </w:rPr>
            </w:pPr>
            <w:r>
              <w:rPr>
                <w:rFonts w:ascii="Arial" w:cs="Arial" w:eastAsia="Arial" w:hAnsi="Arial"/>
                <w:sz w:val="18"/>
                <w:szCs w:val="18"/>
                <w:color w:val="auto"/>
                <w:w w:val="87"/>
              </w:rPr>
              <w:t>Intersegment Sales</w:t>
            </w:r>
          </w:p>
        </w:tc>
        <w:tc>
          <w:tcPr>
            <w:tcW w:w="300" w:type="dxa"/>
            <w:vAlign w:val="bottom"/>
            <w:tcBorders>
              <w:bottom w:val="single" w:sz="8" w:color="auto"/>
            </w:tcBorders>
          </w:tcPr>
          <w:p>
            <w:pPr>
              <w:spacing w:after="0"/>
              <w:rPr>
                <w:sz w:val="20"/>
                <w:szCs w:val="20"/>
                <w:color w:val="auto"/>
              </w:rPr>
            </w:pPr>
          </w:p>
        </w:tc>
      </w:tr>
      <w:tr>
        <w:trPr>
          <w:trHeight w:val="222"/>
        </w:trPr>
        <w:tc>
          <w:tcPr>
            <w:tcW w:w="4620" w:type="dxa"/>
            <w:vAlign w:val="bottom"/>
          </w:tcPr>
          <w:p>
            <w:pPr>
              <w:spacing w:after="0"/>
              <w:rPr>
                <w:sz w:val="19"/>
                <w:szCs w:val="19"/>
                <w:color w:val="auto"/>
              </w:rPr>
            </w:pPr>
          </w:p>
        </w:tc>
        <w:tc>
          <w:tcPr>
            <w:tcW w:w="2100" w:type="dxa"/>
            <w:vAlign w:val="bottom"/>
            <w:gridSpan w:val="4"/>
          </w:tcPr>
          <w:p>
            <w:pPr>
              <w:jc w:val="center"/>
              <w:ind w:left="210"/>
              <w:spacing w:after="0"/>
              <w:rPr>
                <w:sz w:val="20"/>
                <w:szCs w:val="20"/>
                <w:color w:val="auto"/>
              </w:rPr>
            </w:pPr>
            <w:r>
              <w:rPr>
                <w:rFonts w:ascii="Arial" w:cs="Arial" w:eastAsia="Arial" w:hAnsi="Arial"/>
                <w:sz w:val="18"/>
                <w:szCs w:val="18"/>
                <w:color w:val="auto"/>
                <w:w w:val="90"/>
              </w:rPr>
              <w:t>Three Months Ended</w:t>
            </w:r>
          </w:p>
        </w:tc>
        <w:tc>
          <w:tcPr>
            <w:tcW w:w="300" w:type="dxa"/>
            <w:vAlign w:val="bottom"/>
          </w:tcPr>
          <w:p>
            <w:pPr>
              <w:spacing w:after="0"/>
              <w:rPr>
                <w:sz w:val="19"/>
                <w:szCs w:val="19"/>
                <w:color w:val="auto"/>
              </w:rPr>
            </w:pPr>
          </w:p>
        </w:tc>
      </w:tr>
      <w:tr>
        <w:trPr>
          <w:trHeight w:val="230"/>
        </w:trPr>
        <w:tc>
          <w:tcPr>
            <w:tcW w:w="46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March 31,</w:t>
            </w:r>
          </w:p>
        </w:tc>
        <w:tc>
          <w:tcPr>
            <w:tcW w:w="30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European Beverage</w:t>
            </w: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Transit Packaging</w:t>
            </w:r>
          </w:p>
        </w:tc>
        <w:tc>
          <w:tcPr>
            <w:tcW w:w="78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67</w:t>
            </w:r>
          </w:p>
        </w:tc>
      </w:tr>
      <w:tr>
        <w:trPr>
          <w:trHeight w:val="21"/>
        </w:trPr>
        <w:tc>
          <w:tcPr>
            <w:tcW w:w="4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Intersegment sales primarily include sales of cans, ends and parts and equipment used in the manufacturing process.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04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color w:val="auto"/>
                <w:w w:val="88"/>
              </w:rPr>
              <w:t>Segment Income</w:t>
            </w:r>
          </w:p>
        </w:tc>
        <w:tc>
          <w:tcPr>
            <w:tcW w:w="360" w:type="dxa"/>
            <w:vAlign w:val="bottom"/>
            <w:tcBorders>
              <w:bottom w:val="single" w:sz="8" w:color="auto"/>
            </w:tcBorders>
          </w:tcPr>
          <w:p>
            <w:pPr>
              <w:spacing w:after="0"/>
              <w:rPr>
                <w:sz w:val="20"/>
                <w:szCs w:val="20"/>
                <w:color w:val="auto"/>
              </w:rPr>
            </w:pPr>
          </w:p>
        </w:tc>
      </w:tr>
      <w:tr>
        <w:trPr>
          <w:trHeight w:val="222"/>
        </w:trPr>
        <w:tc>
          <w:tcPr>
            <w:tcW w:w="4620" w:type="dxa"/>
            <w:vAlign w:val="bottom"/>
          </w:tcPr>
          <w:p>
            <w:pPr>
              <w:spacing w:after="0"/>
              <w:rPr>
                <w:sz w:val="19"/>
                <w:szCs w:val="19"/>
                <w:color w:val="auto"/>
              </w:rPr>
            </w:pPr>
          </w:p>
        </w:tc>
        <w:tc>
          <w:tcPr>
            <w:tcW w:w="204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19"/>
                <w:szCs w:val="19"/>
                <w:color w:val="auto"/>
              </w:rPr>
            </w:pPr>
          </w:p>
        </w:tc>
      </w:tr>
      <w:tr>
        <w:trPr>
          <w:trHeight w:val="230"/>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color w:val="auto"/>
                <w:w w:val="92"/>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178</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164</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Transit Packaging</w:t>
            </w: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337</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income of reportable segments to income before income taxes is as follows:</w:t>
      </w:r>
    </w:p>
    <w:p>
      <w:pPr>
        <w:spacing w:after="0" w:line="50" w:lineRule="exact"/>
        <w:rPr>
          <w:sz w:val="20"/>
          <w:szCs w:val="20"/>
          <w:color w:val="auto"/>
        </w:rPr>
      </w:pPr>
    </w:p>
    <w:p>
      <w:pPr>
        <w:jc w:val="center"/>
        <w:ind w:left="244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2440"/>
        <w:spacing w:after="0"/>
        <w:rPr>
          <w:sz w:val="20"/>
          <w:szCs w:val="20"/>
          <w:color w:val="auto"/>
        </w:rPr>
      </w:pPr>
      <w:r>
        <w:rPr>
          <w:rFonts w:ascii="Arial" w:cs="Arial" w:eastAsia="Arial" w:hAnsi="Arial"/>
          <w:sz w:val="18"/>
          <w:szCs w:val="18"/>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income of reportable segments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Segment income of 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Restructuring and other,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Income before taxes and equity in net earnings of affiliates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r>
      <w:tr>
        <w:trPr>
          <w:trHeight w:val="20"/>
        </w:trPr>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2023 and 2022, intercompany profits of $1 and $4, respectively, were eliminated within segment income of other.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unallocated items includes corporate and division administrative costs, technology costs, unallocated items such as stock-based compensation.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has a 20% minority interest in Eviosys, a European tinplate business, accounted for under the equity method and accordingly, those results are not included in sales or segment income. The Company's proportionate share of net income from this investment was $2 and $15 for the three months ended March 31, 2023 and 2022, respectively. The Company received distributions of $83 for the three months ended March 31, 2023.</w:t>
      </w:r>
    </w:p>
    <w:p>
      <w:pPr>
        <w:spacing w:after="0" w:line="200" w:lineRule="exact"/>
        <w:rPr>
          <w:sz w:val="20"/>
          <w:szCs w:val="20"/>
          <w:color w:val="auto"/>
        </w:rPr>
      </w:pPr>
    </w:p>
    <w:p>
      <w:pPr>
        <w:spacing w:after="0" w:line="32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ind w:left="180" w:right="3680" w:hanging="179"/>
        <w:spacing w:after="0" w:line="282" w:lineRule="auto"/>
        <w:rPr>
          <w:sz w:val="20"/>
          <w:szCs w:val="20"/>
          <w:color w:val="auto"/>
        </w:rPr>
      </w:pPr>
      <w:r>
        <w:rPr>
          <w:rFonts w:ascii="Arial" w:cs="Arial" w:eastAsia="Arial" w:hAnsi="Arial"/>
          <w:sz w:val="18"/>
          <w:szCs w:val="18"/>
          <w:b w:val="1"/>
          <w:bCs w:val="1"/>
          <w:color w:val="auto"/>
        </w:rPr>
        <w:t>Item 2.</w:t>
      </w:r>
      <w:r>
        <w:rPr>
          <w:sz w:val="20"/>
          <w:szCs w:val="20"/>
          <w:color w:val="auto"/>
        </w:rPr>
        <w:t xml:space="preserve"> </w:t>
      </w: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color w:val="auto"/>
        </w:rPr>
        <w:t>(dollars in millions)</w:t>
      </w:r>
    </w:p>
    <w:p>
      <w:pPr>
        <w:spacing w:after="0" w:line="1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following discussion presents management's analysis of the results of operations for the three months ended March 31, 2023 compared to 2022 and changes in financial condition and liquidity from December 31, 2022. This discussion should be read in conjunction with the consolidated financial statements and notes thereto included in the Company's Annual Report on Form 10-K for the year ended December 31, 2022, along with the consolidated financial statements and related notes included in and referred to within this report.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Business Strategy and Trends</w:t>
      </w:r>
    </w:p>
    <w:p>
      <w:pPr>
        <w:spacing w:after="0" w:line="25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through its subsidiaries, is a leading global supplier of aluminum and steel beverage, food and aerosol cans to consumer marketing companies, as well as transit and protective packaging products, equipment and services to a broad range of end markets. The Company has a diverse portfolio of global packaging businesses that generate significant operating cash flow enabling the Company to invest for growth while returning cash to shareholders. Beverage cans are the world's most sustainable and recycled beverage packaging and continue to gain market share in new beverage product launches. The majority of the Company's beverage cans, food cans and transit products are made from recycled materials and can be recycled.</w:t>
      </w:r>
    </w:p>
    <w:p>
      <w:pPr>
        <w:spacing w:after="0" w:line="219"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For several years, global industry demand for beverage cans has been growing. In North America, beverage can growth has accelerated in recent years mainly due to the outsized portion of new beverage products being introduced in cans versus other packaging formats. In addition, markets such as Brazil, Europe, Mexico and Southeast Asia have also experienced higher volumes and market expansion.</w:t>
      </w:r>
    </w:p>
    <w:p>
      <w:pPr>
        <w:spacing w:after="0" w:line="19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capital allocation strategy also focuses on maintaining a strong balance sheet with a target leverage ratio between 3.0x and 3.5x and returning capital to shareholders in the form of dividends and the repurchase of Company shares. In December 2021, the Board of Directors authorized the repurchase of $3.0 billion in Company common stock through the end of 2024.</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The Company continues to actively elevate its commitment to sustainability, which is a core value of the Company. In 2020, the Company debuted </w:t>
      </w:r>
      <w:r>
        <w:rPr>
          <w:rFonts w:ascii="Arial" w:cs="Arial" w:eastAsia="Arial" w:hAnsi="Arial"/>
          <w:sz w:val="18"/>
          <w:szCs w:val="18"/>
          <w:b w:val="1"/>
          <w:bCs w:val="1"/>
          <w:color w:val="auto"/>
        </w:rPr>
        <w:t>Twenty</w:t>
      </w:r>
      <w:r>
        <w:rPr>
          <w:rFonts w:ascii="Arial" w:cs="Arial" w:eastAsia="Arial" w:hAnsi="Arial"/>
          <w:sz w:val="18"/>
          <w:szCs w:val="18"/>
          <w:color w:val="auto"/>
        </w:rPr>
        <w:t>by</w:t>
      </w:r>
      <w:r>
        <w:rPr>
          <w:rFonts w:ascii="Arial" w:cs="Arial" w:eastAsia="Arial" w:hAnsi="Arial"/>
          <w:sz w:val="18"/>
          <w:szCs w:val="18"/>
          <w:b w:val="1"/>
          <w:bCs w:val="1"/>
          <w:color w:val="auto"/>
        </w:rPr>
        <w:t>30</w:t>
      </w:r>
      <w:r>
        <w:rPr>
          <w:rFonts w:ascii="Arial" w:cs="Arial" w:eastAsia="Arial" w:hAnsi="Arial"/>
          <w:sz w:val="18"/>
          <w:szCs w:val="18"/>
          <w:color w:val="auto"/>
        </w:rPr>
        <w:t>, a robust program that outlines twenty measurable, science based, environmental, social and governance goals to be completed by</w:t>
      </w:r>
      <w:r>
        <w:rPr>
          <w:rFonts w:ascii="Arial" w:cs="Arial" w:eastAsia="Arial" w:hAnsi="Arial"/>
          <w:sz w:val="18"/>
          <w:szCs w:val="18"/>
          <w:b w:val="1"/>
          <w:bCs w:val="1"/>
          <w:color w:val="auto"/>
        </w:rPr>
        <w:t xml:space="preserve"> </w:t>
      </w:r>
      <w:r>
        <w:rPr>
          <w:rFonts w:ascii="Arial" w:cs="Arial" w:eastAsia="Arial" w:hAnsi="Arial"/>
          <w:sz w:val="18"/>
          <w:szCs w:val="18"/>
          <w:color w:val="auto"/>
        </w:rPr>
        <w:t>2030 or sooner. In September 2021, the Company joined The Climate Pledge, a commitment to be net-zero carbon across business operations by 2040.</w:t>
      </w:r>
    </w:p>
    <w:p>
      <w:pPr>
        <w:spacing w:after="0" w:line="21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To date the war between Russia and Ukraine has not had a direct material impact on the Company's business, financial condition, or results of operations.</w:t>
      </w:r>
    </w:p>
    <w:p>
      <w:pPr>
        <w:spacing w:after="0" w:line="197"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The Company continues to actively manage the challenges of supply chain disruptions, foreign exchange and interest rate fluctuations and inflationary pressures, including fluctuations in raw material, energy and transportation costs. The Company generally attempts to mitigate aluminum and steel price risk by matching its purchase obligations with its sales agreements. Additionally, the Company attempts to mitigate inflationary pressures on energy and raw material costs with contractual pass-through provisions that include annual selling price adjustments based on price indexes. The Company also uses commodity forward contracts to manage its exposure to raw material costs. The ability to mitigate inflationary risks through these measures varies by region and the impact on the results of the Company’s segments is discussed, as applicable, in the heading "Results of Operations" below.</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key measure used by the Company in assessing performance is segment income, a non-GAAP measure defined by the Company as income from operations adjusted to exclude intangibles amortization charges, Restructuring and other and the impact of fair value adjustments to inventory acquired in an acquisition.</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foreign currency translation impacts referred to in the discussion below were primarily due to changes in the Mexican peso in the Company's Americas Beverage segment, the euro and pound sterling in the Company's European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Beverage segment and the Thai baht in the Company's Asia Pacific segment. The Company's Transit Packaging segment is a global business. The foreign currency translation impacts referred to in the discussion below for Transit Packaging are primarily related to the euro, the Mexican peso, the Swedish krona and the Indian rupee. The Company calculates the impact of foreign currency translation by dividing current year U.S. dollar results by the current year average foreign exchange rates and then multiplying those amounts by the applicable prior year average exchange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 and Segment Income</w:t>
      </w:r>
    </w:p>
    <w:p>
      <w:pPr>
        <w:spacing w:after="0" w:line="297" w:lineRule="exact"/>
        <w:rPr>
          <w:sz w:val="20"/>
          <w:szCs w:val="20"/>
          <w:color w:val="auto"/>
        </w:rPr>
      </w:pPr>
    </w:p>
    <w:p>
      <w:pPr>
        <w:jc w:val="center"/>
        <w:ind w:left="142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1420"/>
        <w:spacing w:after="0"/>
        <w:rPr>
          <w:sz w:val="20"/>
          <w:szCs w:val="20"/>
          <w:color w:val="auto"/>
        </w:rPr>
      </w:pPr>
      <w:r>
        <w:rPr>
          <w:rFonts w:ascii="Arial" w:cs="Arial" w:eastAsia="Arial" w:hAnsi="Arial"/>
          <w:sz w:val="18"/>
          <w:szCs w:val="18"/>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w:t>
            </w: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decreased primarily due to lower volumes in European Beverage, Asia and Transit Packaging, approximately $100 from the pass-through of lower aluminum and steel costs and unfavorable foreign currency translation of $36, partially offset by improved pricing and 6% higher sales unit volumes in Americas Beverage.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 Beverage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Americas Beverage segment manufactures aluminum beverage cans and ends, steel crowns, glass bottles and aluminum closures and supplies a variety of customers from its operations in the U.S., Brazil, Canada, Colombia and Mexico.</w:t>
      </w:r>
    </w:p>
    <w:p>
      <w:pPr>
        <w:spacing w:after="0" w:line="19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U.S. and Canadian beverage can markets have experienced recent growth due to the introduction of new beverage products in cans versus other packaging formats. In Brazil and Mexico, the Company's sales unit volumes have increased in recent years primarily due to market growth driven by increased per capita incomes and consumption, combined with an increased preference for cans over other forms of beverage packing.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To meet volume requirements in these markets, the Company began commercial production of the following:</w:t>
      </w:r>
    </w:p>
    <w:p>
      <w:pPr>
        <w:spacing w:after="0" w:line="252" w:lineRule="exact"/>
        <w:rPr>
          <w:sz w:val="20"/>
          <w:szCs w:val="20"/>
          <w:color w:val="auto"/>
        </w:rPr>
      </w:pPr>
    </w:p>
    <w:p>
      <w:pPr>
        <w:ind w:left="1280" w:hanging="312"/>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Martinsville, Virginia - line one in November 2022 and line two in March 2023</w:t>
      </w:r>
    </w:p>
    <w:p>
      <w:pPr>
        <w:spacing w:after="0" w:line="23" w:lineRule="exact"/>
        <w:rPr>
          <w:rFonts w:ascii="Arial" w:cs="Arial" w:eastAsia="Arial" w:hAnsi="Arial"/>
          <w:sz w:val="18"/>
          <w:szCs w:val="18"/>
          <w:color w:val="auto"/>
        </w:rPr>
      </w:pPr>
    </w:p>
    <w:p>
      <w:pPr>
        <w:ind w:left="1280" w:hanging="312"/>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Monterrey, Mexico - April 2022</w:t>
      </w:r>
    </w:p>
    <w:p>
      <w:pPr>
        <w:spacing w:after="0" w:line="9" w:lineRule="exact"/>
        <w:rPr>
          <w:rFonts w:ascii="Arial" w:cs="Arial" w:eastAsia="Arial" w:hAnsi="Arial"/>
          <w:sz w:val="18"/>
          <w:szCs w:val="18"/>
          <w:color w:val="auto"/>
        </w:rPr>
      </w:pPr>
    </w:p>
    <w:p>
      <w:pPr>
        <w:ind w:left="1280" w:hanging="312"/>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Uberaba, Brazil - line one in May 2022 and line two in October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expects to commence production at a new two-line plant in Mesquite, Nevada in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sales and segment income in the Americas Beverage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gridSpan w:val="4"/>
          </w:tcPr>
          <w:p>
            <w:pPr>
              <w:jc w:val="center"/>
              <w:ind w:right="15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2"/>
              </w:rPr>
              <w:t>March 31,</w:t>
            </w:r>
          </w:p>
        </w:tc>
        <w:tc>
          <w:tcPr>
            <w:tcW w:w="78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2022</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w:t>
            </w:r>
          </w:p>
        </w:tc>
      </w:tr>
    </w:tbl>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increased primarily due to 6% higher sales unit volumes, with North America up 4% and Brazil up 23%, contractual pass-through mechanisms put in place to recover inflation and favorable foreign currency translation of $10, partially offset by the pass-through of lower aluminum costs.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Segment income increased primarily due to inflation mechanisms put in place to recover cost increases and higher sales unit volumes, partially offset by increased depreciation of $6 for recent capacity expansions. Additionally, the first quarter of 2022 was negatively impacted by approximately $20 from incremental costs and lost profits associated with the Bowling Green tornado.</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2023 a Brazilian beverage can customer filed for bankruptcy and the Company's exposure as of March 31, 2023 is approximately $60. The Company possesses a security interest related to the supply agreement which was</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25" w:name="page26"/>
    <w:bookmarkEnd w:id="25"/>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considered in the Company's allowance for credit losses. The Company will continue to monitor the bankruptcy plan and consider the impact on the Company's results of operations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Beverage</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European Beverage segment manufactures aluminum beverage cans and ends and supplies a variety of customers from its operations throughout Europe, the Middle East and North Africa. In recent years, the European beverage can market has been growing due to the introduction of new beverage products in cans versus other packaging formats. To meet volume requirements, two lines in the Seville, Spain plant began commercial production of aluminum cans in 2022. Additionally, in 2023, high speed production lines are being added to plants in Parma, Italy and Agoncillo, Spain, and the Company expects to complete the relocation to a new two-line plant in Peterborough, United Kingdom.</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2023, twin earthquakes struck near the Company's Osmaniye, Turkey plant. There was no significant damage to the physical plant structure, equipment or inventory. The plant resumed production and shipments to customers able to receive deliveries by the end of February. This event did not have a material impact on the Company's results of operations or cash flows and the Company has property and business interruption insurance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Net sales and segment income in the European Beverage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19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19"/>
                <w:szCs w:val="19"/>
                <w:color w:val="auto"/>
              </w:rPr>
            </w:pPr>
          </w:p>
        </w:tc>
      </w:tr>
      <w:tr>
        <w:trPr>
          <w:trHeight w:val="230"/>
        </w:trPr>
        <w:tc>
          <w:tcPr>
            <w:tcW w:w="45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250"/>
              <w:spacing w:after="0"/>
              <w:rPr>
                <w:sz w:val="20"/>
                <w:szCs w:val="20"/>
                <w:color w:val="auto"/>
              </w:rPr>
            </w:pPr>
            <w:r>
              <w:rPr>
                <w:rFonts w:ascii="Arial" w:cs="Arial" w:eastAsia="Arial" w:hAnsi="Arial"/>
                <w:sz w:val="18"/>
                <w:szCs w:val="18"/>
                <w:color w:val="auto"/>
                <w:w w:val="92"/>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19"/>
                <w:szCs w:val="19"/>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479</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510</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3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sales decreased primarily due to lower volumes, unfavorable foreign currency translation of $21 and the pass-through of lower aluminum costs, partially offset by the contractual recovery of prior years' inflationary cost increases.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income decreased primarily due to lower volumes partially offset by contractual pass-through mechanisms put in place to recover inflation.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 Pacific</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Asia Pacific segment consists of beverage can operations in Cambodia, China, Indonesia, Malaysia, Myanmar, Singapore, Thailand and Vietnam and non-beverage can operations, primarily food cans and specialty packaging. In recent years, the beverage can market in Southeast Asia has been growing driven by increased per capita incomes and consumption, combined with an increased preference for cans over other forms of beverage packaging. To meet volume requirements in Southeast Asia, the Company began commercial production of a third line in Phnom Pehh, Cambodia in August 2022.</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2022, the Company's Yangon, Myanmar beverage can plant was temporarily idled due to currency restrictions, which resulted in the inability to source U.S. dollars required to procure U.S. dollar raw materials. For the three months ended March 31, 2023, the plant had net sales of $3 and segment income of less than $1. Property, plant and equipment as of March 31, 2023 was $53, including $25 of land and buildings and $28 of machinery and equipment. The Company will continue to monitor the economic conditions and the impact to its business in Myanmar, including any alternative uses for its machinery and equipment.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Net sales and segment income in the Asia Pacific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204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19"/>
                <w:szCs w:val="19"/>
                <w:color w:val="auto"/>
              </w:rPr>
            </w:pPr>
          </w:p>
        </w:tc>
      </w:tr>
      <w:tr>
        <w:trPr>
          <w:trHeight w:val="230"/>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color w:val="auto"/>
                <w:w w:val="92"/>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338</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413</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00" w:lineRule="exact"/>
        <w:rPr>
          <w:sz w:val="20"/>
          <w:szCs w:val="20"/>
          <w:color w:val="auto"/>
        </w:rPr>
      </w:pP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26" w:name="page27"/>
    <w:bookmarkEnd w:id="26"/>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and segment income decreased primarily due to lower volumes. Net sales were also negatively impacted by foreign currency translation of $6.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 Packaging</w:t>
      </w:r>
    </w:p>
    <w:p>
      <w:pPr>
        <w:spacing w:after="0" w:line="2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Transit Packaging segment includes the Company's worldwide industrial products, protective solutions, and automation, equipment and tools business. Industrial products include steel strap, plastic strap, industrial film and other related products that are used in a wide range of industries. Protective solutions include transit protection products, such as airbags, edge protectors, and honeycomb products that help prevent movement of, and/or damage to, a wide range of industrial and consumer goods during transport. Automation, equipment and tools includes manual, semi-automatic and automatic equipment and tools, which are primarily used in end-of-line operations to apply consumables such as strap and film.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sales and segment income in the Transit Packaging segment were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04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19"/>
                <w:szCs w:val="19"/>
                <w:color w:val="auto"/>
              </w:rPr>
            </w:pPr>
          </w:p>
        </w:tc>
      </w:tr>
      <w:tr>
        <w:trPr>
          <w:trHeight w:val="230"/>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color w:val="auto"/>
                <w:w w:val="92"/>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564</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657</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Net sales decreased primarily due to lower sales unit volumes and $17 from the impact of unfavorable foreign currency translation.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Segment income increased primarily due to costs savings from headcount reductions across the business, improved sales volume mix and improved pricing in industrial product lines and equipment. Additionally, the first quarter of 2022 was negatively impacted by $6 from the repricing of higher cost inventory from the prior year in the steel strap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includes the Company's food can, aerosol can and closures businesses in North America, and beverage tooling and equipment operations in the U.S. and U.K. The Company added a third two-piece food can line to its Owatonna, Minnesota plant in 2022 and expects to add a pet food can line to its Dubuque, Iowa plant in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Net sales and segment income in Other were as follows:</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99"/>
        </w:trPr>
        <w:tc>
          <w:tcPr>
            <w:tcW w:w="4620" w:type="dxa"/>
            <w:vAlign w:val="bottom"/>
          </w:tcPr>
          <w:p>
            <w:pPr>
              <w:spacing w:after="0"/>
              <w:rPr>
                <w:sz w:val="24"/>
                <w:szCs w:val="24"/>
                <w:color w:val="auto"/>
              </w:rPr>
            </w:pPr>
          </w:p>
        </w:tc>
        <w:tc>
          <w:tcPr>
            <w:tcW w:w="204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4"/>
                <w:szCs w:val="24"/>
                <w:color w:val="auto"/>
              </w:rPr>
            </w:pPr>
          </w:p>
        </w:tc>
      </w:tr>
      <w:tr>
        <w:trPr>
          <w:trHeight w:val="230"/>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color w:val="auto"/>
                <w:w w:val="92"/>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332</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94</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Net sales decreased primarily due to lower volumes and the pass-through of lower steel costs.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Segment income decreased primarily due to a steel repricing gain of $48 in the three months ended March 31, 2022 and a repricing loss of $12 in the three months ended March 31,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unallocated</w:t>
      </w:r>
    </w:p>
    <w:p>
      <w:pPr>
        <w:spacing w:after="0" w:line="297" w:lineRule="exact"/>
        <w:rPr>
          <w:sz w:val="20"/>
          <w:szCs w:val="20"/>
          <w:color w:val="auto"/>
        </w:rPr>
      </w:pPr>
    </w:p>
    <w:p>
      <w:pPr>
        <w:jc w:val="center"/>
        <w:ind w:left="150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150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14605</wp:posOffset>
            </wp:positionV>
            <wp:extent cx="14916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5" w:lineRule="exact"/>
        <w:rPr>
          <w:sz w:val="20"/>
          <w:szCs w:val="20"/>
          <w:color w:val="auto"/>
        </w:rPr>
      </w:pPr>
    </w:p>
    <w:p>
      <w:pPr>
        <w:ind w:left="4900"/>
        <w:spacing w:after="0"/>
        <w:tabs>
          <w:tab w:leader="none" w:pos="6180" w:val="left"/>
        </w:tabs>
        <w:rPr>
          <w:sz w:val="20"/>
          <w:szCs w:val="20"/>
          <w:color w:val="auto"/>
        </w:rPr>
      </w:pPr>
      <w:r>
        <w:rPr>
          <w:rFonts w:ascii="Arial" w:cs="Arial" w:eastAsia="Arial" w:hAnsi="Arial"/>
          <w:sz w:val="18"/>
          <w:szCs w:val="18"/>
          <w:color w:val="auto"/>
        </w:rPr>
        <w:t>2023</w:t>
      </w:r>
      <w:r>
        <w:rPr>
          <w:sz w:val="20"/>
          <w:szCs w:val="20"/>
          <w:color w:val="auto"/>
        </w:rPr>
        <w:tab/>
      </w: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438023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8023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4540" w:val="left"/>
          <w:tab w:leader="none" w:pos="5280" w:val="left"/>
          <w:tab w:leader="none" w:pos="5860" w:val="left"/>
          <w:tab w:leader="none" w:pos="6540" w:val="left"/>
        </w:tabs>
        <w:rPr>
          <w:sz w:val="20"/>
          <w:szCs w:val="20"/>
          <w:color w:val="auto"/>
        </w:rPr>
      </w:pPr>
      <w:r>
        <w:rPr>
          <w:rFonts w:ascii="Arial" w:cs="Arial" w:eastAsia="Arial" w:hAnsi="Arial"/>
          <w:sz w:val="18"/>
          <w:szCs w:val="18"/>
          <w:color w:val="auto"/>
        </w:rPr>
        <w:t>Corporate and unallocated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Corporate and unallocated expenses were comparable for the three months ended March 31, 2023 compared to 2022.</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27" w:name="page28"/>
    <w:bookmarkEnd w:id="27"/>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Restructuring and other, net</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2023, restructuring and other, net primarily includes business reorganization activities in the Company's European Beverage and Other segment. The Company continues to review its costs structure and may record additional restructuring charges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pension and postretirement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2022, other pension and postretirement, included the amortization of prior service credits which arose from postretirement plan amendments in prior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2022 to 2023, interest expense increased from $54 to $102 due to higher interest rates and higher outstanding borrowings.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net earnings of affiliates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2022 to 2023, equity in net earnings of affiliates decreased from $17 to $3, primarily due to lower earnings in the Company's European tinplate equity method investment, Eviosys.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 attributable to noncontrolling interest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2023 compared to 2022, net income from noncontrolling interests decreased from $30 to $20 primarily due to lower earnings in the Company's beverage can operations in Brazil.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0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from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for operating activities decreased from $301 for the three months ended March 31, 2022 to $235 for the three months ended March 31, 2023, primarily due to working capital improvements offset by lower earnings.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Days sales outstanding for trade receivables, excluding the impact of unbilled receivables, decreased from 41 days as of March 31, 2022 to 35 days as of March 31, 2023.</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Inventory turnover increased from 65 days at March 31, 2022 to 74 days at March 31, 2023 primarily due to inventory builds in certain segments.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Days outstanding for trade payables decreased from 97 days at March 31, 2022 to 84 days at March 31, 2023 primarily resulting from decreased purchases due to higher inventory levels.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for investing activities increased from $117 for the three months ended March 31, 2022 to $161 for the three months ended March 31, 2023 primarily due to higher capital expenditures, partially offset by $56 distribution from Eviosys.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capital expenditures in 2023 to be approximately $900.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provided by financing activities decreased from $321 for the three months ended March 31, 2022 to $262 for the three months ended March 31, 2023. During the three months ended March 31, 2022, the Company issued $500 principal amount of 5.250% senior unsecured notes due 2030. Additionally, during the three months ended March 31, 2022, the Company repurchased $350 of common stock.</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28" w:name="page29"/>
    <w:bookmarkEnd w:id="28"/>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March 31, 2023, $359 of the Company's $403 of cash and cash equivalents was located outside the U.S. The Company is not currently aware of any legal restrictions under foreign law that materially impact its access to cash held outside the U.S. The Company funds its cash needs in the U.S. through a combination of cash flows from operations, dividends from certain foreign subsidiaries, borrowings under its revolving credit facility and the acceleration of cash receipts under its receivable securitization and factoring facilities. Of the cash and cash equivalents located outside the U.S., $346 was held by subsidiaries for which earnings are considered indefinitely reinvested.</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revolving credit agreements provide capacity of $1,650. As of March 31, 2023, the Company had available capacity of $998 under its revolving credit facilities. The Company could have borrowed this amount at March 31, 2023 and still have been in compliance with its leverage ratio covenants.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debt agreements contain covenants that limit the ability of the Company and its subsidiaries to, among other things, incur additional debt, pay dividends or repurchase capital stock, make certain other restricted payments, create liens and engage in sale and leaseback transactions. These restrictions are subject to a number of exceptions, however, which allow the Company to incur additional debt, create liens or make otherwise restricted payments provided that the Company is in compliance with applicable financial and other covenants and meets certain liquidity requirements.</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revolving credit facilities and term loan facilities also contain a total leverage ratio covenant.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Company’s total net leverage ratio of 3.7 to 1.0 at March 31, 2023 was in compliance with the covenant requiring a ratio no greater than 5.0 to 1.0. The ratio is calculated at the end of each quarter using debt and cash balances as of the end of the quarter and Consolidated EBITDA for the most recent twelve months. Failure to meet the financial covenant could result in the acceleration of any outstanding amounts due under the revolving credit facilities and term loan facilities. The required net total leverage ratio under the agreement reduces to 4.5 to 1.0 at December 31, 2023.</w:t>
      </w:r>
    </w:p>
    <w:p>
      <w:pPr>
        <w:spacing w:after="0" w:line="2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current sources of liquidity also include a securitization facility with a program limit up to a maximum of $700 that expires in July 2023, a securitization facility with a program limit of $200 that expires in December 2023, and a securitization facility with a program limit of $160 that expires in November 2025.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Resources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2023, the Company had approximately $237 of contractual capital commitments primarily related to Americas Beverage. The Company expects to fund these commitments primarily through cash flows from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material changes to the Company's contractual obligations provided within Part II, Item 7, “Management's Discussion and Analysis of Financial Condition and Results of Operations” of the Company's Annual Report on Form 10-K for the year ended December 31, 2022, which information is incorporated herein by reference.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Guarantor Financial Information</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and certain of its 100% directly or indirectly owned subsidiaries provide guarantees of senior notes and debentures issued by other 100% directly or indirectly owned subsidiaries. These senior notes and debentures are fully</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and unconditionally guaranteed by the Company and substantially all of its subsidiaries in the United States, except in the case of the Company’s outstanding senior notes issued by Crown Cork &amp; Seal Company, Inc., which are fully and unconditionally guaranteed by Crown Holdings, Inc. (Parent). No other subsidiary guarantees the debt and the guarantees are made on a joint and several basis.</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29" w:name="page30"/>
    <w:bookmarkEnd w:id="29"/>
    <w:p>
      <w:pPr>
        <w:ind w:left="4144"/>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 equity in earnings from and investments in any subsidiary that is a non-guarantor. Crown Cork Obligor group consists of Crown Cork &amp; Seal Company, Inc. and the Parent. Crown Americas Obligor group consists of Crown Americas LLC, Crown Americas Capital Corp. IV, Crown Americas Capital Corp. V, Crown Americas Capital Corp. VI, the Parent, and substantially all of the Company’s subsidiaries in the United States.</w:t>
      </w:r>
    </w:p>
    <w:p>
      <w:pPr>
        <w:spacing w:after="0" w:line="202"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140" w:type="dxa"/>
            <w:vAlign w:val="bottom"/>
            <w:gridSpan w:val="3"/>
          </w:tcPr>
          <w:p>
            <w:pPr>
              <w:spacing w:after="0"/>
              <w:rPr>
                <w:sz w:val="20"/>
                <w:szCs w:val="20"/>
                <w:color w:val="auto"/>
              </w:rPr>
            </w:pPr>
            <w:r>
              <w:rPr>
                <w:rFonts w:ascii="Arial" w:cs="Arial" w:eastAsia="Arial" w:hAnsi="Arial"/>
                <w:sz w:val="18"/>
                <w:szCs w:val="18"/>
                <w:i w:val="1"/>
                <w:iCs w:val="1"/>
                <w:color w:val="auto"/>
              </w:rPr>
              <w:t>Crown Cork Obligor Group</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76"/>
        </w:trPr>
        <w:tc>
          <w:tcPr>
            <w:tcW w:w="20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30"/>
        </w:trPr>
        <w:tc>
          <w:tcPr>
            <w:tcW w:w="20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2"/>
              </w:rPr>
              <w:t>March 31, 2023</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3"/>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4140" w:type="dxa"/>
            <w:vAlign w:val="bottom"/>
            <w:gridSpan w:val="3"/>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414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3"/>
              </w:rPr>
              <w:t>(17)</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41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(17)</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71"/>
        </w:trPr>
        <w:tc>
          <w:tcPr>
            <w:tcW w:w="6380" w:type="dxa"/>
            <w:vAlign w:val="bottom"/>
            <w:gridSpan w:val="7"/>
          </w:tcPr>
          <w:p>
            <w:pPr>
              <w:spacing w:after="0"/>
              <w:rPr>
                <w:sz w:val="20"/>
                <w:szCs w:val="20"/>
                <w:color w:val="auto"/>
              </w:rPr>
            </w:pPr>
            <w:r>
              <w:rPr>
                <w:rFonts w:ascii="Arial" w:cs="Arial" w:eastAsia="Arial" w:hAnsi="Arial"/>
                <w:sz w:val="14"/>
                <w:szCs w:val="14"/>
                <w:color w:val="auto"/>
              </w:rPr>
              <w:t>(1) Includes $13 of expense related to intercompany interest with non-guarantor subsidiaries</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512"/>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ind w:left="40"/>
              <w:spacing w:after="0"/>
              <w:rPr>
                <w:sz w:val="20"/>
                <w:szCs w:val="20"/>
                <w:color w:val="auto"/>
              </w:rPr>
            </w:pPr>
            <w:r>
              <w:rPr>
                <w:rFonts w:ascii="Arial" w:cs="Arial" w:eastAsia="Arial" w:hAnsi="Arial"/>
                <w:sz w:val="18"/>
                <w:szCs w:val="18"/>
                <w:color w:val="auto"/>
              </w:rPr>
              <w:t>March 31, 2023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jc w:val="right"/>
              <w:ind w:right="250"/>
              <w:spacing w:after="0"/>
              <w:rPr>
                <w:sz w:val="20"/>
                <w:szCs w:val="20"/>
                <w:color w:val="auto"/>
              </w:rPr>
            </w:pPr>
            <w:r>
              <w:rPr>
                <w:rFonts w:ascii="Arial" w:cs="Arial" w:eastAsia="Arial" w:hAnsi="Arial"/>
                <w:sz w:val="18"/>
                <w:szCs w:val="18"/>
                <w:color w:val="auto"/>
                <w:w w:val="93"/>
              </w:rPr>
              <w:t>December 31, 2022</w:t>
            </w:r>
          </w:p>
        </w:tc>
      </w:tr>
      <w:tr>
        <w:trPr>
          <w:trHeight w:val="223"/>
        </w:trPr>
        <w:tc>
          <w:tcPr>
            <w:tcW w:w="41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4140" w:type="dxa"/>
            <w:vAlign w:val="bottom"/>
            <w:gridSpan w:val="3"/>
          </w:tcPr>
          <w:p>
            <w:pPr>
              <w:ind w:left="20"/>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92"/>
        </w:trPr>
        <w:tc>
          <w:tcPr>
            <w:tcW w:w="4140" w:type="dxa"/>
            <w:vAlign w:val="bottom"/>
            <w:gridSpan w:val="3"/>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1</w:t>
            </w:r>
          </w:p>
        </w:tc>
        <w:tc>
          <w:tcPr>
            <w:tcW w:w="32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6,173</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6,143</w:t>
            </w:r>
          </w:p>
        </w:tc>
      </w:tr>
      <w:tr>
        <w:trPr>
          <w:trHeight w:val="182"/>
        </w:trPr>
        <w:tc>
          <w:tcPr>
            <w:tcW w:w="8740" w:type="dxa"/>
            <w:vAlign w:val="bottom"/>
            <w:gridSpan w:val="11"/>
          </w:tcPr>
          <w:p>
            <w:pPr>
              <w:spacing w:after="0"/>
              <w:rPr>
                <w:sz w:val="20"/>
                <w:szCs w:val="20"/>
                <w:color w:val="auto"/>
              </w:rPr>
            </w:pPr>
            <w:r>
              <w:rPr>
                <w:rFonts w:ascii="Arial" w:cs="Arial" w:eastAsia="Arial" w:hAnsi="Arial"/>
                <w:sz w:val="14"/>
                <w:szCs w:val="14"/>
                <w:color w:val="auto"/>
              </w:rPr>
              <w:t>(1) Includes payables of $5,383 and $5,378 due to non-guarantor subsidiaries as of March 31, 2023 and December 31, 2022</w:t>
            </w:r>
          </w:p>
        </w:tc>
      </w:tr>
      <w:tr>
        <w:trPr>
          <w:trHeight w:val="673"/>
        </w:trPr>
        <w:tc>
          <w:tcPr>
            <w:tcW w:w="4140" w:type="dxa"/>
            <w:vAlign w:val="bottom"/>
            <w:gridSpan w:val="3"/>
          </w:tcPr>
          <w:p>
            <w:pPr>
              <w:spacing w:after="0"/>
              <w:rPr>
                <w:sz w:val="20"/>
                <w:szCs w:val="20"/>
                <w:color w:val="auto"/>
              </w:rPr>
            </w:pPr>
            <w:r>
              <w:rPr>
                <w:rFonts w:ascii="Arial" w:cs="Arial" w:eastAsia="Arial" w:hAnsi="Arial"/>
                <w:sz w:val="18"/>
                <w:szCs w:val="18"/>
                <w:i w:val="1"/>
                <w:iCs w:val="1"/>
                <w:color w:val="auto"/>
              </w:rPr>
              <w:t>Crown Americas Obligor Group</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19"/>
        </w:trPr>
        <w:tc>
          <w:tcPr>
            <w:tcW w:w="2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5"/>
          </w:tcPr>
          <w:p>
            <w:pPr>
              <w:jc w:val="center"/>
              <w:spacing w:after="0"/>
              <w:rPr>
                <w:sz w:val="20"/>
                <w:szCs w:val="20"/>
                <w:color w:val="auto"/>
              </w:rPr>
            </w:pPr>
            <w:r>
              <w:rPr>
                <w:rFonts w:ascii="Arial" w:cs="Arial" w:eastAsia="Arial" w:hAnsi="Arial"/>
                <w:sz w:val="18"/>
                <w:szCs w:val="18"/>
                <w:color w:val="auto"/>
                <w:w w:val="90"/>
              </w:rPr>
              <w:t>Three Months Ended</w:t>
            </w:r>
          </w:p>
        </w:tc>
        <w:tc>
          <w:tcPr>
            <w:tcW w:w="1840" w:type="dxa"/>
            <w:vAlign w:val="bottom"/>
          </w:tcPr>
          <w:p>
            <w:pPr>
              <w:spacing w:after="0"/>
              <w:rPr>
                <w:sz w:val="24"/>
                <w:szCs w:val="24"/>
                <w:color w:val="auto"/>
              </w:rPr>
            </w:pPr>
          </w:p>
        </w:tc>
      </w:tr>
      <w:tr>
        <w:trPr>
          <w:trHeight w:val="230"/>
        </w:trPr>
        <w:tc>
          <w:tcPr>
            <w:tcW w:w="20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color w:val="auto"/>
                <w:w w:val="92"/>
              </w:rPr>
              <w:t>March 31, 2023</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Pr>
          <w:p>
            <w:pPr>
              <w:spacing w:after="0"/>
              <w:rPr>
                <w:sz w:val="20"/>
                <w:szCs w:val="20"/>
                <w:color w:val="auto"/>
              </w:rPr>
            </w:pPr>
          </w:p>
        </w:tc>
      </w:tr>
      <w:tr>
        <w:trPr>
          <w:trHeight w:val="223"/>
        </w:trPr>
        <w:tc>
          <w:tcPr>
            <w:tcW w:w="4140" w:type="dxa"/>
            <w:vAlign w:val="bottom"/>
            <w:gridSpan w:val="3"/>
            <w:shd w:val="clear" w:color="auto" w:fill="CCEEFF"/>
          </w:tcPr>
          <w:p>
            <w:pPr>
              <w:ind w:left="20"/>
              <w:spacing w:after="0" w:line="223" w:lineRule="exact"/>
              <w:rPr>
                <w:sz w:val="20"/>
                <w:szCs w:val="20"/>
                <w:color w:val="auto"/>
              </w:rPr>
            </w:pPr>
            <w:r>
              <w:rPr>
                <w:rFonts w:ascii="Arial" w:cs="Arial" w:eastAsia="Arial" w:hAnsi="Arial"/>
                <w:sz w:val="18"/>
                <w:szCs w:val="18"/>
                <w:color w:val="auto"/>
              </w:rPr>
              <w:t>Net sales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1,248</w:t>
            </w:r>
          </w:p>
        </w:tc>
        <w:tc>
          <w:tcPr>
            <w:tcW w:w="1840" w:type="dxa"/>
            <w:vAlign w:val="bottom"/>
          </w:tcPr>
          <w:p>
            <w:pPr>
              <w:spacing w:after="0"/>
              <w:rPr>
                <w:sz w:val="19"/>
                <w:szCs w:val="19"/>
                <w:color w:val="auto"/>
              </w:rPr>
            </w:pPr>
          </w:p>
        </w:tc>
      </w:tr>
      <w:tr>
        <w:trPr>
          <w:trHeight w:val="230"/>
        </w:trPr>
        <w:tc>
          <w:tcPr>
            <w:tcW w:w="414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rPr>
              <w:t>184</w:t>
            </w:r>
          </w:p>
        </w:tc>
        <w:tc>
          <w:tcPr>
            <w:tcW w:w="1840" w:type="dxa"/>
            <w:vAlign w:val="bottom"/>
          </w:tcPr>
          <w:p>
            <w:pPr>
              <w:spacing w:after="0"/>
              <w:rPr>
                <w:sz w:val="19"/>
                <w:szCs w:val="19"/>
                <w:color w:val="auto"/>
              </w:rPr>
            </w:pPr>
          </w:p>
        </w:tc>
      </w:tr>
      <w:tr>
        <w:trPr>
          <w:trHeight w:val="230"/>
        </w:trPr>
        <w:tc>
          <w:tcPr>
            <w:tcW w:w="41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Income from operations</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1840" w:type="dxa"/>
            <w:vAlign w:val="bottom"/>
          </w:tcPr>
          <w:p>
            <w:pPr>
              <w:spacing w:after="0"/>
              <w:rPr>
                <w:sz w:val="19"/>
                <w:szCs w:val="19"/>
                <w:color w:val="auto"/>
              </w:rPr>
            </w:pPr>
          </w:p>
        </w:tc>
      </w:tr>
      <w:tr>
        <w:trPr>
          <w:trHeight w:val="230"/>
        </w:trPr>
        <w:tc>
          <w:tcPr>
            <w:tcW w:w="414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3"/>
          </w:tcPr>
          <w:p>
            <w:pPr>
              <w:ind w:left="280"/>
              <w:spacing w:after="0"/>
              <w:rPr>
                <w:sz w:val="20"/>
                <w:szCs w:val="20"/>
                <w:color w:val="auto"/>
              </w:rPr>
            </w:pPr>
            <w:r>
              <w:rPr>
                <w:rFonts w:ascii="Arial" w:cs="Arial" w:eastAsia="Arial" w:hAnsi="Arial"/>
                <w:sz w:val="18"/>
                <w:szCs w:val="18"/>
                <w:color w:val="auto"/>
                <w:w w:val="99"/>
              </w:rPr>
              <w:t>(8)</w:t>
            </w:r>
          </w:p>
        </w:tc>
        <w:tc>
          <w:tcPr>
            <w:tcW w:w="1840" w:type="dxa"/>
            <w:vAlign w:val="bottom"/>
          </w:tcPr>
          <w:p>
            <w:pPr>
              <w:spacing w:after="0"/>
              <w:rPr>
                <w:sz w:val="19"/>
                <w:szCs w:val="19"/>
                <w:color w:val="auto"/>
              </w:rPr>
            </w:pPr>
          </w:p>
        </w:tc>
      </w:tr>
      <w:tr>
        <w:trPr>
          <w:trHeight w:val="230"/>
        </w:trPr>
        <w:tc>
          <w:tcPr>
            <w:tcW w:w="41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9"/>
              </w:rPr>
              <w:t>(8)</w:t>
            </w:r>
          </w:p>
        </w:tc>
        <w:tc>
          <w:tcPr>
            <w:tcW w:w="1840" w:type="dxa"/>
            <w:vAlign w:val="bottom"/>
          </w:tcPr>
          <w:p>
            <w:pPr>
              <w:spacing w:after="0"/>
              <w:rPr>
                <w:sz w:val="19"/>
                <w:szCs w:val="19"/>
                <w:color w:val="auto"/>
              </w:rPr>
            </w:pPr>
          </w:p>
        </w:tc>
      </w:tr>
    </w:tbl>
    <w:p>
      <w:pPr>
        <w:spacing w:after="0" w:line="76" w:lineRule="exact"/>
        <w:rPr>
          <w:sz w:val="20"/>
          <w:szCs w:val="20"/>
          <w:color w:val="auto"/>
        </w:rPr>
      </w:pPr>
    </w:p>
    <w:p>
      <w:pPr>
        <w:ind w:left="204" w:hanging="204"/>
        <w:spacing w:after="0"/>
        <w:tabs>
          <w:tab w:leader="none" w:pos="204"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$127 of sales to non-guarantor subsidiaries</w:t>
      </w:r>
    </w:p>
    <w:p>
      <w:pPr>
        <w:spacing w:after="0" w:line="21" w:lineRule="exact"/>
        <w:rPr>
          <w:rFonts w:ascii="Arial" w:cs="Arial" w:eastAsia="Arial" w:hAnsi="Arial"/>
          <w:sz w:val="14"/>
          <w:szCs w:val="14"/>
          <w:color w:val="auto"/>
        </w:rPr>
      </w:pPr>
    </w:p>
    <w:p>
      <w:pPr>
        <w:ind w:left="204" w:hanging="204"/>
        <w:spacing w:after="0"/>
        <w:tabs>
          <w:tab w:leader="none" w:pos="204"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$13 of gross profit related to sales to non-guarantor subsidiaries</w:t>
      </w:r>
    </w:p>
    <w:p>
      <w:pPr>
        <w:spacing w:after="0" w:line="6" w:lineRule="exact"/>
        <w:rPr>
          <w:rFonts w:ascii="Arial" w:cs="Arial" w:eastAsia="Arial" w:hAnsi="Arial"/>
          <w:sz w:val="14"/>
          <w:szCs w:val="14"/>
          <w:color w:val="auto"/>
        </w:rPr>
      </w:pPr>
    </w:p>
    <w:p>
      <w:pPr>
        <w:ind w:left="204" w:hanging="204"/>
        <w:spacing w:after="0"/>
        <w:tabs>
          <w:tab w:leader="none" w:pos="204"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$5 of income related to intercompany interest and technology royalties with non-guarantor subsidiaries</w:t>
      </w:r>
    </w:p>
    <w:p>
      <w:pPr>
        <w:spacing w:after="0" w:line="200" w:lineRule="exact"/>
        <w:rPr>
          <w:sz w:val="20"/>
          <w:szCs w:val="20"/>
          <w:color w:val="auto"/>
        </w:rPr>
      </w:pPr>
    </w:p>
    <w:p>
      <w:pPr>
        <w:spacing w:after="0" w:line="333"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46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March 31, 2023</w:t>
            </w:r>
          </w:p>
        </w:tc>
        <w:tc>
          <w:tcPr>
            <w:tcW w:w="520" w:type="dxa"/>
            <w:vAlign w:val="bottom"/>
            <w:tcBorders>
              <w:bottom w:val="single" w:sz="8" w:color="auto"/>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8"/>
              </w:rPr>
              <w:t>December 31, 2022</w:t>
            </w:r>
          </w:p>
        </w:tc>
      </w:tr>
      <w:tr>
        <w:trPr>
          <w:trHeight w:val="223"/>
        </w:trPr>
        <w:tc>
          <w:tcPr>
            <w:tcW w:w="44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Current assets</w:t>
            </w:r>
            <w:r>
              <w:rPr>
                <w:rFonts w:ascii="Arial" w:cs="Arial" w:eastAsia="Arial" w:hAnsi="Arial"/>
                <w:sz w:val="23"/>
                <w:szCs w:val="23"/>
                <w:color w:val="auto"/>
                <w:vertAlign w:val="superscript"/>
              </w:rPr>
              <w:t>1</w:t>
            </w:r>
          </w:p>
        </w:tc>
        <w:tc>
          <w:tcPr>
            <w:tcW w:w="170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1,037</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30"/>
        </w:trPr>
        <w:tc>
          <w:tcPr>
            <w:tcW w:w="4460" w:type="dxa"/>
            <w:vAlign w:val="bottom"/>
          </w:tcPr>
          <w:p>
            <w:pPr>
              <w:ind w:left="20"/>
              <w:spacing w:after="0" w:line="230" w:lineRule="exact"/>
              <w:rPr>
                <w:sz w:val="20"/>
                <w:szCs w:val="20"/>
                <w:color w:val="auto"/>
              </w:rPr>
            </w:pPr>
            <w:r>
              <w:rPr>
                <w:rFonts w:ascii="Arial" w:cs="Arial" w:eastAsia="Arial" w:hAnsi="Arial"/>
                <w:sz w:val="18"/>
                <w:szCs w:val="18"/>
                <w:color w:val="auto"/>
              </w:rPr>
              <w:t>Non-current assets</w:t>
            </w:r>
            <w:r>
              <w:rPr>
                <w:rFonts w:ascii="Arial" w:cs="Arial" w:eastAsia="Arial" w:hAnsi="Arial"/>
                <w:sz w:val="23"/>
                <w:szCs w:val="23"/>
                <w:color w:val="auto"/>
                <w:vertAlign w:val="superscript"/>
              </w:rPr>
              <w:t>2</w:t>
            </w:r>
          </w:p>
        </w:tc>
        <w:tc>
          <w:tcPr>
            <w:tcW w:w="1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3,865</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3,830</w:t>
            </w: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Current liabilities</w:t>
            </w:r>
            <w:r>
              <w:rPr>
                <w:rFonts w:ascii="Arial" w:cs="Arial" w:eastAsia="Arial" w:hAnsi="Arial"/>
                <w:sz w:val="23"/>
                <w:szCs w:val="23"/>
                <w:color w:val="auto"/>
                <w:vertAlign w:val="superscript"/>
              </w:rPr>
              <w:t>3</w:t>
            </w:r>
          </w:p>
        </w:tc>
        <w:tc>
          <w:tcPr>
            <w:tcW w:w="1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1,292</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r>
      <w:tr>
        <w:trPr>
          <w:trHeight w:val="312"/>
        </w:trPr>
        <w:tc>
          <w:tcPr>
            <w:tcW w:w="4460" w:type="dxa"/>
            <w:vAlign w:val="bottom"/>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4</w:t>
            </w:r>
          </w:p>
        </w:tc>
        <w:tc>
          <w:tcPr>
            <w:tcW w:w="17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6,138</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6,048</w:t>
            </w:r>
          </w:p>
        </w:tc>
      </w:tr>
    </w:tbl>
    <w:p>
      <w:pPr>
        <w:ind w:left="204" w:hanging="204"/>
        <w:spacing w:after="0"/>
        <w:tabs>
          <w:tab w:leader="none" w:pos="204"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receivables of $38 and $33 due from non-guarantor subsidiaries as of March 31, 2023 and December 31, 2022</w:t>
      </w:r>
    </w:p>
    <w:p>
      <w:pPr>
        <w:spacing w:after="0" w:line="14" w:lineRule="exact"/>
        <w:rPr>
          <w:rFonts w:ascii="Arial" w:cs="Arial" w:eastAsia="Arial" w:hAnsi="Arial"/>
          <w:sz w:val="14"/>
          <w:szCs w:val="14"/>
          <w:color w:val="auto"/>
        </w:rPr>
      </w:pPr>
    </w:p>
    <w:p>
      <w:pPr>
        <w:ind w:left="204" w:hanging="204"/>
        <w:spacing w:after="0"/>
        <w:tabs>
          <w:tab w:leader="none" w:pos="204"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receivables of $220 and $185 due from non-guarantor subsidiaries as of March 31, 2023 and December 31, 2022</w:t>
      </w:r>
    </w:p>
    <w:p>
      <w:pPr>
        <w:spacing w:after="0" w:line="14" w:lineRule="exact"/>
        <w:rPr>
          <w:rFonts w:ascii="Arial" w:cs="Arial" w:eastAsia="Arial" w:hAnsi="Arial"/>
          <w:sz w:val="14"/>
          <w:szCs w:val="14"/>
          <w:color w:val="auto"/>
        </w:rPr>
      </w:pPr>
    </w:p>
    <w:p>
      <w:pPr>
        <w:ind w:left="204" w:hanging="204"/>
        <w:spacing w:after="0"/>
        <w:tabs>
          <w:tab w:leader="none" w:pos="204"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payables of $28 and $37 due to non-guarantor subsidiaries as of March 31, 2023 and December 31, 2022</w:t>
      </w:r>
    </w:p>
    <w:p>
      <w:pPr>
        <w:spacing w:after="0" w:line="6" w:lineRule="exact"/>
        <w:rPr>
          <w:rFonts w:ascii="Arial" w:cs="Arial" w:eastAsia="Arial" w:hAnsi="Arial"/>
          <w:sz w:val="14"/>
          <w:szCs w:val="14"/>
          <w:color w:val="auto"/>
        </w:rPr>
      </w:pPr>
    </w:p>
    <w:p>
      <w:pPr>
        <w:ind w:left="204" w:hanging="204"/>
        <w:spacing w:after="0"/>
        <w:tabs>
          <w:tab w:leader="none" w:pos="204"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payables of $1,426 and $1,314 due to non-guarantor subsidiaries as of March 31, 2023 and December 31, 2022</w:t>
      </w:r>
    </w:p>
    <w:p>
      <w:pPr>
        <w:spacing w:after="0" w:line="246"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Commitments and Contingent Liabilities</w:t>
      </w:r>
    </w:p>
    <w:p>
      <w:pPr>
        <w:spacing w:after="0" w:line="256"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 xml:space="preserve">Information regarding the Company's commitments and contingent liabilities appears in Part I within Item 1 of this report under </w:t>
      </w:r>
      <w:r>
        <w:rPr>
          <w:rFonts w:ascii="Arial" w:cs="Arial" w:eastAsia="Arial" w:hAnsi="Arial"/>
          <w:sz w:val="18"/>
          <w:szCs w:val="18"/>
          <w:u w:val="single" w:color="auto"/>
          <w:color w:val="0000FF"/>
        </w:rPr>
        <w:t>Note I</w:t>
      </w:r>
      <w:r>
        <w:rPr>
          <w:rFonts w:ascii="Arial" w:cs="Arial" w:eastAsia="Arial" w:hAnsi="Arial"/>
          <w:sz w:val="18"/>
          <w:szCs w:val="18"/>
          <w:color w:val="auto"/>
        </w:rPr>
        <w:t xml:space="preserve"> entitled “Commitments and Contingent Liabilities,” to the consolidated financial statements, and in Part II within Item 1A of this report which information is incorporated herein by reference.</w:t>
      </w:r>
    </w:p>
    <w:p>
      <w:pPr>
        <w:sectPr>
          <w:pgSz w:w="11900" w:h="16838" w:orient="portrait"/>
          <w:cols w:equalWidth="0" w:num="1">
            <w:col w:w="10584"/>
          </w:cols>
          <w:pgMar w:left="976"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4884"/>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which require that management make numerous estimates and assumptions.</w:t>
      </w:r>
    </w:p>
    <w:p>
      <w:pPr>
        <w:spacing w:after="0" w:line="23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 10-K for the year ended December 31, 2022 describe the significant accounting estimates and policies used in the preparation of the consolidated financial statements. Updates to the Company's accounting policies related to new accounting pronouncements, as applicable, are included in the notes to the consolidated financial statements included in this Quarterly Report on Form 10-Q.</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56"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 xml:space="preserve">Statements included herein, including, but not limited to, those in “Management's Discussion and Analysis of Financial Condition and Results of Operations” and in the discussions of asbestos in </w:t>
      </w:r>
      <w:r>
        <w:rPr>
          <w:rFonts w:ascii="Arial" w:cs="Arial" w:eastAsia="Arial" w:hAnsi="Arial"/>
          <w:sz w:val="17"/>
          <w:szCs w:val="17"/>
          <w:u w:val="single" w:color="auto"/>
          <w:color w:val="0000FF"/>
        </w:rPr>
        <w:t>Note H</w:t>
      </w:r>
      <w:r>
        <w:rPr>
          <w:rFonts w:ascii="Arial" w:cs="Arial" w:eastAsia="Arial" w:hAnsi="Arial"/>
          <w:sz w:val="17"/>
          <w:szCs w:val="17"/>
          <w:color w:val="auto"/>
        </w:rPr>
        <w:t xml:space="preserve"> and commitments and contingencies in </w:t>
      </w:r>
      <w:r>
        <w:rPr>
          <w:rFonts w:ascii="Arial" w:cs="Arial" w:eastAsia="Arial" w:hAnsi="Arial"/>
          <w:sz w:val="17"/>
          <w:szCs w:val="17"/>
          <w:u w:val="single" w:color="auto"/>
          <w:color w:val="0000FF"/>
        </w:rPr>
        <w:t>Note I</w:t>
      </w:r>
      <w:r>
        <w:rPr>
          <w:rFonts w:ascii="Arial" w:cs="Arial" w:eastAsia="Arial" w:hAnsi="Arial"/>
          <w:sz w:val="17"/>
          <w:szCs w:val="17"/>
          <w:color w:val="auto"/>
        </w:rPr>
        <w:t xml:space="preserve"> to the consolidated financial statements included in this Quarterly Report on Form 10-Q, and also in Part I, Item 1, “Business” and Item 3, “Legal Proceedings” and in Part II, Item 7, “Management's Discussion and Analysis of Financial Condition and Results of Operations,” within the Company's Annual Report on Form 10-K for the year ended December 31, 2022, which are not historical facts (including any statements concerning the direct or indirect impact of the COVID-19 pandemic and the Russia-Ukraine war, objectives of management for capacity additions, share repurchases, dividends, future operations or economic performance, or assumptions related thereto, including the potential for higher interest rates and energy prices), are “forward-looking statements” within the meaning of the federal securities laws. In addition, the Company and its representatives may, from time to time, make oral or written statements which are also “forward-looking statements.”</w:t>
      </w:r>
    </w:p>
    <w:p>
      <w:pPr>
        <w:spacing w:after="0" w:line="20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211"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U.S. Securities and Exchange Commission (“SEC”), the Company does not intend to review or revise any particular forward-looking statement in light of future events.</w:t>
      </w:r>
    </w:p>
    <w:p>
      <w:pPr>
        <w:spacing w:after="0" w:line="19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 discussion of important factors that could cause the actual results of operations or financial condition of the Company to differ from expectations has been set forth in the Company's Annual Report on Form 10-K for the year ended December 31, 2022 within Part II, Item 7: “Management's Discussion and Analysis of Financial Condition and Results of Operations” under the caption “Forward Looking Statements” and is incorporated herein by reference. Some of the factors are also discussed elsewhere in this Form 10-Q (including under Item 1A of Part II below) and in prior Company filings with the SEC. In addition, other factors have been or may be discussed from time to time in the Company's SEC filings.</w:t>
      </w:r>
    </w:p>
    <w:p>
      <w:pPr>
        <w:spacing w:after="0" w:line="200" w:lineRule="exact"/>
        <w:rPr>
          <w:sz w:val="20"/>
          <w:szCs w:val="20"/>
          <w:color w:val="auto"/>
        </w:rPr>
      </w:pPr>
    </w:p>
    <w:p>
      <w:pPr>
        <w:spacing w:after="0" w:line="2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 xml:space="preserve">Company's use of derivative instruments and their fair values at March 31, 2023, see </w:t>
      </w:r>
      <w:r>
        <w:rPr>
          <w:rFonts w:ascii="Arial" w:cs="Arial" w:eastAsia="Arial" w:hAnsi="Arial"/>
          <w:sz w:val="18"/>
          <w:szCs w:val="18"/>
          <w:u w:val="single" w:color="auto"/>
          <w:color w:val="0000FF"/>
        </w:rPr>
        <w:t>Note J</w:t>
      </w:r>
      <w:r>
        <w:rPr>
          <w:rFonts w:ascii="Arial" w:cs="Arial" w:eastAsia="Arial" w:hAnsi="Arial"/>
          <w:sz w:val="18"/>
          <w:szCs w:val="18"/>
          <w:color w:val="auto"/>
        </w:rPr>
        <w:t xml:space="preserve"> to the consolidated financial statements included in this Quarterly Report on Form 10-Q.</w:t>
      </w:r>
    </w:p>
    <w:p>
      <w:pPr>
        <w:spacing w:after="0" w:line="197"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As of March 31, 2023, the Company had $3.2 billion principal floating interest rate debt and $1.2 billion of securitization and factoring. A change of 0.25% in these floating interest rates would change annual interest expense by approximately $11 million before tax.</w:t>
      </w:r>
    </w:p>
    <w:p>
      <w:pPr>
        <w:spacing w:after="0" w:line="200" w:lineRule="exact"/>
        <w:rPr>
          <w:sz w:val="20"/>
          <w:szCs w:val="20"/>
          <w:color w:val="auto"/>
        </w:rPr>
      </w:pP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20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 xml:space="preserve">For information regarding the Company's potential asbestos-related liabilities and other litigation, see </w:t>
      </w:r>
      <w:r>
        <w:rPr>
          <w:rFonts w:ascii="Arial" w:cs="Arial" w:eastAsia="Arial" w:hAnsi="Arial"/>
          <w:sz w:val="18"/>
          <w:szCs w:val="18"/>
          <w:u w:val="single" w:color="auto"/>
          <w:color w:val="0000FF"/>
        </w:rPr>
        <w:t>Note H</w:t>
      </w:r>
      <w:r>
        <w:rPr>
          <w:rFonts w:ascii="Arial" w:cs="Arial" w:eastAsia="Arial" w:hAnsi="Arial"/>
          <w:sz w:val="18"/>
          <w:szCs w:val="18"/>
          <w:color w:val="auto"/>
        </w:rPr>
        <w:t xml:space="preserve"> entitled “Asbestos-Related Liabilities” and </w:t>
      </w:r>
      <w:r>
        <w:rPr>
          <w:rFonts w:ascii="Arial" w:cs="Arial" w:eastAsia="Arial" w:hAnsi="Arial"/>
          <w:sz w:val="18"/>
          <w:szCs w:val="18"/>
          <w:u w:val="single" w:color="auto"/>
          <w:color w:val="0000FF"/>
        </w:rPr>
        <w:t>Note I</w:t>
      </w:r>
      <w:r>
        <w:rPr>
          <w:rFonts w:ascii="Arial" w:cs="Arial" w:eastAsia="Arial" w:hAnsi="Arial"/>
          <w:sz w:val="18"/>
          <w:szCs w:val="18"/>
          <w:color w:val="auto"/>
        </w:rPr>
        <w:t xml:space="preserve"> entitled “Commitments and Contingent Liabilities” to the consolidated financial statements within Part I, Item 1 of this Quarterly Report on Form 10-Q, which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5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information set forth in this report should be read in conjunction with the risk factors discussed in Item 1A of the Company's Annual Report on Form 10-K for the year ended December 31, 2022. Such risks are not the only risks facing the Company. Additional risks and uncertainties not currently known to the Company or that the Company currently deems to be immaterial may also materially adversely affect the Company's business, financial condition and/or operating results.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March 31, 2023, 71,220 shares were surrendered to cover taxes on the vesting of restricted stock.</w:t>
      </w:r>
    </w:p>
    <w:p>
      <w:pPr>
        <w:spacing w:after="0" w:line="252"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In December 2021, the Company's Board of Directors authorized the repurchase of an aggregate amount of $3.0 billion of Company common stock through the end of 2024. Share repurchases under the Company's program may be made in the open market or through privately negotiated transactions, and at times and in such amounts as management deems appropriate. The Company has remaining Board authorization to repurchase an additional $2,300 of the Company's common stock under the program as of March 31, 2023.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events required to be reported under Item 3 for the three months ended March 31,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Submission of Matters to a Vote of Security Holders</w:t>
      </w:r>
    </w:p>
    <w:p>
      <w:pPr>
        <w:spacing w:after="0" w:line="243" w:lineRule="exact"/>
        <w:rPr>
          <w:sz w:val="20"/>
          <w:szCs w:val="20"/>
          <w:color w:val="auto"/>
        </w:rPr>
      </w:pPr>
    </w:p>
    <w:p>
      <w:pPr>
        <w:ind w:left="980" w:right="140" w:hanging="324"/>
        <w:spacing w:after="0" w:line="270"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Crown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held its Annual Meeting of Shareholders on April 27, 2023 (the “</w:t>
      </w:r>
      <w:r>
        <w:rPr>
          <w:rFonts w:ascii="Arial" w:cs="Arial" w:eastAsia="Arial" w:hAnsi="Arial"/>
          <w:sz w:val="17"/>
          <w:szCs w:val="17"/>
          <w:u w:val="single" w:color="auto"/>
          <w:color w:val="auto"/>
        </w:rPr>
        <w:t>Annual Meeting</w:t>
      </w:r>
      <w:r>
        <w:rPr>
          <w:rFonts w:ascii="Arial" w:cs="Arial" w:eastAsia="Arial" w:hAnsi="Arial"/>
          <w:sz w:val="17"/>
          <w:szCs w:val="17"/>
          <w:color w:val="auto"/>
        </w:rPr>
        <w:t>”). As of March 7, 2023, the record date for the meeting, 120,107,190 shares of Common Stock, par value $5.00 per share, of the Company (“</w:t>
      </w:r>
      <w:r>
        <w:rPr>
          <w:rFonts w:ascii="Arial" w:cs="Arial" w:eastAsia="Arial" w:hAnsi="Arial"/>
          <w:sz w:val="17"/>
          <w:szCs w:val="17"/>
          <w:u w:val="single" w:color="auto"/>
          <w:color w:val="auto"/>
        </w:rPr>
        <w:t>Common Stock</w:t>
      </w:r>
      <w:r>
        <w:rPr>
          <w:rFonts w:ascii="Arial" w:cs="Arial" w:eastAsia="Arial" w:hAnsi="Arial"/>
          <w:sz w:val="17"/>
          <w:szCs w:val="17"/>
          <w:color w:val="auto"/>
        </w:rPr>
        <w:t>”) were issued and outstanding. A quorum of 102,881,857 shares of Common Stock were present or represented at the meeting.</w:t>
      </w:r>
    </w:p>
    <w:p>
      <w:pPr>
        <w:spacing w:after="0" w:line="204" w:lineRule="exact"/>
        <w:rPr>
          <w:rFonts w:ascii="Arial" w:cs="Arial" w:eastAsia="Arial" w:hAnsi="Arial"/>
          <w:sz w:val="17"/>
          <w:szCs w:val="17"/>
          <w:color w:val="auto"/>
        </w:rPr>
      </w:pPr>
    </w:p>
    <w:p>
      <w:pPr>
        <w:ind w:left="920" w:hanging="26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individuals were nominated and elected to serve as directors:</w:t>
      </w:r>
    </w:p>
    <w:p>
      <w:pPr>
        <w:spacing w:after="0" w:line="239" w:lineRule="exact"/>
        <w:rPr>
          <w:sz w:val="20"/>
          <w:szCs w:val="20"/>
          <w:color w:val="auto"/>
        </w:rPr>
      </w:pPr>
    </w:p>
    <w:p>
      <w:pPr>
        <w:ind w:left="980"/>
        <w:spacing w:after="0" w:line="261" w:lineRule="auto"/>
        <w:rPr>
          <w:sz w:val="20"/>
          <w:szCs w:val="20"/>
          <w:color w:val="auto"/>
        </w:rPr>
      </w:pPr>
      <w:r>
        <w:rPr>
          <w:rFonts w:ascii="Arial" w:cs="Arial" w:eastAsia="Arial" w:hAnsi="Arial"/>
          <w:sz w:val="18"/>
          <w:szCs w:val="18"/>
          <w:color w:val="auto"/>
        </w:rPr>
        <w:t>Timothy J. Donahue, Richard H. Fearon, Andrea J. Funk, Stephen J. Hagge, Jesse A. Lynn, James H. Miller, Josef M. Müller, B. Craig Owens, Angela M. Snyder, Caesar F. Sweitzer, Andrew J. Teno, Marsha C. Williams and Dwayne A. Wilson.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Annual Meeting, the Company’s Shareholders voted on the five matters below as follows:</w:t>
      </w:r>
    </w:p>
    <w:p>
      <w:pPr>
        <w:spacing w:after="0" w:line="252" w:lineRule="exact"/>
        <w:rPr>
          <w:sz w:val="20"/>
          <w:szCs w:val="20"/>
          <w:color w:val="auto"/>
        </w:rPr>
      </w:pPr>
    </w:p>
    <w:p>
      <w:pPr>
        <w:ind w:left="1940" w:hanging="636"/>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Shareholders elected the following directors pursuant to the following vote:</w:t>
      </w:r>
    </w:p>
    <w:p>
      <w:pPr>
        <w:spacing w:after="0" w:line="109"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1"/>
              </w:rPr>
              <w:t>Votes</w:t>
            </w: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Votes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6"/>
              </w:rPr>
              <w:t>Broker</w:t>
            </w:r>
          </w:p>
        </w:tc>
      </w:tr>
      <w:tr>
        <w:trPr>
          <w:trHeight w:val="241"/>
        </w:trPr>
        <w:tc>
          <w:tcPr>
            <w:tcW w:w="214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Directors</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Withheld</w:t>
            </w:r>
          </w:p>
        </w:tc>
        <w:tc>
          <w:tcPr>
            <w:tcW w:w="2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Non-Vote</w:t>
            </w:r>
          </w:p>
        </w:tc>
      </w:tr>
      <w:tr>
        <w:trPr>
          <w:trHeight w:val="48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Timothy J. Donahue</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86,883,414</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8,130,872</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7,867,571</w:t>
            </w:r>
          </w:p>
        </w:tc>
      </w:tr>
      <w:tr>
        <w:trPr>
          <w:trHeight w:val="499"/>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Richard H. Fearon</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91,239,125</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3,775,161</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7,867,571</w:t>
            </w:r>
          </w:p>
        </w:tc>
      </w:tr>
      <w:tr>
        <w:trPr>
          <w:trHeight w:val="500"/>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Andrea J. Funk</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92,183,047</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2,831,239</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7,867,571</w:t>
            </w:r>
          </w:p>
        </w:tc>
      </w:tr>
      <w:tr>
        <w:trPr>
          <w:trHeight w:val="500"/>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Stephen J. Hagge</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90,207,604</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4,806,682</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7,867,571</w:t>
            </w:r>
          </w:p>
        </w:tc>
      </w:tr>
      <w:tr>
        <w:trPr>
          <w:trHeight w:val="499"/>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Jesse A. Lynn</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89,110,442</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5,903,844</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7,867,571</w:t>
            </w:r>
          </w:p>
        </w:tc>
      </w:tr>
      <w:tr>
        <w:trPr>
          <w:trHeight w:val="500"/>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James H. Miller</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80,295,773</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14,718,513</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7,867,571</w:t>
            </w:r>
          </w:p>
        </w:tc>
      </w:tr>
      <w:tr>
        <w:trPr>
          <w:trHeight w:val="500"/>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Josef M. Müller</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91,507,205</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3,507,081</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7,867,571</w:t>
            </w:r>
          </w:p>
        </w:tc>
      </w:tr>
      <w:tr>
        <w:trPr>
          <w:trHeight w:val="499"/>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B. Craig Owens</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91,784,967</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3,229,319</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7,867,571</w:t>
            </w:r>
          </w:p>
        </w:tc>
      </w:tr>
      <w:tr>
        <w:trPr>
          <w:trHeight w:val="500"/>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Angela M. Snyder</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94,100,966</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913,320</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7,867,571</w:t>
            </w:r>
          </w:p>
        </w:tc>
      </w:tr>
      <w:tr>
        <w:trPr>
          <w:trHeight w:val="500"/>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Caesar F. Sweitzer</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91,398,449</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3,615,837</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7,867,571</w:t>
            </w:r>
          </w:p>
        </w:tc>
      </w:tr>
      <w:tr>
        <w:trPr>
          <w:trHeight w:val="500"/>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Andrew J. Teno</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90,253,064</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4,761,222</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7,867,571</w:t>
            </w:r>
          </w:p>
        </w:tc>
      </w:tr>
      <w:tr>
        <w:trPr>
          <w:trHeight w:val="499"/>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Marsha C. Williams</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90,439,808</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4,574,478</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7,867,571</w:t>
            </w:r>
          </w:p>
        </w:tc>
      </w:tr>
      <w:tr>
        <w:trPr>
          <w:trHeight w:val="499"/>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Dwayne A. Wilson</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88,691,815</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6,322,471</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7,867,571</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1960" w:hanging="656"/>
        <w:spacing w:after="0" w:line="277" w:lineRule="auto"/>
        <w:tabs>
          <w:tab w:leader="none" w:pos="19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Shareholders ratified the appointment of PricewaterhouseCoopers LLP as the Company's independent auditor for the fiscal year ending December 31, 2023 pursuant to the following vote:</w:t>
      </w:r>
    </w:p>
    <w:p>
      <w:pPr>
        <w:spacing w:after="0" w:line="59"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202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81"/>
              </w:rPr>
              <w:t>Votes</w:t>
            </w:r>
          </w:p>
        </w:tc>
        <w:tc>
          <w:tcPr>
            <w:tcW w:w="2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Votes</w:t>
            </w:r>
          </w:p>
        </w:tc>
        <w:tc>
          <w:tcPr>
            <w:tcW w:w="192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Votes</w:t>
            </w:r>
          </w:p>
        </w:tc>
        <w:tc>
          <w:tcPr>
            <w:tcW w:w="186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Broker</w:t>
            </w:r>
          </w:p>
        </w:tc>
      </w:tr>
      <w:tr>
        <w:trPr>
          <w:trHeight w:val="250"/>
        </w:trPr>
        <w:tc>
          <w:tcPr>
            <w:tcW w:w="202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6"/>
              </w:rPr>
              <w:t>For</w:t>
            </w:r>
          </w:p>
        </w:tc>
        <w:tc>
          <w:tcPr>
            <w:tcW w:w="2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Against</w:t>
            </w:r>
          </w:p>
        </w:tc>
        <w:tc>
          <w:tcPr>
            <w:tcW w:w="19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Abstaining</w:t>
            </w:r>
          </w:p>
        </w:tc>
        <w:tc>
          <w:tcPr>
            <w:tcW w:w="186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Non-Vote</w:t>
            </w:r>
          </w:p>
        </w:tc>
      </w:tr>
      <w:tr>
        <w:trPr>
          <w:trHeight w:val="230"/>
        </w:trPr>
        <w:tc>
          <w:tcPr>
            <w:tcW w:w="17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97,267,004</w:t>
            </w:r>
          </w:p>
        </w:tc>
        <w:tc>
          <w:tcPr>
            <w:tcW w:w="300" w:type="dxa"/>
            <w:vAlign w:val="bottom"/>
          </w:tcPr>
          <w:p>
            <w:pPr>
              <w:spacing w:after="0"/>
              <w:rPr>
                <w:sz w:val="20"/>
                <w:szCs w:val="20"/>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5,511,354</w:t>
            </w:r>
          </w:p>
        </w:tc>
        <w:tc>
          <w:tcPr>
            <w:tcW w:w="300" w:type="dxa"/>
            <w:vAlign w:val="bottom"/>
          </w:tcPr>
          <w:p>
            <w:pPr>
              <w:spacing w:after="0"/>
              <w:rPr>
                <w:sz w:val="20"/>
                <w:szCs w:val="20"/>
                <w:color w:val="auto"/>
              </w:rPr>
            </w:pPr>
          </w:p>
        </w:tc>
        <w:tc>
          <w:tcPr>
            <w:tcW w:w="192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89"/>
              </w:rPr>
              <w:t>103,499</w:t>
            </w:r>
          </w:p>
        </w:tc>
        <w:tc>
          <w:tcPr>
            <w:tcW w:w="186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352" w:lineRule="exact"/>
        <w:rPr>
          <w:sz w:val="20"/>
          <w:szCs w:val="20"/>
          <w:color w:val="auto"/>
        </w:rPr>
      </w:pPr>
    </w:p>
    <w:p>
      <w:pPr>
        <w:ind w:left="1960" w:hanging="656"/>
        <w:spacing w:after="0" w:line="277" w:lineRule="auto"/>
        <w:tabs>
          <w:tab w:leader="none" w:pos="19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Shareholders approved, by non-binding advisory vote, the resolution on executive compensation (as further described in the Company's 2023 Proxy Statement) pursuant to the following vote:</w:t>
      </w:r>
    </w:p>
    <w:p>
      <w:pPr>
        <w:spacing w:after="0" w:line="27" w:lineRule="exact"/>
        <w:rPr>
          <w:sz w:val="20"/>
          <w:szCs w:val="20"/>
          <w:color w:val="auto"/>
        </w:rPr>
      </w:pPr>
    </w:p>
    <w:tbl>
      <w:tblPr>
        <w:tblLayout w:type="fixed"/>
        <w:tblInd w:w="2120" w:type="dxa"/>
        <w:tblCellMar>
          <w:top w:w="0" w:type="dxa"/>
          <w:left w:w="0" w:type="dxa"/>
          <w:bottom w:w="0" w:type="dxa"/>
          <w:right w:w="0" w:type="dxa"/>
        </w:tblCellMar>
      </w:tblPr>
      <w:tr>
        <w:trPr>
          <w:trHeight w:val="207"/>
        </w:trPr>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Votes</w:t>
            </w: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Votes</w:t>
            </w: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Votes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41"/>
        </w:trPr>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For</w:t>
            </w: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Against</w:t>
            </w: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Abstaining</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Non-Vote</w:t>
            </w:r>
          </w:p>
        </w:tc>
      </w:tr>
      <w:tr>
        <w:trPr>
          <w:trHeight w:val="311"/>
        </w:trPr>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88,060,284</w:t>
            </w:r>
          </w:p>
        </w:tc>
        <w:tc>
          <w:tcPr>
            <w:tcW w:w="300" w:type="dxa"/>
            <w:vAlign w:val="bottom"/>
          </w:tcPr>
          <w:p>
            <w:pPr>
              <w:spacing w:after="0"/>
              <w:rPr>
                <w:sz w:val="24"/>
                <w:szCs w:val="24"/>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6,921,353</w:t>
            </w:r>
          </w:p>
        </w:tc>
        <w:tc>
          <w:tcPr>
            <w:tcW w:w="32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140,842</w:t>
            </w:r>
          </w:p>
        </w:tc>
        <w:tc>
          <w:tcPr>
            <w:tcW w:w="32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7,759,378</w:t>
            </w:r>
          </w:p>
        </w:tc>
      </w:tr>
    </w:tbl>
    <w:p>
      <w:pPr>
        <w:spacing w:after="0" w:line="337" w:lineRule="exact"/>
        <w:rPr>
          <w:sz w:val="20"/>
          <w:szCs w:val="20"/>
          <w:color w:val="auto"/>
        </w:rPr>
      </w:pPr>
    </w:p>
    <w:p>
      <w:pPr>
        <w:ind w:left="1960" w:right="260" w:hanging="656"/>
        <w:spacing w:after="0" w:line="277" w:lineRule="auto"/>
        <w:tabs>
          <w:tab w:leader="none" w:pos="19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Shareholders approved, by non-binding advisory vote, the frequency of future Say-on-Pay votes pursuant to the following vote:</w:t>
      </w:r>
    </w:p>
    <w:p>
      <w:pPr>
        <w:spacing w:after="0" w:line="200" w:lineRule="exact"/>
        <w:rPr>
          <w:sz w:val="20"/>
          <w:szCs w:val="20"/>
          <w:color w:val="auto"/>
        </w:rPr>
      </w:pPr>
    </w:p>
    <w:p>
      <w:pPr>
        <w:spacing w:after="0" w:line="210" w:lineRule="exact"/>
        <w:rPr>
          <w:sz w:val="20"/>
          <w:szCs w:val="20"/>
          <w:color w:val="auto"/>
        </w:rPr>
      </w:pPr>
    </w:p>
    <w:tbl>
      <w:tblPr>
        <w:tblLayout w:type="fixed"/>
        <w:tblInd w:w="212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Every Two</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Every Three</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Votes</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50"/>
        </w:trPr>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Every Year</w:t>
            </w: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Years</w:t>
            </w: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Years</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Abstaining</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Non-Vote</w:t>
            </w:r>
          </w:p>
        </w:tc>
      </w:tr>
      <w:tr>
        <w:trPr>
          <w:trHeight w:val="310"/>
        </w:trPr>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93,666,716</w:t>
            </w:r>
          </w:p>
        </w:tc>
        <w:tc>
          <w:tcPr>
            <w:tcW w:w="280" w:type="dxa"/>
            <w:vAlign w:val="bottom"/>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108,960</w:t>
            </w:r>
          </w:p>
        </w:tc>
        <w:tc>
          <w:tcPr>
            <w:tcW w:w="300" w:type="dxa"/>
            <w:vAlign w:val="bottom"/>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1,167,338</w:t>
            </w:r>
          </w:p>
        </w:tc>
        <w:tc>
          <w:tcPr>
            <w:tcW w:w="300" w:type="dxa"/>
            <w:vAlign w:val="bottom"/>
          </w:tcPr>
          <w:p>
            <w:pPr>
              <w:spacing w:after="0"/>
              <w:rPr>
                <w:sz w:val="24"/>
                <w:szCs w:val="24"/>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179,465</w:t>
            </w:r>
          </w:p>
        </w:tc>
        <w:tc>
          <w:tcPr>
            <w:tcW w:w="280" w:type="dxa"/>
            <w:vAlign w:val="bottom"/>
          </w:tcPr>
          <w:p>
            <w:pPr>
              <w:spacing w:after="0"/>
              <w:rPr>
                <w:sz w:val="24"/>
                <w:szCs w:val="24"/>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7,759,378</w:t>
            </w:r>
          </w:p>
        </w:tc>
      </w:tr>
    </w:tbl>
    <w:p>
      <w:pPr>
        <w:spacing w:after="0" w:line="94" w:lineRule="exact"/>
        <w:rPr>
          <w:sz w:val="20"/>
          <w:szCs w:val="20"/>
          <w:color w:val="auto"/>
        </w:rPr>
      </w:pPr>
    </w:p>
    <w:p>
      <w:pPr>
        <w:ind w:left="1960" w:right="260" w:hanging="656"/>
        <w:spacing w:after="0" w:line="277" w:lineRule="auto"/>
        <w:tabs>
          <w:tab w:leader="none" w:pos="19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Company's Shareholders did not approve the Shareholder proposal seeking Shareholder ratification of termination pay pursuant to the following vote:</w:t>
      </w:r>
    </w:p>
    <w:p>
      <w:pPr>
        <w:spacing w:after="0" w:line="18" w:lineRule="exact"/>
        <w:rPr>
          <w:sz w:val="20"/>
          <w:szCs w:val="20"/>
          <w:color w:val="auto"/>
        </w:rPr>
      </w:pPr>
    </w:p>
    <w:tbl>
      <w:tblPr>
        <w:tblLayout w:type="fixed"/>
        <w:tblInd w:w="2120" w:type="dxa"/>
        <w:tblCellMar>
          <w:top w:w="0" w:type="dxa"/>
          <w:left w:w="0" w:type="dxa"/>
          <w:bottom w:w="0" w:type="dxa"/>
          <w:right w:w="0" w:type="dxa"/>
        </w:tblCellMar>
      </w:tblPr>
      <w:tr>
        <w:trPr>
          <w:trHeight w:val="207"/>
        </w:trPr>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Votes</w:t>
            </w: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Votes</w:t>
            </w: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Votes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50"/>
        </w:trPr>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For</w:t>
            </w: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Against</w:t>
            </w: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Abstaining</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Non-Vote</w:t>
            </w:r>
          </w:p>
        </w:tc>
      </w:tr>
      <w:tr>
        <w:trPr>
          <w:trHeight w:val="310"/>
        </w:trPr>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42,245,358</w:t>
            </w:r>
          </w:p>
        </w:tc>
        <w:tc>
          <w:tcPr>
            <w:tcW w:w="30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52,569,664</w:t>
            </w:r>
          </w:p>
        </w:tc>
        <w:tc>
          <w:tcPr>
            <w:tcW w:w="30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307,457</w:t>
            </w:r>
          </w:p>
        </w:tc>
        <w:tc>
          <w:tcPr>
            <w:tcW w:w="32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7,759,378</w:t>
            </w:r>
          </w:p>
        </w:tc>
      </w:tr>
    </w:tbl>
    <w:p>
      <w:pPr>
        <w:spacing w:after="0" w:line="3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ectPr>
          <w:pgSz w:w="11900" w:h="16838" w:orient="portrait"/>
          <w:cols w:equalWidth="0" w:num="1">
            <w:col w:w="11240"/>
          </w:cols>
          <w:pgMar w:left="320" w:top="121" w:right="339" w:bottom="1440" w:gutter="0" w:footer="0" w:header="0"/>
        </w:sect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22</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10.z</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List of Guarantor Subsidiaries.</w:t>
      </w:r>
    </w:p>
    <w:p>
      <w:pPr>
        <w:spacing w:after="0" w:line="212" w:lineRule="exact"/>
        <w:rPr>
          <w:sz w:val="20"/>
          <w:szCs w:val="20"/>
          <w:color w:val="auto"/>
        </w:rPr>
      </w:pPr>
    </w:p>
    <w:p>
      <w:pPr>
        <w:jc w:val="both"/>
        <w:ind w:right="1060"/>
        <w:spacing w:after="0" w:line="263" w:lineRule="auto"/>
        <w:rPr>
          <w:sz w:val="20"/>
          <w:szCs w:val="20"/>
          <w:color w:val="auto"/>
        </w:rPr>
      </w:pPr>
      <w:r>
        <w:rPr>
          <w:rFonts w:ascii="Arial" w:cs="Arial" w:eastAsia="Arial" w:hAnsi="Arial"/>
          <w:sz w:val="18"/>
          <w:szCs w:val="18"/>
          <w:color w:val="auto"/>
        </w:rPr>
        <w:t>Executive Employment Agreement, dated August 1, 2018, between Crown Holdings, Inc. and Hock Huat Goh (incorporated by reference to Exhibit A of the Registrant’s Definitive Additional Materials on Schedule 14A filed April 19, 2023 (File No. 001-41550).</w:t>
      </w:r>
    </w:p>
    <w:p>
      <w:pPr>
        <w:spacing w:after="0" w:line="157" w:lineRule="exact"/>
        <w:rPr>
          <w:sz w:val="20"/>
          <w:szCs w:val="20"/>
          <w:color w:val="auto"/>
        </w:rPr>
      </w:pPr>
    </w:p>
    <w:p>
      <w:pPr>
        <w:sectPr>
          <w:pgSz w:w="11900" w:h="16838" w:orient="portrait"/>
          <w:cols w:equalWidth="0" w:num="2">
            <w:col w:w="340" w:space="640"/>
            <w:col w:w="10260"/>
          </w:cols>
          <w:pgMar w:left="320" w:top="121" w:right="339" w:bottom="1440" w:gutter="0" w:footer="0" w:header="0"/>
          <w:type w:val="continuous"/>
        </w:sectPr>
      </w:pPr>
    </w:p>
    <w:p>
      <w:pPr>
        <w:ind w:left="980" w:right="1080" w:hanging="957"/>
        <w:spacing w:after="0" w:line="277" w:lineRule="auto"/>
        <w:tabs>
          <w:tab w:leader="none" w:pos="9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FF"/>
        </w:rPr>
        <w:t>Certification of Chief Executive Officer pursuant to Rule 13a-14(a) or 15d-14(a) of the Securities Exchange Act of 1934, as adopted pursuant to Section 302 of the Sarbanes-Oxley Act of 2002.</w:t>
      </w:r>
    </w:p>
    <w:p>
      <w:pPr>
        <w:spacing w:after="0" w:line="157" w:lineRule="exact"/>
        <w:rPr>
          <w:sz w:val="20"/>
          <w:szCs w:val="20"/>
          <w:color w:val="auto"/>
        </w:rPr>
      </w:pPr>
    </w:p>
    <w:p>
      <w:pPr>
        <w:ind w:left="980" w:right="1060" w:hanging="957"/>
        <w:spacing w:after="0" w:line="277" w:lineRule="auto"/>
        <w:tabs>
          <w:tab w:leader="none" w:pos="9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FF"/>
        </w:rPr>
        <w:t>Certification of Chief Financial Officer pursuant to Rule 13a-14(a) or 15d-14(a) of the Securities Exchange Act of 1934, as adopted pursuant to Section 302 of the Sarbanes-Oxley Act of 2002.</w:t>
      </w:r>
    </w:p>
    <w:p>
      <w:pPr>
        <w:spacing w:after="0" w:line="170" w:lineRule="exact"/>
        <w:rPr>
          <w:sz w:val="20"/>
          <w:szCs w:val="20"/>
          <w:color w:val="auto"/>
        </w:rPr>
      </w:pPr>
    </w:p>
    <w:p>
      <w:pPr>
        <w:jc w:val="both"/>
        <w:ind w:left="980" w:right="1060" w:hanging="954"/>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0000FF"/>
        </w:rPr>
        <w:t>Certification pursuant to 18 U.S.C. Section 1350, as adopted pursuant to Section 906 of the Sarbanes-Oxley Act of 2002, executed by Timothy J. Donahue, Chairman, President and Chief Executive Officer of Crown Holdings, Inc. and Kevin C. Clothier, Senior Vice President and Chief Financial Officer of Crown Holdings, Inc.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960" w:right="1060" w:hanging="954"/>
        <w:spacing w:after="0" w:line="293" w:lineRule="auto"/>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following financial information from the Registrant's Quarterly Report on Form 10-Q for the quarter ended March 31, 2023 formatted in inline XBRL (eXtensible Business Reporting Language): (i) Consolidated Statements of Operations for the three months ended March 31, 2023 and 2022, (ii) Consolidated Statements of Comprehensive Income for the three months ended March 31, 2023 and 2022, (iii) Consolidated Balance Sheets as of March 31, 2023 and December 31, 2022, (iv) Consolidated Statements of Cash Flows for the three months ended March 31, 2023 and 2022, (v) Consolidated Statements of Changes in Equity for the three months ended March 31, 2023 and 2022 and (vi) Notes to Consolidated Financial Statements.</w:t>
      </w:r>
    </w:p>
    <w:p>
      <w:pPr>
        <w:spacing w:after="0" w:line="13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32"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648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Crown Holdings, Inc.</w:t>
            </w:r>
          </w:p>
        </w:tc>
      </w:tr>
      <w:tr>
        <w:trPr>
          <w:trHeight w:val="224"/>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440" w:type="dxa"/>
            <w:vAlign w:val="bottom"/>
          </w:tcPr>
          <w:p>
            <w:pPr>
              <w:spacing w:after="0"/>
              <w:rPr>
                <w:sz w:val="19"/>
                <w:szCs w:val="19"/>
                <w:color w:val="auto"/>
              </w:rPr>
            </w:pPr>
          </w:p>
        </w:tc>
      </w:tr>
      <w:tr>
        <w:trPr>
          <w:trHeight w:val="485"/>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Christy L. Kalaus</w:t>
            </w:r>
          </w:p>
        </w:tc>
      </w:tr>
      <w:tr>
        <w:trPr>
          <w:trHeight w:val="222"/>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Christy L. Kalaus</w:t>
            </w: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Vice President and Corporate Controller</w:t>
            </w:r>
          </w:p>
        </w:tc>
      </w:tr>
    </w:tbl>
    <w:p>
      <w:pPr>
        <w:spacing w:after="0" w:line="3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Date: April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40" w:top="121" w:right="339" w:bottom="1440" w:gutter="0" w:footer="0" w:header="0"/>
        </w:sectPr>
      </w:pPr>
    </w:p>
    <w:bookmarkStart w:id="35" w:name="page36"/>
    <w:bookmarkEnd w:id="35"/>
    <w:p>
      <w:pPr>
        <w:jc w:val="center"/>
        <w:ind w:right="-79"/>
        <w:spacing w:after="0"/>
        <w:rPr>
          <w:sz w:val="20"/>
          <w:szCs w:val="20"/>
          <w:color w:val="auto"/>
        </w:rPr>
      </w:pPr>
      <w:r>
        <w:rPr>
          <w:rFonts w:ascii="Arial" w:cs="Arial" w:eastAsia="Arial" w:hAnsi="Arial"/>
          <w:sz w:val="25"/>
          <w:szCs w:val="25"/>
          <w:b w:val="1"/>
          <w:bCs w:val="1"/>
          <w:color w:val="auto"/>
        </w:rPr>
        <w:t>Exhibit 22 - List of Guarantor Subsidiaries</w:t>
      </w:r>
    </w:p>
    <w:p>
      <w:pPr>
        <w:spacing w:after="0" w:line="259" w:lineRule="exact"/>
        <w:rPr>
          <w:sz w:val="20"/>
          <w:szCs w:val="20"/>
          <w:color w:val="auto"/>
        </w:rPr>
      </w:pPr>
    </w:p>
    <w:p>
      <w:pPr>
        <w:ind w:right="620"/>
        <w:spacing w:after="0" w:line="274" w:lineRule="auto"/>
        <w:rPr>
          <w:sz w:val="20"/>
          <w:szCs w:val="20"/>
          <w:color w:val="auto"/>
        </w:rPr>
      </w:pPr>
      <w:r>
        <w:rPr>
          <w:rFonts w:ascii="Arial" w:cs="Arial" w:eastAsia="Arial" w:hAnsi="Arial"/>
          <w:sz w:val="20"/>
          <w:szCs w:val="20"/>
          <w:color w:val="auto"/>
        </w:rPr>
        <w:t>The following subsidiaries of Crown Holdings, Inc. (the "Company") were, as of March 31, 2023, guarantors of the Company's $350 principal 7.375% senior notes due 2026 and $40 principal 7.5% senior notes due 2096:</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93"/>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93"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12"/>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2"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The following subsidiaries of the Company were, as of March 31, 2023, guarantors of the Company's $400 principal 4.25% senior notes due 2026, $875 principal 4.75% senior notes due 2026 and $500 principal 5.250% senior notes due 2030:</w:t>
      </w:r>
    </w:p>
    <w:tbl>
      <w:tblPr>
        <w:tblLayout w:type="fixed"/>
        <w:tblInd w:w="110" w:type="dxa"/>
        <w:tblCellMar>
          <w:top w:w="0" w:type="dxa"/>
          <w:left w:w="0" w:type="dxa"/>
          <w:bottom w:w="0" w:type="dxa"/>
          <w:right w:w="0" w:type="dxa"/>
        </w:tblCellMar>
      </w:tblPr>
      <w:tr>
        <w:trPr>
          <w:trHeight w:val="201"/>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1"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93"/>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93"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12"/>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2"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Consultants,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Puerto Rico,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(DE),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International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Technology,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Foreign Manufacturers Finance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Holdings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Pickling Holding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US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TopFrame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Package Design and Manufacturing,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Michigan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Simplimatic Engineering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Simplimatic Automation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SE International Holdings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SE International Holdings II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SEH Real Estate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5"/>
              </w:rPr>
              <w:t>Virginia</w:t>
            </w:r>
          </w:p>
        </w:tc>
        <w:tc>
          <w:tcPr>
            <w:tcW w:w="0" w:type="dxa"/>
            <w:vAlign w:val="bottom"/>
          </w:tcPr>
          <w:p>
            <w:pPr>
              <w:spacing w:after="0"/>
              <w:rPr>
                <w:sz w:val="1"/>
                <w:szCs w:val="1"/>
                <w:color w:val="auto"/>
              </w:rPr>
            </w:pPr>
          </w:p>
        </w:tc>
      </w:tr>
    </w:tbl>
    <w:p>
      <w:pPr>
        <w:sectPr>
          <w:pgSz w:w="11900" w:h="16838" w:orient="portrait"/>
          <w:cols w:equalWidth="0" w:num="1">
            <w:col w:w="11160"/>
          </w:cols>
          <w:pgMar w:left="320" w:top="886" w:right="419" w:bottom="1440" w:gutter="0" w:footer="0" w:header="0"/>
        </w:sectPr>
      </w:pPr>
    </w:p>
    <w:bookmarkStart w:id="36" w:name="page37"/>
    <w:bookmarkEnd w:id="36"/>
    <w:p>
      <w:pPr>
        <w:ind w:left="972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52"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340" w:right="100" w:hanging="332"/>
        <w:spacing w:after="0" w:line="256"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7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7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980" w:right="80" w:hanging="324"/>
        <w:spacing w:after="0" w:line="256" w:lineRule="auto"/>
        <w:tabs>
          <w:tab w:leader="none" w:pos="97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980" w:right="80" w:hanging="324"/>
        <w:spacing w:after="0" w:line="256" w:lineRule="auto"/>
        <w:tabs>
          <w:tab w:leader="none" w:pos="89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980" w:hanging="324"/>
        <w:spacing w:after="0" w:line="261" w:lineRule="auto"/>
        <w:tabs>
          <w:tab w:leader="none" w:pos="115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Date: April 28, 2023</w:t>
      </w:r>
      <w:r>
        <w:rPr>
          <w:sz w:val="20"/>
          <w:szCs w:val="20"/>
          <w:color w:val="auto"/>
        </w:rPr>
        <w:tab/>
      </w:r>
      <w:r>
        <w:rPr>
          <w:rFonts w:ascii="Arial" w:cs="Arial" w:eastAsia="Arial" w:hAnsi="Arial"/>
          <w:sz w:val="18"/>
          <w:szCs w:val="18"/>
          <w:u w:val="single" w:color="auto"/>
          <w:color w:val="auto"/>
        </w:rPr>
        <w:t>/s/ Timothy J. Donahue</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Timothy J. Donahue</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0920"/>
          </w:cols>
          <w:pgMar w:left="320" w:top="1129" w:right="6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CERTIFICATION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Kevin C. Clothier, certify that:</w:t>
      </w:r>
    </w:p>
    <w:p>
      <w:pPr>
        <w:spacing w:after="0" w:line="252"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340" w:right="20" w:hanging="332"/>
        <w:spacing w:after="0" w:line="256"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7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7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980" w:hanging="324"/>
        <w:spacing w:after="0" w:line="256" w:lineRule="auto"/>
        <w:tabs>
          <w:tab w:leader="none" w:pos="97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980" w:hanging="324"/>
        <w:spacing w:after="0" w:line="256" w:lineRule="auto"/>
        <w:tabs>
          <w:tab w:leader="none" w:pos="893"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980" w:hanging="324"/>
        <w:spacing w:after="0" w:line="261" w:lineRule="auto"/>
        <w:tabs>
          <w:tab w:leader="none" w:pos="1139"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20"/>
                <w:szCs w:val="20"/>
                <w:color w:val="auto"/>
              </w:rPr>
            </w:pPr>
            <w:r>
              <w:rPr>
                <w:rFonts w:ascii="Arial" w:cs="Arial" w:eastAsia="Arial" w:hAnsi="Arial"/>
                <w:sz w:val="18"/>
                <w:szCs w:val="18"/>
                <w:color w:val="auto"/>
              </w:rPr>
              <w:t>Date: April 28, 2023</w:t>
            </w:r>
          </w:p>
        </w:tc>
        <w:tc>
          <w:tcPr>
            <w:tcW w:w="980" w:type="dxa"/>
            <w:vAlign w:val="bottom"/>
          </w:tcPr>
          <w:p>
            <w:pPr>
              <w:spacing w:after="0"/>
              <w:rPr>
                <w:sz w:val="18"/>
                <w:szCs w:val="18"/>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Kevin C. Clothier</w:t>
            </w:r>
          </w:p>
        </w:tc>
      </w:tr>
      <w:tr>
        <w:trPr>
          <w:trHeight w:val="236"/>
        </w:trPr>
        <w:tc>
          <w:tcPr>
            <w:tcW w:w="1820" w:type="dxa"/>
            <w:vAlign w:val="bottom"/>
          </w:tcPr>
          <w:p>
            <w:pPr>
              <w:spacing w:after="0"/>
              <w:rPr>
                <w:sz w:val="20"/>
                <w:szCs w:val="20"/>
                <w:color w:val="auto"/>
              </w:rPr>
            </w:pPr>
          </w:p>
        </w:tc>
        <w:tc>
          <w:tcPr>
            <w:tcW w:w="2560" w:type="dxa"/>
            <w:vAlign w:val="bottom"/>
            <w:gridSpan w:val="2"/>
          </w:tcPr>
          <w:p>
            <w:pPr>
              <w:ind w:left="240"/>
              <w:spacing w:after="0"/>
              <w:rPr>
                <w:sz w:val="20"/>
                <w:szCs w:val="20"/>
                <w:color w:val="auto"/>
              </w:rPr>
            </w:pPr>
            <w:r>
              <w:rPr>
                <w:rFonts w:ascii="Arial" w:cs="Arial" w:eastAsia="Arial" w:hAnsi="Arial"/>
                <w:sz w:val="18"/>
                <w:szCs w:val="18"/>
                <w:color w:val="auto"/>
              </w:rPr>
              <w:t>Kevin C. Clothier</w:t>
            </w:r>
          </w:p>
        </w:tc>
      </w:tr>
      <w:tr>
        <w:trPr>
          <w:trHeight w:val="217"/>
        </w:trPr>
        <w:tc>
          <w:tcPr>
            <w:tcW w:w="1820" w:type="dxa"/>
            <w:vAlign w:val="bottom"/>
          </w:tcPr>
          <w:p>
            <w:pPr>
              <w:spacing w:after="0"/>
              <w:rPr>
                <w:sz w:val="18"/>
                <w:szCs w:val="18"/>
                <w:color w:val="auto"/>
              </w:rPr>
            </w:pPr>
          </w:p>
        </w:tc>
        <w:tc>
          <w:tcPr>
            <w:tcW w:w="2560" w:type="dxa"/>
            <w:vAlign w:val="bottom"/>
            <w:gridSpan w:val="2"/>
          </w:tcPr>
          <w:p>
            <w:pPr>
              <w:ind w:left="2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0840"/>
          </w:cols>
          <w:pgMar w:left="320" w:top="1129" w:right="73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906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00" w:lineRule="exact"/>
        <w:rPr>
          <w:sz w:val="20"/>
          <w:szCs w:val="20"/>
          <w:color w:val="auto"/>
        </w:rPr>
      </w:pPr>
    </w:p>
    <w:p>
      <w:pPr>
        <w:spacing w:after="0" w:line="300" w:lineRule="exact"/>
        <w:rPr>
          <w:sz w:val="20"/>
          <w:szCs w:val="20"/>
          <w:color w:val="auto"/>
        </w:rPr>
      </w:pPr>
    </w:p>
    <w:p>
      <w:pPr>
        <w:jc w:val="both"/>
        <w:ind w:firstLine="351"/>
        <w:spacing w:after="0" w:line="246"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March 31, 2023 (the “Report”), each of the undersigned officers certify, pursuant to 18 U.S.C. § 1350, as adopted pursuant to § 906 of the Sarbanes-Oxley Act of 2002, that:</w:t>
      </w:r>
    </w:p>
    <w:p>
      <w:pPr>
        <w:spacing w:after="0" w:line="235" w:lineRule="exact"/>
        <w:rPr>
          <w:sz w:val="20"/>
          <w:szCs w:val="20"/>
          <w:color w:val="auto"/>
        </w:rPr>
      </w:pPr>
    </w:p>
    <w:p>
      <w:pPr>
        <w:ind w:firstLine="8"/>
        <w:spacing w:after="0" w:line="262" w:lineRule="auto"/>
        <w:tabs>
          <w:tab w:leader="none" w:pos="6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217" w:lineRule="exact"/>
        <w:rPr>
          <w:rFonts w:ascii="Arial" w:cs="Arial" w:eastAsia="Arial" w:hAnsi="Arial"/>
          <w:sz w:val="22"/>
          <w:szCs w:val="22"/>
          <w:color w:val="auto"/>
        </w:rPr>
      </w:pPr>
    </w:p>
    <w:p>
      <w:pPr>
        <w:ind w:firstLine="8"/>
        <w:spacing w:after="0" w:line="249" w:lineRule="auto"/>
        <w:tabs>
          <w:tab w:leader="none" w:pos="514"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1460" w:type="dxa"/>
            <w:vAlign w:val="bottom"/>
          </w:tcPr>
          <w:p>
            <w:pPr>
              <w:ind w:left="120"/>
              <w:spacing w:after="0"/>
              <w:rPr>
                <w:sz w:val="20"/>
                <w:szCs w:val="20"/>
                <w:color w:val="auto"/>
              </w:rPr>
            </w:pPr>
            <w:r>
              <w:rPr>
                <w:rFonts w:ascii="Arial" w:cs="Arial" w:eastAsia="Arial" w:hAnsi="Arial"/>
                <w:sz w:val="22"/>
                <w:szCs w:val="22"/>
                <w:color w:val="auto"/>
                <w:w w:val="97"/>
              </w:rPr>
              <w:t>April 28, 2023</w:t>
            </w:r>
          </w:p>
        </w:tc>
        <w:tc>
          <w:tcPr>
            <w:tcW w:w="940" w:type="dxa"/>
            <w:vAlign w:val="bottom"/>
          </w:tcPr>
          <w:p>
            <w:pPr>
              <w:spacing w:after="0"/>
              <w:rPr>
                <w:sz w:val="21"/>
                <w:szCs w:val="21"/>
                <w:color w:val="auto"/>
              </w:rPr>
            </w:pPr>
          </w:p>
        </w:tc>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7"/>
              </w:rPr>
              <w:t>/s/ Timothy J. Donahue</w:t>
            </w:r>
          </w:p>
        </w:tc>
        <w:tc>
          <w:tcPr>
            <w:tcW w:w="3920" w:type="dxa"/>
            <w:vAlign w:val="bottom"/>
          </w:tcPr>
          <w:p>
            <w:pPr>
              <w:spacing w:after="0"/>
              <w:rPr>
                <w:sz w:val="21"/>
                <w:szCs w:val="21"/>
                <w:color w:val="auto"/>
              </w:rPr>
            </w:pPr>
          </w:p>
        </w:tc>
      </w:tr>
      <w:tr>
        <w:trPr>
          <w:trHeight w:val="284"/>
        </w:trPr>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140" w:type="dxa"/>
            <w:vAlign w:val="bottom"/>
            <w:gridSpan w:val="3"/>
          </w:tcPr>
          <w:p>
            <w:pPr>
              <w:ind w:left="1500"/>
              <w:spacing w:after="0"/>
              <w:rPr>
                <w:sz w:val="20"/>
                <w:szCs w:val="20"/>
                <w:color w:val="auto"/>
              </w:rPr>
            </w:pPr>
            <w:r>
              <w:rPr>
                <w:rFonts w:ascii="Arial" w:cs="Arial" w:eastAsia="Arial" w:hAnsi="Arial"/>
                <w:sz w:val="22"/>
                <w:szCs w:val="22"/>
                <w:color w:val="auto"/>
              </w:rPr>
              <w:t>Timothy J. Donahue</w:t>
            </w:r>
          </w:p>
        </w:tc>
      </w:tr>
      <w:tr>
        <w:trPr>
          <w:trHeight w:val="259"/>
        </w:trPr>
        <w:tc>
          <w:tcPr>
            <w:tcW w:w="6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140" w:type="dxa"/>
            <w:vAlign w:val="bottom"/>
            <w:gridSpan w:val="3"/>
          </w:tcPr>
          <w:p>
            <w:pPr>
              <w:ind w:left="1500"/>
              <w:spacing w:after="0"/>
              <w:rPr>
                <w:sz w:val="20"/>
                <w:szCs w:val="20"/>
                <w:color w:val="auto"/>
              </w:rPr>
            </w:pPr>
            <w:r>
              <w:rPr>
                <w:rFonts w:ascii="Arial" w:cs="Arial" w:eastAsia="Arial" w:hAnsi="Arial"/>
                <w:sz w:val="22"/>
                <w:szCs w:val="22"/>
                <w:color w:val="auto"/>
                <w:w w:val="97"/>
              </w:rPr>
              <w:t>Chairman, President and Chief Executive Officer</w:t>
            </w:r>
          </w:p>
        </w:tc>
      </w:tr>
      <w:tr>
        <w:trPr>
          <w:trHeight w:val="462"/>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1460" w:type="dxa"/>
            <w:vAlign w:val="bottom"/>
          </w:tcPr>
          <w:p>
            <w:pPr>
              <w:ind w:left="120"/>
              <w:spacing w:after="0"/>
              <w:rPr>
                <w:sz w:val="20"/>
                <w:szCs w:val="20"/>
                <w:color w:val="auto"/>
              </w:rPr>
            </w:pPr>
            <w:r>
              <w:rPr>
                <w:rFonts w:ascii="Arial" w:cs="Arial" w:eastAsia="Arial" w:hAnsi="Arial"/>
                <w:sz w:val="22"/>
                <w:szCs w:val="22"/>
                <w:color w:val="auto"/>
                <w:w w:val="97"/>
              </w:rPr>
              <w:t>April 28, 2023</w:t>
            </w:r>
          </w:p>
        </w:tc>
        <w:tc>
          <w:tcPr>
            <w:tcW w:w="940" w:type="dxa"/>
            <w:vAlign w:val="bottom"/>
          </w:tcPr>
          <w:p>
            <w:pPr>
              <w:spacing w:after="0"/>
              <w:rPr>
                <w:sz w:val="24"/>
                <w:szCs w:val="24"/>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/s/ Kevin C. Clothier</w:t>
            </w:r>
          </w:p>
        </w:tc>
        <w:tc>
          <w:tcPr>
            <w:tcW w:w="4220" w:type="dxa"/>
            <w:vAlign w:val="bottom"/>
            <w:gridSpan w:val="2"/>
          </w:tcPr>
          <w:p>
            <w:pPr>
              <w:spacing w:after="0"/>
              <w:rPr>
                <w:sz w:val="24"/>
                <w:szCs w:val="24"/>
                <w:color w:val="auto"/>
              </w:rPr>
            </w:pPr>
          </w:p>
        </w:tc>
      </w:tr>
      <w:tr>
        <w:trPr>
          <w:trHeight w:val="284"/>
        </w:trPr>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80" w:type="dxa"/>
            <w:vAlign w:val="bottom"/>
            <w:gridSpan w:val="4"/>
          </w:tcPr>
          <w:p>
            <w:pPr>
              <w:spacing w:after="0"/>
              <w:rPr>
                <w:sz w:val="20"/>
                <w:szCs w:val="20"/>
                <w:color w:val="auto"/>
              </w:rPr>
            </w:pPr>
            <w:r>
              <w:rPr>
                <w:rFonts w:ascii="Arial" w:cs="Arial" w:eastAsia="Arial" w:hAnsi="Arial"/>
                <w:sz w:val="22"/>
                <w:szCs w:val="22"/>
                <w:color w:val="auto"/>
              </w:rPr>
              <w:t>Kevin C. Clothier</w:t>
            </w:r>
          </w:p>
        </w:tc>
      </w:tr>
      <w:tr>
        <w:trPr>
          <w:trHeight w:val="256"/>
        </w:trPr>
        <w:tc>
          <w:tcPr>
            <w:tcW w:w="6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7080" w:type="dxa"/>
            <w:vAlign w:val="bottom"/>
            <w:gridSpan w:val="4"/>
          </w:tcPr>
          <w:p>
            <w:pPr>
              <w:spacing w:after="0"/>
              <w:rPr>
                <w:sz w:val="20"/>
                <w:szCs w:val="20"/>
                <w:color w:val="auto"/>
              </w:rPr>
            </w:pPr>
            <w:r>
              <w:rPr>
                <w:rFonts w:ascii="Arial" w:cs="Arial" w:eastAsia="Arial" w:hAnsi="Arial"/>
                <w:sz w:val="22"/>
                <w:szCs w:val="22"/>
                <w:color w:val="auto"/>
              </w:rPr>
              <w:t>Senior Vice President</w:t>
            </w:r>
          </w:p>
        </w:tc>
      </w:tr>
      <w:tr>
        <w:trPr>
          <w:trHeight w:val="259"/>
        </w:trPr>
        <w:tc>
          <w:tcPr>
            <w:tcW w:w="6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7080" w:type="dxa"/>
            <w:vAlign w:val="bottom"/>
            <w:gridSpan w:val="4"/>
          </w:tcPr>
          <w:p>
            <w:pPr>
              <w:spacing w:after="0"/>
              <w:rPr>
                <w:sz w:val="20"/>
                <w:szCs w:val="20"/>
                <w:color w:val="auto"/>
              </w:rPr>
            </w:pPr>
            <w:r>
              <w:rPr>
                <w:rFonts w:ascii="Arial" w:cs="Arial" w:eastAsia="Arial" w:hAnsi="Arial"/>
                <w:sz w:val="22"/>
                <w:szCs w:val="22"/>
                <w:color w:val="auto"/>
              </w:rPr>
              <w:t>and Chief Financial Officer</w:t>
            </w:r>
          </w:p>
        </w:tc>
      </w:tr>
    </w:tbl>
    <w:p>
      <w:pPr>
        <w:spacing w:after="0" w:line="200" w:lineRule="exact"/>
        <w:rPr>
          <w:sz w:val="20"/>
          <w:szCs w:val="20"/>
          <w:color w:val="auto"/>
        </w:rPr>
      </w:pPr>
    </w:p>
    <w:p>
      <w:pPr>
        <w:spacing w:after="0" w:line="283"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7"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240"/>
      </w:cols>
      <w:pgMar w:left="320" w:top="1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upperLetter"/>
      <w:start w:val="1"/>
    </w:lvl>
  </w:abstractNum>
  <w:abstractNum w:abstractNumId="3">
    <w:nsid w:val="41A7C4C9"/>
    <w:multiLevelType w:val="hybridMultilevel"/>
    <w:lvl w:ilvl="0">
      <w:lvlJc w:val="left"/>
      <w:lvlText w:val="%1."/>
      <w:numFmt w:val="upperLetter"/>
      <w:start w:val="6"/>
    </w:lvl>
  </w:abstractNum>
  <w:abstractNum w:abstractNumId="4">
    <w:nsid w:val="6B68079A"/>
    <w:multiLevelType w:val="hybridMultilevel"/>
    <w:lvl w:ilvl="0">
      <w:lvlJc w:val="left"/>
      <w:lvlText w:val="%1."/>
      <w:numFmt w:val="upperLetter"/>
      <w:start w:val="7"/>
    </w:lvl>
  </w:abstractNum>
  <w:abstractNum w:abstractNumId="5">
    <w:nsid w:val="4E6AFB66"/>
    <w:multiLevelType w:val="hybridMultilevel"/>
    <w:lvl w:ilvl="0">
      <w:lvlJc w:val="left"/>
      <w:lvlText w:val="%1."/>
      <w:numFmt w:val="upperLetter"/>
      <w:start w:val="8"/>
    </w:lvl>
  </w:abstractNum>
  <w:abstractNum w:abstractNumId="6">
    <w:nsid w:val="25E45D32"/>
    <w:multiLevelType w:val="hybridMultilevel"/>
    <w:lvl w:ilvl="0">
      <w:lvlJc w:val="left"/>
      <w:lvlText w:val="%1."/>
      <w:numFmt w:val="upperLetter"/>
      <w:start w:val="9"/>
    </w:lvl>
  </w:abstractNum>
  <w:abstractNum w:abstractNumId="7">
    <w:nsid w:val="519B500D"/>
    <w:multiLevelType w:val="hybridMultilevel"/>
    <w:lvl w:ilvl="0">
      <w:lvlJc w:val="left"/>
      <w:lvlText w:val="%1."/>
      <w:numFmt w:val="upperLetter"/>
      <w:start w:val="10"/>
    </w:lvl>
  </w:abstractNum>
  <w:abstractNum w:abstractNumId="8">
    <w:nsid w:val="431BD7B7"/>
    <w:multiLevelType w:val="hybridMultilevel"/>
    <w:lvl w:ilvl="0">
      <w:lvlJc w:val="left"/>
      <w:lvlText w:val="%1."/>
      <w:numFmt w:val="upperLetter"/>
      <w:start w:val="12"/>
    </w:lvl>
  </w:abstractNum>
  <w:abstractNum w:abstractNumId="9">
    <w:nsid w:val="3F2DBA31"/>
    <w:multiLevelType w:val="hybridMultilevel"/>
    <w:lvl w:ilvl="0">
      <w:lvlJc w:val="left"/>
      <w:lvlText w:val="%1."/>
      <w:numFmt w:val="upperLetter"/>
      <w:start w:val="13"/>
    </w:lvl>
  </w:abstractNum>
  <w:abstractNum w:abstractNumId="10">
    <w:nsid w:val="7C83E458"/>
    <w:multiLevelType w:val="hybridMultilevel"/>
    <w:lvl w:ilvl="0">
      <w:lvlJc w:val="left"/>
      <w:lvlText w:val="%1."/>
      <w:numFmt w:val="upperLetter"/>
      <w:start w:val="14"/>
    </w:lvl>
  </w:abstractNum>
  <w:abstractNum w:abstractNumId="11">
    <w:nsid w:val="257130A3"/>
    <w:multiLevelType w:val="hybridMultilevel"/>
    <w:lvl w:ilvl="0">
      <w:lvlJc w:val="left"/>
      <w:lvlText w:val="%1."/>
      <w:numFmt w:val="upperLetter"/>
      <w:start w:val="16"/>
    </w:lvl>
  </w:abstractNum>
  <w:abstractNum w:abstractNumId="12">
    <w:nsid w:val="62BBD95A"/>
    <w:multiLevelType w:val="hybridMultilevel"/>
    <w:lvl w:ilvl="0">
      <w:lvlJc w:val="left"/>
      <w:lvlText w:val="%1."/>
      <w:numFmt w:val="upperLetter"/>
      <w:start w:val="17"/>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2"/>
    </w:lvl>
  </w:abstractNum>
  <w:abstractNum w:abstractNumId="19">
    <w:nsid w:val="6763845E"/>
    <w:multiLevelType w:val="hybridMultilevel"/>
    <w:lvl w:ilvl="0">
      <w:lvlJc w:val="left"/>
      <w:lvlText w:val="%1)"/>
      <w:numFmt w:val="decimal"/>
      <w:start w:val="3"/>
    </w:lvl>
  </w:abstractNum>
  <w:abstractNum w:abstractNumId="20">
    <w:nsid w:val="75A2A8D4"/>
    <w:multiLevelType w:val="hybridMultilevel"/>
    <w:lvl w:ilvl="0">
      <w:lvlJc w:val="left"/>
      <w:lvlText w:val="%1)"/>
      <w:numFmt w:val="decimal"/>
      <w:start w:val="4"/>
    </w:lvl>
  </w:abstractNum>
  <w:abstractNum w:abstractNumId="21">
    <w:nsid w:val="8EDBDAB"/>
    <w:multiLevelType w:val="hybridMultilevel"/>
    <w:lvl w:ilvl="0">
      <w:lvlJc w:val="left"/>
      <w:lvlText w:val="%1)"/>
      <w:numFmt w:val="decimal"/>
      <w:start w:val="5"/>
    </w:lvl>
  </w:abstractNum>
  <w:abstractNum w:abstractNumId="22">
    <w:nsid w:val="79838CB2"/>
    <w:multiLevelType w:val="hybridMultilevel"/>
    <w:lvl w:ilvl="0">
      <w:lvlJc w:val="left"/>
      <w:lvlText w:val="%1"/>
      <w:numFmt w:val="decimal"/>
      <w:start w:val="32"/>
    </w:lvl>
  </w:abstractNum>
  <w:abstractNum w:abstractNumId="23">
    <w:nsid w:val="4353D0CD"/>
    <w:multiLevelType w:val="hybridMultilevel"/>
    <w:lvl w:ilvl="0">
      <w:lvlJc w:val="left"/>
      <w:lvlText w:val="%1"/>
      <w:numFmt w:val="decimal"/>
      <w:start w:val="10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2023-04-28T17:07:34Z</dcterms:created>
  <dcterms:modified xsi:type="dcterms:W3CDTF">2023-04-28T17:07:34Z</dcterms:modified>
</cp:coreProperties>
</file>